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9"/>
          <w:szCs w:val="29"/>
        </w:rPr>
      </w:pPr>
    </w:p>
    <w:p>
      <w:pPr>
        <w:spacing w:line="460" w:lineRule="exact" w:before="0"/>
        <w:ind w:left="2785" w:right="2784" w:firstLine="0"/>
        <w:jc w:val="center"/>
        <w:rPr>
          <w:rFonts w:ascii="宋体" w:hAnsi="宋体" w:cs="宋体" w:eastAsia="宋体" w:hint="default"/>
          <w:sz w:val="36"/>
          <w:szCs w:val="36"/>
        </w:rPr>
      </w:pPr>
      <w:r>
        <w:rPr/>
        <w:pict>
          <v:group style="position:absolute;margin-left:55.200001pt;margin-top:-90.411247pt;width:484.8pt;height:.1pt;mso-position-horizontal-relative:page;mso-position-vertical-relative:paragraph;z-index:0" coordorigin="1104,-1808" coordsize="9696,2">
            <v:shape style="position:absolute;left:1104;top:-1808;width:9696;height:2" coordorigin="1104,-1808" coordsize="9696,0" path="m1104,-1808l10800,-1808e" filled="false" stroked="true" strokeweight=".72pt" strokecolor="#000000">
              <v:path arrowok="t"/>
            </v:shape>
            <w10:wrap type="none"/>
          </v:group>
        </w:pict>
      </w:r>
      <w:r>
        <w:rPr>
          <w:rFonts w:ascii="宋体" w:hAnsi="宋体" w:cs="宋体" w:eastAsia="宋体" w:hint="default"/>
          <w:b/>
          <w:bCs/>
          <w:sz w:val="36"/>
          <w:szCs w:val="36"/>
        </w:rPr>
        <w:t>上海天玑科技股份有限公司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2782" w:right="278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3"/>
        <w:rPr>
          <w:rFonts w:ascii="宋体" w:hAnsi="宋体" w:cs="宋体" w:eastAsia="宋体" w:hint="default"/>
          <w:b/>
          <w:bCs/>
          <w:sz w:val="32"/>
          <w:szCs w:val="32"/>
        </w:rPr>
      </w:pPr>
    </w:p>
    <w:p>
      <w:pPr>
        <w:spacing w:before="0"/>
        <w:ind w:left="2783" w:right="2784" w:firstLine="0"/>
        <w:jc w:val="center"/>
        <w:rPr>
          <w:rFonts w:ascii="Times New Roman" w:hAnsi="Times New Roman" w:cs="Times New Roman" w:eastAsia="Times New Roman" w:hint="default"/>
          <w:sz w:val="32"/>
          <w:szCs w:val="32"/>
        </w:rPr>
      </w:pPr>
      <w:r>
        <w:rPr>
          <w:rFonts w:ascii="Times New Roman"/>
          <w:b/>
          <w:sz w:val="32"/>
        </w:rPr>
        <w:t>2016-010</w:t>
      </w:r>
      <w:r>
        <w:rPr>
          <w:rFonts w:ascii="Times New Roman"/>
          <w:sz w:val="32"/>
        </w:rPr>
      </w: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3"/>
        <w:rPr>
          <w:rFonts w:ascii="Times New Roman" w:hAnsi="Times New Roman" w:cs="Times New Roman" w:eastAsia="Times New Roman" w:hint="default"/>
          <w:b/>
          <w:bCs/>
          <w:sz w:val="37"/>
          <w:szCs w:val="37"/>
        </w:rPr>
      </w:pPr>
    </w:p>
    <w:p>
      <w:pPr>
        <w:spacing w:before="0"/>
        <w:ind w:left="2784" w:right="278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2" w:top="1060" w:bottom="118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102"/>
        <w:jc w:val="left"/>
        <w:rPr>
          <w:b w:val="0"/>
          <w:bCs w:val="0"/>
        </w:rPr>
      </w:pPr>
      <w:bookmarkStart w:name="_TOC_250010" w:id="1"/>
      <w:bookmarkStart w:name="第一节 重要提示、目录和释义" w:id="2"/>
      <w:r>
        <w:rPr>
          <w:b w:val="0"/>
          <w:bCs w:val="0"/>
        </w:rPr>
      </w:r>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5"/>
        <w:ind w:right="248" w:firstLine="561"/>
        <w:jc w:val="both"/>
        <w:rPr>
          <w:b w:val="0"/>
          <w:bCs w:val="0"/>
        </w:rPr>
      </w:pPr>
      <w:r>
        <w:rPr>
          <w:spacing w:val="2"/>
        </w:rPr>
        <w:t>本公司董事会、监事会及董事、监事、高级管理人员保证年度报告内容的</w:t>
      </w:r>
      <w:r>
        <w:rPr>
          <w:spacing w:val="2"/>
          <w:w w:val="99"/>
        </w:rPr>
        <w:t> </w:t>
      </w:r>
      <w:r>
        <w:rPr>
          <w:spacing w:val="2"/>
        </w:rPr>
        <w:t>真实、准确、完整，不存在虚假记载、误导性陈述或重大遗漏，并承担个别和</w:t>
      </w:r>
      <w:r>
        <w:rPr>
          <w:spacing w:val="2"/>
          <w:w w:val="99"/>
        </w:rPr>
        <w:t> </w:t>
      </w:r>
      <w:r>
        <w:rPr/>
        <w:t>连带的法律责任。</w:t>
      </w:r>
      <w:r>
        <w:rPr>
          <w:b w:val="0"/>
          <w:bCs w:val="0"/>
        </w:rPr>
      </w:r>
    </w:p>
    <w:p>
      <w:pPr>
        <w:pStyle w:val="Heading2"/>
        <w:spacing w:line="386" w:lineRule="auto" w:before="162"/>
        <w:ind w:right="102" w:firstLine="561"/>
        <w:jc w:val="left"/>
        <w:rPr>
          <w:b w:val="0"/>
          <w:bCs w:val="0"/>
        </w:rPr>
      </w:pPr>
      <w:r>
        <w:rPr>
          <w:w w:val="95"/>
        </w:rPr>
        <w:t>公司负责人陆文雄、主管会计工作负责人陆廷洁及会计机构负责人</w:t>
      </w:r>
      <w:r>
        <w:rPr>
          <w:rFonts w:ascii="Times New Roman" w:hAnsi="Times New Roman" w:cs="Times New Roman" w:eastAsia="Times New Roman" w:hint="default"/>
          <w:w w:val="95"/>
        </w:rPr>
        <w:t>(</w:t>
      </w:r>
      <w:r>
        <w:rPr>
          <w:w w:val="95"/>
        </w:rPr>
        <w:t>会计主</w:t>
      </w:r>
      <w:r>
        <w:rPr>
          <w:w w:val="99"/>
        </w:rPr>
        <w:t> </w:t>
      </w:r>
      <w:r>
        <w:rPr/>
        <w:t>管人员</w:t>
      </w:r>
      <w:r>
        <w:rPr>
          <w:rFonts w:ascii="Times New Roman" w:hAnsi="Times New Roman" w:cs="Times New Roman" w:eastAsia="Times New Roman" w:hint="default"/>
        </w:rPr>
        <w:t>)</w:t>
      </w:r>
      <w:r>
        <w:rPr/>
        <w:t>李思琪声明：保证年度报告中财务报告的真实、准确、完整。</w:t>
      </w:r>
      <w:r>
        <w:rPr>
          <w:b w:val="0"/>
          <w:bCs w:val="0"/>
        </w:rPr>
      </w:r>
    </w:p>
    <w:p>
      <w:pPr>
        <w:pStyle w:val="Heading2"/>
        <w:spacing w:line="240" w:lineRule="auto" w:before="148"/>
        <w:ind w:left="714" w:right="102"/>
        <w:jc w:val="left"/>
        <w:rPr>
          <w:b w:val="0"/>
          <w:bCs w:val="0"/>
        </w:rPr>
      </w:pPr>
      <w:r>
        <w:rPr/>
        <w:t>所有董事均已出席了审议本报告的董事会会议。</w:t>
      </w:r>
      <w:r>
        <w:rPr>
          <w:b w:val="0"/>
          <w:bCs w:val="0"/>
        </w:rPr>
      </w:r>
    </w:p>
    <w:p>
      <w:pPr>
        <w:spacing w:line="240" w:lineRule="auto" w:before="3"/>
        <w:rPr>
          <w:rFonts w:ascii="宋体" w:hAnsi="宋体" w:cs="宋体" w:eastAsia="宋体" w:hint="default"/>
          <w:b/>
          <w:bCs/>
          <w:sz w:val="27"/>
          <w:szCs w:val="27"/>
        </w:rPr>
      </w:pPr>
    </w:p>
    <w:p>
      <w:pPr>
        <w:pStyle w:val="Heading2"/>
        <w:tabs>
          <w:tab w:pos="1412" w:val="left" w:leader="none"/>
        </w:tabs>
        <w:spacing w:line="240" w:lineRule="auto"/>
        <w:ind w:left="714" w:right="102"/>
        <w:jc w:val="left"/>
        <w:rPr>
          <w:b w:val="0"/>
          <w:bCs w:val="0"/>
        </w:rPr>
      </w:pPr>
      <w:r>
        <w:rPr>
          <w:rFonts w:ascii="Times New Roman" w:hAnsi="Times New Roman" w:cs="Times New Roman" w:eastAsia="Times New Roman" w:hint="default"/>
          <w:spacing w:val="-1"/>
        </w:rPr>
        <w:t>1</w:t>
      </w:r>
      <w:r>
        <w:rPr>
          <w:spacing w:val="-1"/>
        </w:rPr>
        <w:t>、</w:t>
        <w:tab/>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市场转型导致的竞争加剧风险</w:t>
      </w:r>
      <w:r>
        <w:rPr>
          <w:b w:val="0"/>
          <w:bCs w:val="0"/>
        </w:rPr>
      </w:r>
    </w:p>
    <w:p>
      <w:pPr>
        <w:spacing w:line="240" w:lineRule="auto" w:before="10"/>
        <w:rPr>
          <w:rFonts w:ascii="宋体" w:hAnsi="宋体" w:cs="宋体" w:eastAsia="宋体" w:hint="default"/>
          <w:b/>
          <w:bCs/>
          <w:sz w:val="25"/>
          <w:szCs w:val="25"/>
        </w:rPr>
      </w:pPr>
    </w:p>
    <w:p>
      <w:pPr>
        <w:pStyle w:val="Heading2"/>
        <w:spacing w:line="386" w:lineRule="auto"/>
        <w:ind w:right="102" w:firstLine="552"/>
        <w:jc w:val="left"/>
        <w:rPr>
          <w:b w:val="0"/>
          <w:bCs w:val="0"/>
        </w:rPr>
      </w:pPr>
      <w:r>
        <w:rPr/>
        <w:t>以 </w:t>
      </w:r>
      <w:r>
        <w:rPr>
          <w:rFonts w:ascii="Times New Roman" w:hAnsi="Times New Roman" w:cs="Times New Roman" w:eastAsia="Times New Roman" w:hint="default"/>
        </w:rPr>
        <w:t>Google</w:t>
      </w:r>
      <w:r>
        <w:rPr/>
        <w:t>，</w:t>
      </w:r>
      <w:r>
        <w:rPr>
          <w:rFonts w:ascii="Times New Roman" w:hAnsi="Times New Roman" w:cs="Times New Roman" w:eastAsia="Times New Roman" w:hint="default"/>
        </w:rPr>
        <w:t>Facebook</w:t>
      </w:r>
      <w:r>
        <w:rPr>
          <w:rFonts w:ascii="Times New Roman" w:hAnsi="Times New Roman" w:cs="Times New Roman" w:eastAsia="Times New Roman" w:hint="default"/>
          <w:spacing w:val="-9"/>
        </w:rPr>
        <w:t> </w:t>
      </w:r>
      <w:r>
        <w:rPr/>
        <w:t>等国外互联网公司提倡的以开源技术为基础的变革，</w:t>
      </w:r>
      <w:r>
        <w:rPr>
          <w:w w:val="99"/>
        </w:rPr>
        <w:t> </w:t>
      </w:r>
      <w:r>
        <w:rPr/>
        <w:t>带来了整个 </w:t>
      </w:r>
      <w:r>
        <w:rPr>
          <w:rFonts w:ascii="Times New Roman" w:hAnsi="Times New Roman" w:cs="Times New Roman" w:eastAsia="Times New Roman" w:hint="default"/>
        </w:rPr>
        <w:t>IT </w:t>
      </w:r>
      <w:r>
        <w:rPr/>
        <w:t>界的巨大变化。这些分布式、</w:t>
      </w:r>
      <w:r>
        <w:rPr>
          <w:rFonts w:ascii="Times New Roman" w:hAnsi="Times New Roman" w:cs="Times New Roman" w:eastAsia="Times New Roman" w:hint="default"/>
        </w:rPr>
        <w:t>X86</w:t>
      </w:r>
      <w:r>
        <w:rPr>
          <w:rFonts w:ascii="Times New Roman" w:hAnsi="Times New Roman" w:cs="Times New Roman" w:eastAsia="Times New Roman" w:hint="default"/>
          <w:spacing w:val="67"/>
        </w:rPr>
        <w:t> </w:t>
      </w:r>
      <w:r>
        <w:rPr/>
        <w:t>化的革新技术，逐步地被以</w:t>
      </w:r>
      <w:r>
        <w:rPr>
          <w:w w:val="99"/>
        </w:rPr>
        <w:t> </w:t>
      </w:r>
      <w:r>
        <w:rPr>
          <w:rFonts w:ascii="Times New Roman" w:hAnsi="Times New Roman" w:cs="Times New Roman" w:eastAsia="Times New Roman" w:hint="default"/>
          <w:spacing w:val="-8"/>
        </w:rPr>
        <w:t>BAT </w:t>
      </w:r>
      <w:r>
        <w:rPr/>
        <w:t>为代表的中国互联网公司吸收并掌握，提出一个全新、开放的 </w:t>
      </w:r>
      <w:r>
        <w:rPr>
          <w:rFonts w:ascii="Times New Roman" w:hAnsi="Times New Roman" w:cs="Times New Roman" w:eastAsia="Times New Roman" w:hint="default"/>
        </w:rPr>
        <w:t>IT</w:t>
      </w:r>
      <w:r>
        <w:rPr>
          <w:rFonts w:ascii="Times New Roman" w:hAnsi="Times New Roman" w:cs="Times New Roman" w:eastAsia="Times New Roman" w:hint="default"/>
          <w:spacing w:val="15"/>
        </w:rPr>
        <w:t> </w:t>
      </w:r>
      <w:r>
        <w:rPr/>
        <w:t>架构概</w:t>
      </w:r>
      <w:r>
        <w:rPr>
          <w:w w:val="99"/>
        </w:rPr>
        <w:t> </w:t>
      </w:r>
      <w:r>
        <w:rPr>
          <w:spacing w:val="-3"/>
        </w:rPr>
        <w:t>念，并影响到所有的传统客户，而我们过去所敬仰的 </w:t>
      </w:r>
      <w:r>
        <w:rPr>
          <w:rFonts w:ascii="Times New Roman" w:hAnsi="Times New Roman" w:cs="Times New Roman" w:eastAsia="Times New Roman" w:hint="default"/>
        </w:rPr>
        <w:t>IT </w:t>
      </w:r>
      <w:r>
        <w:rPr>
          <w:spacing w:val="-9"/>
        </w:rPr>
        <w:t>巨头，如 </w:t>
      </w:r>
      <w:r>
        <w:rPr>
          <w:rFonts w:ascii="Times New Roman" w:hAnsi="Times New Roman" w:cs="Times New Roman" w:eastAsia="Times New Roman" w:hint="default"/>
        </w:rPr>
        <w:t>IBM </w:t>
      </w:r>
      <w:r>
        <w:rPr/>
        <w:t>和</w:t>
      </w:r>
      <w:r>
        <w:rPr>
          <w:spacing w:val="-71"/>
        </w:rPr>
        <w:t> </w:t>
      </w:r>
      <w:r>
        <w:rPr>
          <w:rFonts w:ascii="Times New Roman" w:hAnsi="Times New Roman" w:cs="Times New Roman" w:eastAsia="Times New Roman" w:hint="default"/>
        </w:rPr>
        <w:t>HP</w:t>
      </w:r>
      <w:r>
        <w:rPr/>
        <w:t>，</w:t>
      </w:r>
      <w:r>
        <w:rPr>
          <w:w w:val="99"/>
        </w:rPr>
        <w:t> </w:t>
      </w:r>
      <w:r>
        <w:rPr>
          <w:spacing w:val="2"/>
        </w:rPr>
        <w:t>却出现了大规模裁员的情况。同时，从国内环境来说，自</w:t>
      </w:r>
      <w:r>
        <w:rPr>
          <w:rFonts w:ascii="Times New Roman" w:hAnsi="Times New Roman" w:cs="Times New Roman" w:eastAsia="Times New Roman" w:hint="default"/>
          <w:spacing w:val="2"/>
        </w:rPr>
        <w:t>“</w:t>
      </w:r>
      <w:r>
        <w:rPr>
          <w:spacing w:val="2"/>
        </w:rPr>
        <w:t>棱镜门</w:t>
      </w:r>
      <w:r>
        <w:rPr>
          <w:rFonts w:ascii="Times New Roman" w:hAnsi="Times New Roman" w:cs="Times New Roman" w:eastAsia="Times New Roman" w:hint="default"/>
          <w:spacing w:val="2"/>
        </w:rPr>
        <w:t>”</w:t>
      </w:r>
      <w:r>
        <w:rPr>
          <w:spacing w:val="2"/>
        </w:rPr>
        <w:t>事件以来，</w:t>
      </w:r>
      <w:r>
        <w:rPr>
          <w:w w:val="99"/>
        </w:rPr>
        <w:t> </w:t>
      </w:r>
      <w:r>
        <w:rPr/>
        <w:t>国内各级政府都逐步落实</w:t>
      </w:r>
      <w:r>
        <w:rPr>
          <w:rFonts w:ascii="Times New Roman" w:hAnsi="Times New Roman" w:cs="Times New Roman" w:eastAsia="Times New Roman" w:hint="default"/>
        </w:rPr>
        <w:t>“</w:t>
      </w:r>
      <w:r>
        <w:rPr/>
        <w:t>去</w:t>
      </w:r>
      <w:r>
        <w:rPr>
          <w:spacing w:val="-13"/>
        </w:rPr>
        <w:t> </w:t>
      </w:r>
      <w:r>
        <w:rPr>
          <w:rFonts w:ascii="Times New Roman" w:hAnsi="Times New Roman" w:cs="Times New Roman" w:eastAsia="Times New Roman" w:hint="default"/>
        </w:rPr>
        <w:t>IOE”</w:t>
      </w:r>
      <w:r>
        <w:rPr/>
        <w:t>，以安全自主可控为先，再加上本届政府提</w:t>
      </w:r>
      <w:r>
        <w:rPr>
          <w:w w:val="99"/>
        </w:rPr>
        <w:t> </w:t>
      </w:r>
      <w:r>
        <w:rPr/>
        <w:t>倡互联网</w:t>
      </w:r>
      <w:r>
        <w:rPr>
          <w:rFonts w:ascii="Times New Roman" w:hAnsi="Times New Roman" w:cs="Times New Roman" w:eastAsia="Times New Roman" w:hint="default"/>
        </w:rPr>
        <w:t>+</w:t>
      </w:r>
      <w:r>
        <w:rPr/>
        <w:t>，使得国内一些以新技术和新商业模式为核心的公司迅速成长起来。</w:t>
      </w:r>
      <w:r>
        <w:rPr>
          <w:w w:val="99"/>
        </w:rPr>
        <w:t> </w:t>
      </w:r>
      <w:r>
        <w:rPr>
          <w:rFonts w:ascii="Times New Roman" w:hAnsi="Times New Roman" w:cs="Times New Roman" w:eastAsia="Times New Roman" w:hint="default"/>
        </w:rPr>
        <w:t>IT </w:t>
      </w:r>
      <w:r>
        <w:rPr/>
        <w:t>技术的发展日新月异，如何能够紧紧跟随甚至创造潮流成为 </w:t>
      </w:r>
      <w:r>
        <w:rPr>
          <w:rFonts w:ascii="Times New Roman" w:hAnsi="Times New Roman" w:cs="Times New Roman" w:eastAsia="Times New Roman" w:hint="default"/>
        </w:rPr>
        <w:t>IT</w:t>
      </w:r>
      <w:r>
        <w:rPr>
          <w:rFonts w:ascii="Times New Roman" w:hAnsi="Times New Roman" w:cs="Times New Roman" w:eastAsia="Times New Roman" w:hint="default"/>
          <w:spacing w:val="-24"/>
        </w:rPr>
        <w:t> </w:t>
      </w:r>
      <w:r>
        <w:rPr/>
        <w:t>公司永恒的</w:t>
      </w:r>
      <w:r>
        <w:rPr>
          <w:w w:val="99"/>
        </w:rPr>
        <w:t> </w:t>
      </w:r>
      <w:r>
        <w:rPr>
          <w:spacing w:val="-3"/>
        </w:rPr>
        <w:t>课题，不能赶上潮流就会陷于被动甚至被淘汰。天玑科技作为数据中心</w:t>
      </w:r>
      <w:r>
        <w:rPr>
          <w:spacing w:val="-65"/>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基础</w:t>
      </w:r>
      <w:r>
        <w:rPr>
          <w:spacing w:val="-131"/>
        </w:rPr>
        <w:t> </w:t>
      </w:r>
      <w:r>
        <w:rPr/>
        <w:t>设施服务行业中的知名企业，将面临市场转型所带来的竞争和巨大挑战。</w:t>
      </w:r>
      <w:r>
        <w:rPr>
          <w:b w:val="0"/>
          <w:bCs w:val="0"/>
        </w:rPr>
      </w:r>
    </w:p>
    <w:p>
      <w:pPr>
        <w:pStyle w:val="Heading2"/>
        <w:tabs>
          <w:tab w:pos="1412" w:val="left" w:leader="none"/>
        </w:tabs>
        <w:spacing w:line="446" w:lineRule="auto" w:before="187"/>
        <w:ind w:left="704" w:right="249" w:firstLine="9"/>
        <w:jc w:val="left"/>
        <w:rPr>
          <w:b w:val="0"/>
          <w:bCs w:val="0"/>
        </w:rPr>
      </w:pPr>
      <w:r>
        <w:rPr>
          <w:rFonts w:ascii="Times New Roman" w:hAnsi="Times New Roman" w:cs="Times New Roman" w:eastAsia="Times New Roman" w:hint="default"/>
          <w:spacing w:val="-1"/>
        </w:rPr>
        <w:t>2</w:t>
      </w:r>
      <w:r>
        <w:rPr>
          <w:spacing w:val="-1"/>
        </w:rPr>
        <w:t>、</w:t>
        <w:tab/>
      </w:r>
      <w:r>
        <w:rPr/>
        <w:t>毛利率波动的风险</w:t>
      </w:r>
      <w:r>
        <w:rPr>
          <w:w w:val="99"/>
        </w:rPr>
        <w:t> </w:t>
      </w:r>
      <w:r>
        <w:rPr>
          <w:spacing w:val="2"/>
        </w:rPr>
        <w:t>由于天玑科技为技术和人员密集型企业，劳动力成本的不断上升，导致毛</w:t>
      </w:r>
      <w:r>
        <w:rPr>
          <w:b w:val="0"/>
          <w:bCs w:val="0"/>
        </w:rPr>
      </w:r>
    </w:p>
    <w:p>
      <w:pPr>
        <w:spacing w:after="0" w:line="446" w:lineRule="auto"/>
        <w:jc w:val="left"/>
        <w:sectPr>
          <w:footerReference w:type="default" r:id="rId7"/>
          <w:pgSz w:w="11910" w:h="16840"/>
          <w:pgMar w:footer="982" w:header="745" w:top="1060" w:bottom="1180" w:left="980" w:right="8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9"/>
          <w:szCs w:val="29"/>
        </w:rPr>
      </w:pPr>
    </w:p>
    <w:p>
      <w:pPr>
        <w:pStyle w:val="Heading2"/>
        <w:spacing w:line="408" w:lineRule="auto" w:before="14"/>
        <w:ind w:right="255"/>
        <w:jc w:val="both"/>
        <w:rPr>
          <w:b w:val="0"/>
          <w:bCs w:val="0"/>
        </w:rPr>
      </w:pPr>
      <w:r>
        <w:rPr>
          <w:spacing w:val="2"/>
        </w:rPr>
        <w:t>利率下降。同时，随着市场环境的影响，公司备品备件成本出现波动，亦导致</w:t>
      </w:r>
      <w:r>
        <w:rPr>
          <w:spacing w:val="2"/>
          <w:w w:val="99"/>
        </w:rPr>
        <w:t> </w:t>
      </w:r>
      <w:r>
        <w:rPr>
          <w:spacing w:val="2"/>
        </w:rPr>
        <w:t>毛利率的波动。此外，公司创新型业务的拓展，也将导致毛利率的变化。其他</w:t>
      </w:r>
      <w:r>
        <w:rPr>
          <w:spacing w:val="2"/>
          <w:w w:val="99"/>
        </w:rPr>
        <w:t> </w:t>
      </w:r>
      <w:r>
        <w:rPr>
          <w:spacing w:val="2"/>
        </w:rPr>
        <w:t>方面，诸如客户结构、公司经营的地区范围、竞争态势的变化，亦将导致毛利</w:t>
      </w:r>
      <w:r>
        <w:rPr>
          <w:spacing w:val="2"/>
          <w:w w:val="99"/>
        </w:rPr>
        <w:t> </w:t>
      </w:r>
      <w:r>
        <w:rPr/>
        <w:t>率产生波动。</w:t>
      </w:r>
      <w:r>
        <w:rPr>
          <w:b w:val="0"/>
          <w:bCs w:val="0"/>
        </w:rPr>
      </w:r>
    </w:p>
    <w:p>
      <w:pPr>
        <w:pStyle w:val="Heading2"/>
        <w:tabs>
          <w:tab w:pos="1412" w:val="left" w:leader="none"/>
        </w:tabs>
        <w:spacing w:line="446" w:lineRule="auto" w:before="162"/>
        <w:ind w:left="704" w:right="249" w:firstLine="9"/>
        <w:jc w:val="left"/>
        <w:rPr>
          <w:b w:val="0"/>
          <w:bCs w:val="0"/>
        </w:rPr>
      </w:pPr>
      <w:r>
        <w:rPr>
          <w:rFonts w:ascii="Times New Roman" w:hAnsi="Times New Roman" w:cs="Times New Roman" w:eastAsia="Times New Roman" w:hint="default"/>
          <w:spacing w:val="-1"/>
        </w:rPr>
        <w:t>3</w:t>
      </w:r>
      <w:r>
        <w:rPr>
          <w:spacing w:val="-1"/>
        </w:rPr>
        <w:t>、</w:t>
        <w:tab/>
      </w:r>
      <w:r>
        <w:rPr/>
        <w:t>战略转型的管理风险</w:t>
      </w:r>
      <w:r>
        <w:rPr>
          <w:w w:val="99"/>
        </w:rPr>
        <w:t> </w:t>
      </w:r>
      <w:r>
        <w:rPr>
          <w:spacing w:val="2"/>
        </w:rPr>
        <w:t>公司自成立以来一直保持着较快的发展速度，近年来为适应市场的发展变</w:t>
      </w:r>
      <w:r>
        <w:rPr>
          <w:b w:val="0"/>
          <w:bCs w:val="0"/>
        </w:rPr>
      </w:r>
    </w:p>
    <w:p>
      <w:pPr>
        <w:pStyle w:val="Heading2"/>
        <w:spacing w:line="408" w:lineRule="auto" w:before="16"/>
        <w:ind w:right="106"/>
        <w:jc w:val="left"/>
        <w:rPr>
          <w:b w:val="0"/>
          <w:bCs w:val="0"/>
        </w:rPr>
      </w:pPr>
      <w:r>
        <w:rPr>
          <w:spacing w:val="2"/>
        </w:rPr>
        <w:t>化公司进行了战略转型，战略转型过程中随着公司经营规模和业务范围不断扩</w:t>
      </w:r>
      <w:r>
        <w:rPr>
          <w:spacing w:val="2"/>
          <w:w w:val="99"/>
        </w:rPr>
        <w:t> </w:t>
      </w:r>
      <w:r>
        <w:rPr>
          <w:spacing w:val="2"/>
        </w:rPr>
        <w:t>大，公司产品线的延伸，组织结构日益复杂，对公司管理的要求越来越高，公</w:t>
      </w:r>
      <w:r>
        <w:rPr>
          <w:spacing w:val="2"/>
          <w:w w:val="99"/>
        </w:rPr>
        <w:t> </w:t>
      </w:r>
      <w:r>
        <w:rPr>
          <w:spacing w:val="-2"/>
        </w:rPr>
        <w:t>司的人员也有较大规模的扩充。这些变化对公司的管理提出更新、更高的要求。</w:t>
      </w:r>
      <w:r>
        <w:rPr>
          <w:spacing w:val="-130"/>
        </w:rPr>
        <w:t> </w:t>
      </w:r>
      <w:r>
        <w:rPr>
          <w:spacing w:val="-130"/>
        </w:rPr>
      </w:r>
      <w:r>
        <w:rPr>
          <w:spacing w:val="2"/>
        </w:rPr>
        <w:t>虽然公司的管理层在经营和管理快速成长的企业方面有着丰富的经验，但仍需</w:t>
      </w:r>
      <w:r>
        <w:rPr>
          <w:spacing w:val="2"/>
          <w:w w:val="99"/>
        </w:rPr>
        <w:t> </w:t>
      </w:r>
      <w:r>
        <w:rPr/>
        <w:t>不断调整以适应资本市场要求和公司业务发展需要。</w:t>
      </w:r>
      <w:r>
        <w:rPr>
          <w:b w:val="0"/>
          <w:bCs w:val="0"/>
        </w:rPr>
      </w:r>
    </w:p>
    <w:p>
      <w:pPr>
        <w:pStyle w:val="Heading2"/>
        <w:tabs>
          <w:tab w:pos="1412" w:val="left" w:leader="none"/>
        </w:tabs>
        <w:spacing w:line="448" w:lineRule="auto" w:before="162"/>
        <w:ind w:left="704" w:right="248" w:firstLine="9"/>
        <w:jc w:val="left"/>
        <w:rPr>
          <w:b w:val="0"/>
          <w:bCs w:val="0"/>
        </w:rPr>
      </w:pPr>
      <w:r>
        <w:rPr>
          <w:rFonts w:ascii="Times New Roman" w:hAnsi="Times New Roman" w:cs="Times New Roman" w:eastAsia="Times New Roman" w:hint="default"/>
          <w:spacing w:val="-1"/>
        </w:rPr>
        <w:t>4</w:t>
      </w:r>
      <w:r>
        <w:rPr>
          <w:spacing w:val="-1"/>
        </w:rPr>
        <w:t>、</w:t>
        <w:tab/>
      </w:r>
      <w:r>
        <w:rPr/>
        <w:t>应收账款增加风险</w:t>
      </w:r>
      <w:r>
        <w:rPr>
          <w:w w:val="99"/>
        </w:rPr>
        <w:t> </w:t>
      </w:r>
      <w:r>
        <w:rPr>
          <w:spacing w:val="2"/>
        </w:rPr>
        <w:t>应收账款较大的原因是公司按照与客户之间的合同确认相应的应收账款，</w:t>
      </w:r>
      <w:r>
        <w:rPr>
          <w:b w:val="0"/>
          <w:bCs w:val="0"/>
        </w:rPr>
      </w:r>
    </w:p>
    <w:p>
      <w:pPr>
        <w:pStyle w:val="Heading2"/>
        <w:spacing w:line="408" w:lineRule="auto" w:before="14"/>
        <w:ind w:right="255"/>
        <w:jc w:val="both"/>
        <w:rPr>
          <w:b w:val="0"/>
          <w:bCs w:val="0"/>
        </w:rPr>
      </w:pPr>
      <w:r>
        <w:rPr>
          <w:spacing w:val="2"/>
        </w:rPr>
        <w:t>结算与回款存在时间差，导致公司应收账款金额和占比均较大，公司按照既定</w:t>
      </w:r>
      <w:r>
        <w:rPr>
          <w:spacing w:val="2"/>
          <w:w w:val="99"/>
        </w:rPr>
        <w:t> </w:t>
      </w:r>
      <w:r>
        <w:rPr>
          <w:spacing w:val="2"/>
        </w:rPr>
        <w:t>会计政策在期末对应收账款计提了相应的坏账准备。虽然应收账款余额较大，</w:t>
      </w:r>
      <w:r>
        <w:rPr>
          <w:spacing w:val="2"/>
          <w:w w:val="99"/>
        </w:rPr>
        <w:t> </w:t>
      </w:r>
      <w:r>
        <w:rPr>
          <w:spacing w:val="2"/>
        </w:rPr>
        <w:t>但公司客户一般是省级运营商、政府部门、资金实力较好的金融等企业等，资</w:t>
      </w:r>
      <w:r>
        <w:rPr>
          <w:spacing w:val="2"/>
          <w:w w:val="99"/>
        </w:rPr>
        <w:t> </w:t>
      </w:r>
      <w:r>
        <w:rPr>
          <w:spacing w:val="2"/>
        </w:rPr>
        <w:t>金回收保障较高，应收账款发生坏账的风险较小。但是，随着应收账款余额的</w:t>
      </w:r>
      <w:r>
        <w:rPr>
          <w:spacing w:val="2"/>
          <w:w w:val="99"/>
        </w:rPr>
        <w:t> </w:t>
      </w:r>
      <w:r>
        <w:rPr>
          <w:spacing w:val="2"/>
        </w:rPr>
        <w:t>增长，并不排除个别项目在未来可能出现呆坏账金额大于已计提坏账准备的情</w:t>
      </w:r>
      <w:r>
        <w:rPr>
          <w:spacing w:val="2"/>
          <w:w w:val="99"/>
        </w:rPr>
        <w:t> </w:t>
      </w:r>
      <w:r>
        <w:rPr/>
        <w:t>况，对公司盈利水平造成不利影响。</w:t>
      </w:r>
      <w:r>
        <w:rPr>
          <w:b w:val="0"/>
          <w:bCs w:val="0"/>
        </w:rPr>
      </w:r>
    </w:p>
    <w:p>
      <w:pPr>
        <w:pStyle w:val="Heading2"/>
        <w:spacing w:line="240" w:lineRule="auto" w:before="160"/>
        <w:ind w:left="714" w:right="102"/>
        <w:jc w:val="left"/>
        <w:rPr>
          <w:b w:val="0"/>
          <w:bCs w:val="0"/>
        </w:rPr>
      </w:pPr>
      <w:r>
        <w:rPr>
          <w:spacing w:val="-3"/>
        </w:rPr>
        <w:t>公司经本次董事会审议通过的利润分配预案为：拟以公司</w:t>
      </w:r>
      <w:r>
        <w:rPr>
          <w:spacing w:val="-68"/>
        </w:rPr>
        <w:t> </w:t>
      </w:r>
      <w:r>
        <w:rPr>
          <w:rFonts w:ascii="Times New Roman" w:hAnsi="Times New Roman" w:cs="Times New Roman" w:eastAsia="Times New Roman" w:hint="default"/>
        </w:rPr>
        <w:t>2016 </w:t>
      </w:r>
      <w:r>
        <w:rPr/>
        <w:t>年</w:t>
      </w:r>
      <w:r>
        <w:rPr>
          <w:spacing w:val="-68"/>
        </w:rPr>
        <w:t> </w:t>
      </w:r>
      <w:r>
        <w:rPr>
          <w:rFonts w:ascii="Times New Roman" w:hAnsi="Times New Roman" w:cs="Times New Roman" w:eastAsia="Times New Roman" w:hint="default"/>
        </w:rPr>
        <w:t>3 </w:t>
      </w:r>
      <w:r>
        <w:rPr/>
        <w:t>月</w:t>
      </w:r>
      <w:r>
        <w:rPr>
          <w:spacing w:val="-68"/>
        </w:rPr>
        <w:t> </w:t>
      </w:r>
      <w:r>
        <w:rPr>
          <w:rFonts w:ascii="Times New Roman" w:hAnsi="Times New Roman" w:cs="Times New Roman" w:eastAsia="Times New Roman" w:hint="default"/>
        </w:rPr>
        <w:t>9 </w:t>
      </w:r>
      <w:r>
        <w:rPr/>
        <w:t>日</w:t>
      </w:r>
      <w:r>
        <w:rPr>
          <w:b w:val="0"/>
          <w:bCs w:val="0"/>
        </w:rPr>
      </w:r>
    </w:p>
    <w:p>
      <w:pPr>
        <w:pStyle w:val="Heading2"/>
        <w:spacing w:line="240" w:lineRule="auto" w:before="236"/>
        <w:ind w:right="0"/>
        <w:jc w:val="both"/>
        <w:rPr>
          <w:b w:val="0"/>
          <w:bCs w:val="0"/>
        </w:rPr>
      </w:pPr>
      <w:r>
        <w:rPr/>
        <w:t>总股本</w:t>
      </w:r>
      <w:r>
        <w:rPr>
          <w:spacing w:val="-60"/>
        </w:rPr>
        <w:t> </w:t>
      </w:r>
      <w:r>
        <w:rPr>
          <w:rFonts w:ascii="Times New Roman" w:hAnsi="Times New Roman" w:cs="Times New Roman" w:eastAsia="Times New Roman" w:hint="default"/>
        </w:rPr>
        <w:t>272,216,295</w:t>
      </w:r>
      <w:r>
        <w:rPr>
          <w:rFonts w:ascii="Times New Roman" w:hAnsi="Times New Roman" w:cs="Times New Roman" w:eastAsia="Times New Roman" w:hint="default"/>
          <w:spacing w:val="8"/>
        </w:rPr>
        <w:t> </w:t>
      </w:r>
      <w:r>
        <w:rPr/>
        <w:t>股扣除经</w:t>
      </w:r>
      <w:r>
        <w:rPr>
          <w:spacing w:val="-6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t>年</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62"/>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日召开的第三届董事会第三董事会</w:t>
      </w:r>
      <w:r>
        <w:rPr>
          <w:b w:val="0"/>
          <w:bCs w:val="0"/>
        </w:rPr>
      </w:r>
    </w:p>
    <w:p>
      <w:pPr>
        <w:spacing w:after="0" w:line="240" w:lineRule="auto"/>
        <w:jc w:val="both"/>
        <w:sectPr>
          <w:pgSz w:w="11910" w:h="16840"/>
          <w:pgMar w:header="745" w:footer="982" w:top="1060" w:bottom="1180" w:left="980" w:right="88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pStyle w:val="Heading2"/>
        <w:spacing w:line="240" w:lineRule="auto" w:before="14"/>
        <w:ind w:right="0"/>
        <w:jc w:val="left"/>
        <w:rPr>
          <w:b w:val="0"/>
          <w:bCs w:val="0"/>
        </w:rPr>
      </w:pPr>
      <w:r>
        <w:rPr/>
        <w:t>审议通过的拟回购注销的限制性股票</w:t>
      </w:r>
      <w:r>
        <w:rPr>
          <w:spacing w:val="-52"/>
        </w:rPr>
        <w:t> </w:t>
      </w:r>
      <w:r>
        <w:rPr>
          <w:rFonts w:ascii="Times New Roman" w:hAnsi="Times New Roman" w:cs="Times New Roman" w:eastAsia="Times New Roman" w:hint="default"/>
        </w:rPr>
        <w:t>4,270,500</w:t>
      </w:r>
      <w:r>
        <w:rPr>
          <w:rFonts w:ascii="Times New Roman" w:hAnsi="Times New Roman" w:cs="Times New Roman" w:eastAsia="Times New Roman" w:hint="default"/>
          <w:spacing w:val="20"/>
        </w:rPr>
        <w:t> </w:t>
      </w:r>
      <w:r>
        <w:rPr/>
        <w:t>股后的股本</w:t>
      </w:r>
      <w:r>
        <w:rPr>
          <w:spacing w:val="-52"/>
        </w:rPr>
        <w:t> </w:t>
      </w:r>
      <w:r>
        <w:rPr>
          <w:rFonts w:ascii="Times New Roman" w:hAnsi="Times New Roman" w:cs="Times New Roman" w:eastAsia="Times New Roman" w:hint="default"/>
        </w:rPr>
        <w:t>267,945,795</w:t>
      </w:r>
      <w:r>
        <w:rPr>
          <w:rFonts w:ascii="Times New Roman" w:hAnsi="Times New Roman" w:cs="Times New Roman" w:eastAsia="Times New Roman" w:hint="default"/>
          <w:spacing w:val="18"/>
        </w:rPr>
        <w:t> </w:t>
      </w:r>
      <w:r>
        <w:rPr/>
        <w:t>股为基</w:t>
      </w:r>
      <w:r>
        <w:rPr>
          <w:b w:val="0"/>
          <w:bCs w:val="0"/>
        </w:rPr>
      </w:r>
    </w:p>
    <w:p>
      <w:pPr>
        <w:pStyle w:val="Heading2"/>
        <w:spacing w:line="240" w:lineRule="auto" w:before="236"/>
        <w:ind w:right="0"/>
        <w:jc w:val="left"/>
        <w:rPr>
          <w:b w:val="0"/>
          <w:bCs w:val="0"/>
        </w:rPr>
      </w:pPr>
      <w:r>
        <w:rPr>
          <w:spacing w:val="2"/>
          <w:w w:val="99"/>
        </w:rPr>
        <w:t>数</w:t>
      </w:r>
      <w:r>
        <w:rPr>
          <w:spacing w:val="-27"/>
          <w:w w:val="99"/>
        </w:rPr>
        <w:t>，</w:t>
      </w:r>
      <w:r>
        <w:rPr>
          <w:w w:val="99"/>
        </w:rPr>
        <w:t>向全体股</w:t>
      </w:r>
      <w:r>
        <w:rPr>
          <w:spacing w:val="2"/>
          <w:w w:val="99"/>
        </w:rPr>
        <w:t>东</w:t>
      </w:r>
      <w:r>
        <w:rPr>
          <w:w w:val="99"/>
        </w:rPr>
        <w:t>每</w:t>
      </w:r>
      <w:r>
        <w:rPr>
          <w:spacing w:val="-72"/>
        </w:rPr>
        <w:t> </w:t>
      </w:r>
      <w:r>
        <w:rPr>
          <w:rFonts w:ascii="Times New Roman" w:hAnsi="Times New Roman" w:cs="Times New Roman" w:eastAsia="Times New Roman" w:hint="default"/>
          <w:spacing w:val="-2"/>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w w:val="99"/>
        </w:rPr>
        <w:t>股派发现金</w:t>
      </w:r>
      <w:r>
        <w:rPr>
          <w:spacing w:val="2"/>
          <w:w w:val="99"/>
        </w:rPr>
        <w:t>红</w:t>
      </w:r>
      <w:r>
        <w:rPr>
          <w:w w:val="99"/>
        </w:rPr>
        <w:t>利</w:t>
      </w:r>
      <w:r>
        <w:rPr>
          <w:spacing w:val="-72"/>
        </w:rPr>
        <w:t> </w:t>
      </w:r>
      <w:r>
        <w:rPr>
          <w:rFonts w:ascii="Times New Roman" w:hAnsi="Times New Roman" w:cs="Times New Roman" w:eastAsia="Times New Roman" w:hint="default"/>
          <w:spacing w:val="-2"/>
          <w:w w:val="100"/>
        </w:rPr>
        <w:t>0</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1"/>
          <w:w w:val="100"/>
        </w:rPr>
        <w:t>3</w:t>
      </w:r>
      <w:r>
        <w:rPr>
          <w:rFonts w:ascii="Times New Roman" w:hAnsi="Times New Roman" w:cs="Times New Roman" w:eastAsia="Times New Roman" w:hint="default"/>
          <w:w w:val="100"/>
        </w:rPr>
        <w:t>5</w:t>
      </w:r>
      <w:r>
        <w:rPr>
          <w:rFonts w:ascii="Times New Roman" w:hAnsi="Times New Roman" w:cs="Times New Roman" w:eastAsia="Times New Roman" w:hint="default"/>
          <w:spacing w:val="-2"/>
        </w:rPr>
        <w:t> </w:t>
      </w:r>
      <w:r>
        <w:rPr>
          <w:spacing w:val="-25"/>
          <w:w w:val="99"/>
        </w:rPr>
        <w:t>元</w:t>
      </w:r>
      <w:r>
        <w:rPr>
          <w:w w:val="99"/>
        </w:rPr>
        <w:t>（含</w:t>
      </w:r>
      <w:r>
        <w:rPr>
          <w:spacing w:val="2"/>
          <w:w w:val="99"/>
        </w:rPr>
        <w:t>税</w:t>
      </w:r>
      <w:r>
        <w:rPr>
          <w:spacing w:val="-142"/>
          <w:w w:val="99"/>
        </w:rPr>
        <w:t>）</w:t>
      </w:r>
      <w:r>
        <w:rPr>
          <w:spacing w:val="-27"/>
          <w:w w:val="99"/>
        </w:rPr>
        <w:t>，</w:t>
      </w:r>
      <w:r>
        <w:rPr>
          <w:w w:val="99"/>
        </w:rPr>
        <w:t>送</w:t>
      </w:r>
      <w:r>
        <w:rPr>
          <w:spacing w:val="2"/>
          <w:w w:val="99"/>
        </w:rPr>
        <w:t>红</w:t>
      </w:r>
      <w:r>
        <w:rPr>
          <w:w w:val="99"/>
        </w:rPr>
        <w:t>股</w:t>
      </w:r>
      <w:r>
        <w:rPr>
          <w:spacing w:val="-72"/>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2"/>
        </w:rPr>
        <w:t> </w:t>
      </w:r>
      <w:r>
        <w:rPr>
          <w:spacing w:val="-25"/>
          <w:w w:val="99"/>
        </w:rPr>
        <w:t>股</w:t>
      </w:r>
      <w:r>
        <w:rPr>
          <w:w w:val="99"/>
        </w:rPr>
        <w:t>（含</w:t>
      </w:r>
      <w:r>
        <w:rPr>
          <w:spacing w:val="2"/>
          <w:w w:val="99"/>
        </w:rPr>
        <w:t>税</w:t>
      </w:r>
      <w:r>
        <w:rPr>
          <w:spacing w:val="-142"/>
          <w:w w:val="99"/>
        </w:rPr>
        <w:t>）</w:t>
      </w:r>
      <w:r>
        <w:rPr>
          <w:spacing w:val="-27"/>
          <w:w w:val="99"/>
        </w:rPr>
        <w:t>，</w:t>
      </w:r>
      <w:r>
        <w:rPr>
          <w:w w:val="99"/>
        </w:rPr>
        <w:t>以</w:t>
      </w:r>
      <w:r>
        <w:rPr>
          <w:b w:val="0"/>
          <w:bCs w:val="0"/>
        </w:rPr>
      </w:r>
    </w:p>
    <w:p>
      <w:pPr>
        <w:pStyle w:val="Heading2"/>
        <w:spacing w:line="240" w:lineRule="auto" w:before="236"/>
        <w:ind w:right="0"/>
        <w:jc w:val="left"/>
        <w:rPr>
          <w:b w:val="0"/>
          <w:bCs w:val="0"/>
        </w:rPr>
      </w:pPr>
      <w:r>
        <w:rPr/>
        <w:t>资本公积金向全体股东每</w:t>
      </w:r>
      <w:r>
        <w:rPr>
          <w:spacing w:val="-7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股转增</w:t>
      </w:r>
      <w:r>
        <w:rPr>
          <w:spacing w:val="-70"/>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股。</w:t>
      </w:r>
      <w:r>
        <w:rPr>
          <w:b w:val="0"/>
          <w:bCs w:val="0"/>
        </w:rPr>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4"/>
        <w:ind w:left="2784" w:right="278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w:t>
            </w:r>
            <w:r>
              <w:rPr>
                <w:spacing w:val="-19"/>
              </w:rPr>
              <w:t> </w:t>
            </w:r>
            <w:r>
              <w:rPr/>
              <w:t>重要提示、目录和释义</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9"/>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9"/>
              </w:rPr>
              <w:t> </w:t>
            </w:r>
            <w:r>
              <w:rPr/>
              <w:t>公司业务概要</w:t>
            </w:r>
            <w:r>
              <w:rPr>
                <w:rFonts w:ascii="Times New Roman" w:hAnsi="Times New Roman" w:cs="Times New Roman" w:eastAsia="Times New Roman" w:hint="default"/>
              </w:rPr>
              <w:tab/>
              <w:t>16</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9"/>
              </w:rPr>
              <w:t> </w:t>
            </w:r>
            <w:r>
              <w:rPr/>
              <w:t>管理层讨论与分析</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9"/>
              </w:rPr>
              <w:t> </w:t>
            </w:r>
            <w:r>
              <w:rPr/>
              <w:t>重要事项</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9"/>
              </w:rPr>
              <w:t> </w:t>
            </w:r>
            <w:r>
              <w:rPr/>
              <w:t>股份变动及股东情况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9"/>
              </w:rPr>
              <w:t> </w:t>
            </w:r>
            <w:r>
              <w:rPr/>
              <w:t>优先股相关情况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第八节</w:t>
            </w:r>
            <w:r>
              <w:rPr>
                <w:spacing w:val="-19"/>
              </w:rPr>
              <w:t> </w:t>
            </w:r>
            <w:r>
              <w:rPr/>
              <w:t>董事、监事、高级管理人员和员工情况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19"/>
              </w:rPr>
              <w:t> </w:t>
            </w:r>
            <w:r>
              <w:rPr/>
              <w:t>公司治理</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9"/>
              </w:rPr>
              <w:t> </w:t>
            </w:r>
            <w:r>
              <w:rPr/>
              <w:t>财务报告</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19"/>
              </w:rPr>
              <w:t> </w:t>
            </w:r>
            <w:r>
              <w:rPr/>
              <w:t>备查文件目录</w:t>
            </w:r>
            <w:r>
              <w:rPr>
                <w:rFonts w:ascii="Times New Roman" w:hAnsi="Times New Roman" w:cs="Times New Roman" w:eastAsia="Times New Roman" w:hint="default"/>
              </w:rPr>
              <w:tab/>
              <w:t>187</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82" w:top="1060" w:bottom="1180" w:left="980" w:right="980"/>
        </w:sectPr>
      </w:pPr>
    </w:p>
    <w:p>
      <w:pPr>
        <w:spacing w:before="944"/>
        <w:ind w:left="2782" w:right="278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5"/>
        <w:gridCol w:w="599"/>
        <w:gridCol w:w="5435"/>
      </w:tblGrid>
      <w:tr>
        <w:trPr>
          <w:trHeight w:val="403" w:hRule="exact"/>
        </w:trPr>
        <w:tc>
          <w:tcPr>
            <w:tcW w:w="35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天玑科技</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力克数码</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上海力克数码科技有限公司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系公司全资子公司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领卓咨询</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上海领卓企业管理咨询有限公司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系公司全资子公司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极品数据</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TOP Data</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rPr>
              <w:t>Systems,Inc,</w:t>
            </w:r>
            <w:r>
              <w:rPr>
                <w:rFonts w:ascii="宋体" w:hAnsi="宋体" w:cs="宋体" w:eastAsia="宋体" w:hint="default"/>
                <w:sz w:val="18"/>
                <w:szCs w:val="18"/>
              </w:rPr>
              <w:t>极品数据系统公司</w:t>
            </w:r>
            <w:r>
              <w:rPr>
                <w:rFonts w:ascii="Times New Roman" w:hAnsi="Times New Roman" w:cs="Times New Roman" w:eastAsia="Times New Roman" w:hint="default"/>
                <w:sz w:val="18"/>
                <w:szCs w:val="18"/>
              </w:rPr>
              <w:t>(</w:t>
            </w:r>
            <w:r>
              <w:rPr>
                <w:rFonts w:ascii="宋体" w:hAnsi="宋体" w:cs="宋体" w:eastAsia="宋体" w:hint="default"/>
                <w:sz w:val="18"/>
                <w:szCs w:val="18"/>
              </w:rPr>
              <w:t>美国</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系公司全资子公司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极品数据</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极品数据系统</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系公司全资子公司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复深蓝</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上海复深蓝信息技术有限公司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系公司控股子公司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天玑数据</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上海天玑数据技术有限公司，系公司控股子公司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力拓信息</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北京天玑力拓信息技术有限公司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系公司全资子公司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平民软件</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杭州平民软件有限公司，系公司控股子公司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卓之联</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上海卓之联信息科技有限公司，系控股子公司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缔塔科技</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上海缔塔科技有限公司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系控股子公司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广捷科技</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杭州广捷科技有限公司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系公司全资子公司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鸿昇科技</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杭州鸿昇科技有限公司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系公司全资子公司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杭州分公司</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上海天玑科技股份有限公司杭州分公司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北京分公司</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上海天玑科技股份有限公司北京分公司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武汉分公司</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上海天玑科技股份有限公司武汉分公司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济南分公司</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上海天玑科技股份有限公司济南分公司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沈阳分公司</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上海天玑科技股份有限公司沈阳分公司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广州分公司</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上海天玑科技股份有限公司广州分公司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南京分公司</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上海天玑科技股份有限公司南京分公司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成都分公司</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上海天玑科技股份有限公司成都分公司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深圳分公司</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上海天玑科技股份有限公司深圳分公司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上海天玑科技股份有限公司股东大会</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上海天玑科技股份有限公司董事会</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上海天玑科技股份有限公司监事会</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1" w:right="0"/>
        <w:jc w:val="left"/>
        <w:rPr>
          <w:b w:val="0"/>
          <w:bCs w:val="0"/>
        </w:rPr>
      </w:pPr>
      <w:bookmarkStart w:name="_TOC_250009" w:id="3"/>
      <w:bookmarkStart w:name="三、信息披露及备置地点" w:id="4"/>
      <w:r>
        <w:rPr>
          <w:b w:val="0"/>
          <w:bCs w:val="0"/>
        </w:rPr>
      </w:r>
      <w:bookmarkStart w:name="四、其他有关资料" w:id="5"/>
      <w:bookmarkEnd w:id="5"/>
      <w:r>
        <w:rPr>
          <w:b w:val="0"/>
          <w:bCs w:val="0"/>
        </w:rPr>
      </w:r>
      <w:bookmarkStart w:name="第二节 公司简介和主要财务指标" w:id="6"/>
      <w:bookmarkEnd w:id="6"/>
      <w:r>
        <w:rPr>
          <w:b w:val="0"/>
          <w:bCs w:val="0"/>
        </w:rPr>
      </w:r>
      <w:r>
        <w:rPr/>
        <w:t>第二节</w:t>
      </w:r>
      <w:r>
        <w:rPr>
          <w:spacing w:val="-6"/>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4"/>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64"/>
        <w:gridCol w:w="2143"/>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4"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3" w:right="0"/>
              <w:jc w:val="left"/>
              <w:rPr>
                <w:rFonts w:ascii="宋体" w:hAnsi="宋体" w:cs="宋体" w:eastAsia="宋体" w:hint="default"/>
                <w:sz w:val="18"/>
                <w:szCs w:val="18"/>
              </w:rPr>
            </w:pPr>
            <w:bookmarkStart w:name="一、公司信息" w:id="7"/>
            <w:bookmarkEnd w:id="7"/>
            <w:r>
              <w:rPr/>
            </w:r>
            <w:r>
              <w:rPr>
                <w:rFonts w:ascii="宋体" w:hAnsi="宋体" w:cs="宋体" w:eastAsia="宋体" w:hint="default"/>
                <w:sz w:val="18"/>
                <w:szCs w:val="18"/>
              </w:rPr>
              <w:t>天玑科技</w:t>
            </w:r>
          </w:p>
        </w:tc>
        <w:tc>
          <w:tcPr>
            <w:tcW w:w="21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300245</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天玑科技</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Shanghai DragonNet Technology</w:t>
            </w:r>
            <w:r>
              <w:rPr>
                <w:rFonts w:ascii="Times New Roman"/>
                <w:spacing w:val="-28"/>
                <w:sz w:val="18"/>
              </w:rPr>
              <w:t> </w:t>
            </w:r>
            <w:r>
              <w:rPr>
                <w:rFonts w:ascii="Times New Roman"/>
                <w:sz w:val="18"/>
              </w:rPr>
              <w:t>Co.,Ltd.</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陆文雄</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上海市青浦区清河湾路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201700</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上海市桂林路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200233</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8">
              <w:r>
                <w:rPr>
                  <w:rFonts w:ascii="Times New Roman"/>
                  <w:sz w:val="18"/>
                </w:rPr>
                <w:t>www.dnt.com.cn</w:t>
              </w:r>
            </w:hyperlink>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public@dnt.com.cn</w:t>
              </w:r>
            </w:hyperlink>
          </w:p>
        </w:tc>
      </w:tr>
    </w:tbl>
    <w:p>
      <w:pPr>
        <w:spacing w:line="240" w:lineRule="auto" w:before="1"/>
        <w:rPr>
          <w:rFonts w:ascii="宋体" w:hAnsi="宋体" w:cs="宋体" w:eastAsia="宋体" w:hint="default"/>
          <w:b/>
          <w:bCs/>
          <w:sz w:val="18"/>
          <w:szCs w:val="18"/>
        </w:rPr>
      </w:pPr>
    </w:p>
    <w:p>
      <w:pPr>
        <w:pStyle w:val="Heading4"/>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bookmarkStart w:name="二、联系人和联系方式" w:id="8"/>
            <w:bookmarkEnd w:id="8"/>
            <w:r>
              <w:rPr/>
            </w:r>
            <w:r>
              <w:rPr>
                <w:rFonts w:ascii="宋体" w:hAnsi="宋体" w:cs="宋体" w:eastAsia="宋体" w:hint="default"/>
                <w:sz w:val="18"/>
                <w:szCs w:val="18"/>
              </w:rPr>
              <w:t>证券事务代表</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陆廷洁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余美伊</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上海市桂林路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上海市桂林路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021-54278888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021-54278888</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021-23521380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021-23521380</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public@dnt.com.cn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public@dnt.com.cn</w:t>
              </w:r>
            </w:hyperlink>
          </w:p>
        </w:tc>
      </w:tr>
    </w:tbl>
    <w:p>
      <w:pPr>
        <w:spacing w:line="240" w:lineRule="auto" w:before="1"/>
        <w:rPr>
          <w:rFonts w:ascii="宋体" w:hAnsi="宋体" w:cs="宋体" w:eastAsia="宋体" w:hint="default"/>
          <w:b/>
          <w:bCs/>
          <w:sz w:val="18"/>
          <w:szCs w:val="18"/>
        </w:rPr>
      </w:pPr>
    </w:p>
    <w:p>
      <w:pPr>
        <w:pStyle w:val="Heading4"/>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0"/>
        <w:gridCol w:w="5578"/>
      </w:tblGrid>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上海市桂林路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bl>
    <w:p>
      <w:pPr>
        <w:spacing w:line="240" w:lineRule="auto" w:before="1"/>
        <w:rPr>
          <w:rFonts w:ascii="宋体" w:hAnsi="宋体" w:cs="宋体" w:eastAsia="宋体" w:hint="default"/>
          <w:b/>
          <w:bCs/>
          <w:sz w:val="18"/>
          <w:szCs w:val="18"/>
        </w:rPr>
      </w:pPr>
    </w:p>
    <w:p>
      <w:pPr>
        <w:pStyle w:val="Heading4"/>
        <w:spacing w:line="240" w:lineRule="auto" w:before="26"/>
        <w:ind w:right="0"/>
        <w:jc w:val="left"/>
        <w:rPr>
          <w:b w:val="0"/>
          <w:bCs w:val="0"/>
        </w:rPr>
      </w:pPr>
      <w:r>
        <w:rPr/>
        <w:t>四、其他有关资料</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0"/>
        <w:gridCol w:w="6918"/>
      </w:tblGrid>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50"/>
        <w:gridCol w:w="6918"/>
      </w:tblGrid>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朱育勤、张洪</w:t>
            </w:r>
          </w:p>
        </w:tc>
      </w:tr>
    </w:tbl>
    <w:p>
      <w:pPr>
        <w:spacing w:before="49"/>
        <w:ind w:left="152" w:right="0" w:firstLine="0"/>
        <w:jc w:val="left"/>
        <w:rPr>
          <w:rFonts w:ascii="宋体" w:hAnsi="宋体" w:cs="宋体" w:eastAsia="宋体" w:hint="default"/>
          <w:sz w:val="18"/>
          <w:szCs w:val="18"/>
        </w:rPr>
      </w:pPr>
      <w:bookmarkStart w:name="六、分季度主要财务指标" w:id="9"/>
      <w:bookmarkEnd w:id="9"/>
      <w:r>
        <w:rPr/>
      </w:r>
      <w:r>
        <w:rPr>
          <w:rFonts w:ascii="宋体" w:hAnsi="宋体" w:cs="宋体" w:eastAsia="宋体" w:hint="default"/>
          <w:sz w:val="18"/>
          <w:szCs w:val="18"/>
        </w:rPr>
        <w:t>公司聘请的报告期内履行持续督导职责的保荐机构</w:t>
      </w:r>
    </w:p>
    <w:p>
      <w:pPr>
        <w:spacing w:line="340" w:lineRule="auto" w:before="115"/>
        <w:ind w:left="152" w:right="581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公司聘请的报告期内履行持续督导职责的财务顾问</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r>
        <w:rPr/>
        <w:t>五、主要会计数据</w:t>
      </w:r>
      <w:bookmarkStart w:name="五、主要会计数据和财务指标" w:id="10"/>
      <w:bookmarkEnd w:id="10"/>
      <w:r>
        <w:rPr/>
        <w:t>和财</w:t>
      </w:r>
      <w:r>
        <w:rPr/>
        <w:t>务指标</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8"/>
        <w:gridCol w:w="1738"/>
        <w:gridCol w:w="1738"/>
        <w:gridCol w:w="1735"/>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394,995,623.83</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409,040,721.43</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344,940,078.15</w:t>
            </w:r>
            <w:r>
              <w:rPr>
                <w:rFonts w:ascii="Times New Roman"/>
                <w:sz w:val="18"/>
              </w:rPr>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45,302,096.37</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72,347,373.04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-37.38%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60,842,729.05</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35,614,528.14</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67,271,291.58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-47.06%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54,545,725.01</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33,971,725.75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53,950,374.82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-37.03%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44,687,282.48</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0.17</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0.27</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-37.04%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0.34</w:t>
            </w:r>
            <w:r>
              <w:rPr>
                <w:rFonts w:ascii="Times New Roman"/>
                <w:sz w:val="18"/>
              </w:rPr>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0.17</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0.27</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-37.04%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0.34</w:t>
            </w:r>
            <w:r>
              <w:rPr>
                <w:rFonts w:ascii="Times New Roman"/>
                <w:sz w:val="18"/>
              </w:rPr>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11.43%</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11.00%</w:t>
            </w:r>
            <w:r>
              <w:rPr>
                <w:rFonts w:ascii="Times New Roman"/>
                <w:sz w:val="18"/>
              </w:rPr>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815,914,970.23</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786,911,274.11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703,239,608.24</w:t>
            </w:r>
            <w:r>
              <w:rPr>
                <w:rFonts w:ascii="Times New Roman"/>
                <w:sz w:val="18"/>
              </w:rPr>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682,640,534.45</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670,164,967.15</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w:t>
            </w:r>
            <w:r>
              <w:rPr>
                <w:rFonts w:ascii="Times New Roman"/>
                <w:sz w:val="18"/>
              </w:rPr>
            </w:r>
          </w:p>
        </w:tc>
      </w:tr>
    </w:tbl>
    <w:p>
      <w:pPr>
        <w:spacing w:line="240" w:lineRule="auto" w:before="1"/>
        <w:rPr>
          <w:rFonts w:ascii="宋体" w:hAnsi="宋体" w:cs="宋体" w:eastAsia="宋体" w:hint="default"/>
          <w:sz w:val="18"/>
          <w:szCs w:val="18"/>
        </w:rPr>
      </w:pPr>
    </w:p>
    <w:p>
      <w:pPr>
        <w:pStyle w:val="Heading4"/>
        <w:spacing w:line="240" w:lineRule="auto" w:before="26"/>
        <w:ind w:right="0"/>
        <w:jc w:val="left"/>
        <w:rPr>
          <w:b w:val="0"/>
          <w:bCs w:val="0"/>
        </w:rPr>
      </w:pPr>
      <w:r>
        <w:rPr/>
        <w:t>六、分季度主要财务指标</w:t>
      </w:r>
      <w:r>
        <w:rPr>
          <w:b w:val="0"/>
          <w:bCs w:val="0"/>
        </w:rPr>
      </w:r>
    </w:p>
    <w:p>
      <w:pPr>
        <w:spacing w:line="240" w:lineRule="auto" w:before="1"/>
        <w:rPr>
          <w:rFonts w:ascii="宋体" w:hAnsi="宋体" w:cs="宋体" w:eastAsia="宋体" w:hint="default"/>
          <w:b/>
          <w:bCs/>
          <w:sz w:val="23"/>
          <w:szCs w:val="23"/>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92,365,019.75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101,073,756.78</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96,147,191.82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105,409,655.48</w:t>
            </w:r>
            <w:r>
              <w:rPr>
                <w:rFonts w:ascii="Times New Roman"/>
                <w:sz w:val="18"/>
              </w:rPr>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8,107,856.77</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18,211,065.72</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9,530,735.58</w:t>
            </w:r>
            <w:r>
              <w:rPr>
                <w:rFonts w:ascii="Times New Roman"/>
                <w:sz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9,452,438.30</w:t>
            </w:r>
            <w:r>
              <w:rPr>
                <w:rFonts w:ascii="Times New Roman"/>
                <w:sz w:val="18"/>
              </w:rPr>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8,025,356.77</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14,103,943.80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5,970,440.63</w:t>
            </w:r>
            <w:r>
              <w:rPr>
                <w:rFonts w:ascii="Times New Roman"/>
                <w:sz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7,514,786.94</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-38,524,012.08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-12,392,267.45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25,014,183.79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59,873,821.49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4"/>
        <w:spacing w:line="240" w:lineRule="auto" w:before="26"/>
        <w:ind w:right="0"/>
        <w:jc w:val="left"/>
        <w:rPr>
          <w:b w:val="0"/>
          <w:bCs w:val="0"/>
        </w:rPr>
      </w:pPr>
      <w:r>
        <w:rPr/>
        <w:t>七</w:t>
      </w:r>
      <w:bookmarkStart w:name="七、境内外会计准则下会计数据差异" w:id="11"/>
      <w:bookmarkEnd w:id="11"/>
      <w:r>
        <w:rPr/>
        <w:t>、</w:t>
      </w:r>
      <w:r>
        <w:rPr/>
        <w:t>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bookmarkStart w:name="1、同时按照国际会计准则与按照中国会计准则披露的财务报告中净利润和净资产差异情况" w:id="12"/>
      <w:bookmarkEnd w:id="12"/>
      <w:r>
        <w:rPr>
          <w:rFonts w:ascii="Times New Roman" w:hAnsi="Times New Roman" w:cs="Times New Roman" w:eastAsia="Times New Roman" w:hint="default"/>
        </w:rPr>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1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2</w:t>
      </w:r>
      <w:r>
        <w:rPr/>
        <w:t>、同时按照境外会</w:t>
      </w:r>
      <w:bookmarkStart w:name="2、同时按照境外会计准则与按照中国会计准则披露的财务报告中净利润和净资产差异情况" w:id="13"/>
      <w:bookmarkEnd w:id="13"/>
      <w:r>
        <w:rPr/>
        <w:t>计准</w:t>
      </w:r>
      <w:r>
        <w:rPr/>
        <w:t>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167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4"/>
        <w:spacing w:line="240" w:lineRule="auto"/>
        <w:ind w:right="0"/>
        <w:jc w:val="left"/>
        <w:rPr>
          <w:b w:val="0"/>
          <w:bCs w:val="0"/>
        </w:rPr>
      </w:pPr>
      <w:r>
        <w:rPr/>
        <w:t>八、非经常性损益项目及金额</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52" w:firstLine="0"/>
        <w:jc w:val="right"/>
        <w:rPr>
          <w:rFonts w:ascii="宋体" w:hAnsi="宋体" w:cs="宋体" w:eastAsia="宋体" w:hint="default"/>
          <w:sz w:val="18"/>
          <w:szCs w:val="18"/>
        </w:rPr>
      </w:pPr>
      <w:bookmarkStart w:name="八、非经常性损益项目及金额" w:id="14"/>
      <w:bookmarkEnd w:id="14"/>
      <w:r>
        <w:rPr/>
      </w: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2"/>
        <w:gridCol w:w="1532"/>
        <w:gridCol w:w="1519"/>
        <w:gridCol w:w="1522"/>
        <w:gridCol w:w="1711"/>
      </w:tblGrid>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-647,293.74</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-58,015.92</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-27,020.02</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12,923,389.04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5,576,410.00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6,596,629.00</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0" w:space="0" w:color="D4D4D4"/>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740,323.31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1,657.11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501,423.58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125,062.68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1,869,168.35</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943,727.34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1,133,902.58</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721,015.83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8.86</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4,088.35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9,687,568.23</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5,076,081.46</w:t>
            </w:r>
            <w:r>
              <w:rPr>
                <w:rFonts w:ascii="Times New Roman"/>
                <w:sz w:val="18"/>
              </w:rPr>
            </w:r>
          </w:p>
        </w:tc>
        <w:tc>
          <w:tcPr>
            <w:tcW w:w="152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6,297,004.04</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2"/>
        <w:ind w:left="152" w:right="140"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3"/>
        <w:ind w:left="152" w:right="139"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491"/>
        <w:jc w:val="center"/>
        <w:rPr>
          <w:b w:val="0"/>
          <w:bCs w:val="0"/>
        </w:rPr>
      </w:pPr>
      <w:bookmarkStart w:name="_TOC_250008" w:id="15"/>
      <w:bookmarkStart w:name="第三节 公司业务概要" w:id="16"/>
      <w:r>
        <w:rPr>
          <w:b w:val="0"/>
          <w:bCs w:val="0"/>
        </w:rPr>
      </w:r>
      <w:r>
        <w:rPr/>
        <w:t>第三节</w:t>
      </w:r>
      <w:r>
        <w:rPr>
          <w:spacing w:val="-6"/>
        </w:rPr>
        <w:t> </w:t>
      </w:r>
      <w:r>
        <w:rPr/>
        <w:t>公司业务概要</w:t>
      </w:r>
      <w:bookmarkEnd w:id="15"/>
      <w:r>
        <w:rPr>
          <w:b w:val="0"/>
          <w:bCs w:val="0"/>
        </w:rPr>
      </w:r>
    </w:p>
    <w:p>
      <w:pPr>
        <w:spacing w:line="240" w:lineRule="auto" w:before="2"/>
        <w:rPr>
          <w:rFonts w:ascii="宋体" w:hAnsi="宋体" w:cs="宋体" w:eastAsia="宋体" w:hint="default"/>
          <w:b/>
          <w:bCs/>
          <w:sz w:val="39"/>
          <w:szCs w:val="39"/>
        </w:rPr>
      </w:pPr>
    </w:p>
    <w:p>
      <w:pPr>
        <w:pStyle w:val="Heading4"/>
        <w:spacing w:line="240" w:lineRule="auto"/>
        <w:ind w:right="0"/>
        <w:jc w:val="both"/>
        <w:rPr>
          <w:b w:val="0"/>
          <w:bCs w:val="0"/>
        </w:rPr>
      </w:pPr>
      <w:r>
        <w:rPr/>
        <w:t>一、报告期内</w:t>
      </w:r>
      <w:bookmarkStart w:name="一、报告期内公司从事的主要业务" w:id="17"/>
      <w:bookmarkEnd w:id="17"/>
      <w:r>
        <w:rPr/>
        <w:t>公</w:t>
      </w:r>
      <w:r>
        <w:rPr/>
        <w:t>司从事的主要业务</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207" w:firstLine="420"/>
        <w:jc w:val="both"/>
      </w:pPr>
      <w:r>
        <w:rPr>
          <w:spacing w:val="-2"/>
        </w:rPr>
        <w:t>报告期内，公司在确保传统业务稳定发展的同时，持续推进基础架构国产化和助力金融行业转型两大</w:t>
      </w:r>
      <w:r>
        <w:rPr>
          <w:w w:val="100"/>
        </w:rPr>
        <w:t> </w:t>
      </w:r>
      <w:r>
        <w:rPr>
          <w:spacing w:val="-2"/>
        </w:rPr>
        <w:t>战略发展方向，持续激活企业内部创业机制，引进外部人才，特别是互联网人才，形成二次创业的环境和</w:t>
      </w:r>
      <w:r>
        <w:rPr>
          <w:spacing w:val="-50"/>
        </w:rPr>
        <w:t> </w:t>
      </w:r>
      <w:r>
        <w:rPr>
          <w:spacing w:val="-50"/>
        </w:rPr>
      </w:r>
      <w:r>
        <w:rPr/>
        <w:t>氛围，通过一系列的举措，有效的完善了公司的业务体系。</w:t>
      </w:r>
    </w:p>
    <w:p>
      <w:pPr>
        <w:pStyle w:val="BodyText"/>
        <w:spacing w:line="408" w:lineRule="auto" w:before="46"/>
        <w:ind w:left="572" w:right="103" w:hanging="421"/>
        <w:jc w:val="left"/>
      </w:pPr>
      <w:r>
        <w:rPr/>
        <w:t>一、公司报告期内的主要业务和产品情况。</w:t>
      </w:r>
      <w:r>
        <w:rPr>
          <w:w w:val="100"/>
        </w:rPr>
        <w:t> </w:t>
      </w:r>
      <w:r>
        <w:rPr>
          <w:spacing w:val="-2"/>
        </w:rPr>
        <w:t>天玑科技的主营业务是围绕着数据中心相关服务，包括支持与维护服务、外包服务、专业服务、软件</w:t>
      </w:r>
    </w:p>
    <w:p>
      <w:pPr>
        <w:pStyle w:val="BodyText"/>
        <w:spacing w:line="408" w:lineRule="auto" w:before="46"/>
        <w:ind w:right="207"/>
        <w:jc w:val="both"/>
      </w:pPr>
      <w:r>
        <w:rPr>
          <w:spacing w:val="-2"/>
        </w:rPr>
        <w:t>服务、产品销售几个部分。核心目标是能够一体化的解决用户数据中心建设的大部分诉求，为用户提供一</w:t>
      </w:r>
      <w:r>
        <w:rPr>
          <w:spacing w:val="-48"/>
        </w:rPr>
        <w:t> </w:t>
      </w:r>
      <w:r>
        <w:rPr>
          <w:spacing w:val="-48"/>
        </w:rPr>
      </w:r>
      <w:r>
        <w:rPr>
          <w:spacing w:val="-2"/>
        </w:rPr>
        <w:t>站式的数据中心服务。天玑科技依托于多年的技术积累，不断地把握时代变迁，在传统的数据中心服务基</w:t>
      </w:r>
      <w:r>
        <w:rPr>
          <w:spacing w:val="-44"/>
        </w:rPr>
        <w:t> </w:t>
      </w:r>
      <w:r>
        <w:rPr>
          <w:spacing w:val="-44"/>
        </w:rPr>
      </w:r>
      <w:r>
        <w:rPr>
          <w:spacing w:val="-2"/>
        </w:rPr>
        <w:t>础上，推出了大量基于互联网技术的数据中心解决方案，帮助用户享受互联网时代的技术红利，通过新兴</w:t>
      </w:r>
      <w:r>
        <w:rPr>
          <w:spacing w:val="-44"/>
        </w:rPr>
        <w:t> </w:t>
      </w:r>
      <w:r>
        <w:rPr>
          <w:spacing w:val="-44"/>
        </w:rPr>
      </w:r>
      <w:r>
        <w:rPr/>
        <w:t>技术手段支撑业务发展。下述为天玑科技报告期内各类业务的简要说明。</w:t>
      </w:r>
    </w:p>
    <w:p>
      <w:pPr>
        <w:pStyle w:val="BodyText"/>
        <w:spacing w:line="408" w:lineRule="auto" w:before="46"/>
        <w:ind w:left="572" w:right="103" w:hanging="178"/>
        <w:jc w:val="left"/>
      </w:pPr>
      <w:r>
        <w:rPr>
          <w:rFonts w:ascii="宋体" w:hAnsi="宋体" w:cs="宋体" w:eastAsia="宋体" w:hint="default"/>
        </w:rPr>
        <w:t>1.</w:t>
      </w:r>
      <w:r>
        <w:rPr>
          <w:rFonts w:ascii="宋体" w:hAnsi="宋体" w:cs="宋体" w:eastAsia="宋体" w:hint="default"/>
          <w:spacing w:val="43"/>
        </w:rPr>
        <w:t> </w:t>
      </w:r>
      <w:r>
        <w:rPr/>
        <w:t>支持与维护服务</w:t>
      </w:r>
      <w:r>
        <w:rPr>
          <w:spacing w:val="-102"/>
        </w:rPr>
        <w:t> </w:t>
      </w:r>
      <w:r>
        <w:rPr>
          <w:spacing w:val="-102"/>
        </w:rPr>
      </w:r>
      <w:r>
        <w:rPr>
          <w:spacing w:val="-2"/>
        </w:rPr>
        <w:t>任何数据中心都需要完善的支持与维护服务，该服务的宗旨是针对用户现有数据中心中大部分的</w:t>
      </w:r>
      <w:r>
        <w:rPr>
          <w:rFonts w:ascii="Times New Roman" w:hAnsi="Times New Roman" w:cs="Times New Roman" w:eastAsia="Times New Roman" w:hint="default"/>
          <w:spacing w:val="-2"/>
        </w:rPr>
        <w:t>IT</w:t>
      </w:r>
      <w:r>
        <w:rPr>
          <w:spacing w:val="-2"/>
        </w:rPr>
        <w:t>基</w:t>
      </w:r>
    </w:p>
    <w:p>
      <w:pPr>
        <w:pStyle w:val="BodyText"/>
        <w:spacing w:line="400" w:lineRule="auto" w:before="14"/>
        <w:ind w:right="138"/>
        <w:jc w:val="both"/>
      </w:pPr>
      <w:r>
        <w:rPr>
          <w:spacing w:val="-2"/>
        </w:rPr>
        <w:t>础设施提供完善的维护服务，服务对象包括数据库、中间件、操作系统、服务器硬件、存储硬件、网络硬</w:t>
      </w:r>
      <w:r>
        <w:rPr>
          <w:spacing w:val="-42"/>
        </w:rPr>
        <w:t> </w:t>
      </w:r>
      <w:r>
        <w:rPr>
          <w:spacing w:val="-42"/>
        </w:rPr>
      </w:r>
      <w:r>
        <w:rPr>
          <w:spacing w:val="-2"/>
        </w:rPr>
        <w:t>件的综合服务。服务内容包括软硬件设备的故障诊断、故障维修、性能优化，结构设计和优化等等服务。</w:t>
      </w:r>
      <w:r>
        <w:rPr>
          <w:spacing w:val="-21"/>
        </w:rPr>
        <w:t> </w:t>
      </w:r>
      <w:r>
        <w:rPr>
          <w:spacing w:val="-21"/>
        </w:rPr>
      </w:r>
      <w:r>
        <w:rPr>
          <w:spacing w:val="-2"/>
        </w:rPr>
        <w:t>针对于该服务天玑科技建立起了覆盖全国范围的服务交付体系，服务体系完全符合</w:t>
      </w:r>
      <w:r>
        <w:rPr>
          <w:rFonts w:ascii="Times New Roman" w:hAnsi="Times New Roman" w:cs="Times New Roman" w:eastAsia="Times New Roman" w:hint="default"/>
          <w:spacing w:val="-2"/>
        </w:rPr>
        <w:t>ISO20000</w:t>
      </w:r>
      <w:r>
        <w:rPr>
          <w:spacing w:val="-2"/>
        </w:rPr>
        <w:t>、</w:t>
      </w:r>
      <w:r>
        <w:rPr>
          <w:rFonts w:ascii="Times New Roman" w:hAnsi="Times New Roman" w:cs="Times New Roman" w:eastAsia="Times New Roman" w:hint="default"/>
          <w:spacing w:val="-2"/>
        </w:rPr>
        <w:t>ISO27001</w:t>
      </w:r>
      <w:r>
        <w:rPr>
          <w:spacing w:val="-2"/>
        </w:rPr>
        <w:t>、</w:t>
      </w:r>
      <w:r>
        <w:rPr>
          <w:spacing w:val="-7"/>
        </w:rPr>
        <w:t> </w:t>
      </w:r>
      <w:r>
        <w:rPr>
          <w:rFonts w:ascii="Times New Roman" w:hAnsi="Times New Roman" w:cs="Times New Roman" w:eastAsia="Times New Roman" w:hint="default"/>
        </w:rPr>
        <w:t>ITSS</w:t>
      </w:r>
      <w:r>
        <w:rPr/>
        <w:t>等资质要求，能够为用户交付最为优质为支持与维护服务，确保用户数据中心连续可靠的运行。</w:t>
      </w:r>
    </w:p>
    <w:p>
      <w:pPr>
        <w:pStyle w:val="BodyText"/>
        <w:spacing w:line="386" w:lineRule="auto" w:before="21"/>
        <w:ind w:left="572" w:right="103" w:hanging="137"/>
        <w:jc w:val="left"/>
      </w:pPr>
      <w:r>
        <w:rPr>
          <w:rFonts w:ascii="Times New Roman" w:hAnsi="Times New Roman" w:cs="Times New Roman" w:eastAsia="Times New Roman" w:hint="default"/>
        </w:rPr>
        <w:t>2</w:t>
      </w:r>
      <w:r>
        <w:rPr/>
        <w:t>、外包服务</w:t>
      </w:r>
      <w:r>
        <w:rPr>
          <w:spacing w:val="-3"/>
          <w:w w:val="100"/>
        </w:rPr>
        <w:t> </w:t>
      </w:r>
      <w:r>
        <w:rPr>
          <w:spacing w:val="-2"/>
        </w:rPr>
        <w:t>数据中心的建设运维是一个复杂综合的业务过程，但用户自身能力往往有局限，不能满足数据中心日</w:t>
      </w:r>
    </w:p>
    <w:p>
      <w:pPr>
        <w:pStyle w:val="BodyText"/>
        <w:spacing w:line="403" w:lineRule="auto" w:before="65"/>
        <w:ind w:right="103"/>
        <w:jc w:val="left"/>
      </w:pPr>
      <w:r>
        <w:rPr>
          <w:spacing w:val="-2"/>
        </w:rPr>
        <w:t>常运维的全部技术需要，因此就需要有专业的团队能够进驻用户现场，配合用户进行日常的运维工作。因</w:t>
      </w:r>
      <w:r>
        <w:rPr>
          <w:spacing w:val="-43"/>
        </w:rPr>
        <w:t> </w:t>
      </w:r>
      <w:r>
        <w:rPr>
          <w:spacing w:val="-43"/>
        </w:rPr>
      </w:r>
      <w:r>
        <w:rPr>
          <w:spacing w:val="-2"/>
        </w:rPr>
        <w:t>此，天玑科技拥有符合</w:t>
      </w:r>
      <w:r>
        <w:rPr>
          <w:rFonts w:ascii="Times New Roman" w:hAnsi="Times New Roman" w:cs="Times New Roman" w:eastAsia="Times New Roman" w:hint="default"/>
          <w:spacing w:val="-2"/>
        </w:rPr>
        <w:t>ITSM</w:t>
      </w:r>
      <w:r>
        <w:rPr>
          <w:spacing w:val="-2"/>
        </w:rPr>
        <w:t>管理规范的大型运维团队，根据用户的需求进驻用户现场，对用户深入了解，</w:t>
      </w:r>
      <w:r>
        <w:rPr>
          <w:spacing w:val="-19"/>
        </w:rPr>
        <w:t> </w:t>
      </w:r>
      <w:r>
        <w:rPr>
          <w:spacing w:val="-19"/>
        </w:rPr>
      </w:r>
      <w:r>
        <w:rPr/>
        <w:t>与用户共同建立运维的流程制度，工具平台，并进行日常的运维工作，为用户提供长期综合的运维服务，</w:t>
      </w:r>
      <w:r>
        <w:rPr>
          <w:w w:val="100"/>
        </w:rPr>
        <w:t> </w:t>
      </w:r>
      <w:r>
        <w:rPr>
          <w:spacing w:val="-2"/>
        </w:rPr>
        <w:t>有效支撑整体数据中心的平稳运营。依托天玑科技的整体技术实力，天玑科技的现场运维团队能共享各方</w:t>
      </w:r>
      <w:r>
        <w:rPr>
          <w:spacing w:val="-43"/>
        </w:rPr>
        <w:t> </w:t>
      </w:r>
      <w:r>
        <w:rPr>
          <w:spacing w:val="-43"/>
        </w:rPr>
      </w:r>
      <w:r>
        <w:rPr/>
        <w:t>面的技术资源与案例，将这些技术应用到不同的运维客户之中，大幅提升用户运维的有效性和性价比。</w:t>
      </w:r>
    </w:p>
    <w:p>
      <w:pPr>
        <w:pStyle w:val="BodyText"/>
        <w:spacing w:line="386" w:lineRule="auto" w:before="50"/>
        <w:ind w:left="572" w:right="103" w:hanging="137"/>
        <w:jc w:val="left"/>
      </w:pPr>
      <w:r>
        <w:rPr>
          <w:rFonts w:ascii="Times New Roman" w:hAnsi="Times New Roman" w:cs="Times New Roman" w:eastAsia="Times New Roman" w:hint="default"/>
        </w:rPr>
        <w:t>3</w:t>
      </w:r>
      <w:r>
        <w:rPr/>
        <w:t>、专业服务</w:t>
      </w:r>
      <w:r>
        <w:rPr>
          <w:spacing w:val="-3"/>
          <w:w w:val="100"/>
        </w:rPr>
        <w:t> </w:t>
      </w:r>
      <w:r>
        <w:rPr>
          <w:spacing w:val="-2"/>
        </w:rPr>
        <w:t>数据中心的建设过程并不是简单的购买硬件进行堆叠的过程，而涉及到大量的专业技术服务，如资讯</w:t>
      </w:r>
    </w:p>
    <w:p>
      <w:pPr>
        <w:pStyle w:val="BodyText"/>
        <w:spacing w:line="240" w:lineRule="auto" w:before="65"/>
        <w:ind w:right="0"/>
        <w:jc w:val="both"/>
      </w:pPr>
      <w:r>
        <w:rPr/>
        <w:t>规划，系统集成，专项技术服务，技术培训等。天玑科技拥有专门的技术团队来满足用户关于数据中心建</w:t>
      </w:r>
    </w:p>
    <w:p>
      <w:pPr>
        <w:spacing w:after="0" w:line="240" w:lineRule="auto"/>
        <w:jc w:val="both"/>
        <w:sectPr>
          <w:pgSz w:w="11910" w:h="16840"/>
          <w:pgMar w:header="745" w:footer="982" w:top="1060" w:bottom="1180" w:left="980" w:right="920"/>
        </w:sectPr>
      </w:pPr>
    </w:p>
    <w:p>
      <w:pPr>
        <w:spacing w:line="240" w:lineRule="auto" w:before="0"/>
        <w:rPr>
          <w:rFonts w:ascii="宋体" w:hAnsi="宋体" w:cs="宋体" w:eastAsia="宋体" w:hint="default"/>
          <w:sz w:val="20"/>
          <w:szCs w:val="20"/>
        </w:rPr>
      </w:pPr>
    </w:p>
    <w:p>
      <w:pPr>
        <w:pStyle w:val="BodyText"/>
        <w:spacing w:line="408" w:lineRule="auto" w:before="175"/>
        <w:ind w:left="572" w:right="113" w:hanging="421"/>
        <w:jc w:val="left"/>
      </w:pPr>
      <w:r>
        <w:rPr/>
        <w:t>设的各项技术需要。如用户的数据中心规划，云计算及建设，大数据技术规划，容灾规划等等。</w:t>
      </w:r>
      <w:r>
        <w:rPr>
          <w:w w:val="100"/>
        </w:rPr>
        <w:t> </w:t>
      </w:r>
      <w:r>
        <w:rPr>
          <w:spacing w:val="-2"/>
        </w:rPr>
        <w:t>天玑科技在</w:t>
      </w:r>
      <w:r>
        <w:rPr>
          <w:rFonts w:ascii="Times New Roman" w:hAnsi="Times New Roman" w:cs="Times New Roman" w:eastAsia="Times New Roman" w:hint="default"/>
          <w:spacing w:val="-2"/>
        </w:rPr>
        <w:t>2014~2015</w:t>
      </w:r>
      <w:r>
        <w:rPr>
          <w:spacing w:val="-2"/>
        </w:rPr>
        <w:t>年的战略转型过程中，对于云计算和大数据技术投入了大量的研发力量，目前</w:t>
      </w:r>
    </w:p>
    <w:p>
      <w:pPr>
        <w:pStyle w:val="BodyText"/>
        <w:spacing w:line="386" w:lineRule="auto" w:before="14"/>
        <w:ind w:left="153" w:right="113" w:hanging="1"/>
        <w:jc w:val="left"/>
      </w:pPr>
      <w:r>
        <w:rPr/>
        <w:t>已经拥有大量基于互联网技术的产品线，如</w:t>
      </w:r>
      <w:r>
        <w:rPr>
          <w:rFonts w:ascii="Times New Roman" w:hAnsi="Times New Roman" w:cs="Times New Roman" w:eastAsia="Times New Roman" w:hint="default"/>
        </w:rPr>
        <w:t>PCloud</w:t>
      </w:r>
      <w:r>
        <w:rPr/>
        <w:t>云计算管理平台、</w:t>
      </w:r>
      <w:r>
        <w:rPr>
          <w:rFonts w:ascii="Times New Roman" w:hAnsi="Times New Roman" w:cs="Times New Roman" w:eastAsia="Times New Roman" w:hint="default"/>
        </w:rPr>
        <w:t>DCOS</w:t>
      </w:r>
      <w:r>
        <w:rPr/>
        <w:t>分布式数据中心操作系统、</w:t>
      </w:r>
      <w:r>
        <w:rPr>
          <w:w w:val="100"/>
        </w:rPr>
        <w:t> </w:t>
      </w:r>
      <w:r>
        <w:rPr>
          <w:rFonts w:ascii="Times New Roman" w:hAnsi="Times New Roman" w:cs="Times New Roman" w:eastAsia="Times New Roman" w:hint="default"/>
          <w:spacing w:val="-2"/>
        </w:rPr>
        <w:t>PBData</w:t>
      </w:r>
      <w:r>
        <w:rPr>
          <w:spacing w:val="-2"/>
        </w:rPr>
        <w:t>数据库云平台、</w:t>
      </w:r>
      <w:r>
        <w:rPr>
          <w:rFonts w:ascii="Times New Roman" w:hAnsi="Times New Roman" w:cs="Times New Roman" w:eastAsia="Times New Roman" w:hint="default"/>
          <w:spacing w:val="-2"/>
        </w:rPr>
        <w:t>PhegData</w:t>
      </w:r>
      <w:r>
        <w:rPr>
          <w:spacing w:val="-2"/>
        </w:rPr>
        <w:t>分布式存储、</w:t>
      </w:r>
      <w:r>
        <w:rPr>
          <w:rFonts w:ascii="Times New Roman" w:hAnsi="Times New Roman" w:cs="Times New Roman" w:eastAsia="Times New Roman" w:hint="default"/>
          <w:spacing w:val="-2"/>
        </w:rPr>
        <w:t>PriData</w:t>
      </w:r>
      <w:r>
        <w:rPr>
          <w:spacing w:val="-2"/>
        </w:rPr>
        <w:t>超融合云计算一体机等产品。天玑科技可依托自主技</w:t>
      </w:r>
      <w:r>
        <w:rPr>
          <w:spacing w:val="-45"/>
        </w:rPr>
        <w:t> </w:t>
      </w:r>
      <w:r>
        <w:rPr>
          <w:spacing w:val="-45"/>
        </w:rPr>
      </w:r>
      <w:r>
        <w:rPr>
          <w:spacing w:val="-5"/>
        </w:rPr>
        <w:t>术实力，为用户设计和建设互联网化数据中心，使用户享受到互联网技术带来的革新，更有力的支撑业务。</w:t>
      </w:r>
    </w:p>
    <w:p>
      <w:pPr>
        <w:pStyle w:val="BodyText"/>
        <w:spacing w:line="393" w:lineRule="auto" w:before="65"/>
        <w:ind w:left="153" w:right="226" w:firstLine="419"/>
        <w:jc w:val="both"/>
      </w:pPr>
      <w:r>
        <w:rPr>
          <w:spacing w:val="-2"/>
        </w:rPr>
        <w:t>同时，天玑科技聚焦于互联网强调</w:t>
      </w:r>
      <w:r>
        <w:rPr>
          <w:rFonts w:ascii="Times New Roman" w:hAnsi="Times New Roman" w:cs="Times New Roman" w:eastAsia="Times New Roman" w:hint="default"/>
          <w:spacing w:val="-2"/>
        </w:rPr>
        <w:t>“</w:t>
      </w:r>
      <w:r>
        <w:rPr>
          <w:spacing w:val="-2"/>
        </w:rPr>
        <w:t>互联</w:t>
      </w:r>
      <w:r>
        <w:rPr>
          <w:rFonts w:ascii="Times New Roman" w:hAnsi="Times New Roman" w:cs="Times New Roman" w:eastAsia="Times New Roman" w:hint="default"/>
          <w:spacing w:val="-2"/>
        </w:rPr>
        <w:t>”</w:t>
      </w:r>
      <w:r>
        <w:rPr>
          <w:spacing w:val="-2"/>
        </w:rPr>
        <w:t>的特色，投入研发力量开发了更加先进呼叫中心解决方案，</w:t>
      </w:r>
      <w:r>
        <w:rPr>
          <w:w w:val="100"/>
        </w:rPr>
        <w:t> </w:t>
      </w:r>
      <w:r>
        <w:rPr>
          <w:spacing w:val="-2"/>
        </w:rPr>
        <w:t>包括全媒体联络中心、可视化</w:t>
      </w:r>
      <w:r>
        <w:rPr>
          <w:rFonts w:ascii="Times New Roman" w:hAnsi="Times New Roman" w:cs="Times New Roman" w:eastAsia="Times New Roman" w:hint="default"/>
          <w:spacing w:val="-2"/>
        </w:rPr>
        <w:t>IVR</w:t>
      </w:r>
      <w:r>
        <w:rPr>
          <w:spacing w:val="-2"/>
        </w:rPr>
        <w:t>、</w:t>
      </w:r>
      <w:r>
        <w:rPr>
          <w:rFonts w:ascii="Times New Roman" w:hAnsi="Times New Roman" w:cs="Times New Roman" w:eastAsia="Times New Roman" w:hint="default"/>
          <w:spacing w:val="-2"/>
        </w:rPr>
        <w:t>Vbank</w:t>
      </w:r>
      <w:r>
        <w:rPr>
          <w:spacing w:val="-2"/>
        </w:rPr>
        <w:t>解决方案、移动</w:t>
      </w:r>
      <w:r>
        <w:rPr>
          <w:rFonts w:ascii="Times New Roman" w:hAnsi="Times New Roman" w:cs="Times New Roman" w:eastAsia="Times New Roman" w:hint="default"/>
          <w:spacing w:val="-2"/>
        </w:rPr>
        <w:t>CRM</w:t>
      </w:r>
      <w:r>
        <w:rPr>
          <w:spacing w:val="-2"/>
        </w:rPr>
        <w:t>、语音大数据方案等，天玑科技可依据以</w:t>
      </w:r>
      <w:r>
        <w:rPr>
          <w:spacing w:val="-19"/>
        </w:rPr>
        <w:t> </w:t>
      </w:r>
      <w:r>
        <w:rPr>
          <w:spacing w:val="-19"/>
        </w:rPr>
      </w:r>
      <w:r>
        <w:rPr>
          <w:spacing w:val="-2"/>
        </w:rPr>
        <w:t>上的解决方案，为用户建立起具备互联网技术特色的呼叫中心，提升用户与最终用户沟通服务的能力。并</w:t>
      </w:r>
      <w:r>
        <w:rPr>
          <w:spacing w:val="-43"/>
        </w:rPr>
        <w:t> </w:t>
      </w:r>
      <w:r>
        <w:rPr>
          <w:spacing w:val="-43"/>
        </w:rPr>
      </w:r>
      <w:r>
        <w:rPr/>
        <w:t>且可以实现云呼叫中心的</w:t>
      </w:r>
      <w:r>
        <w:rPr>
          <w:rFonts w:ascii="Times New Roman" w:hAnsi="Times New Roman" w:cs="Times New Roman" w:eastAsia="Times New Roman" w:hint="default"/>
        </w:rPr>
        <w:t>SAAS</w:t>
      </w:r>
      <w:r>
        <w:rPr/>
        <w:t>服务，进一步优化用户的使用体验。</w:t>
      </w:r>
    </w:p>
    <w:p>
      <w:pPr>
        <w:pStyle w:val="BodyText"/>
        <w:spacing w:line="386" w:lineRule="auto" w:before="28"/>
        <w:ind w:left="573" w:right="113" w:hanging="137"/>
        <w:jc w:val="left"/>
      </w:pPr>
      <w:r>
        <w:rPr>
          <w:rFonts w:ascii="Times New Roman" w:hAnsi="Times New Roman" w:cs="Times New Roman" w:eastAsia="Times New Roman" w:hint="default"/>
        </w:rPr>
        <w:t>4</w:t>
      </w:r>
      <w:r>
        <w:rPr/>
        <w:t>、软件服务</w:t>
      </w:r>
      <w:r>
        <w:rPr>
          <w:spacing w:val="-3"/>
          <w:w w:val="100"/>
        </w:rPr>
        <w:t> </w:t>
      </w:r>
      <w:r>
        <w:rPr>
          <w:spacing w:val="-2"/>
        </w:rPr>
        <w:t>此外，在应用软件的开发与测试方面，用户同样需要有专业的团队，天玑科技及下属子公司复深蓝有</w:t>
      </w:r>
      <w:r>
        <w:rPr/>
      </w:r>
    </w:p>
    <w:p>
      <w:pPr>
        <w:pStyle w:val="BodyText"/>
        <w:spacing w:line="408" w:lineRule="auto" w:before="65"/>
        <w:ind w:left="153" w:right="113"/>
        <w:jc w:val="left"/>
      </w:pPr>
      <w:r>
        <w:rPr>
          <w:spacing w:val="-5"/>
        </w:rPr>
        <w:t>完善的软件开发及软件测试团队，在各行业有广泛的开发测试案例，充分的满足用户从开发到测试的过程，</w:t>
      </w:r>
      <w:r>
        <w:rPr>
          <w:spacing w:val="-4"/>
        </w:rPr>
        <w:t> </w:t>
      </w:r>
      <w:r>
        <w:rPr>
          <w:spacing w:val="-4"/>
        </w:rPr>
      </w:r>
      <w:r>
        <w:rPr/>
        <w:t>确保业务应用的有效性和可靠性。</w:t>
      </w:r>
    </w:p>
    <w:p>
      <w:pPr>
        <w:pStyle w:val="BodyText"/>
        <w:spacing w:line="386" w:lineRule="auto" w:before="46"/>
        <w:ind w:left="572" w:right="113" w:hanging="137"/>
        <w:jc w:val="left"/>
      </w:pPr>
      <w:r>
        <w:rPr>
          <w:rFonts w:ascii="Times New Roman" w:hAnsi="Times New Roman" w:cs="Times New Roman" w:eastAsia="Times New Roman" w:hint="default"/>
        </w:rPr>
        <w:t>5</w:t>
      </w:r>
      <w:r>
        <w:rPr/>
        <w:t>、软硬件销售</w:t>
      </w:r>
      <w:r>
        <w:rPr>
          <w:w w:val="100"/>
        </w:rPr>
        <w:t> </w:t>
      </w:r>
      <w:r>
        <w:rPr>
          <w:spacing w:val="-2"/>
        </w:rPr>
        <w:t>天玑科技在转型过程中，形成了围绕着基础架构的软硬件产品如：</w:t>
      </w:r>
      <w:r>
        <w:rPr>
          <w:rFonts w:ascii="Times New Roman" w:hAnsi="Times New Roman" w:cs="Times New Roman" w:eastAsia="Times New Roman" w:hint="default"/>
          <w:spacing w:val="-2"/>
        </w:rPr>
        <w:t>PCloud</w:t>
      </w:r>
      <w:r>
        <w:rPr>
          <w:spacing w:val="-2"/>
        </w:rPr>
        <w:t>云计算管理平台、</w:t>
      </w:r>
      <w:r>
        <w:rPr>
          <w:rFonts w:ascii="Times New Roman" w:hAnsi="Times New Roman" w:cs="Times New Roman" w:eastAsia="Times New Roman" w:hint="default"/>
          <w:spacing w:val="-2"/>
        </w:rPr>
        <w:t>DCOS</w:t>
      </w:r>
      <w:r>
        <w:rPr>
          <w:spacing w:val="-2"/>
        </w:rPr>
        <w:t>分</w:t>
      </w:r>
    </w:p>
    <w:p>
      <w:pPr>
        <w:pStyle w:val="BodyText"/>
        <w:spacing w:line="393" w:lineRule="auto" w:before="35"/>
        <w:ind w:right="113"/>
        <w:jc w:val="left"/>
      </w:pPr>
      <w:r>
        <w:rPr>
          <w:spacing w:val="-2"/>
        </w:rPr>
        <w:t>布式数据中心操作系统、</w:t>
      </w:r>
      <w:r>
        <w:rPr>
          <w:rFonts w:ascii="Times New Roman" w:hAnsi="Times New Roman" w:cs="Times New Roman" w:eastAsia="Times New Roman" w:hint="default"/>
          <w:spacing w:val="-2"/>
        </w:rPr>
        <w:t>PBData</w:t>
      </w:r>
      <w:r>
        <w:rPr>
          <w:spacing w:val="-2"/>
        </w:rPr>
        <w:t>数据库云平台、</w:t>
      </w:r>
      <w:r>
        <w:rPr>
          <w:rFonts w:ascii="Times New Roman" w:hAnsi="Times New Roman" w:cs="Times New Roman" w:eastAsia="Times New Roman" w:hint="default"/>
          <w:spacing w:val="-2"/>
        </w:rPr>
        <w:t>PhegData</w:t>
      </w:r>
      <w:r>
        <w:rPr>
          <w:spacing w:val="-2"/>
        </w:rPr>
        <w:t>分布式存储、</w:t>
      </w:r>
      <w:r>
        <w:rPr>
          <w:rFonts w:ascii="Times New Roman" w:hAnsi="Times New Roman" w:cs="Times New Roman" w:eastAsia="Times New Roman" w:hint="default"/>
          <w:spacing w:val="-2"/>
        </w:rPr>
        <w:t>PriData</w:t>
      </w:r>
      <w:r>
        <w:rPr>
          <w:spacing w:val="-2"/>
        </w:rPr>
        <w:t>超融合云计算一体机。和围</w:t>
      </w:r>
      <w:r>
        <w:rPr>
          <w:spacing w:val="-47"/>
        </w:rPr>
        <w:t> </w:t>
      </w:r>
      <w:r>
        <w:rPr>
          <w:spacing w:val="-47"/>
        </w:rPr>
      </w:r>
      <w:r>
        <w:rPr>
          <w:spacing w:val="-2"/>
        </w:rPr>
        <w:t>绕着呼叫中心的业务方案如：全媒体联络中心、可视化</w:t>
      </w:r>
      <w:r>
        <w:rPr>
          <w:rFonts w:ascii="Times New Roman" w:hAnsi="Times New Roman" w:cs="Times New Roman" w:eastAsia="Times New Roman" w:hint="default"/>
          <w:spacing w:val="-2"/>
        </w:rPr>
        <w:t>IVR</w:t>
      </w:r>
      <w:r>
        <w:rPr>
          <w:spacing w:val="-2"/>
        </w:rPr>
        <w:t>、</w:t>
      </w:r>
      <w:r>
        <w:rPr>
          <w:rFonts w:ascii="Times New Roman" w:hAnsi="Times New Roman" w:cs="Times New Roman" w:eastAsia="Times New Roman" w:hint="default"/>
          <w:spacing w:val="-2"/>
        </w:rPr>
        <w:t>Vbank</w:t>
      </w:r>
      <w:r>
        <w:rPr>
          <w:spacing w:val="-2"/>
        </w:rPr>
        <w:t>解决方案、移动</w:t>
      </w:r>
      <w:r>
        <w:rPr>
          <w:rFonts w:ascii="Times New Roman" w:hAnsi="Times New Roman" w:cs="Times New Roman" w:eastAsia="Times New Roman" w:hint="default"/>
          <w:spacing w:val="-2"/>
        </w:rPr>
        <w:t>CRM</w:t>
      </w:r>
      <w:r>
        <w:rPr>
          <w:spacing w:val="-2"/>
        </w:rPr>
        <w:t>、语音大数据方</w:t>
      </w:r>
      <w:r>
        <w:rPr>
          <w:spacing w:val="-20"/>
        </w:rPr>
        <w:t> </w:t>
      </w:r>
      <w:r>
        <w:rPr>
          <w:spacing w:val="-20"/>
        </w:rPr>
      </w:r>
      <w:r>
        <w:rPr/>
        <w:t>案等。这些软硬件产品构成了天玑科技服务用户的重要手段</w:t>
      </w:r>
      <w:r>
        <w:rPr>
          <w:rFonts w:ascii="宋体" w:hAnsi="宋体" w:cs="宋体" w:eastAsia="宋体" w:hint="default"/>
        </w:rPr>
        <w:t>,</w:t>
      </w:r>
      <w:r>
        <w:rPr/>
        <w:t>使得天玑科技具备从业务规划到业务落地的</w:t>
      </w:r>
      <w:r>
        <w:rPr>
          <w:spacing w:val="-3"/>
          <w:w w:val="100"/>
        </w:rPr>
        <w:t> </w:t>
      </w:r>
      <w:r>
        <w:rPr/>
        <w:t>整体能力。</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spacing w:line="240" w:lineRule="auto"/>
        <w:ind w:left="153" w:right="113"/>
        <w:jc w:val="left"/>
      </w:pPr>
      <w:r>
        <w:rPr/>
        <w:t>二、经营模式</w:t>
      </w:r>
    </w:p>
    <w:p>
      <w:pPr>
        <w:spacing w:line="240" w:lineRule="auto" w:before="10"/>
        <w:rPr>
          <w:rFonts w:ascii="宋体" w:hAnsi="宋体" w:cs="宋体" w:eastAsia="宋体" w:hint="default"/>
          <w:sz w:val="14"/>
          <w:szCs w:val="14"/>
        </w:rPr>
      </w:pPr>
    </w:p>
    <w:p>
      <w:pPr>
        <w:pStyle w:val="BodyText"/>
        <w:spacing w:line="408" w:lineRule="auto"/>
        <w:ind w:left="153" w:right="226" w:firstLine="420"/>
        <w:jc w:val="both"/>
      </w:pPr>
      <w:r>
        <w:rPr>
          <w:spacing w:val="-2"/>
        </w:rPr>
        <w:t>公司拥有独立完整的采购、研发、销售模式，根据市场需求及自身情况，独立进行生产经营活动。公</w:t>
      </w:r>
      <w:r>
        <w:rPr>
          <w:w w:val="100"/>
        </w:rPr>
        <w:t> </w:t>
      </w:r>
      <w:r>
        <w:rPr>
          <w:spacing w:val="-2"/>
        </w:rPr>
        <w:t>司在保持传统的经营模式的基础上，积极探索新产品的销售模式，有效地利用自身资源积极寻求外延式发</w:t>
      </w:r>
      <w:r>
        <w:rPr>
          <w:spacing w:val="-42"/>
        </w:rPr>
        <w:t> </w:t>
      </w:r>
      <w:r>
        <w:rPr>
          <w:spacing w:val="-42"/>
        </w:rPr>
      </w:r>
      <w:r>
        <w:rPr/>
        <w:t>展战略，实现公司资源整合最优化，确保公司持续稳定快速发展。</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408" w:lineRule="auto"/>
        <w:ind w:left="573" w:right="113" w:hanging="421"/>
        <w:jc w:val="left"/>
      </w:pPr>
      <w:r>
        <w:rPr/>
        <w:t>三、报告期业绩驱动因素</w:t>
      </w:r>
      <w:r>
        <w:rPr>
          <w:w w:val="100"/>
        </w:rPr>
        <w:t> </w:t>
      </w:r>
      <w:r>
        <w:rPr>
          <w:spacing w:val="-2"/>
        </w:rPr>
        <w:t>报告期内由于公司战略转型并进行新业务领域布局建设和投资，相应的费用较上年大幅提升，新业务</w:t>
      </w:r>
    </w:p>
    <w:p>
      <w:pPr>
        <w:pStyle w:val="Heading5"/>
        <w:spacing w:line="352" w:lineRule="auto"/>
        <w:ind w:right="113"/>
        <w:jc w:val="left"/>
      </w:pPr>
      <w:r>
        <w:rPr>
          <w:sz w:val="21"/>
          <w:szCs w:val="21"/>
        </w:rPr>
        <w:t>虽取得阶段性成果，但尚未盈利，从而对公司经营利润产生影响。</w:t>
      </w:r>
      <w:r>
        <w:rPr>
          <w:rFonts w:ascii="Times New Roman" w:hAnsi="Times New Roman" w:cs="Times New Roman" w:eastAsia="Times New Roman" w:hint="default"/>
        </w:rPr>
        <w:t>2015</w:t>
      </w:r>
      <w:r>
        <w:rPr/>
        <w:t>年度，公司实现营业收入</w:t>
      </w:r>
      <w:r>
        <w:rPr>
          <w:w w:val="100"/>
        </w:rPr>
        <w:t> </w:t>
      </w:r>
      <w:r>
        <w:rPr>
          <w:rFonts w:ascii="Times New Roman" w:hAnsi="Times New Roman" w:cs="Times New Roman" w:eastAsia="Times New Roman" w:hint="default"/>
          <w:spacing w:val="-5"/>
          <w:w w:val="100"/>
        </w:rPr>
        <w:t>394,995,623.83</w:t>
      </w:r>
      <w:r>
        <w:rPr>
          <w:spacing w:val="-5"/>
          <w:w w:val="100"/>
        </w:rPr>
        <w:t>元，比上一年同期下降</w:t>
      </w:r>
      <w:r>
        <w:rPr>
          <w:rFonts w:ascii="Times New Roman" w:hAnsi="Times New Roman" w:cs="Times New Roman" w:eastAsia="Times New Roman" w:hint="default"/>
          <w:spacing w:val="-5"/>
          <w:w w:val="100"/>
        </w:rPr>
        <w:t>3.43%</w:t>
      </w:r>
      <w:r>
        <w:rPr>
          <w:spacing w:val="-5"/>
          <w:w w:val="100"/>
        </w:rPr>
        <w:t>；营业利润</w:t>
      </w:r>
      <w:r>
        <w:rPr>
          <w:rFonts w:ascii="Times New Roman" w:hAnsi="Times New Roman" w:cs="Times New Roman" w:eastAsia="Times New Roman" w:hint="default"/>
          <w:spacing w:val="-5"/>
          <w:w w:val="100"/>
        </w:rPr>
        <w:t>33,069,331.82</w:t>
      </w:r>
      <w:r>
        <w:rPr>
          <w:spacing w:val="-5"/>
          <w:w w:val="100"/>
        </w:rPr>
        <w:t>元，比上一年同期下降</w:t>
      </w:r>
      <w:r>
        <w:rPr>
          <w:rFonts w:ascii="Times New Roman" w:hAnsi="Times New Roman" w:cs="Times New Roman" w:eastAsia="Times New Roman" w:hint="default"/>
          <w:spacing w:val="-5"/>
          <w:w w:val="100"/>
        </w:rPr>
        <w:t>58.70%</w:t>
      </w:r>
      <w:r>
        <w:rPr>
          <w:spacing w:val="-5"/>
          <w:w w:val="100"/>
        </w:rPr>
        <w:t>；</w:t>
      </w:r>
      <w:r>
        <w:rPr>
          <w:spacing w:val="-110"/>
          <w:w w:val="100"/>
        </w:rPr>
        <w:t> </w:t>
      </w:r>
      <w:r>
        <w:rPr/>
        <w:t>实现利润总额</w:t>
      </w:r>
      <w:r>
        <w:rPr>
          <w:rFonts w:ascii="Times New Roman" w:hAnsi="Times New Roman" w:cs="Times New Roman" w:eastAsia="Times New Roman" w:hint="default"/>
        </w:rPr>
        <w:t>45,713,777.19</w:t>
      </w:r>
      <w:r>
        <w:rPr/>
        <w:t>元，同比下降</w:t>
      </w:r>
      <w:r>
        <w:rPr>
          <w:rFonts w:ascii="Times New Roman" w:hAnsi="Times New Roman" w:cs="Times New Roman" w:eastAsia="Times New Roman" w:hint="default"/>
        </w:rPr>
        <w:t>47.27%</w:t>
      </w:r>
      <w:r>
        <w:rPr/>
        <w:t>，归属于上市公司普通股股东的净利润</w:t>
      </w:r>
    </w:p>
    <w:p>
      <w:pPr>
        <w:spacing w:after="0" w:line="352" w:lineRule="auto"/>
        <w:jc w:val="left"/>
        <w:sectPr>
          <w:pgSz w:w="11910" w:h="16840"/>
          <w:pgMar w:header="745" w:footer="982" w:top="1060" w:bottom="1180" w:left="980" w:right="900"/>
        </w:sectPr>
      </w:pPr>
    </w:p>
    <w:p>
      <w:pPr>
        <w:spacing w:line="240" w:lineRule="auto" w:before="12"/>
        <w:rPr>
          <w:rFonts w:ascii="宋体" w:hAnsi="宋体" w:cs="宋体" w:eastAsia="宋体" w:hint="default"/>
          <w:sz w:val="29"/>
          <w:szCs w:val="29"/>
        </w:rPr>
      </w:pPr>
    </w:p>
    <w:p>
      <w:pPr>
        <w:spacing w:before="29"/>
        <w:ind w:left="152" w:right="103" w:firstLine="0"/>
        <w:jc w:val="left"/>
        <w:rPr>
          <w:rFonts w:ascii="宋体" w:hAnsi="宋体" w:cs="宋体" w:eastAsia="宋体" w:hint="default"/>
          <w:sz w:val="23"/>
          <w:szCs w:val="23"/>
        </w:rPr>
      </w:pPr>
      <w:bookmarkStart w:name="1、主要资产重大变化情况" w:id="18"/>
      <w:bookmarkEnd w:id="18"/>
      <w:r>
        <w:rPr/>
      </w:r>
      <w:r>
        <w:rPr>
          <w:rFonts w:ascii="Times New Roman" w:hAnsi="Times New Roman" w:cs="Times New Roman" w:eastAsia="Times New Roman" w:hint="default"/>
          <w:sz w:val="21"/>
          <w:szCs w:val="21"/>
        </w:rPr>
        <w:t>45,302,096.37</w:t>
      </w:r>
      <w:r>
        <w:rPr>
          <w:rFonts w:ascii="宋体" w:hAnsi="宋体" w:cs="宋体" w:eastAsia="宋体" w:hint="default"/>
          <w:sz w:val="23"/>
          <w:szCs w:val="23"/>
        </w:rPr>
        <w:t>元，比上一年同期下降</w:t>
      </w:r>
      <w:r>
        <w:rPr>
          <w:rFonts w:ascii="Times New Roman" w:hAnsi="Times New Roman" w:cs="Times New Roman" w:eastAsia="Times New Roman" w:hint="default"/>
          <w:sz w:val="23"/>
          <w:szCs w:val="23"/>
        </w:rPr>
        <w:t>37.38%</w:t>
      </w:r>
      <w:r>
        <w:rPr>
          <w:rFonts w:ascii="宋体" w:hAnsi="宋体" w:cs="宋体" w:eastAsia="宋体" w:hint="default"/>
          <w:sz w:val="23"/>
          <w:szCs w:val="23"/>
        </w:rPr>
        <w:t>。</w:t>
      </w:r>
    </w:p>
    <w:p>
      <w:pPr>
        <w:pStyle w:val="BodyText"/>
        <w:spacing w:line="240" w:lineRule="auto" w:before="166"/>
        <w:ind w:right="103"/>
        <w:jc w:val="left"/>
      </w:pPr>
      <w:r>
        <w:rPr/>
        <w:t>四、行业发展格局。</w:t>
      </w:r>
    </w:p>
    <w:p>
      <w:pPr>
        <w:spacing w:line="240" w:lineRule="auto" w:before="10"/>
        <w:rPr>
          <w:rFonts w:ascii="宋体" w:hAnsi="宋体" w:cs="宋体" w:eastAsia="宋体" w:hint="default"/>
          <w:sz w:val="14"/>
          <w:szCs w:val="14"/>
        </w:rPr>
      </w:pPr>
    </w:p>
    <w:p>
      <w:pPr>
        <w:pStyle w:val="BodyText"/>
        <w:spacing w:line="403" w:lineRule="auto"/>
        <w:ind w:right="103" w:firstLine="420"/>
        <w:jc w:val="left"/>
        <w:rPr>
          <w:rFonts w:ascii="Times New Roman" w:hAnsi="Times New Roman" w:cs="Times New Roman" w:eastAsia="Times New Roman" w:hint="default"/>
        </w:rPr>
      </w:pPr>
      <w:r>
        <w:rPr>
          <w:rFonts w:ascii="Times New Roman" w:hAnsi="Times New Roman" w:cs="Times New Roman" w:eastAsia="Times New Roman" w:hint="default"/>
          <w:spacing w:val="-2"/>
        </w:rPr>
        <w:t>2015</w:t>
      </w:r>
      <w:r>
        <w:rPr>
          <w:spacing w:val="-2"/>
        </w:rPr>
        <w:t>年，是互联网风起云涌的一年，在我国十三五计划中出台了一系列重要政策，这其中就有与互联</w:t>
      </w:r>
      <w:r>
        <w:rPr>
          <w:spacing w:val="-3"/>
          <w:w w:val="100"/>
        </w:rPr>
        <w:t> </w:t>
      </w:r>
      <w:r>
        <w:rPr>
          <w:spacing w:val="-2"/>
        </w:rPr>
        <w:t>网息息相关的内容。全会提出</w:t>
      </w:r>
      <w:r>
        <w:rPr>
          <w:rFonts w:ascii="宋体" w:hAnsi="宋体" w:cs="宋体" w:eastAsia="宋体" w:hint="default"/>
          <w:spacing w:val="-2"/>
        </w:rPr>
        <w:t>“</w:t>
      </w:r>
      <w:r>
        <w:rPr>
          <w:spacing w:val="-2"/>
        </w:rPr>
        <w:t>坚持创新发展，必须把创新摆在国家发展全局的核心位置，不断推进理论</w:t>
      </w:r>
      <w:r>
        <w:rPr>
          <w:spacing w:val="-47"/>
        </w:rPr>
        <w:t> </w:t>
      </w:r>
      <w:r>
        <w:rPr>
          <w:spacing w:val="-47"/>
        </w:rPr>
      </w:r>
      <w:r>
        <w:rPr>
          <w:spacing w:val="-2"/>
        </w:rPr>
        <w:t>创新、制度创新、科技创新、文化创新等各方面创新，让创新贯穿党和国家一切工作，让创新在全社会蔚</w:t>
      </w:r>
      <w:r>
        <w:rPr>
          <w:spacing w:val="-43"/>
        </w:rPr>
        <w:t> </w:t>
      </w:r>
      <w:r>
        <w:rPr>
          <w:spacing w:val="-43"/>
        </w:rPr>
      </w:r>
      <w:r>
        <w:rPr>
          <w:spacing w:val="-2"/>
        </w:rPr>
        <w:t>然成风。必须把发展基点放在创新上，形成促进创新的体制架构，塑造更多依靠创新驱动、更多发挥先发</w:t>
      </w:r>
      <w:r>
        <w:rPr>
          <w:spacing w:val="-50"/>
        </w:rPr>
        <w:t> </w:t>
      </w:r>
      <w:r>
        <w:rPr>
          <w:spacing w:val="-50"/>
        </w:rPr>
      </w:r>
      <w:r>
        <w:rPr>
          <w:spacing w:val="-3"/>
        </w:rPr>
        <w:t>优势的引领型发展。培育发展新动力，优化劳动力、资本、土地、技术、管理等要素配置，激发创新创业</w:t>
      </w:r>
      <w:r>
        <w:rPr>
          <w:spacing w:val="-5"/>
        </w:rPr>
        <w:t> </w:t>
      </w:r>
      <w:r>
        <w:rPr>
          <w:spacing w:val="-5"/>
        </w:rPr>
      </w:r>
      <w:r>
        <w:rPr>
          <w:spacing w:val="-3"/>
        </w:rPr>
        <w:t>活力，推动大众创业、万众创新，释放新需求，创造新供给，推动新技术、新产业、新业态蓬勃发展。拓</w:t>
      </w:r>
      <w:r>
        <w:rPr>
          <w:spacing w:val="-6"/>
        </w:rPr>
        <w:t> </w:t>
      </w:r>
      <w:r>
        <w:rPr>
          <w:spacing w:val="-6"/>
        </w:rPr>
      </w:r>
      <w:r>
        <w:rPr>
          <w:spacing w:val="-2"/>
        </w:rPr>
        <w:t>展发展新空间，形成沿海沿江沿线经济带为主的纵向横向经济轴带，培育壮大若干重点经济区，实施网络</w:t>
      </w:r>
      <w:r>
        <w:rPr>
          <w:spacing w:val="-44"/>
        </w:rPr>
        <w:t> </w:t>
      </w:r>
      <w:r>
        <w:rPr>
          <w:spacing w:val="-44"/>
        </w:rPr>
      </w:r>
      <w:r>
        <w:rPr>
          <w:spacing w:val="-2"/>
        </w:rPr>
        <w:t>强国战略，实施</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行动计划，发展分享经济，实施国家大数据战略。深入实施创新驱动发展战略，</w:t>
      </w:r>
      <w:r>
        <w:rPr>
          <w:spacing w:val="-36"/>
        </w:rPr>
        <w:t> </w:t>
      </w:r>
      <w:r>
        <w:rPr>
          <w:spacing w:val="-36"/>
        </w:rPr>
      </w:r>
      <w:r>
        <w:rPr>
          <w:spacing w:val="-2"/>
        </w:rPr>
        <w:t>发挥科技创新在全面创新中的引领作用，实施一批国家重大科技项目，在重大创新领域组建一批国家实验</w:t>
      </w:r>
      <w:r>
        <w:rPr>
          <w:spacing w:val="-42"/>
        </w:rPr>
        <w:t> </w:t>
      </w:r>
      <w:r>
        <w:rPr>
          <w:spacing w:val="-42"/>
        </w:rPr>
      </w:r>
      <w:r>
        <w:rPr/>
        <w:t>室，积极提出并牵头组织国际大科学计划和大科学工程。</w:t>
      </w:r>
      <w:r>
        <w:rPr>
          <w:rFonts w:ascii="Times New Roman" w:hAnsi="Times New Roman" w:cs="Times New Roman" w:eastAsia="Times New Roman" w:hint="default"/>
        </w:rPr>
        <w:t>”</w:t>
      </w:r>
    </w:p>
    <w:p>
      <w:pPr>
        <w:pStyle w:val="BodyText"/>
        <w:spacing w:line="396" w:lineRule="auto" w:before="19"/>
        <w:ind w:right="103" w:firstLine="419"/>
        <w:jc w:val="left"/>
      </w:pPr>
      <w:r>
        <w:rPr>
          <w:spacing w:val="-2"/>
        </w:rPr>
        <w:t>对</w:t>
      </w:r>
      <w:r>
        <w:rPr>
          <w:rFonts w:ascii="Times New Roman" w:hAnsi="Times New Roman" w:cs="Times New Roman" w:eastAsia="Times New Roman" w:hint="default"/>
          <w:spacing w:val="-2"/>
        </w:rPr>
        <w:t>IT</w:t>
      </w:r>
      <w:r>
        <w:rPr>
          <w:spacing w:val="-2"/>
        </w:rPr>
        <w:t>行业的企业而言，这是一个千载难逢的机遇。强化，以行业业务为主导，技术为核心，抓住时代</w:t>
      </w:r>
      <w:r>
        <w:rPr>
          <w:w w:val="100"/>
        </w:rPr>
        <w:t> </w:t>
      </w:r>
      <w:r>
        <w:rPr/>
        <w:t>机遇乘风远行是天玑科技的决心。天玑科技理解，</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强调了两个属性，一个是业务的属性：用户</w:t>
      </w:r>
      <w:r>
        <w:rPr>
          <w:spacing w:val="-3"/>
          <w:w w:val="100"/>
        </w:rPr>
        <w:t> </w:t>
      </w:r>
      <w:r>
        <w:rPr>
          <w:spacing w:val="-2"/>
        </w:rPr>
        <w:t>业务将通过互联网实现业务模式的升级，将用户与企业更紧密的链接，另一个是技术属性：通过互联网的</w:t>
      </w:r>
      <w:r>
        <w:rPr>
          <w:spacing w:val="-44"/>
        </w:rPr>
        <w:t> </w:t>
      </w:r>
      <w:r>
        <w:rPr>
          <w:spacing w:val="-44"/>
        </w:rPr>
      </w:r>
      <w:r>
        <w:rPr/>
        <w:t>技术实力来支撑企业的运营。这都将催生巨大的</w:t>
      </w:r>
      <w:r>
        <w:rPr>
          <w:rFonts w:ascii="Times New Roman" w:hAnsi="Times New Roman" w:cs="Times New Roman" w:eastAsia="Times New Roman" w:hint="default"/>
        </w:rPr>
        <w:t>IT</w:t>
      </w:r>
      <w:r>
        <w:rPr/>
        <w:t>需求。</w:t>
      </w:r>
      <w:r>
        <w:rPr>
          <w:rFonts w:ascii="Times New Roman" w:hAnsi="Times New Roman" w:cs="Times New Roman" w:eastAsia="Times New Roman" w:hint="default"/>
        </w:rPr>
        <w:t>CCW</w:t>
      </w:r>
      <w:r>
        <w:rPr/>
        <w:t>曾预测</w:t>
      </w:r>
      <w:r>
        <w:rPr>
          <w:rFonts w:ascii="Times New Roman" w:hAnsi="Times New Roman" w:cs="Times New Roman" w:eastAsia="Times New Roman" w:hint="default"/>
        </w:rPr>
        <w:t>2016</w:t>
      </w:r>
      <w:r>
        <w:rPr/>
        <w:t>年中国</w:t>
      </w:r>
      <w:r>
        <w:rPr>
          <w:rFonts w:ascii="Times New Roman" w:hAnsi="Times New Roman" w:cs="Times New Roman" w:eastAsia="Times New Roman" w:hint="default"/>
        </w:rPr>
        <w:t>IT</w:t>
      </w:r>
      <w:r>
        <w:rPr/>
        <w:t>服务市场将达到</w:t>
      </w:r>
      <w:r>
        <w:rPr>
          <w:rFonts w:ascii="Times New Roman" w:hAnsi="Times New Roman" w:cs="Times New Roman" w:eastAsia="Times New Roman" w:hint="default"/>
        </w:rPr>
        <w:t>1951</w:t>
      </w:r>
      <w:r>
        <w:rPr>
          <w:rFonts w:ascii="Times New Roman" w:hAnsi="Times New Roman" w:cs="Times New Roman" w:eastAsia="Times New Roman" w:hint="default"/>
          <w:spacing w:val="-3"/>
          <w:w w:val="100"/>
        </w:rPr>
        <w:t> </w:t>
      </w:r>
      <w:r>
        <w:rPr>
          <w:spacing w:val="-2"/>
        </w:rPr>
        <w:t>亿的规模。而天玑科技通过传统技术以及转型研发的各种产品，都将更有力的推进公司在相关市场的占有</w:t>
      </w:r>
      <w:r>
        <w:rPr>
          <w:spacing w:val="-43"/>
        </w:rPr>
        <w:t> </w:t>
      </w:r>
      <w:r>
        <w:rPr>
          <w:spacing w:val="-43"/>
        </w:rPr>
      </w:r>
      <w:r>
        <w:rPr/>
        <w:t>率。</w:t>
      </w:r>
    </w:p>
    <w:p>
      <w:pPr>
        <w:spacing w:line="240" w:lineRule="auto" w:before="5"/>
        <w:rPr>
          <w:rFonts w:ascii="宋体" w:hAnsi="宋体" w:cs="宋体" w:eastAsia="宋体" w:hint="default"/>
          <w:sz w:val="19"/>
          <w:szCs w:val="19"/>
        </w:rPr>
      </w:pPr>
    </w:p>
    <w:p>
      <w:pPr>
        <w:pStyle w:val="Heading4"/>
        <w:spacing w:line="240" w:lineRule="auto"/>
        <w:ind w:right="103"/>
        <w:jc w:val="left"/>
        <w:rPr>
          <w:b w:val="0"/>
          <w:bCs w:val="0"/>
        </w:rPr>
      </w:pP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03"/>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38"/>
        <w:gridCol w:w="6518"/>
      </w:tblGrid>
      <w:tr>
        <w:trPr>
          <w:trHeight w:val="187" w:hRule="exact"/>
        </w:trPr>
        <w:tc>
          <w:tcPr>
            <w:tcW w:w="3038" w:type="dxa"/>
            <w:tcBorders>
              <w:top w:val="single" w:sz="4" w:space="0" w:color="000000"/>
              <w:left w:val="single" w:sz="4" w:space="0" w:color="000000"/>
              <w:bottom w:val="nil" w:sz="6" w:space="0" w:color="auto"/>
              <w:right w:val="single" w:sz="4" w:space="0" w:color="000000"/>
            </w:tcBorders>
            <w:shd w:val="clear" w:color="auto" w:fill="D4D4D4"/>
          </w:tcPr>
          <w:p>
            <w:pPr/>
          </w:p>
        </w:tc>
        <w:tc>
          <w:tcPr>
            <w:tcW w:w="651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303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38" w:type="dxa"/>
            <w:tcBorders>
              <w:top w:val="nil" w:sz="6" w:space="0" w:color="auto"/>
              <w:left w:val="single" w:sz="4" w:space="0" w:color="000000"/>
              <w:bottom w:val="single" w:sz="4" w:space="0" w:color="000000"/>
              <w:right w:val="single" w:sz="4" w:space="0" w:color="000000"/>
            </w:tcBorders>
            <w:shd w:val="clear" w:color="auto" w:fill="D4D4D4"/>
          </w:tcPr>
          <w:p>
            <w:pPr/>
          </w:p>
        </w:tc>
        <w:tc>
          <w:tcPr>
            <w:tcW w:w="651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19" w:hRule="exact"/>
        </w:trPr>
        <w:tc>
          <w:tcPr>
            <w:tcW w:w="3038" w:type="dxa"/>
            <w:tcBorders>
              <w:top w:val="single" w:sz="4" w:space="0" w:color="000000"/>
              <w:left w:val="single" w:sz="4" w:space="0" w:color="000000"/>
              <w:bottom w:val="nil" w:sz="6" w:space="0" w:color="auto"/>
              <w:right w:val="single" w:sz="4" w:space="0" w:color="000000"/>
            </w:tcBorders>
            <w:shd w:val="clear" w:color="auto" w:fill="D4D4D4"/>
          </w:tcPr>
          <w:p>
            <w:pPr/>
          </w:p>
        </w:tc>
        <w:tc>
          <w:tcPr>
            <w:tcW w:w="6518" w:type="dxa"/>
            <w:vMerge w:val="restart"/>
            <w:tcBorders>
              <w:top w:val="single" w:sz="4" w:space="0" w:color="000000"/>
              <w:left w:val="single" w:sz="10" w:space="0" w:color="D4D4D4"/>
              <w:right w:val="single" w:sz="4" w:space="0" w:color="000000"/>
            </w:tcBorders>
          </w:tcPr>
          <w:p>
            <w:pPr>
              <w:pStyle w:val="TableParagraph"/>
              <w:spacing w:line="300" w:lineRule="auto" w:before="51"/>
              <w:ind w:left="16" w:right="19"/>
              <w:jc w:val="both"/>
              <w:rPr>
                <w:rFonts w:ascii="宋体" w:hAnsi="宋体" w:cs="宋体" w:eastAsia="宋体" w:hint="default"/>
                <w:sz w:val="18"/>
                <w:szCs w:val="18"/>
              </w:rPr>
            </w:pPr>
            <w:r>
              <w:rPr>
                <w:rFonts w:ascii="宋体" w:hAnsi="宋体" w:cs="宋体" w:eastAsia="宋体" w:hint="default"/>
                <w:sz w:val="18"/>
                <w:szCs w:val="18"/>
              </w:rPr>
              <w:t>公司控股子公司上海天玑数据技术有限公司使用自有资金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bookmarkStart w:name="二、主要资产重大变化情况" w:id="19"/>
            <w:bookmarkEnd w:id="19"/>
            <w:r>
              <w:rPr>
                <w:rFonts w:ascii="Times New Roman" w:hAnsi="Times New Roman" w:cs="Times New Roman" w:eastAsia="Times New Roman" w:hint="default"/>
                <w:spacing w:val="1"/>
                <w:sz w:val="18"/>
                <w:szCs w:val="18"/>
              </w:rPr>
            </w:r>
            <w:r>
              <w:rPr>
                <w:rFonts w:ascii="宋体" w:hAnsi="宋体" w:cs="宋体" w:eastAsia="宋体" w:hint="default"/>
                <w:sz w:val="18"/>
                <w:szCs w:val="18"/>
              </w:rPr>
              <w:t>万元增资深圳市杉 岩数据技术有限公司，本次增资完成后，天玑数据将持有杉岩数据</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的股权并对 该公司产生重大影响。截至本年末，公司已全额支付上述增资款。</w:t>
            </w:r>
          </w:p>
        </w:tc>
      </w:tr>
      <w:tr>
        <w:trPr>
          <w:trHeight w:val="391" w:hRule="exact"/>
        </w:trPr>
        <w:tc>
          <w:tcPr>
            <w:tcW w:w="303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8" w:type="dxa"/>
            <w:vMerge/>
            <w:tcBorders>
              <w:left w:val="single" w:sz="10" w:space="0" w:color="D4D4D4"/>
              <w:right w:val="single" w:sz="4" w:space="0" w:color="000000"/>
            </w:tcBorders>
          </w:tcPr>
          <w:p>
            <w:pPr/>
          </w:p>
        </w:tc>
      </w:tr>
      <w:tr>
        <w:trPr>
          <w:trHeight w:val="317" w:hRule="exact"/>
        </w:trPr>
        <w:tc>
          <w:tcPr>
            <w:tcW w:w="3038" w:type="dxa"/>
            <w:tcBorders>
              <w:top w:val="nil" w:sz="6" w:space="0" w:color="auto"/>
              <w:left w:val="single" w:sz="4" w:space="0" w:color="000000"/>
              <w:bottom w:val="single" w:sz="4" w:space="0" w:color="000000"/>
              <w:right w:val="single" w:sz="4" w:space="0" w:color="000000"/>
            </w:tcBorders>
            <w:shd w:val="clear" w:color="auto" w:fill="D4D4D4"/>
          </w:tcPr>
          <w:p>
            <w:pPr/>
          </w:p>
        </w:tc>
        <w:tc>
          <w:tcPr>
            <w:tcW w:w="6518" w:type="dxa"/>
            <w:vMerge/>
            <w:tcBorders>
              <w:left w:val="single" w:sz="10" w:space="0" w:color="D4D4D4"/>
              <w:bottom w:val="single" w:sz="4" w:space="0" w:color="000000"/>
              <w:right w:val="single" w:sz="4" w:space="0" w:color="000000"/>
            </w:tcBorders>
          </w:tcPr>
          <w:p>
            <w:pPr/>
          </w:p>
        </w:tc>
      </w:tr>
      <w:tr>
        <w:trPr>
          <w:trHeight w:val="401" w:hRule="exact"/>
        </w:trPr>
        <w:tc>
          <w:tcPr>
            <w:tcW w:w="30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30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298" w:hRule="exact"/>
        </w:trPr>
        <w:tc>
          <w:tcPr>
            <w:tcW w:w="3038" w:type="dxa"/>
            <w:tcBorders>
              <w:top w:val="single" w:sz="4" w:space="0" w:color="000000"/>
              <w:left w:val="single" w:sz="4" w:space="0" w:color="000000"/>
              <w:bottom w:val="nil" w:sz="6" w:space="0" w:color="auto"/>
              <w:right w:val="single" w:sz="4" w:space="0" w:color="000000"/>
            </w:tcBorders>
            <w:shd w:val="clear" w:color="auto" w:fill="D4D4D4"/>
          </w:tcPr>
          <w:p>
            <w:pPr/>
          </w:p>
        </w:tc>
        <w:tc>
          <w:tcPr>
            <w:tcW w:w="6518" w:type="dxa"/>
            <w:vMerge w:val="restart"/>
            <w:tcBorders>
              <w:top w:val="single" w:sz="4" w:space="0" w:color="000000"/>
              <w:left w:val="single" w:sz="10" w:space="0" w:color="D4D4D4"/>
              <w:right w:val="single" w:sz="4" w:space="0" w:color="000000"/>
            </w:tcBorders>
          </w:tcPr>
          <w:p>
            <w:pPr>
              <w:pStyle w:val="TableParagraph"/>
              <w:spacing w:line="316" w:lineRule="auto" w:before="51"/>
              <w:ind w:left="16" w:right="91"/>
              <w:jc w:val="left"/>
              <w:rPr>
                <w:rFonts w:ascii="宋体" w:hAnsi="宋体" w:cs="宋体" w:eastAsia="宋体" w:hint="default"/>
                <w:sz w:val="18"/>
                <w:szCs w:val="18"/>
              </w:rPr>
            </w:pPr>
            <w:r>
              <w:rPr>
                <w:rFonts w:ascii="宋体" w:hAnsi="宋体" w:cs="宋体" w:eastAsia="宋体" w:hint="default"/>
                <w:sz w:val="18"/>
                <w:szCs w:val="18"/>
              </w:rPr>
              <w:t>公司第三届董事会第二次会议审议通过了《关于变更部分募投项目实施地点的议 </w:t>
            </w:r>
            <w:r>
              <w:rPr>
                <w:rFonts w:ascii="宋体" w:hAnsi="宋体" w:cs="宋体" w:eastAsia="宋体" w:hint="default"/>
                <w:spacing w:val="-3"/>
                <w:sz w:val="18"/>
                <w:szCs w:val="18"/>
              </w:rPr>
              <w:t>案》，决定购置位于杭州市萧山区宁围镇市心北路的“博地世纪中心”办公楼房产</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作为两个募投项目的房产。房产总价约为人民币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3,413.476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万元。公司第三届董事</w:t>
            </w:r>
          </w:p>
        </w:tc>
      </w:tr>
      <w:tr>
        <w:trPr>
          <w:trHeight w:val="394" w:hRule="exact"/>
        </w:trPr>
        <w:tc>
          <w:tcPr>
            <w:tcW w:w="303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8" w:type="dxa"/>
            <w:vMerge/>
            <w:tcBorders>
              <w:left w:val="single" w:sz="10" w:space="0" w:color="D4D4D4"/>
              <w:right w:val="single" w:sz="4" w:space="0" w:color="000000"/>
            </w:tcBorders>
          </w:tcPr>
          <w:p>
            <w:pPr/>
          </w:p>
        </w:tc>
      </w:tr>
      <w:tr>
        <w:trPr>
          <w:trHeight w:val="295" w:hRule="exact"/>
        </w:trPr>
        <w:tc>
          <w:tcPr>
            <w:tcW w:w="3038" w:type="dxa"/>
            <w:tcBorders>
              <w:top w:val="nil" w:sz="6" w:space="0" w:color="auto"/>
              <w:left w:val="single" w:sz="4" w:space="0" w:color="000000"/>
              <w:bottom w:val="single" w:sz="4" w:space="0" w:color="000000"/>
              <w:right w:val="single" w:sz="4" w:space="0" w:color="000000"/>
            </w:tcBorders>
            <w:shd w:val="clear" w:color="auto" w:fill="D4D4D4"/>
          </w:tcPr>
          <w:p>
            <w:pPr/>
          </w:p>
        </w:tc>
        <w:tc>
          <w:tcPr>
            <w:tcW w:w="6518" w:type="dxa"/>
            <w:vMerge/>
            <w:tcBorders>
              <w:left w:val="single" w:sz="10" w:space="0" w:color="D4D4D4"/>
              <w:bottom w:val="single" w:sz="4" w:space="0" w:color="000000"/>
              <w:right w:val="single" w:sz="4" w:space="0" w:color="000000"/>
            </w:tcBorders>
          </w:tcPr>
          <w:p>
            <w:pPr/>
          </w:p>
        </w:tc>
      </w:tr>
    </w:tbl>
    <w:p>
      <w:pPr>
        <w:spacing w:after="0"/>
        <w:sectPr>
          <w:pgSz w:w="11910" w:h="16840"/>
          <w:pgMar w:header="745" w:footer="982" w:top="1060" w:bottom="1180" w:left="980" w:right="920"/>
        </w:sectPr>
      </w:pPr>
    </w:p>
    <w:p>
      <w:pPr>
        <w:spacing w:line="240" w:lineRule="auto" w:before="2"/>
        <w:rPr>
          <w:rFonts w:ascii="宋体" w:hAnsi="宋体" w:cs="宋体" w:eastAsia="宋体" w:hint="default"/>
          <w:b/>
          <w:bCs/>
          <w:sz w:val="28"/>
          <w:szCs w:val="28"/>
        </w:rPr>
      </w:pPr>
    </w:p>
    <w:p>
      <w:pPr>
        <w:spacing w:line="1005" w:lineRule="exact"/>
        <w:ind w:left="148" w:right="0" w:firstLine="0"/>
        <w:rPr>
          <w:rFonts w:ascii="宋体" w:hAnsi="宋体" w:cs="宋体" w:eastAsia="宋体" w:hint="default"/>
          <w:sz w:val="20"/>
          <w:szCs w:val="20"/>
        </w:rPr>
      </w:pPr>
      <w:r>
        <w:rPr>
          <w:rFonts w:ascii="宋体" w:hAnsi="宋体" w:cs="宋体" w:eastAsia="宋体" w:hint="default"/>
          <w:position w:val="-19"/>
          <w:sz w:val="20"/>
          <w:szCs w:val="20"/>
        </w:rPr>
        <w:pict>
          <v:group style="width:478.95pt;height:50.3pt;mso-position-horizontal-relative:char;mso-position-vertical-relative:line" coordorigin="0,0" coordsize="9579,1006">
            <v:group style="position:absolute;left:12;top:14;width:3041;height:977" coordorigin="12,14" coordsize="3041,977">
              <v:shape style="position:absolute;left:12;top:14;width:3041;height:977" coordorigin="12,14" coordsize="3041,977" path="m12,991l3053,991,3053,14,12,14,12,991xe" filled="true" fillcolor="#d4d4d4" stroked="false">
                <v:path arrowok="t"/>
                <v:fill type="solid"/>
              </v:shape>
            </v:group>
            <v:group style="position:absolute;left:10;top:10;width:3041;height:2" coordorigin="10,10" coordsize="3041,2">
              <v:shape style="position:absolute;left:10;top:10;width:3041;height:2" coordorigin="10,10" coordsize="3041,0" path="m10,10l3050,10e" filled="false" stroked="true" strokeweight=".48pt" strokecolor="#000000">
                <v:path arrowok="t"/>
              </v:shape>
            </v:group>
            <v:group style="position:absolute;left:3060;top:10;width:6509;height:2" coordorigin="3060,10" coordsize="6509,2">
              <v:shape style="position:absolute;left:3060;top:10;width:6509;height:2" coordorigin="3060,10" coordsize="6509,0" path="m3060,10l9569,10e" filled="false" stroked="true" strokeweight=".48pt" strokecolor="#000000">
                <v:path arrowok="t"/>
              </v:shape>
            </v:group>
            <v:group style="position:absolute;left:5;top:5;width:2;height:996" coordorigin="5,5" coordsize="2,996">
              <v:shape style="position:absolute;left:5;top:5;width:2;height:996" coordorigin="5,5" coordsize="0,996" path="m5,5l5,1001e" filled="false" stroked="true" strokeweight=".48pt" strokecolor="#000000">
                <v:path arrowok="t"/>
              </v:shape>
            </v:group>
            <v:group style="position:absolute;left:10;top:996;width:3041;height:2" coordorigin="10,996" coordsize="3041,2">
              <v:shape style="position:absolute;left:10;top:996;width:3041;height:2" coordorigin="10,996" coordsize="3041,0" path="m10,996l3050,996e" filled="false" stroked="true" strokeweight=".48pt" strokecolor="#000000">
                <v:path arrowok="t"/>
              </v:shape>
            </v:group>
            <v:group style="position:absolute;left:3055;top:5;width:2;height:996" coordorigin="3055,5" coordsize="2,996">
              <v:shape style="position:absolute;left:3055;top:5;width:2;height:996" coordorigin="3055,5" coordsize="0,996" path="m3055,5l3055,1001e" filled="false" stroked="true" strokeweight=".48pt" strokecolor="#000000">
                <v:path arrowok="t"/>
              </v:shape>
            </v:group>
            <v:group style="position:absolute;left:3060;top:996;width:6509;height:2" coordorigin="3060,996" coordsize="6509,2">
              <v:shape style="position:absolute;left:3060;top:996;width:6509;height:2" coordorigin="3060,996" coordsize="6509,0" path="m3060,996l9569,996e" filled="false" stroked="true" strokeweight=".48pt" strokecolor="#000000">
                <v:path arrowok="t"/>
              </v:shape>
            </v:group>
            <v:group style="position:absolute;left:9574;top:5;width:2;height:996" coordorigin="9574,5" coordsize="2,996">
              <v:shape style="position:absolute;left:9574;top:5;width:2;height:996" coordorigin="9574,5" coordsize="0,996" path="m9574,5l9574,1001e" filled="false" stroked="true" strokeweight=".48pt" strokecolor="#000000">
                <v:path arrowok="t"/>
              </v:shape>
              <v:shape style="position:absolute;left:3055;top:10;width:6519;height:987" type="#_x0000_t202" filled="false" stroked="false">
                <v:textbox inset="0,0,0,0">
                  <w:txbxContent>
                    <w:p>
                      <w:pPr>
                        <w:spacing w:line="316" w:lineRule="auto" w:before="13"/>
                        <w:ind w:left="28" w:right="26" w:firstLine="0"/>
                        <w:jc w:val="left"/>
                        <w:rPr>
                          <w:rFonts w:ascii="宋体" w:hAnsi="宋体" w:cs="宋体" w:eastAsia="宋体" w:hint="default"/>
                          <w:sz w:val="18"/>
                          <w:szCs w:val="18"/>
                        </w:rPr>
                      </w:pPr>
                      <w:r>
                        <w:rPr>
                          <w:rFonts w:ascii="宋体" w:hAnsi="宋体" w:cs="宋体" w:eastAsia="宋体" w:hint="default"/>
                          <w:sz w:val="18"/>
                          <w:szCs w:val="18"/>
                        </w:rPr>
                        <w:t>会第二次会议审议通过《关于使用超募资金购买办公房产并设立全资子公司的公 </w:t>
                      </w:r>
                      <w:r>
                        <w:rPr>
                          <w:rFonts w:ascii="宋体" w:hAnsi="宋体" w:cs="宋体" w:eastAsia="宋体" w:hint="default"/>
                          <w:spacing w:val="-13"/>
                          <w:sz w:val="18"/>
                          <w:szCs w:val="18"/>
                        </w:rPr>
                        <w:t>告》，计划使用不超过人民币 </w:t>
                      </w:r>
                      <w:r>
                        <w:rPr>
                          <w:rFonts w:ascii="Times New Roman" w:hAnsi="Times New Roman" w:cs="Times New Roman" w:eastAsia="Times New Roman" w:hint="default"/>
                          <w:sz w:val="18"/>
                          <w:szCs w:val="18"/>
                        </w:rPr>
                        <w:t>3,800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万元的超募资金用于设立全资子公司并购置办公</w:t>
                      </w:r>
                    </w:p>
                    <w:p>
                      <w:pPr>
                        <w:spacing w:line="248" w:lineRule="exact" w:before="0"/>
                        <w:ind w:left="28" w:right="0" w:firstLine="0"/>
                        <w:jc w:val="left"/>
                        <w:rPr>
                          <w:rFonts w:ascii="宋体" w:hAnsi="宋体" w:cs="宋体" w:eastAsia="宋体" w:hint="default"/>
                          <w:sz w:val="18"/>
                          <w:szCs w:val="18"/>
                        </w:rPr>
                      </w:pPr>
                      <w:r>
                        <w:rPr>
                          <w:rFonts w:ascii="宋体" w:hAnsi="宋体" w:cs="宋体" w:eastAsia="宋体" w:hint="default"/>
                          <w:sz w:val="18"/>
                          <w:szCs w:val="18"/>
                        </w:rPr>
                        <w:t>房产。截至本年末，公司已预付以上相关购房款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67,927,420.00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xbxContent>
                </v:textbox>
                <w10:wrap type="none"/>
              </v:shape>
            </v:group>
          </v:group>
        </w:pict>
      </w:r>
      <w:r>
        <w:rPr>
          <w:rFonts w:ascii="宋体" w:hAnsi="宋体" w:cs="宋体" w:eastAsia="宋体" w:hint="default"/>
          <w:position w:val="-19"/>
          <w:sz w:val="20"/>
          <w:szCs w:val="20"/>
        </w:rPr>
      </w:r>
    </w:p>
    <w:p>
      <w:pPr>
        <w:spacing w:line="240" w:lineRule="auto" w:before="12"/>
        <w:rPr>
          <w:rFonts w:ascii="宋体" w:hAnsi="宋体" w:cs="宋体" w:eastAsia="宋体" w:hint="default"/>
          <w:b/>
          <w:bCs/>
          <w:sz w:val="18"/>
          <w:szCs w:val="18"/>
        </w:rPr>
      </w:pPr>
    </w:p>
    <w:p>
      <w:pPr>
        <w:pStyle w:val="Heading6"/>
        <w:spacing w:line="240" w:lineRule="auto" w:before="36"/>
        <w:ind w:right="0"/>
        <w:jc w:val="left"/>
        <w:rPr>
          <w:b w:val="0"/>
          <w:bCs w:val="0"/>
        </w:rPr>
      </w:pPr>
      <w:r>
        <w:rPr>
          <w:rFonts w:ascii="Times New Roman" w:hAnsi="Times New Roman" w:cs="Times New Roman" w:eastAsia="Times New Roman" w:hint="default"/>
        </w:rPr>
        <w:t>2</w:t>
      </w:r>
      <w:bookmarkStart w:name="2、主要境外资产情况" w:id="20"/>
      <w:bookmarkEnd w:id="20"/>
      <w:r>
        <w:rPr>
          <w:rFonts w:ascii="Times New Roman" w:hAnsi="Times New Roman" w:cs="Times New Roman" w:eastAsia="Times New Roman" w:hint="default"/>
        </w:rPr>
      </w:r>
      <w:r>
        <w:rPr/>
        <w:t>、主要境外资产情况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r>
        <w:rPr/>
        <w:t>三、核心竞争力分析</w:t>
      </w:r>
      <w:r>
        <w:rPr>
          <w:b w:val="0"/>
          <w:bCs w:val="0"/>
        </w:rPr>
      </w:r>
    </w:p>
    <w:p>
      <w:pPr>
        <w:spacing w:line="240" w:lineRule="auto" w:before="10"/>
        <w:rPr>
          <w:rFonts w:ascii="宋体" w:hAnsi="宋体" w:cs="宋体" w:eastAsia="宋体" w:hint="default"/>
          <w:b/>
          <w:bCs/>
          <w:sz w:val="30"/>
          <w:szCs w:val="30"/>
        </w:rPr>
      </w:pPr>
    </w:p>
    <w:p>
      <w:pPr>
        <w:pStyle w:val="BodyText"/>
        <w:spacing w:line="398" w:lineRule="auto"/>
        <w:ind w:right="125" w:firstLine="420"/>
        <w:jc w:val="both"/>
        <w:rPr>
          <w:rFonts w:ascii="宋体" w:hAnsi="宋体" w:cs="宋体" w:eastAsia="宋体" w:hint="default"/>
        </w:rPr>
      </w:pPr>
      <w:r>
        <w:rPr>
          <w:rFonts w:ascii="Times New Roman" w:hAnsi="Times New Roman" w:cs="Times New Roman" w:eastAsia="Times New Roman" w:hint="default"/>
          <w:spacing w:val="-2"/>
        </w:rPr>
        <w:t>2015</w:t>
      </w:r>
      <w:r>
        <w:rPr>
          <w:spacing w:val="-2"/>
        </w:rPr>
        <w:t>年度，随着战略</w:t>
      </w:r>
      <w:bookmarkStart w:name="三、核心竞争力分析" w:id="21"/>
      <w:bookmarkEnd w:id="21"/>
      <w:r>
        <w:rPr>
          <w:spacing w:val="-2"/>
        </w:rPr>
        <w:t>转</w:t>
      </w:r>
      <w:r>
        <w:rPr>
          <w:spacing w:val="-2"/>
        </w:rPr>
        <w:t>型的推进，新兴业务的大力发展，在行业经验、客户积累、技术沉淀与创新、</w:t>
      </w:r>
      <w:r>
        <w:rPr>
          <w:w w:val="100"/>
        </w:rPr>
        <w:t> </w:t>
      </w:r>
      <w:r>
        <w:rPr>
          <w:spacing w:val="-2"/>
        </w:rPr>
        <w:t>产品质量、人才储备等方面的核心竞争力进一步增强。公司报告期内知识产权及其荣誉资质等情况如下：</w:t>
      </w:r>
      <w:r>
        <w:rPr>
          <w:spacing w:val="-24"/>
        </w:rPr>
        <w:t> </w:t>
      </w:r>
      <w:r>
        <w:rPr>
          <w:spacing w:val="-24"/>
        </w:rPr>
      </w:r>
      <w:r>
        <w:rPr>
          <w:rFonts w:ascii="宋体" w:hAnsi="宋体" w:cs="宋体" w:eastAsia="宋体" w:hint="default"/>
          <w:b/>
          <w:bCs/>
        </w:rPr>
        <w:t>1.</w:t>
      </w:r>
      <w:r>
        <w:rPr>
          <w:rFonts w:ascii="宋体" w:hAnsi="宋体" w:cs="宋体" w:eastAsia="宋体" w:hint="default"/>
          <w:b/>
          <w:bCs/>
          <w:spacing w:val="42"/>
        </w:rPr>
        <w:t> </w:t>
      </w:r>
      <w:r>
        <w:rPr>
          <w:rFonts w:ascii="宋体" w:hAnsi="宋体" w:cs="宋体" w:eastAsia="宋体" w:hint="default"/>
          <w:b/>
          <w:bCs/>
        </w:rPr>
        <w:t>专利权</w:t>
      </w:r>
      <w:r>
        <w:rPr>
          <w:rFonts w:ascii="宋体" w:hAnsi="宋体" w:cs="宋体" w:eastAsia="宋体" w:hint="default"/>
        </w:rPr>
      </w:r>
    </w:p>
    <w:p>
      <w:pPr>
        <w:pStyle w:val="BodyText"/>
        <w:spacing w:line="386" w:lineRule="auto" w:before="54"/>
        <w:ind w:right="0" w:firstLine="359"/>
        <w:jc w:val="left"/>
      </w:pPr>
      <w:r>
        <w:rPr>
          <w:spacing w:val="-2"/>
        </w:rPr>
        <w:t>报告期内，公司控股子公司新增申请已获受理专利一项，截止报告期末，公司及控股子公司已申请</w:t>
      </w:r>
      <w:r>
        <w:rPr>
          <w:rFonts w:ascii="Times New Roman" w:hAnsi="Times New Roman" w:cs="Times New Roman" w:eastAsia="Times New Roman" w:hint="default"/>
          <w:spacing w:val="-2"/>
        </w:rPr>
        <w:t>5</w:t>
      </w:r>
      <w:r>
        <w:rPr>
          <w:rFonts w:ascii="Times New Roman" w:hAnsi="Times New Roman" w:cs="Times New Roman" w:eastAsia="Times New Roman" w:hint="default"/>
          <w:w w:val="100"/>
        </w:rPr>
        <w:t> </w:t>
      </w:r>
      <w:r>
        <w:rPr/>
        <w:t>项专利。</w:t>
      </w:r>
    </w:p>
    <w:tbl>
      <w:tblPr>
        <w:tblW w:w="0" w:type="auto"/>
        <w:jc w:val="left"/>
        <w:tblInd w:w="145" w:type="dxa"/>
        <w:tblLayout w:type="fixed"/>
        <w:tblCellMar>
          <w:top w:w="0" w:type="dxa"/>
          <w:left w:w="0" w:type="dxa"/>
          <w:bottom w:w="0" w:type="dxa"/>
          <w:right w:w="0" w:type="dxa"/>
        </w:tblCellMar>
        <w:tblLook w:val="01E0"/>
      </w:tblPr>
      <w:tblGrid>
        <w:gridCol w:w="852"/>
        <w:gridCol w:w="2693"/>
        <w:gridCol w:w="1558"/>
        <w:gridCol w:w="1135"/>
        <w:gridCol w:w="1702"/>
        <w:gridCol w:w="912"/>
      </w:tblGrid>
      <w:tr>
        <w:trPr>
          <w:trHeight w:val="34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389"/>
              <w:jc w:val="right"/>
              <w:rPr>
                <w:rFonts w:ascii="宋体" w:hAnsi="宋体" w:cs="宋体" w:eastAsia="宋体" w:hint="default"/>
                <w:sz w:val="22"/>
                <w:szCs w:val="22"/>
              </w:rPr>
            </w:pPr>
            <w:r>
              <w:rPr>
                <w:rFonts w:ascii="宋体" w:hAnsi="宋体" w:cs="宋体" w:eastAsia="宋体" w:hint="default"/>
                <w:sz w:val="22"/>
                <w:szCs w:val="22"/>
              </w:rPr>
              <w:t>序号</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sz w:val="22"/>
                <w:szCs w:val="22"/>
              </w:rPr>
              <w:t>专利名称</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sz w:val="22"/>
                <w:szCs w:val="22"/>
              </w:rPr>
              <w:t>申请号</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sz w:val="22"/>
                <w:szCs w:val="22"/>
              </w:rPr>
              <w:t>类型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sz w:val="22"/>
                <w:szCs w:val="22"/>
              </w:rPr>
              <w:t>申请日期</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sz w:val="22"/>
                <w:szCs w:val="22"/>
              </w:rPr>
              <w:t>申请人</w:t>
            </w:r>
          </w:p>
        </w:tc>
      </w:tr>
      <w:tr>
        <w:trPr>
          <w:trHeight w:val="427"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360"/>
              <w:jc w:val="right"/>
              <w:rPr>
                <w:rFonts w:ascii="Times New Roman" w:hAnsi="Times New Roman" w:cs="Times New Roman" w:eastAsia="Times New Roman" w:hint="default"/>
                <w:sz w:val="22"/>
                <w:szCs w:val="22"/>
              </w:rPr>
            </w:pPr>
            <w:r>
              <w:rPr>
                <w:rFonts w:ascii="Times New Roman"/>
                <w:w w:val="100"/>
                <w:sz w:val="22"/>
              </w:rPr>
              <w:t>1</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5" w:right="0"/>
              <w:jc w:val="left"/>
              <w:rPr>
                <w:rFonts w:ascii="宋体" w:hAnsi="宋体" w:cs="宋体" w:eastAsia="宋体" w:hint="default"/>
                <w:sz w:val="20"/>
                <w:szCs w:val="20"/>
              </w:rPr>
            </w:pPr>
            <w:r>
              <w:rPr>
                <w:rFonts w:ascii="宋体" w:hAnsi="宋体" w:cs="宋体" w:eastAsia="宋体" w:hint="default"/>
                <w:sz w:val="20"/>
                <w:szCs w:val="20"/>
              </w:rPr>
              <w:t>一种</w:t>
            </w:r>
            <w:r>
              <w:rPr>
                <w:rFonts w:ascii="Times New Roman" w:hAnsi="Times New Roman" w:cs="Times New Roman" w:eastAsia="Times New Roman" w:hint="default"/>
                <w:sz w:val="20"/>
                <w:szCs w:val="20"/>
              </w:rPr>
              <w:t>I/O</w:t>
            </w:r>
            <w:r>
              <w:rPr>
                <w:rFonts w:ascii="宋体" w:hAnsi="宋体" w:cs="宋体" w:eastAsia="宋体" w:hint="default"/>
                <w:sz w:val="20"/>
                <w:szCs w:val="20"/>
              </w:rPr>
              <w:t>密集型应用识别方法</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6" w:right="0"/>
              <w:jc w:val="left"/>
              <w:rPr>
                <w:rFonts w:ascii="Times New Roman" w:hAnsi="Times New Roman" w:cs="Times New Roman" w:eastAsia="Times New Roman" w:hint="default"/>
                <w:sz w:val="20"/>
                <w:szCs w:val="20"/>
              </w:rPr>
            </w:pPr>
            <w:r>
              <w:rPr>
                <w:rFonts w:ascii="Times New Roman"/>
                <w:sz w:val="20"/>
              </w:rPr>
              <w:t>201510800933.3</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60" w:right="0"/>
              <w:jc w:val="left"/>
              <w:rPr>
                <w:rFonts w:ascii="宋体" w:hAnsi="宋体" w:cs="宋体" w:eastAsia="宋体" w:hint="default"/>
                <w:sz w:val="20"/>
                <w:szCs w:val="20"/>
              </w:rPr>
            </w:pPr>
            <w:r>
              <w:rPr>
                <w:rFonts w:ascii="宋体" w:hAnsi="宋体" w:cs="宋体" w:eastAsia="宋体" w:hint="default"/>
                <w:sz w:val="20"/>
                <w:szCs w:val="20"/>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386" w:right="0"/>
              <w:jc w:val="left"/>
              <w:rPr>
                <w:rFonts w:ascii="Times New Roman" w:hAnsi="Times New Roman" w:cs="Times New Roman" w:eastAsia="Times New Roman" w:hint="default"/>
                <w:sz w:val="20"/>
                <w:szCs w:val="20"/>
              </w:rPr>
            </w:pPr>
            <w:r>
              <w:rPr>
                <w:rFonts w:ascii="Times New Roman"/>
                <w:sz w:val="20"/>
              </w:rPr>
              <w:t>2015/11/19</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47" w:right="0"/>
              <w:jc w:val="left"/>
              <w:rPr>
                <w:rFonts w:ascii="宋体" w:hAnsi="宋体" w:cs="宋体" w:eastAsia="宋体" w:hint="default"/>
                <w:sz w:val="20"/>
                <w:szCs w:val="20"/>
              </w:rPr>
            </w:pPr>
            <w:r>
              <w:rPr>
                <w:rFonts w:ascii="宋体" w:hAnsi="宋体" w:cs="宋体" w:eastAsia="宋体" w:hint="default"/>
                <w:sz w:val="20"/>
                <w:szCs w:val="20"/>
              </w:rPr>
              <w:t>天玑数据</w:t>
            </w:r>
          </w:p>
        </w:tc>
      </w:tr>
    </w:tbl>
    <w:p>
      <w:pPr>
        <w:spacing w:line="240" w:lineRule="auto" w:before="13"/>
        <w:rPr>
          <w:rFonts w:ascii="宋体" w:hAnsi="宋体" w:cs="宋体" w:eastAsia="宋体" w:hint="default"/>
          <w:sz w:val="25"/>
          <w:szCs w:val="25"/>
        </w:rPr>
      </w:pPr>
    </w:p>
    <w:p>
      <w:pPr>
        <w:pStyle w:val="Heading6"/>
        <w:spacing w:line="240" w:lineRule="auto" w:before="36"/>
        <w:ind w:right="0"/>
        <w:jc w:val="left"/>
        <w:rPr>
          <w:b w:val="0"/>
          <w:bCs w:val="0"/>
        </w:rPr>
      </w:pPr>
      <w:r>
        <w:rPr>
          <w:rFonts w:ascii="宋体" w:hAnsi="宋体" w:cs="宋体" w:eastAsia="宋体" w:hint="default"/>
        </w:rPr>
        <w:t>2</w:t>
      </w:r>
      <w:r>
        <w:rPr/>
        <w:t>、著作权</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right="0" w:firstLine="359"/>
        <w:jc w:val="left"/>
      </w:pPr>
      <w:r>
        <w:rPr>
          <w:spacing w:val="-2"/>
        </w:rPr>
        <w:t>报告期内，公司及控股子公司新增软件著作权</w:t>
      </w:r>
      <w:r>
        <w:rPr>
          <w:rFonts w:ascii="宋体" w:hAnsi="宋体" w:cs="宋体" w:eastAsia="宋体" w:hint="default"/>
          <w:spacing w:val="-2"/>
        </w:rPr>
        <w:t>11</w:t>
      </w:r>
      <w:r>
        <w:rPr>
          <w:spacing w:val="-2"/>
        </w:rPr>
        <w:t>项；截至报告期末，公司已获</w:t>
      </w:r>
      <w:r>
        <w:rPr>
          <w:rFonts w:ascii="宋体" w:hAnsi="宋体" w:cs="宋体" w:eastAsia="宋体" w:hint="default"/>
          <w:spacing w:val="-2"/>
        </w:rPr>
        <w:t>72</w:t>
      </w:r>
      <w:r>
        <w:rPr>
          <w:spacing w:val="-2"/>
        </w:rPr>
        <w:t>项中华人民共和国国</w:t>
      </w:r>
      <w:r>
        <w:rPr>
          <w:w w:val="100"/>
        </w:rPr>
        <w:t> </w:t>
      </w:r>
      <w:r>
        <w:rPr/>
        <w:t>家版权局颁发的《计算机软件著作权登记证书》，具体新增的软件著作权情况如下：</w:t>
      </w:r>
    </w:p>
    <w:tbl>
      <w:tblPr>
        <w:tblW w:w="0" w:type="auto"/>
        <w:jc w:val="left"/>
        <w:tblInd w:w="145" w:type="dxa"/>
        <w:tblLayout w:type="fixed"/>
        <w:tblCellMar>
          <w:top w:w="0" w:type="dxa"/>
          <w:left w:w="0" w:type="dxa"/>
          <w:bottom w:w="0" w:type="dxa"/>
          <w:right w:w="0" w:type="dxa"/>
        </w:tblCellMar>
        <w:tblLook w:val="01E0"/>
      </w:tblPr>
      <w:tblGrid>
        <w:gridCol w:w="638"/>
        <w:gridCol w:w="2930"/>
        <w:gridCol w:w="1550"/>
        <w:gridCol w:w="1200"/>
        <w:gridCol w:w="1426"/>
        <w:gridCol w:w="1118"/>
      </w:tblGrid>
      <w:tr>
        <w:trPr>
          <w:trHeight w:val="346" w:hRule="exact"/>
        </w:trPr>
        <w:tc>
          <w:tcPr>
            <w:tcW w:w="638" w:type="dxa"/>
            <w:tcBorders>
              <w:top w:val="single" w:sz="6" w:space="0" w:color="000000"/>
              <w:left w:val="single" w:sz="6" w:space="0" w:color="000000"/>
              <w:bottom w:val="single" w:sz="6" w:space="0" w:color="000000"/>
              <w:right w:val="single" w:sz="12" w:space="0" w:color="000000"/>
            </w:tcBorders>
          </w:tcPr>
          <w:p>
            <w:pPr>
              <w:pStyle w:val="TableParagraph"/>
              <w:spacing w:line="254"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930" w:type="dxa"/>
            <w:tcBorders>
              <w:top w:val="single" w:sz="6" w:space="0" w:color="000000"/>
              <w:left w:val="single" w:sz="12" w:space="0" w:color="000000"/>
              <w:bottom w:val="single" w:sz="6" w:space="0" w:color="000000"/>
              <w:right w:val="single" w:sz="12" w:space="0" w:color="000000"/>
            </w:tcBorders>
          </w:tcPr>
          <w:p>
            <w:pPr>
              <w:pStyle w:val="TableParagraph"/>
              <w:spacing w:line="254" w:lineRule="exact"/>
              <w:ind w:right="11"/>
              <w:jc w:val="center"/>
              <w:rPr>
                <w:rFonts w:ascii="宋体" w:hAnsi="宋体" w:cs="宋体" w:eastAsia="宋体" w:hint="default"/>
                <w:sz w:val="21"/>
                <w:szCs w:val="21"/>
              </w:rPr>
            </w:pPr>
            <w:r>
              <w:rPr>
                <w:rFonts w:ascii="宋体" w:hAnsi="宋体" w:cs="宋体" w:eastAsia="宋体" w:hint="default"/>
                <w:b/>
                <w:bCs/>
                <w:sz w:val="21"/>
                <w:szCs w:val="21"/>
              </w:rPr>
              <w:t>软件名称</w:t>
            </w:r>
            <w:r>
              <w:rPr>
                <w:rFonts w:ascii="宋体" w:hAnsi="宋体" w:cs="宋体" w:eastAsia="宋体" w:hint="default"/>
                <w:sz w:val="21"/>
                <w:szCs w:val="21"/>
              </w:rPr>
            </w:r>
          </w:p>
        </w:tc>
        <w:tc>
          <w:tcPr>
            <w:tcW w:w="1550" w:type="dxa"/>
            <w:tcBorders>
              <w:top w:val="single" w:sz="6" w:space="0" w:color="000000"/>
              <w:left w:val="single" w:sz="12" w:space="0" w:color="000000"/>
              <w:bottom w:val="single" w:sz="6" w:space="0" w:color="000000"/>
              <w:right w:val="single" w:sz="12" w:space="0" w:color="000000"/>
            </w:tcBorders>
          </w:tcPr>
          <w:p>
            <w:pPr>
              <w:pStyle w:val="TableParagraph"/>
              <w:spacing w:line="254" w:lineRule="exact"/>
              <w:ind w:right="7"/>
              <w:jc w:val="center"/>
              <w:rPr>
                <w:rFonts w:ascii="宋体" w:hAnsi="宋体" w:cs="宋体" w:eastAsia="宋体" w:hint="default"/>
                <w:sz w:val="21"/>
                <w:szCs w:val="21"/>
              </w:rPr>
            </w:pPr>
            <w:r>
              <w:rPr>
                <w:rFonts w:ascii="宋体" w:hAnsi="宋体" w:cs="宋体" w:eastAsia="宋体" w:hint="default"/>
                <w:b/>
                <w:bCs/>
                <w:sz w:val="21"/>
                <w:szCs w:val="21"/>
              </w:rPr>
              <w:t>登记号</w:t>
            </w:r>
            <w:r>
              <w:rPr>
                <w:rFonts w:ascii="宋体" w:hAnsi="宋体" w:cs="宋体" w:eastAsia="宋体" w:hint="default"/>
                <w:sz w:val="21"/>
                <w:szCs w:val="21"/>
              </w:rPr>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54" w:lineRule="exact"/>
              <w:ind w:right="2"/>
              <w:jc w:val="center"/>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c>
          <w:tcPr>
            <w:tcW w:w="1426" w:type="dxa"/>
            <w:tcBorders>
              <w:top w:val="single" w:sz="6" w:space="0" w:color="000000"/>
              <w:left w:val="single" w:sz="12" w:space="0" w:color="000000"/>
              <w:bottom w:val="single" w:sz="6" w:space="0" w:color="000000"/>
              <w:right w:val="single" w:sz="12" w:space="0" w:color="000000"/>
            </w:tcBorders>
          </w:tcPr>
          <w:p>
            <w:pPr>
              <w:pStyle w:val="TableParagraph"/>
              <w:spacing w:line="254" w:lineRule="exact"/>
              <w:ind w:right="2"/>
              <w:jc w:val="center"/>
              <w:rPr>
                <w:rFonts w:ascii="宋体" w:hAnsi="宋体" w:cs="宋体" w:eastAsia="宋体" w:hint="default"/>
                <w:sz w:val="21"/>
                <w:szCs w:val="21"/>
              </w:rPr>
            </w:pPr>
            <w:r>
              <w:rPr>
                <w:rFonts w:ascii="宋体" w:hAnsi="宋体" w:cs="宋体" w:eastAsia="宋体" w:hint="default"/>
                <w:b/>
                <w:bCs/>
                <w:sz w:val="21"/>
                <w:szCs w:val="21"/>
              </w:rPr>
              <w:t>发证日期</w:t>
            </w:r>
            <w:r>
              <w:rPr>
                <w:rFonts w:ascii="宋体" w:hAnsi="宋体" w:cs="宋体" w:eastAsia="宋体" w:hint="default"/>
                <w:sz w:val="21"/>
                <w:szCs w:val="21"/>
              </w:rPr>
            </w:r>
          </w:p>
        </w:tc>
        <w:tc>
          <w:tcPr>
            <w:tcW w:w="1118" w:type="dxa"/>
            <w:tcBorders>
              <w:top w:val="single" w:sz="6" w:space="0" w:color="000000"/>
              <w:left w:val="single" w:sz="12" w:space="0" w:color="000000"/>
              <w:bottom w:val="single" w:sz="6" w:space="0" w:color="000000"/>
              <w:right w:val="single" w:sz="12" w:space="0" w:color="000000"/>
            </w:tcBorders>
          </w:tcPr>
          <w:p>
            <w:pPr>
              <w:pStyle w:val="TableParagraph"/>
              <w:spacing w:line="254" w:lineRule="exact"/>
              <w:ind w:right="2"/>
              <w:jc w:val="center"/>
              <w:rPr>
                <w:rFonts w:ascii="宋体" w:hAnsi="宋体" w:cs="宋体" w:eastAsia="宋体" w:hint="default"/>
                <w:sz w:val="21"/>
                <w:szCs w:val="21"/>
              </w:rPr>
            </w:pPr>
            <w:r>
              <w:rPr>
                <w:rFonts w:ascii="宋体" w:hAnsi="宋体" w:cs="宋体" w:eastAsia="宋体" w:hint="default"/>
                <w:b/>
                <w:bCs/>
                <w:sz w:val="21"/>
                <w:szCs w:val="21"/>
              </w:rPr>
              <w:t>著作权人</w:t>
            </w:r>
            <w:r>
              <w:rPr>
                <w:rFonts w:ascii="宋体" w:hAnsi="宋体" w:cs="宋体" w:eastAsia="宋体" w:hint="default"/>
                <w:sz w:val="21"/>
                <w:szCs w:val="21"/>
              </w:rPr>
            </w:r>
          </w:p>
        </w:tc>
      </w:tr>
      <w:tr>
        <w:trPr>
          <w:trHeight w:val="427" w:hRule="exact"/>
        </w:trPr>
        <w:tc>
          <w:tcPr>
            <w:tcW w:w="6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left="7" w:right="0"/>
              <w:jc w:val="center"/>
              <w:rPr>
                <w:rFonts w:ascii="Times New Roman" w:hAnsi="Times New Roman" w:cs="Times New Roman" w:eastAsia="Times New Roman" w:hint="default"/>
                <w:sz w:val="21"/>
                <w:szCs w:val="21"/>
              </w:rPr>
            </w:pPr>
            <w:r>
              <w:rPr>
                <w:rFonts w:ascii="Times New Roman"/>
                <w:w w:val="100"/>
                <w:sz w:val="21"/>
              </w:rPr>
              <w:t>1</w:t>
            </w:r>
          </w:p>
        </w:tc>
        <w:tc>
          <w:tcPr>
            <w:tcW w:w="293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6"/>
              <w:ind w:left="-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天玑客户自服务平台软件</w:t>
            </w:r>
            <w:r>
              <w:rPr>
                <w:rFonts w:ascii="宋体" w:hAnsi="宋体" w:cs="宋体" w:eastAsia="宋体" w:hint="default"/>
                <w:spacing w:val="-23"/>
                <w:sz w:val="20"/>
                <w:szCs w:val="20"/>
              </w:rPr>
              <w:t> </w:t>
            </w:r>
            <w:r>
              <w:rPr>
                <w:rFonts w:ascii="Times New Roman" w:hAnsi="Times New Roman" w:cs="Times New Roman" w:eastAsia="Times New Roman" w:hint="default"/>
                <w:sz w:val="20"/>
                <w:szCs w:val="20"/>
              </w:rPr>
              <w:t>V1.0</w:t>
            </w:r>
          </w:p>
        </w:tc>
        <w:tc>
          <w:tcPr>
            <w:tcW w:w="155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73"/>
              <w:ind w:right="7"/>
              <w:jc w:val="center"/>
              <w:rPr>
                <w:rFonts w:ascii="Times New Roman" w:hAnsi="Times New Roman" w:cs="Times New Roman" w:eastAsia="Times New Roman" w:hint="default"/>
                <w:sz w:val="20"/>
                <w:szCs w:val="20"/>
              </w:rPr>
            </w:pPr>
            <w:r>
              <w:rPr>
                <w:rFonts w:ascii="Times New Roman"/>
                <w:sz w:val="20"/>
              </w:rPr>
              <w:t>2015SR063438</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6"/>
              <w:ind w:right="7"/>
              <w:jc w:val="center"/>
              <w:rPr>
                <w:rFonts w:ascii="宋体" w:hAnsi="宋体" w:cs="宋体" w:eastAsia="宋体" w:hint="default"/>
                <w:sz w:val="20"/>
                <w:szCs w:val="20"/>
              </w:rPr>
            </w:pPr>
            <w:r>
              <w:rPr>
                <w:rFonts w:ascii="宋体" w:hAnsi="宋体" w:cs="宋体" w:eastAsia="宋体" w:hint="default"/>
                <w:sz w:val="20"/>
                <w:szCs w:val="20"/>
              </w:rPr>
              <w:t>直接取得</w:t>
            </w:r>
          </w:p>
        </w:tc>
        <w:tc>
          <w:tcPr>
            <w:tcW w:w="142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73"/>
              <w:ind w:right="6"/>
              <w:jc w:val="center"/>
              <w:rPr>
                <w:rFonts w:ascii="Times New Roman" w:hAnsi="Times New Roman" w:cs="Times New Roman" w:eastAsia="Times New Roman" w:hint="default"/>
                <w:sz w:val="20"/>
                <w:szCs w:val="20"/>
              </w:rPr>
            </w:pPr>
            <w:r>
              <w:rPr>
                <w:rFonts w:ascii="Times New Roman"/>
                <w:sz w:val="20"/>
              </w:rPr>
              <w:t>2015/4/5</w:t>
            </w:r>
          </w:p>
        </w:tc>
        <w:tc>
          <w:tcPr>
            <w:tcW w:w="1118"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6"/>
              <w:ind w:right="7"/>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427" w:hRule="exact"/>
        </w:trPr>
        <w:tc>
          <w:tcPr>
            <w:tcW w:w="6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left="7" w:right="0"/>
              <w:jc w:val="center"/>
              <w:rPr>
                <w:rFonts w:ascii="Times New Roman" w:hAnsi="Times New Roman" w:cs="Times New Roman" w:eastAsia="Times New Roman" w:hint="default"/>
                <w:sz w:val="21"/>
                <w:szCs w:val="21"/>
              </w:rPr>
            </w:pPr>
            <w:r>
              <w:rPr>
                <w:rFonts w:ascii="Times New Roman"/>
                <w:w w:val="100"/>
                <w:sz w:val="21"/>
              </w:rPr>
              <w:t>2</w:t>
            </w:r>
          </w:p>
        </w:tc>
        <w:tc>
          <w:tcPr>
            <w:tcW w:w="293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6"/>
              <w:ind w:left="-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天玑企业管理</w:t>
            </w:r>
            <w:r>
              <w:rPr>
                <w:rFonts w:ascii="Times New Roman" w:hAnsi="Times New Roman" w:cs="Times New Roman" w:eastAsia="Times New Roman" w:hint="default"/>
                <w:sz w:val="20"/>
                <w:szCs w:val="20"/>
              </w:rPr>
              <w:t>ERP</w:t>
            </w:r>
            <w:r>
              <w:rPr>
                <w:rFonts w:ascii="宋体" w:hAnsi="宋体" w:cs="宋体" w:eastAsia="宋体" w:hint="default"/>
                <w:sz w:val="20"/>
                <w:szCs w:val="20"/>
              </w:rPr>
              <w:t>软件</w:t>
            </w:r>
            <w:r>
              <w:rPr>
                <w:rFonts w:ascii="宋体" w:hAnsi="宋体" w:cs="宋体" w:eastAsia="宋体" w:hint="default"/>
                <w:spacing w:val="-23"/>
                <w:sz w:val="20"/>
                <w:szCs w:val="20"/>
              </w:rPr>
              <w:t> </w:t>
            </w:r>
            <w:r>
              <w:rPr>
                <w:rFonts w:ascii="Times New Roman" w:hAnsi="Times New Roman" w:cs="Times New Roman" w:eastAsia="Times New Roman" w:hint="default"/>
                <w:sz w:val="20"/>
                <w:szCs w:val="20"/>
              </w:rPr>
              <w:t>V3.2</w:t>
            </w:r>
          </w:p>
        </w:tc>
        <w:tc>
          <w:tcPr>
            <w:tcW w:w="155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73"/>
              <w:ind w:right="7"/>
              <w:jc w:val="center"/>
              <w:rPr>
                <w:rFonts w:ascii="Times New Roman" w:hAnsi="Times New Roman" w:cs="Times New Roman" w:eastAsia="Times New Roman" w:hint="default"/>
                <w:sz w:val="20"/>
                <w:szCs w:val="20"/>
              </w:rPr>
            </w:pPr>
            <w:r>
              <w:rPr>
                <w:rFonts w:ascii="Times New Roman"/>
                <w:sz w:val="20"/>
              </w:rPr>
              <w:t>2015SR063254</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6"/>
              <w:ind w:right="7"/>
              <w:jc w:val="center"/>
              <w:rPr>
                <w:rFonts w:ascii="宋体" w:hAnsi="宋体" w:cs="宋体" w:eastAsia="宋体" w:hint="default"/>
                <w:sz w:val="20"/>
                <w:szCs w:val="20"/>
              </w:rPr>
            </w:pPr>
            <w:r>
              <w:rPr>
                <w:rFonts w:ascii="宋体" w:hAnsi="宋体" w:cs="宋体" w:eastAsia="宋体" w:hint="default"/>
                <w:sz w:val="20"/>
                <w:szCs w:val="20"/>
              </w:rPr>
              <w:t>直接取得</w:t>
            </w:r>
          </w:p>
        </w:tc>
        <w:tc>
          <w:tcPr>
            <w:tcW w:w="142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73"/>
              <w:ind w:right="5"/>
              <w:jc w:val="center"/>
              <w:rPr>
                <w:rFonts w:ascii="Times New Roman" w:hAnsi="Times New Roman" w:cs="Times New Roman" w:eastAsia="Times New Roman" w:hint="default"/>
                <w:sz w:val="20"/>
                <w:szCs w:val="20"/>
              </w:rPr>
            </w:pPr>
            <w:r>
              <w:rPr>
                <w:rFonts w:ascii="Times New Roman"/>
                <w:sz w:val="20"/>
              </w:rPr>
              <w:t>2015/4/15</w:t>
            </w:r>
          </w:p>
        </w:tc>
        <w:tc>
          <w:tcPr>
            <w:tcW w:w="1118"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6"/>
              <w:ind w:right="7"/>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427" w:hRule="exact"/>
        </w:trPr>
        <w:tc>
          <w:tcPr>
            <w:tcW w:w="6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left="7" w:right="0"/>
              <w:jc w:val="center"/>
              <w:rPr>
                <w:rFonts w:ascii="Times New Roman" w:hAnsi="Times New Roman" w:cs="Times New Roman" w:eastAsia="Times New Roman" w:hint="default"/>
                <w:sz w:val="21"/>
                <w:szCs w:val="21"/>
              </w:rPr>
            </w:pPr>
            <w:r>
              <w:rPr>
                <w:rFonts w:ascii="Times New Roman"/>
                <w:w w:val="100"/>
                <w:sz w:val="21"/>
              </w:rPr>
              <w:t>3</w:t>
            </w:r>
          </w:p>
        </w:tc>
        <w:tc>
          <w:tcPr>
            <w:tcW w:w="293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6"/>
              <w:ind w:left="-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天玑移动办公软件</w:t>
            </w:r>
            <w:r>
              <w:rPr>
                <w:rFonts w:ascii="宋体" w:hAnsi="宋体" w:cs="宋体" w:eastAsia="宋体" w:hint="default"/>
                <w:spacing w:val="-23"/>
                <w:sz w:val="20"/>
                <w:szCs w:val="20"/>
              </w:rPr>
              <w:t> </w:t>
            </w:r>
            <w:r>
              <w:rPr>
                <w:rFonts w:ascii="Times New Roman" w:hAnsi="Times New Roman" w:cs="Times New Roman" w:eastAsia="Times New Roman" w:hint="default"/>
                <w:sz w:val="20"/>
                <w:szCs w:val="20"/>
              </w:rPr>
              <w:t>V1.0</w:t>
            </w:r>
          </w:p>
        </w:tc>
        <w:tc>
          <w:tcPr>
            <w:tcW w:w="155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73"/>
              <w:ind w:right="7"/>
              <w:jc w:val="center"/>
              <w:rPr>
                <w:rFonts w:ascii="Times New Roman" w:hAnsi="Times New Roman" w:cs="Times New Roman" w:eastAsia="Times New Roman" w:hint="default"/>
                <w:sz w:val="20"/>
                <w:szCs w:val="20"/>
              </w:rPr>
            </w:pPr>
            <w:r>
              <w:rPr>
                <w:rFonts w:ascii="Times New Roman"/>
                <w:sz w:val="20"/>
              </w:rPr>
              <w:t>2015SR063267</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6"/>
              <w:ind w:right="7"/>
              <w:jc w:val="center"/>
              <w:rPr>
                <w:rFonts w:ascii="宋体" w:hAnsi="宋体" w:cs="宋体" w:eastAsia="宋体" w:hint="default"/>
                <w:sz w:val="20"/>
                <w:szCs w:val="20"/>
              </w:rPr>
            </w:pPr>
            <w:r>
              <w:rPr>
                <w:rFonts w:ascii="宋体" w:hAnsi="宋体" w:cs="宋体" w:eastAsia="宋体" w:hint="default"/>
                <w:sz w:val="20"/>
                <w:szCs w:val="20"/>
              </w:rPr>
              <w:t>直接取得</w:t>
            </w:r>
          </w:p>
        </w:tc>
        <w:tc>
          <w:tcPr>
            <w:tcW w:w="142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73"/>
              <w:ind w:right="5"/>
              <w:jc w:val="center"/>
              <w:rPr>
                <w:rFonts w:ascii="Times New Roman" w:hAnsi="Times New Roman" w:cs="Times New Roman" w:eastAsia="Times New Roman" w:hint="default"/>
                <w:sz w:val="20"/>
                <w:szCs w:val="20"/>
              </w:rPr>
            </w:pPr>
            <w:r>
              <w:rPr>
                <w:rFonts w:ascii="Times New Roman"/>
                <w:sz w:val="20"/>
              </w:rPr>
              <w:t>2015/4/15</w:t>
            </w:r>
          </w:p>
        </w:tc>
        <w:tc>
          <w:tcPr>
            <w:tcW w:w="1118"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6"/>
              <w:ind w:right="7"/>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739" w:hRule="exact"/>
        </w:trPr>
        <w:tc>
          <w:tcPr>
            <w:tcW w:w="6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left="7" w:right="0"/>
              <w:jc w:val="center"/>
              <w:rPr>
                <w:rFonts w:ascii="Times New Roman" w:hAnsi="Times New Roman" w:cs="Times New Roman" w:eastAsia="Times New Roman" w:hint="default"/>
                <w:sz w:val="21"/>
                <w:szCs w:val="21"/>
              </w:rPr>
            </w:pPr>
            <w:r>
              <w:rPr>
                <w:rFonts w:ascii="Times New Roman"/>
                <w:w w:val="100"/>
                <w:sz w:val="21"/>
              </w:rPr>
              <w:t>4</w:t>
            </w:r>
          </w:p>
        </w:tc>
        <w:tc>
          <w:tcPr>
            <w:tcW w:w="293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6"/>
              <w:ind w:left="-5" w:right="0"/>
              <w:jc w:val="left"/>
              <w:rPr>
                <w:rFonts w:ascii="宋体" w:hAnsi="宋体" w:cs="宋体" w:eastAsia="宋体" w:hint="default"/>
                <w:sz w:val="20"/>
                <w:szCs w:val="20"/>
              </w:rPr>
            </w:pPr>
            <w:r>
              <w:rPr>
                <w:rFonts w:ascii="宋体" w:hAnsi="宋体" w:cs="宋体" w:eastAsia="宋体" w:hint="default"/>
                <w:sz w:val="20"/>
                <w:szCs w:val="20"/>
              </w:rPr>
              <w:t>天</w:t>
            </w:r>
            <w:r>
              <w:rPr>
                <w:rFonts w:ascii="宋体" w:hAnsi="宋体" w:cs="宋体" w:eastAsia="宋体" w:hint="default"/>
                <w:spacing w:val="-76"/>
                <w:sz w:val="20"/>
                <w:szCs w:val="20"/>
              </w:rPr>
              <w:t> </w:t>
            </w:r>
            <w:r>
              <w:rPr>
                <w:rFonts w:ascii="宋体" w:hAnsi="宋体" w:cs="宋体" w:eastAsia="宋体" w:hint="default"/>
                <w:spacing w:val="16"/>
                <w:sz w:val="20"/>
                <w:szCs w:val="20"/>
              </w:rPr>
              <w:t>玑数据</w:t>
            </w:r>
            <w:r>
              <w:rPr>
                <w:rFonts w:ascii="宋体" w:hAnsi="宋体" w:cs="宋体" w:eastAsia="宋体" w:hint="default"/>
                <w:spacing w:val="-76"/>
                <w:sz w:val="20"/>
                <w:szCs w:val="20"/>
              </w:rPr>
              <w:t> </w:t>
            </w:r>
            <w:r>
              <w:rPr>
                <w:rFonts w:ascii="宋体" w:hAnsi="宋体" w:cs="宋体" w:eastAsia="宋体" w:hint="default"/>
                <w:sz w:val="20"/>
                <w:szCs w:val="20"/>
              </w:rPr>
              <w:t>云</w:t>
            </w:r>
            <w:r>
              <w:rPr>
                <w:rFonts w:ascii="宋体" w:hAnsi="宋体" w:cs="宋体" w:eastAsia="宋体" w:hint="default"/>
                <w:spacing w:val="-76"/>
                <w:sz w:val="20"/>
                <w:szCs w:val="20"/>
              </w:rPr>
              <w:t> </w:t>
            </w:r>
            <w:r>
              <w:rPr>
                <w:rFonts w:ascii="宋体" w:hAnsi="宋体" w:cs="宋体" w:eastAsia="宋体" w:hint="default"/>
                <w:spacing w:val="11"/>
                <w:sz w:val="20"/>
                <w:szCs w:val="20"/>
              </w:rPr>
              <w:t>平台</w:t>
            </w:r>
            <w:r>
              <w:rPr>
                <w:rFonts w:ascii="宋体" w:hAnsi="宋体" w:cs="宋体" w:eastAsia="宋体" w:hint="default"/>
                <w:spacing w:val="-76"/>
                <w:sz w:val="20"/>
                <w:szCs w:val="20"/>
              </w:rPr>
              <w:t> </w:t>
            </w:r>
            <w:r>
              <w:rPr>
                <w:rFonts w:ascii="宋体" w:hAnsi="宋体" w:cs="宋体" w:eastAsia="宋体" w:hint="default"/>
                <w:spacing w:val="13"/>
                <w:sz w:val="20"/>
                <w:szCs w:val="20"/>
              </w:rPr>
              <w:t>图形</w:t>
            </w:r>
            <w:r>
              <w:rPr>
                <w:rFonts w:ascii="宋体" w:hAnsi="宋体" w:cs="宋体" w:eastAsia="宋体" w:hint="default"/>
                <w:spacing w:val="-76"/>
                <w:sz w:val="20"/>
                <w:szCs w:val="20"/>
              </w:rPr>
              <w:t> </w:t>
            </w:r>
            <w:r>
              <w:rPr>
                <w:rFonts w:ascii="宋体" w:hAnsi="宋体" w:cs="宋体" w:eastAsia="宋体" w:hint="default"/>
                <w:sz w:val="20"/>
                <w:szCs w:val="20"/>
              </w:rPr>
              <w:t>管</w:t>
            </w:r>
            <w:r>
              <w:rPr>
                <w:rFonts w:ascii="宋体" w:hAnsi="宋体" w:cs="宋体" w:eastAsia="宋体" w:hint="default"/>
                <w:spacing w:val="-76"/>
                <w:sz w:val="20"/>
                <w:szCs w:val="20"/>
              </w:rPr>
              <w:t> </w:t>
            </w:r>
            <w:r>
              <w:rPr>
                <w:rFonts w:ascii="宋体" w:hAnsi="宋体" w:cs="宋体" w:eastAsia="宋体" w:hint="default"/>
                <w:spacing w:val="16"/>
                <w:sz w:val="20"/>
                <w:szCs w:val="20"/>
              </w:rPr>
              <w:t>理软件</w:t>
            </w:r>
          </w:p>
          <w:p>
            <w:pPr>
              <w:pStyle w:val="TableParagraph"/>
              <w:spacing w:line="240" w:lineRule="auto" w:before="94"/>
              <w:ind w:left="-5" w:right="0"/>
              <w:jc w:val="left"/>
              <w:rPr>
                <w:rFonts w:ascii="Times New Roman" w:hAnsi="Times New Roman" w:cs="Times New Roman" w:eastAsia="Times New Roman" w:hint="default"/>
                <w:sz w:val="20"/>
                <w:szCs w:val="20"/>
              </w:rPr>
            </w:pPr>
            <w:r>
              <w:rPr>
                <w:rFonts w:ascii="Times New Roman"/>
                <w:sz w:val="20"/>
              </w:rPr>
              <w:t>V1.0</w:t>
            </w:r>
          </w:p>
        </w:tc>
        <w:tc>
          <w:tcPr>
            <w:tcW w:w="155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73"/>
              <w:ind w:right="7"/>
              <w:jc w:val="center"/>
              <w:rPr>
                <w:rFonts w:ascii="Times New Roman" w:hAnsi="Times New Roman" w:cs="Times New Roman" w:eastAsia="Times New Roman" w:hint="default"/>
                <w:sz w:val="20"/>
                <w:szCs w:val="20"/>
              </w:rPr>
            </w:pPr>
            <w:r>
              <w:rPr>
                <w:rFonts w:ascii="Times New Roman"/>
                <w:sz w:val="20"/>
              </w:rPr>
              <w:t>2015SR056362</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6"/>
              <w:ind w:right="7"/>
              <w:jc w:val="center"/>
              <w:rPr>
                <w:rFonts w:ascii="宋体" w:hAnsi="宋体" w:cs="宋体" w:eastAsia="宋体" w:hint="default"/>
                <w:sz w:val="20"/>
                <w:szCs w:val="20"/>
              </w:rPr>
            </w:pPr>
            <w:r>
              <w:rPr>
                <w:rFonts w:ascii="宋体" w:hAnsi="宋体" w:cs="宋体" w:eastAsia="宋体" w:hint="default"/>
                <w:sz w:val="20"/>
                <w:szCs w:val="20"/>
              </w:rPr>
              <w:t>直接取得</w:t>
            </w:r>
          </w:p>
        </w:tc>
        <w:tc>
          <w:tcPr>
            <w:tcW w:w="142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73"/>
              <w:ind w:right="5"/>
              <w:jc w:val="center"/>
              <w:rPr>
                <w:rFonts w:ascii="Times New Roman" w:hAnsi="Times New Roman" w:cs="Times New Roman" w:eastAsia="Times New Roman" w:hint="default"/>
                <w:sz w:val="20"/>
                <w:szCs w:val="20"/>
              </w:rPr>
            </w:pPr>
            <w:r>
              <w:rPr>
                <w:rFonts w:ascii="Times New Roman"/>
                <w:sz w:val="20"/>
              </w:rPr>
              <w:t>2015/4/22</w:t>
            </w:r>
          </w:p>
        </w:tc>
        <w:tc>
          <w:tcPr>
            <w:tcW w:w="1118"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6"/>
              <w:ind w:right="8"/>
              <w:jc w:val="center"/>
              <w:rPr>
                <w:rFonts w:ascii="宋体" w:hAnsi="宋体" w:cs="宋体" w:eastAsia="宋体" w:hint="default"/>
                <w:sz w:val="20"/>
                <w:szCs w:val="20"/>
              </w:rPr>
            </w:pPr>
            <w:r>
              <w:rPr>
                <w:rFonts w:ascii="宋体" w:hAnsi="宋体" w:cs="宋体" w:eastAsia="宋体" w:hint="default"/>
                <w:sz w:val="20"/>
                <w:szCs w:val="20"/>
              </w:rPr>
              <w:t>天玑数据</w:t>
            </w:r>
          </w:p>
        </w:tc>
      </w:tr>
      <w:tr>
        <w:trPr>
          <w:trHeight w:val="780" w:hRule="exact"/>
        </w:trPr>
        <w:tc>
          <w:tcPr>
            <w:tcW w:w="6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left="7" w:right="0"/>
              <w:jc w:val="center"/>
              <w:rPr>
                <w:rFonts w:ascii="Times New Roman" w:hAnsi="Times New Roman" w:cs="Times New Roman" w:eastAsia="Times New Roman" w:hint="default"/>
                <w:sz w:val="21"/>
                <w:szCs w:val="21"/>
              </w:rPr>
            </w:pPr>
            <w:r>
              <w:rPr>
                <w:rFonts w:ascii="Times New Roman"/>
                <w:w w:val="100"/>
                <w:sz w:val="21"/>
              </w:rPr>
              <w:t>5</w:t>
            </w:r>
          </w:p>
        </w:tc>
        <w:tc>
          <w:tcPr>
            <w:tcW w:w="2930" w:type="dxa"/>
            <w:tcBorders>
              <w:top w:val="single" w:sz="6" w:space="0" w:color="000000"/>
              <w:left w:val="single" w:sz="12" w:space="0" w:color="000000"/>
              <w:bottom w:val="single" w:sz="6" w:space="0" w:color="000000"/>
              <w:right w:val="single" w:sz="12" w:space="0" w:color="000000"/>
            </w:tcBorders>
          </w:tcPr>
          <w:p>
            <w:pPr>
              <w:pStyle w:val="TableParagraph"/>
              <w:spacing w:line="304" w:lineRule="auto" w:before="24"/>
              <w:ind w:left="-5" w:right="127"/>
              <w:jc w:val="left"/>
              <w:rPr>
                <w:rFonts w:ascii="Times New Roman" w:hAnsi="Times New Roman" w:cs="Times New Roman" w:eastAsia="Times New Roman" w:hint="default"/>
                <w:sz w:val="20"/>
                <w:szCs w:val="20"/>
              </w:rPr>
            </w:pPr>
            <w:r>
              <w:rPr>
                <w:rFonts w:ascii="宋体" w:hAnsi="宋体" w:cs="宋体" w:eastAsia="宋体" w:hint="default"/>
                <w:sz w:val="20"/>
                <w:szCs w:val="20"/>
              </w:rPr>
              <w:t>复深蓝</w:t>
            </w:r>
            <w:r>
              <w:rPr>
                <w:rFonts w:ascii="Times New Roman" w:hAnsi="Times New Roman" w:cs="Times New Roman" w:eastAsia="Times New Roman" w:hint="default"/>
                <w:sz w:val="20"/>
                <w:szCs w:val="20"/>
              </w:rPr>
              <w:t>Web</w:t>
            </w:r>
            <w:r>
              <w:rPr>
                <w:rFonts w:ascii="宋体" w:hAnsi="宋体" w:cs="宋体" w:eastAsia="宋体" w:hint="default"/>
                <w:sz w:val="20"/>
                <w:szCs w:val="20"/>
              </w:rPr>
              <w:t>自动化测试云平台软</w:t>
            </w:r>
            <w:r>
              <w:rPr>
                <w:rFonts w:ascii="宋体" w:hAnsi="宋体" w:cs="宋体" w:eastAsia="宋体" w:hint="default"/>
                <w:w w:val="99"/>
                <w:sz w:val="20"/>
                <w:szCs w:val="20"/>
              </w:rPr>
              <w:t> </w:t>
            </w:r>
            <w:r>
              <w:rPr>
                <w:rFonts w:ascii="宋体" w:hAnsi="宋体" w:cs="宋体" w:eastAsia="宋体" w:hint="default"/>
                <w:sz w:val="20"/>
                <w:szCs w:val="20"/>
              </w:rPr>
              <w:t>件</w:t>
            </w:r>
            <w:r>
              <w:rPr>
                <w:rFonts w:ascii="Times New Roman" w:hAnsi="Times New Roman" w:cs="Times New Roman" w:eastAsia="Times New Roman" w:hint="default"/>
                <w:sz w:val="20"/>
                <w:szCs w:val="20"/>
              </w:rPr>
              <w:t>V1.0</w:t>
            </w:r>
          </w:p>
        </w:tc>
        <w:tc>
          <w:tcPr>
            <w:tcW w:w="155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71"/>
              <w:ind w:right="7"/>
              <w:jc w:val="center"/>
              <w:rPr>
                <w:rFonts w:ascii="Times New Roman" w:hAnsi="Times New Roman" w:cs="Times New Roman" w:eastAsia="Times New Roman" w:hint="default"/>
                <w:sz w:val="20"/>
                <w:szCs w:val="20"/>
              </w:rPr>
            </w:pPr>
            <w:r>
              <w:rPr>
                <w:rFonts w:ascii="Times New Roman"/>
                <w:sz w:val="20"/>
              </w:rPr>
              <w:t>2015SR266317</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4"/>
              <w:ind w:right="7"/>
              <w:jc w:val="center"/>
              <w:rPr>
                <w:rFonts w:ascii="宋体" w:hAnsi="宋体" w:cs="宋体" w:eastAsia="宋体" w:hint="default"/>
                <w:sz w:val="20"/>
                <w:szCs w:val="20"/>
              </w:rPr>
            </w:pPr>
            <w:r>
              <w:rPr>
                <w:rFonts w:ascii="宋体" w:hAnsi="宋体" w:cs="宋体" w:eastAsia="宋体" w:hint="default"/>
                <w:sz w:val="20"/>
                <w:szCs w:val="20"/>
              </w:rPr>
              <w:t>直接取得</w:t>
            </w:r>
          </w:p>
        </w:tc>
        <w:tc>
          <w:tcPr>
            <w:tcW w:w="142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71"/>
              <w:ind w:right="5"/>
              <w:jc w:val="center"/>
              <w:rPr>
                <w:rFonts w:ascii="Times New Roman" w:hAnsi="Times New Roman" w:cs="Times New Roman" w:eastAsia="Times New Roman" w:hint="default"/>
                <w:sz w:val="20"/>
                <w:szCs w:val="20"/>
              </w:rPr>
            </w:pPr>
            <w:r>
              <w:rPr>
                <w:rFonts w:ascii="Times New Roman"/>
                <w:sz w:val="20"/>
              </w:rPr>
              <w:t>2015/12/18</w:t>
            </w:r>
          </w:p>
        </w:tc>
        <w:tc>
          <w:tcPr>
            <w:tcW w:w="1118"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4"/>
              <w:ind w:right="10"/>
              <w:jc w:val="center"/>
              <w:rPr>
                <w:rFonts w:ascii="宋体" w:hAnsi="宋体" w:cs="宋体" w:eastAsia="宋体" w:hint="default"/>
                <w:sz w:val="20"/>
                <w:szCs w:val="20"/>
              </w:rPr>
            </w:pPr>
            <w:r>
              <w:rPr>
                <w:rFonts w:ascii="宋体" w:hAnsi="宋体" w:cs="宋体" w:eastAsia="宋体" w:hint="default"/>
                <w:sz w:val="20"/>
                <w:szCs w:val="20"/>
              </w:rPr>
              <w:t>复深蓝</w:t>
            </w:r>
          </w:p>
        </w:tc>
      </w:tr>
      <w:tr>
        <w:trPr>
          <w:trHeight w:val="778" w:hRule="exact"/>
        </w:trPr>
        <w:tc>
          <w:tcPr>
            <w:tcW w:w="6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left="7" w:right="0"/>
              <w:jc w:val="center"/>
              <w:rPr>
                <w:rFonts w:ascii="Times New Roman" w:hAnsi="Times New Roman" w:cs="Times New Roman" w:eastAsia="Times New Roman" w:hint="default"/>
                <w:sz w:val="21"/>
                <w:szCs w:val="21"/>
              </w:rPr>
            </w:pPr>
            <w:r>
              <w:rPr>
                <w:rFonts w:ascii="Times New Roman"/>
                <w:w w:val="100"/>
                <w:sz w:val="21"/>
              </w:rPr>
              <w:t>6</w:t>
            </w:r>
          </w:p>
        </w:tc>
        <w:tc>
          <w:tcPr>
            <w:tcW w:w="2930" w:type="dxa"/>
            <w:tcBorders>
              <w:top w:val="single" w:sz="6" w:space="0" w:color="000000"/>
              <w:left w:val="single" w:sz="12" w:space="0" w:color="000000"/>
              <w:bottom w:val="single" w:sz="6" w:space="0" w:color="000000"/>
              <w:right w:val="single" w:sz="12" w:space="0" w:color="000000"/>
            </w:tcBorders>
          </w:tcPr>
          <w:p>
            <w:pPr>
              <w:pStyle w:val="TableParagraph"/>
              <w:spacing w:line="343" w:lineRule="auto" w:before="24"/>
              <w:ind w:left="-5" w:right="29" w:firstLine="19"/>
              <w:jc w:val="left"/>
              <w:rPr>
                <w:rFonts w:ascii="Times New Roman" w:hAnsi="Times New Roman" w:cs="Times New Roman" w:eastAsia="Times New Roman" w:hint="default"/>
                <w:sz w:val="20"/>
                <w:szCs w:val="20"/>
              </w:rPr>
            </w:pPr>
            <w:r>
              <w:rPr>
                <w:rFonts w:ascii="宋体" w:hAnsi="宋体" w:cs="宋体" w:eastAsia="宋体" w:hint="default"/>
                <w:sz w:val="20"/>
                <w:szCs w:val="20"/>
              </w:rPr>
              <w:t>复深蓝</w:t>
            </w:r>
            <w:r>
              <w:rPr>
                <w:rFonts w:ascii="宋体" w:hAnsi="宋体" w:cs="宋体" w:eastAsia="宋体" w:hint="default"/>
                <w:spacing w:val="-23"/>
                <w:sz w:val="20"/>
                <w:szCs w:val="20"/>
              </w:rPr>
              <w:t> </w:t>
            </w:r>
            <w:r>
              <w:rPr>
                <w:rFonts w:ascii="Times New Roman" w:hAnsi="Times New Roman" w:cs="Times New Roman" w:eastAsia="Times New Roman" w:hint="default"/>
                <w:sz w:val="20"/>
                <w:szCs w:val="20"/>
              </w:rPr>
              <w:t>“</w:t>
            </w:r>
            <w:r>
              <w:rPr>
                <w:rFonts w:ascii="宋体" w:hAnsi="宋体" w:cs="宋体" w:eastAsia="宋体" w:hint="default"/>
                <w:sz w:val="20"/>
                <w:szCs w:val="20"/>
              </w:rPr>
              <w:t>网络爬虫</w:t>
            </w:r>
            <w:r>
              <w:rPr>
                <w:rFonts w:ascii="Times New Roman" w:hAnsi="Times New Roman" w:cs="Times New Roman" w:eastAsia="Times New Roman" w:hint="default"/>
                <w:sz w:val="20"/>
                <w:szCs w:val="20"/>
              </w:rPr>
              <w:t>”</w:t>
            </w:r>
            <w:r>
              <w:rPr>
                <w:rFonts w:ascii="宋体" w:hAnsi="宋体" w:cs="宋体" w:eastAsia="宋体" w:hint="default"/>
                <w:sz w:val="20"/>
                <w:szCs w:val="20"/>
              </w:rPr>
              <w:t>信息抓取软件</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V2.0</w:t>
            </w:r>
          </w:p>
        </w:tc>
        <w:tc>
          <w:tcPr>
            <w:tcW w:w="155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71"/>
              <w:ind w:right="7"/>
              <w:jc w:val="center"/>
              <w:rPr>
                <w:rFonts w:ascii="Times New Roman" w:hAnsi="Times New Roman" w:cs="Times New Roman" w:eastAsia="Times New Roman" w:hint="default"/>
                <w:sz w:val="20"/>
                <w:szCs w:val="20"/>
              </w:rPr>
            </w:pPr>
            <w:r>
              <w:rPr>
                <w:rFonts w:ascii="Times New Roman"/>
                <w:sz w:val="20"/>
              </w:rPr>
              <w:t>2015SR226847</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4"/>
              <w:ind w:right="7"/>
              <w:jc w:val="center"/>
              <w:rPr>
                <w:rFonts w:ascii="宋体" w:hAnsi="宋体" w:cs="宋体" w:eastAsia="宋体" w:hint="default"/>
                <w:sz w:val="20"/>
                <w:szCs w:val="20"/>
              </w:rPr>
            </w:pPr>
            <w:r>
              <w:rPr>
                <w:rFonts w:ascii="宋体" w:hAnsi="宋体" w:cs="宋体" w:eastAsia="宋体" w:hint="default"/>
                <w:sz w:val="20"/>
                <w:szCs w:val="20"/>
              </w:rPr>
              <w:t>直接取得</w:t>
            </w:r>
          </w:p>
        </w:tc>
        <w:tc>
          <w:tcPr>
            <w:tcW w:w="142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71"/>
              <w:ind w:right="5"/>
              <w:jc w:val="center"/>
              <w:rPr>
                <w:rFonts w:ascii="Times New Roman" w:hAnsi="Times New Roman" w:cs="Times New Roman" w:eastAsia="Times New Roman" w:hint="default"/>
                <w:sz w:val="20"/>
                <w:szCs w:val="20"/>
              </w:rPr>
            </w:pPr>
            <w:r>
              <w:rPr>
                <w:rFonts w:ascii="Times New Roman"/>
                <w:sz w:val="20"/>
              </w:rPr>
              <w:t>2015/11/19</w:t>
            </w:r>
          </w:p>
        </w:tc>
        <w:tc>
          <w:tcPr>
            <w:tcW w:w="1118"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4"/>
              <w:ind w:right="10"/>
              <w:jc w:val="center"/>
              <w:rPr>
                <w:rFonts w:ascii="宋体" w:hAnsi="宋体" w:cs="宋体" w:eastAsia="宋体" w:hint="default"/>
                <w:sz w:val="20"/>
                <w:szCs w:val="20"/>
              </w:rPr>
            </w:pPr>
            <w:r>
              <w:rPr>
                <w:rFonts w:ascii="宋体" w:hAnsi="宋体" w:cs="宋体" w:eastAsia="宋体" w:hint="default"/>
                <w:sz w:val="20"/>
                <w:szCs w:val="20"/>
              </w:rPr>
              <w:t>复深蓝</w:t>
            </w:r>
          </w:p>
        </w:tc>
      </w:tr>
      <w:tr>
        <w:trPr>
          <w:trHeight w:val="780" w:hRule="exact"/>
        </w:trPr>
        <w:tc>
          <w:tcPr>
            <w:tcW w:w="6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left="7" w:right="0"/>
              <w:jc w:val="center"/>
              <w:rPr>
                <w:rFonts w:ascii="Times New Roman" w:hAnsi="Times New Roman" w:cs="Times New Roman" w:eastAsia="Times New Roman" w:hint="default"/>
                <w:sz w:val="21"/>
                <w:szCs w:val="21"/>
              </w:rPr>
            </w:pPr>
            <w:r>
              <w:rPr>
                <w:rFonts w:ascii="Times New Roman"/>
                <w:w w:val="100"/>
                <w:sz w:val="21"/>
              </w:rPr>
              <w:t>7</w:t>
            </w:r>
          </w:p>
        </w:tc>
        <w:tc>
          <w:tcPr>
            <w:tcW w:w="2930" w:type="dxa"/>
            <w:tcBorders>
              <w:top w:val="single" w:sz="6" w:space="0" w:color="000000"/>
              <w:left w:val="single" w:sz="12" w:space="0" w:color="000000"/>
              <w:bottom w:val="single" w:sz="6" w:space="0" w:color="000000"/>
              <w:right w:val="single" w:sz="12" w:space="0" w:color="000000"/>
            </w:tcBorders>
          </w:tcPr>
          <w:p>
            <w:pPr>
              <w:pStyle w:val="TableParagraph"/>
              <w:spacing w:line="321" w:lineRule="auto" w:before="26"/>
              <w:ind w:left="-5" w:right="58" w:firstLine="48"/>
              <w:jc w:val="left"/>
              <w:rPr>
                <w:rFonts w:ascii="Times New Roman" w:hAnsi="Times New Roman" w:cs="Times New Roman" w:eastAsia="Times New Roman" w:hint="default"/>
                <w:sz w:val="20"/>
                <w:szCs w:val="20"/>
              </w:rPr>
            </w:pPr>
            <w:r>
              <w:rPr>
                <w:rFonts w:ascii="宋体" w:hAnsi="宋体" w:cs="宋体" w:eastAsia="宋体" w:hint="default"/>
                <w:sz w:val="20"/>
                <w:szCs w:val="20"/>
              </w:rPr>
              <w:t>复深蓝互联网金融内容发布平台</w:t>
            </w:r>
            <w:r>
              <w:rPr>
                <w:rFonts w:ascii="宋体" w:hAnsi="宋体" w:cs="宋体" w:eastAsia="宋体" w:hint="default"/>
                <w:w w:val="99"/>
                <w:sz w:val="20"/>
                <w:szCs w:val="20"/>
              </w:rPr>
              <w:t> </w:t>
            </w:r>
            <w:r>
              <w:rPr>
                <w:rFonts w:ascii="宋体" w:hAnsi="宋体" w:cs="宋体" w:eastAsia="宋体" w:hint="default"/>
                <w:sz w:val="20"/>
                <w:szCs w:val="20"/>
              </w:rPr>
              <w:t>软件</w:t>
            </w:r>
            <w:r>
              <w:rPr>
                <w:rFonts w:ascii="Times New Roman" w:hAnsi="Times New Roman" w:cs="Times New Roman" w:eastAsia="Times New Roman" w:hint="default"/>
                <w:sz w:val="20"/>
                <w:szCs w:val="20"/>
              </w:rPr>
              <w:t>V1.0</w:t>
            </w:r>
          </w:p>
        </w:tc>
        <w:tc>
          <w:tcPr>
            <w:tcW w:w="155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73"/>
              <w:ind w:right="7"/>
              <w:jc w:val="center"/>
              <w:rPr>
                <w:rFonts w:ascii="Times New Roman" w:hAnsi="Times New Roman" w:cs="Times New Roman" w:eastAsia="Times New Roman" w:hint="default"/>
                <w:sz w:val="20"/>
                <w:szCs w:val="20"/>
              </w:rPr>
            </w:pPr>
            <w:r>
              <w:rPr>
                <w:rFonts w:ascii="Times New Roman"/>
                <w:sz w:val="20"/>
              </w:rPr>
              <w:t>2015SR261081</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6"/>
              <w:ind w:right="7"/>
              <w:jc w:val="center"/>
              <w:rPr>
                <w:rFonts w:ascii="宋体" w:hAnsi="宋体" w:cs="宋体" w:eastAsia="宋体" w:hint="default"/>
                <w:sz w:val="20"/>
                <w:szCs w:val="20"/>
              </w:rPr>
            </w:pPr>
            <w:r>
              <w:rPr>
                <w:rFonts w:ascii="宋体" w:hAnsi="宋体" w:cs="宋体" w:eastAsia="宋体" w:hint="default"/>
                <w:sz w:val="20"/>
                <w:szCs w:val="20"/>
              </w:rPr>
              <w:t>直接取得</w:t>
            </w:r>
          </w:p>
        </w:tc>
        <w:tc>
          <w:tcPr>
            <w:tcW w:w="142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73"/>
              <w:ind w:right="5"/>
              <w:jc w:val="center"/>
              <w:rPr>
                <w:rFonts w:ascii="Times New Roman" w:hAnsi="Times New Roman" w:cs="Times New Roman" w:eastAsia="Times New Roman" w:hint="default"/>
                <w:sz w:val="20"/>
                <w:szCs w:val="20"/>
              </w:rPr>
            </w:pPr>
            <w:r>
              <w:rPr>
                <w:rFonts w:ascii="Times New Roman"/>
                <w:sz w:val="20"/>
              </w:rPr>
              <w:t>2015/12/15</w:t>
            </w:r>
          </w:p>
        </w:tc>
        <w:tc>
          <w:tcPr>
            <w:tcW w:w="1118"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6"/>
              <w:ind w:right="10"/>
              <w:jc w:val="center"/>
              <w:rPr>
                <w:rFonts w:ascii="宋体" w:hAnsi="宋体" w:cs="宋体" w:eastAsia="宋体" w:hint="default"/>
                <w:sz w:val="20"/>
                <w:szCs w:val="20"/>
              </w:rPr>
            </w:pPr>
            <w:r>
              <w:rPr>
                <w:rFonts w:ascii="宋体" w:hAnsi="宋体" w:cs="宋体" w:eastAsia="宋体" w:hint="default"/>
                <w:sz w:val="20"/>
                <w:szCs w:val="20"/>
              </w:rPr>
              <w:t>复深蓝</w:t>
            </w:r>
          </w:p>
        </w:tc>
      </w:tr>
      <w:tr>
        <w:trPr>
          <w:trHeight w:val="427" w:hRule="exact"/>
        </w:trPr>
        <w:tc>
          <w:tcPr>
            <w:tcW w:w="6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left="7" w:right="0"/>
              <w:jc w:val="center"/>
              <w:rPr>
                <w:rFonts w:ascii="Times New Roman" w:hAnsi="Times New Roman" w:cs="Times New Roman" w:eastAsia="Times New Roman" w:hint="default"/>
                <w:sz w:val="21"/>
                <w:szCs w:val="21"/>
              </w:rPr>
            </w:pPr>
            <w:r>
              <w:rPr>
                <w:rFonts w:ascii="Times New Roman"/>
                <w:w w:val="100"/>
                <w:sz w:val="21"/>
              </w:rPr>
              <w:t>8</w:t>
            </w:r>
          </w:p>
        </w:tc>
        <w:tc>
          <w:tcPr>
            <w:tcW w:w="293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4"/>
              <w:ind w:left="-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复深蓝移动理财平台软件</w:t>
            </w:r>
            <w:r>
              <w:rPr>
                <w:rFonts w:ascii="Times New Roman" w:hAnsi="Times New Roman" w:cs="Times New Roman" w:eastAsia="Times New Roman" w:hint="default"/>
                <w:sz w:val="20"/>
                <w:szCs w:val="20"/>
              </w:rPr>
              <w:t>V1.0</w:t>
            </w:r>
          </w:p>
        </w:tc>
        <w:tc>
          <w:tcPr>
            <w:tcW w:w="155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71"/>
              <w:ind w:right="7"/>
              <w:jc w:val="center"/>
              <w:rPr>
                <w:rFonts w:ascii="Times New Roman" w:hAnsi="Times New Roman" w:cs="Times New Roman" w:eastAsia="Times New Roman" w:hint="default"/>
                <w:sz w:val="20"/>
                <w:szCs w:val="20"/>
              </w:rPr>
            </w:pPr>
            <w:r>
              <w:rPr>
                <w:rFonts w:ascii="Times New Roman"/>
                <w:sz w:val="20"/>
              </w:rPr>
              <w:t>2015SR266852</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4"/>
              <w:ind w:right="7"/>
              <w:jc w:val="center"/>
              <w:rPr>
                <w:rFonts w:ascii="宋体" w:hAnsi="宋体" w:cs="宋体" w:eastAsia="宋体" w:hint="default"/>
                <w:sz w:val="20"/>
                <w:szCs w:val="20"/>
              </w:rPr>
            </w:pPr>
            <w:r>
              <w:rPr>
                <w:rFonts w:ascii="宋体" w:hAnsi="宋体" w:cs="宋体" w:eastAsia="宋体" w:hint="default"/>
                <w:sz w:val="20"/>
                <w:szCs w:val="20"/>
              </w:rPr>
              <w:t>直接取得</w:t>
            </w:r>
          </w:p>
        </w:tc>
        <w:tc>
          <w:tcPr>
            <w:tcW w:w="142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71"/>
              <w:ind w:right="5"/>
              <w:jc w:val="center"/>
              <w:rPr>
                <w:rFonts w:ascii="Times New Roman" w:hAnsi="Times New Roman" w:cs="Times New Roman" w:eastAsia="Times New Roman" w:hint="default"/>
                <w:sz w:val="20"/>
                <w:szCs w:val="20"/>
              </w:rPr>
            </w:pPr>
            <w:r>
              <w:rPr>
                <w:rFonts w:ascii="Times New Roman"/>
                <w:sz w:val="20"/>
              </w:rPr>
              <w:t>2015/12/18</w:t>
            </w:r>
          </w:p>
        </w:tc>
        <w:tc>
          <w:tcPr>
            <w:tcW w:w="1118"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4"/>
              <w:ind w:right="10"/>
              <w:jc w:val="center"/>
              <w:rPr>
                <w:rFonts w:ascii="宋体" w:hAnsi="宋体" w:cs="宋体" w:eastAsia="宋体" w:hint="default"/>
                <w:sz w:val="20"/>
                <w:szCs w:val="20"/>
              </w:rPr>
            </w:pPr>
            <w:r>
              <w:rPr>
                <w:rFonts w:ascii="宋体" w:hAnsi="宋体" w:cs="宋体" w:eastAsia="宋体" w:hint="default"/>
                <w:sz w:val="20"/>
                <w:szCs w:val="20"/>
              </w:rPr>
              <w:t>复深蓝</w:t>
            </w:r>
          </w:p>
        </w:tc>
      </w:tr>
      <w:tr>
        <w:trPr>
          <w:trHeight w:val="739" w:hRule="exact"/>
        </w:trPr>
        <w:tc>
          <w:tcPr>
            <w:tcW w:w="6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left="7" w:right="0"/>
              <w:jc w:val="center"/>
              <w:rPr>
                <w:rFonts w:ascii="Times New Roman" w:hAnsi="Times New Roman" w:cs="Times New Roman" w:eastAsia="Times New Roman" w:hint="default"/>
                <w:sz w:val="21"/>
                <w:szCs w:val="21"/>
              </w:rPr>
            </w:pPr>
            <w:r>
              <w:rPr>
                <w:rFonts w:ascii="Times New Roman"/>
                <w:w w:val="100"/>
                <w:sz w:val="21"/>
              </w:rPr>
              <w:t>9</w:t>
            </w:r>
          </w:p>
        </w:tc>
        <w:tc>
          <w:tcPr>
            <w:tcW w:w="293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4"/>
              <w:ind w:left="-5" w:right="0"/>
              <w:jc w:val="left"/>
              <w:rPr>
                <w:rFonts w:ascii="宋体" w:hAnsi="宋体" w:cs="宋体" w:eastAsia="宋体" w:hint="default"/>
                <w:sz w:val="20"/>
                <w:szCs w:val="20"/>
              </w:rPr>
            </w:pPr>
            <w:r>
              <w:rPr>
                <w:rFonts w:ascii="宋体" w:hAnsi="宋体" w:cs="宋体" w:eastAsia="宋体" w:hint="default"/>
                <w:sz w:val="20"/>
                <w:szCs w:val="20"/>
              </w:rPr>
              <w:t>复</w:t>
            </w:r>
            <w:r>
              <w:rPr>
                <w:rFonts w:ascii="宋体" w:hAnsi="宋体" w:cs="宋体" w:eastAsia="宋体" w:hint="default"/>
                <w:spacing w:val="-76"/>
                <w:sz w:val="20"/>
                <w:szCs w:val="20"/>
              </w:rPr>
              <w:t> </w:t>
            </w:r>
            <w:r>
              <w:rPr>
                <w:rFonts w:ascii="宋体" w:hAnsi="宋体" w:cs="宋体" w:eastAsia="宋体" w:hint="default"/>
                <w:spacing w:val="16"/>
                <w:sz w:val="20"/>
                <w:szCs w:val="20"/>
              </w:rPr>
              <w:t>深蓝一</w:t>
            </w:r>
            <w:r>
              <w:rPr>
                <w:rFonts w:ascii="宋体" w:hAnsi="宋体" w:cs="宋体" w:eastAsia="宋体" w:hint="default"/>
                <w:spacing w:val="-76"/>
                <w:sz w:val="20"/>
                <w:szCs w:val="20"/>
              </w:rPr>
              <w:t> </w:t>
            </w:r>
            <w:r>
              <w:rPr>
                <w:rFonts w:ascii="宋体" w:hAnsi="宋体" w:cs="宋体" w:eastAsia="宋体" w:hint="default"/>
                <w:sz w:val="20"/>
                <w:szCs w:val="20"/>
              </w:rPr>
              <w:t>站</w:t>
            </w:r>
            <w:r>
              <w:rPr>
                <w:rFonts w:ascii="宋体" w:hAnsi="宋体" w:cs="宋体" w:eastAsia="宋体" w:hint="default"/>
                <w:spacing w:val="-76"/>
                <w:sz w:val="20"/>
                <w:szCs w:val="20"/>
              </w:rPr>
              <w:t> </w:t>
            </w:r>
            <w:r>
              <w:rPr>
                <w:rFonts w:ascii="宋体" w:hAnsi="宋体" w:cs="宋体" w:eastAsia="宋体" w:hint="default"/>
                <w:spacing w:val="11"/>
                <w:sz w:val="20"/>
                <w:szCs w:val="20"/>
              </w:rPr>
              <w:t>式银</w:t>
            </w:r>
            <w:r>
              <w:rPr>
                <w:rFonts w:ascii="宋体" w:hAnsi="宋体" w:cs="宋体" w:eastAsia="宋体" w:hint="default"/>
                <w:spacing w:val="-76"/>
                <w:sz w:val="20"/>
                <w:szCs w:val="20"/>
              </w:rPr>
              <w:t> </w:t>
            </w:r>
            <w:r>
              <w:rPr>
                <w:rFonts w:ascii="宋体" w:hAnsi="宋体" w:cs="宋体" w:eastAsia="宋体" w:hint="default"/>
                <w:spacing w:val="13"/>
                <w:sz w:val="20"/>
                <w:szCs w:val="20"/>
              </w:rPr>
              <w:t>保通</w:t>
            </w:r>
            <w:r>
              <w:rPr>
                <w:rFonts w:ascii="宋体" w:hAnsi="宋体" w:cs="宋体" w:eastAsia="宋体" w:hint="default"/>
                <w:spacing w:val="-76"/>
                <w:sz w:val="20"/>
                <w:szCs w:val="20"/>
              </w:rPr>
              <w:t> </w:t>
            </w:r>
            <w:r>
              <w:rPr>
                <w:rFonts w:ascii="宋体" w:hAnsi="宋体" w:cs="宋体" w:eastAsia="宋体" w:hint="default"/>
                <w:sz w:val="20"/>
                <w:szCs w:val="20"/>
              </w:rPr>
              <w:t>平</w:t>
            </w:r>
            <w:r>
              <w:rPr>
                <w:rFonts w:ascii="宋体" w:hAnsi="宋体" w:cs="宋体" w:eastAsia="宋体" w:hint="default"/>
                <w:spacing w:val="-76"/>
                <w:sz w:val="20"/>
                <w:szCs w:val="20"/>
              </w:rPr>
              <w:t> </w:t>
            </w:r>
            <w:r>
              <w:rPr>
                <w:rFonts w:ascii="宋体" w:hAnsi="宋体" w:cs="宋体" w:eastAsia="宋体" w:hint="default"/>
                <w:spacing w:val="16"/>
                <w:sz w:val="20"/>
                <w:szCs w:val="20"/>
              </w:rPr>
              <w:t>台软件</w:t>
            </w:r>
          </w:p>
          <w:p>
            <w:pPr>
              <w:pStyle w:val="TableParagraph"/>
              <w:spacing w:line="240" w:lineRule="auto" w:before="97"/>
              <w:ind w:left="-5" w:right="0"/>
              <w:jc w:val="left"/>
              <w:rPr>
                <w:rFonts w:ascii="Times New Roman" w:hAnsi="Times New Roman" w:cs="Times New Roman" w:eastAsia="Times New Roman" w:hint="default"/>
                <w:sz w:val="20"/>
                <w:szCs w:val="20"/>
              </w:rPr>
            </w:pPr>
            <w:r>
              <w:rPr>
                <w:rFonts w:ascii="Times New Roman"/>
                <w:sz w:val="20"/>
              </w:rPr>
              <w:t>V1.0</w:t>
            </w:r>
          </w:p>
        </w:tc>
        <w:tc>
          <w:tcPr>
            <w:tcW w:w="155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71"/>
              <w:ind w:right="7"/>
              <w:jc w:val="center"/>
              <w:rPr>
                <w:rFonts w:ascii="Times New Roman" w:hAnsi="Times New Roman" w:cs="Times New Roman" w:eastAsia="Times New Roman" w:hint="default"/>
                <w:sz w:val="20"/>
                <w:szCs w:val="20"/>
              </w:rPr>
            </w:pPr>
            <w:r>
              <w:rPr>
                <w:rFonts w:ascii="Times New Roman"/>
                <w:sz w:val="20"/>
              </w:rPr>
              <w:t>2015SR261166</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4"/>
              <w:ind w:right="7"/>
              <w:jc w:val="center"/>
              <w:rPr>
                <w:rFonts w:ascii="宋体" w:hAnsi="宋体" w:cs="宋体" w:eastAsia="宋体" w:hint="default"/>
                <w:sz w:val="20"/>
                <w:szCs w:val="20"/>
              </w:rPr>
            </w:pPr>
            <w:r>
              <w:rPr>
                <w:rFonts w:ascii="宋体" w:hAnsi="宋体" w:cs="宋体" w:eastAsia="宋体" w:hint="default"/>
                <w:sz w:val="20"/>
                <w:szCs w:val="20"/>
              </w:rPr>
              <w:t>直接取得</w:t>
            </w:r>
          </w:p>
        </w:tc>
        <w:tc>
          <w:tcPr>
            <w:tcW w:w="142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71"/>
              <w:ind w:right="5"/>
              <w:jc w:val="center"/>
              <w:rPr>
                <w:rFonts w:ascii="Times New Roman" w:hAnsi="Times New Roman" w:cs="Times New Roman" w:eastAsia="Times New Roman" w:hint="default"/>
                <w:sz w:val="20"/>
                <w:szCs w:val="20"/>
              </w:rPr>
            </w:pPr>
            <w:r>
              <w:rPr>
                <w:rFonts w:ascii="Times New Roman"/>
                <w:sz w:val="20"/>
              </w:rPr>
              <w:t>2015/12/15</w:t>
            </w:r>
          </w:p>
        </w:tc>
        <w:tc>
          <w:tcPr>
            <w:tcW w:w="1118"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4"/>
              <w:ind w:right="10"/>
              <w:jc w:val="center"/>
              <w:rPr>
                <w:rFonts w:ascii="宋体" w:hAnsi="宋体" w:cs="宋体" w:eastAsia="宋体" w:hint="default"/>
                <w:sz w:val="20"/>
                <w:szCs w:val="20"/>
              </w:rPr>
            </w:pPr>
            <w:r>
              <w:rPr>
                <w:rFonts w:ascii="宋体" w:hAnsi="宋体" w:cs="宋体" w:eastAsia="宋体" w:hint="default"/>
                <w:sz w:val="20"/>
                <w:szCs w:val="20"/>
              </w:rPr>
              <w:t>复深蓝</w:t>
            </w:r>
          </w:p>
        </w:tc>
      </w:tr>
    </w:tbl>
    <w:p>
      <w:pPr>
        <w:spacing w:after="0" w:line="240" w:lineRule="auto"/>
        <w:jc w:val="center"/>
        <w:rPr>
          <w:rFonts w:ascii="宋体" w:hAnsi="宋体" w:cs="宋体" w:eastAsia="宋体" w:hint="default"/>
          <w:sz w:val="20"/>
          <w:szCs w:val="20"/>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638"/>
        <w:gridCol w:w="2930"/>
        <w:gridCol w:w="1550"/>
        <w:gridCol w:w="1200"/>
        <w:gridCol w:w="1426"/>
        <w:gridCol w:w="1118"/>
      </w:tblGrid>
      <w:tr>
        <w:trPr>
          <w:trHeight w:val="427" w:hRule="exact"/>
        </w:trPr>
        <w:tc>
          <w:tcPr>
            <w:tcW w:w="6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7" w:right="0"/>
              <w:jc w:val="center"/>
              <w:rPr>
                <w:rFonts w:ascii="Times New Roman" w:hAnsi="Times New Roman" w:cs="Times New Roman" w:eastAsia="Times New Roman" w:hint="default"/>
                <w:sz w:val="21"/>
                <w:szCs w:val="21"/>
              </w:rPr>
            </w:pPr>
            <w:r>
              <w:rPr>
                <w:rFonts w:ascii="Times New Roman"/>
                <w:sz w:val="21"/>
              </w:rPr>
              <w:t>10</w:t>
            </w:r>
          </w:p>
        </w:tc>
        <w:tc>
          <w:tcPr>
            <w:tcW w:w="293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2"/>
              <w:ind w:left="-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复深蓝消费贷平台软件</w:t>
            </w:r>
            <w:r>
              <w:rPr>
                <w:rFonts w:ascii="Times New Roman" w:hAnsi="Times New Roman" w:cs="Times New Roman" w:eastAsia="Times New Roman" w:hint="default"/>
                <w:sz w:val="20"/>
                <w:szCs w:val="20"/>
              </w:rPr>
              <w:t>V1.0</w:t>
            </w:r>
          </w:p>
        </w:tc>
        <w:tc>
          <w:tcPr>
            <w:tcW w:w="155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9"/>
              <w:ind w:right="7"/>
              <w:jc w:val="center"/>
              <w:rPr>
                <w:rFonts w:ascii="Times New Roman" w:hAnsi="Times New Roman" w:cs="Times New Roman" w:eastAsia="Times New Roman" w:hint="default"/>
                <w:sz w:val="20"/>
                <w:szCs w:val="20"/>
              </w:rPr>
            </w:pPr>
            <w:r>
              <w:rPr>
                <w:rFonts w:ascii="Times New Roman"/>
                <w:sz w:val="20"/>
              </w:rPr>
              <w:t>2015SR266673</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2"/>
              <w:ind w:right="190"/>
              <w:jc w:val="right"/>
              <w:rPr>
                <w:rFonts w:ascii="宋体" w:hAnsi="宋体" w:cs="宋体" w:eastAsia="宋体" w:hint="default"/>
                <w:sz w:val="20"/>
                <w:szCs w:val="20"/>
              </w:rPr>
            </w:pPr>
            <w:r>
              <w:rPr>
                <w:rFonts w:ascii="宋体" w:hAnsi="宋体" w:cs="宋体" w:eastAsia="宋体" w:hint="default"/>
                <w:w w:val="95"/>
                <w:sz w:val="20"/>
                <w:szCs w:val="20"/>
              </w:rPr>
              <w:t>直接取得</w:t>
            </w:r>
            <w:r>
              <w:rPr>
                <w:rFonts w:ascii="宋体" w:hAnsi="宋体" w:cs="宋体" w:eastAsia="宋体" w:hint="default"/>
                <w:sz w:val="20"/>
                <w:szCs w:val="20"/>
              </w:rPr>
            </w:r>
          </w:p>
        </w:tc>
        <w:tc>
          <w:tcPr>
            <w:tcW w:w="142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9"/>
              <w:ind w:right="5"/>
              <w:jc w:val="center"/>
              <w:rPr>
                <w:rFonts w:ascii="Times New Roman" w:hAnsi="Times New Roman" w:cs="Times New Roman" w:eastAsia="Times New Roman" w:hint="default"/>
                <w:sz w:val="20"/>
                <w:szCs w:val="20"/>
              </w:rPr>
            </w:pPr>
            <w:r>
              <w:rPr>
                <w:rFonts w:ascii="Times New Roman"/>
                <w:sz w:val="20"/>
              </w:rPr>
              <w:t>2015/12/18</w:t>
            </w:r>
          </w:p>
        </w:tc>
        <w:tc>
          <w:tcPr>
            <w:tcW w:w="1118"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2"/>
              <w:ind w:right="10"/>
              <w:jc w:val="center"/>
              <w:rPr>
                <w:rFonts w:ascii="宋体" w:hAnsi="宋体" w:cs="宋体" w:eastAsia="宋体" w:hint="default"/>
                <w:sz w:val="20"/>
                <w:szCs w:val="20"/>
              </w:rPr>
            </w:pPr>
            <w:r>
              <w:rPr>
                <w:rFonts w:ascii="宋体" w:hAnsi="宋体" w:cs="宋体" w:eastAsia="宋体" w:hint="default"/>
                <w:sz w:val="20"/>
                <w:szCs w:val="20"/>
              </w:rPr>
              <w:t>复深蓝</w:t>
            </w:r>
          </w:p>
        </w:tc>
      </w:tr>
      <w:tr>
        <w:trPr>
          <w:trHeight w:val="427" w:hRule="exact"/>
        </w:trPr>
        <w:tc>
          <w:tcPr>
            <w:tcW w:w="6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7" w:right="0"/>
              <w:jc w:val="center"/>
              <w:rPr>
                <w:rFonts w:ascii="Times New Roman" w:hAnsi="Times New Roman" w:cs="Times New Roman" w:eastAsia="Times New Roman" w:hint="default"/>
                <w:sz w:val="21"/>
                <w:szCs w:val="21"/>
              </w:rPr>
            </w:pPr>
            <w:r>
              <w:rPr>
                <w:rFonts w:ascii="Times New Roman"/>
                <w:sz w:val="21"/>
              </w:rPr>
              <w:t>11</w:t>
            </w:r>
          </w:p>
        </w:tc>
        <w:tc>
          <w:tcPr>
            <w:tcW w:w="293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2"/>
              <w:ind w:left="-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复深蓝云资源管理平台软件</w:t>
            </w:r>
            <w:r>
              <w:rPr>
                <w:rFonts w:ascii="Times New Roman" w:hAnsi="Times New Roman" w:cs="Times New Roman" w:eastAsia="Times New Roman" w:hint="default"/>
                <w:sz w:val="20"/>
                <w:szCs w:val="20"/>
              </w:rPr>
              <w:t>V2.0</w:t>
            </w:r>
          </w:p>
        </w:tc>
        <w:tc>
          <w:tcPr>
            <w:tcW w:w="155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9"/>
              <w:ind w:right="7"/>
              <w:jc w:val="center"/>
              <w:rPr>
                <w:rFonts w:ascii="Times New Roman" w:hAnsi="Times New Roman" w:cs="Times New Roman" w:eastAsia="Times New Roman" w:hint="default"/>
                <w:sz w:val="20"/>
                <w:szCs w:val="20"/>
              </w:rPr>
            </w:pPr>
            <w:r>
              <w:rPr>
                <w:rFonts w:ascii="Times New Roman"/>
                <w:sz w:val="20"/>
              </w:rPr>
              <w:t>2015SR267412</w:t>
            </w:r>
          </w:p>
        </w:tc>
        <w:tc>
          <w:tcPr>
            <w:tcW w:w="1200"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2"/>
              <w:ind w:right="190"/>
              <w:jc w:val="right"/>
              <w:rPr>
                <w:rFonts w:ascii="宋体" w:hAnsi="宋体" w:cs="宋体" w:eastAsia="宋体" w:hint="default"/>
                <w:sz w:val="20"/>
                <w:szCs w:val="20"/>
              </w:rPr>
            </w:pPr>
            <w:r>
              <w:rPr>
                <w:rFonts w:ascii="宋体" w:hAnsi="宋体" w:cs="宋体" w:eastAsia="宋体" w:hint="default"/>
                <w:w w:val="95"/>
                <w:sz w:val="20"/>
                <w:szCs w:val="20"/>
              </w:rPr>
              <w:t>直接取得</w:t>
            </w:r>
            <w:r>
              <w:rPr>
                <w:rFonts w:ascii="宋体" w:hAnsi="宋体" w:cs="宋体" w:eastAsia="宋体" w:hint="default"/>
                <w:sz w:val="20"/>
                <w:szCs w:val="20"/>
              </w:rPr>
            </w:r>
          </w:p>
        </w:tc>
        <w:tc>
          <w:tcPr>
            <w:tcW w:w="142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9"/>
              <w:ind w:right="5"/>
              <w:jc w:val="center"/>
              <w:rPr>
                <w:rFonts w:ascii="Times New Roman" w:hAnsi="Times New Roman" w:cs="Times New Roman" w:eastAsia="Times New Roman" w:hint="default"/>
                <w:sz w:val="20"/>
                <w:szCs w:val="20"/>
              </w:rPr>
            </w:pPr>
            <w:r>
              <w:rPr>
                <w:rFonts w:ascii="Times New Roman"/>
                <w:sz w:val="20"/>
              </w:rPr>
              <w:t>2015/12/18</w:t>
            </w:r>
          </w:p>
        </w:tc>
        <w:tc>
          <w:tcPr>
            <w:tcW w:w="1118"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2"/>
              <w:ind w:right="10"/>
              <w:jc w:val="center"/>
              <w:rPr>
                <w:rFonts w:ascii="宋体" w:hAnsi="宋体" w:cs="宋体" w:eastAsia="宋体" w:hint="default"/>
                <w:sz w:val="20"/>
                <w:szCs w:val="20"/>
              </w:rPr>
            </w:pPr>
            <w:r>
              <w:rPr>
                <w:rFonts w:ascii="宋体" w:hAnsi="宋体" w:cs="宋体" w:eastAsia="宋体" w:hint="default"/>
                <w:sz w:val="20"/>
                <w:szCs w:val="20"/>
              </w:rPr>
              <w:t>复深蓝</w:t>
            </w:r>
          </w:p>
        </w:tc>
      </w:tr>
    </w:tbl>
    <w:p>
      <w:pPr>
        <w:spacing w:line="240" w:lineRule="auto" w:before="2"/>
        <w:rPr>
          <w:rFonts w:ascii="宋体" w:hAnsi="宋体" w:cs="宋体" w:eastAsia="宋体" w:hint="default"/>
          <w:sz w:val="20"/>
          <w:szCs w:val="20"/>
        </w:rPr>
      </w:pPr>
    </w:p>
    <w:p>
      <w:pPr>
        <w:pStyle w:val="Heading6"/>
        <w:spacing w:line="240" w:lineRule="auto" w:before="36"/>
        <w:ind w:right="0"/>
        <w:jc w:val="left"/>
        <w:rPr>
          <w:b w:val="0"/>
          <w:bCs w:val="0"/>
        </w:rPr>
      </w:pPr>
      <w:r>
        <w:rPr>
          <w:rFonts w:ascii="Times New Roman" w:hAnsi="Times New Roman" w:cs="Times New Roman" w:eastAsia="Times New Roman" w:hint="default"/>
        </w:rPr>
        <w:t>3</w:t>
      </w:r>
      <w:r>
        <w:rPr/>
        <w:t>、商标</w:t>
      </w:r>
      <w:r>
        <w:rPr>
          <w:b w:val="0"/>
          <w:bCs w:val="0"/>
        </w:rPr>
      </w:r>
    </w:p>
    <w:p>
      <w:pPr>
        <w:pStyle w:val="BodyText"/>
        <w:spacing w:line="240" w:lineRule="auto" w:before="98"/>
        <w:ind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）截至报告期末，公司及子公司累计取得商标</w:t>
      </w:r>
      <w:r>
        <w:rPr>
          <w:rFonts w:ascii="Times New Roman" w:hAnsi="Times New Roman" w:cs="Times New Roman" w:eastAsia="Times New Roman" w:hint="default"/>
        </w:rPr>
        <w:t>54</w:t>
      </w:r>
      <w:r>
        <w:rPr/>
        <w:t>项。报告期内，公司新增</w:t>
      </w:r>
      <w:r>
        <w:rPr>
          <w:rFonts w:ascii="Times New Roman" w:hAnsi="Times New Roman" w:cs="Times New Roman" w:eastAsia="Times New Roman" w:hint="default"/>
        </w:rPr>
        <w:t>8</w:t>
      </w:r>
      <w:r>
        <w:rPr/>
        <w:t>项商标。具体如下</w:t>
      </w:r>
      <w:r>
        <w:rPr>
          <w:rFonts w:ascii="Times New Roman" w:hAnsi="Times New Roman" w:cs="Times New Roman" w:eastAsia="Times New Roman" w:hint="default"/>
        </w:rPr>
        <w:t>:</w:t>
      </w:r>
    </w:p>
    <w:p>
      <w:pPr>
        <w:spacing w:line="240" w:lineRule="auto" w:before="9"/>
        <w:rPr>
          <w:rFonts w:ascii="Times New Roman" w:hAnsi="Times New Roman" w:cs="Times New Roman" w:eastAsia="Times New Roman"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991"/>
        <w:gridCol w:w="1610"/>
        <w:gridCol w:w="991"/>
        <w:gridCol w:w="1135"/>
        <w:gridCol w:w="1507"/>
        <w:gridCol w:w="1610"/>
        <w:gridCol w:w="1022"/>
      </w:tblGrid>
      <w:tr>
        <w:trPr>
          <w:trHeight w:val="1056" w:hRule="exact"/>
        </w:trPr>
        <w:tc>
          <w:tcPr>
            <w:tcW w:w="991"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序号</w:t>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2"/>
              <w:jc w:val="center"/>
              <w:rPr>
                <w:rFonts w:ascii="宋体" w:hAnsi="宋体" w:cs="宋体" w:eastAsia="宋体" w:hint="default"/>
                <w:sz w:val="20"/>
                <w:szCs w:val="20"/>
              </w:rPr>
            </w:pPr>
            <w:r>
              <w:rPr>
                <w:rFonts w:ascii="宋体" w:hAnsi="宋体" w:cs="宋体" w:eastAsia="宋体" w:hint="default"/>
                <w:sz w:val="20"/>
                <w:szCs w:val="20"/>
              </w:rPr>
              <w:t>申请号</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商标</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76" w:lineRule="auto" w:before="45"/>
              <w:ind w:left="30" w:right="29" w:hanging="3"/>
              <w:jc w:val="center"/>
              <w:rPr>
                <w:rFonts w:ascii="宋体" w:hAnsi="宋体" w:cs="宋体" w:eastAsia="宋体" w:hint="default"/>
                <w:sz w:val="20"/>
                <w:szCs w:val="20"/>
              </w:rPr>
            </w:pPr>
            <w:r>
              <w:rPr>
                <w:rFonts w:ascii="宋体" w:hAnsi="宋体" w:cs="宋体" w:eastAsia="宋体" w:hint="default"/>
                <w:sz w:val="20"/>
                <w:szCs w:val="20"/>
              </w:rPr>
              <w:t>核定服务项</w:t>
            </w:r>
            <w:r>
              <w:rPr>
                <w:rFonts w:ascii="宋体" w:hAnsi="宋体" w:cs="宋体" w:eastAsia="宋体" w:hint="default"/>
                <w:w w:val="99"/>
                <w:sz w:val="20"/>
                <w:szCs w:val="20"/>
              </w:rPr>
              <w:t> </w:t>
            </w:r>
            <w:r>
              <w:rPr>
                <w:rFonts w:ascii="宋体" w:hAnsi="宋体" w:cs="宋体" w:eastAsia="宋体" w:hint="default"/>
                <w:sz w:val="20"/>
                <w:szCs w:val="20"/>
              </w:rPr>
              <w:t>目</w:t>
            </w:r>
            <w:r>
              <w:rPr>
                <w:rFonts w:ascii="Times New Roman" w:hAnsi="Times New Roman" w:cs="Times New Roman" w:eastAsia="Times New Roman" w:hint="default"/>
                <w:sz w:val="20"/>
                <w:szCs w:val="20"/>
              </w:rPr>
              <w:t>/</w:t>
            </w:r>
            <w:r>
              <w:rPr>
                <w:rFonts w:ascii="宋体" w:hAnsi="宋体" w:cs="宋体" w:eastAsia="宋体" w:hint="default"/>
                <w:sz w:val="20"/>
                <w:szCs w:val="20"/>
              </w:rPr>
              <w:t>核定使用</w:t>
            </w:r>
            <w:r>
              <w:rPr>
                <w:rFonts w:ascii="宋体" w:hAnsi="宋体" w:cs="宋体" w:eastAsia="宋体" w:hint="default"/>
                <w:w w:val="99"/>
                <w:sz w:val="20"/>
                <w:szCs w:val="20"/>
              </w:rPr>
              <w:t> </w:t>
            </w:r>
            <w:r>
              <w:rPr>
                <w:rFonts w:ascii="宋体" w:hAnsi="宋体" w:cs="宋体" w:eastAsia="宋体" w:hint="default"/>
                <w:sz w:val="20"/>
                <w:szCs w:val="20"/>
              </w:rPr>
              <w:t>商品</w:t>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3"/>
              <w:jc w:val="center"/>
              <w:rPr>
                <w:rFonts w:ascii="宋体" w:hAnsi="宋体" w:cs="宋体" w:eastAsia="宋体" w:hint="default"/>
                <w:sz w:val="20"/>
                <w:szCs w:val="20"/>
              </w:rPr>
            </w:pPr>
            <w:r>
              <w:rPr>
                <w:rFonts w:ascii="宋体" w:hAnsi="宋体" w:cs="宋体" w:eastAsia="宋体" w:hint="default"/>
                <w:sz w:val="20"/>
                <w:szCs w:val="20"/>
              </w:rPr>
              <w:t>颁发日期</w:t>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left="1" w:right="0"/>
              <w:jc w:val="center"/>
              <w:rPr>
                <w:rFonts w:ascii="宋体" w:hAnsi="宋体" w:cs="宋体" w:eastAsia="宋体" w:hint="default"/>
                <w:sz w:val="20"/>
                <w:szCs w:val="20"/>
              </w:rPr>
            </w:pPr>
            <w:r>
              <w:rPr>
                <w:rFonts w:ascii="宋体" w:hAnsi="宋体" w:cs="宋体" w:eastAsia="宋体" w:hint="default"/>
                <w:sz w:val="20"/>
                <w:szCs w:val="20"/>
              </w:rPr>
              <w:t>状态</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left="1" w:right="0"/>
              <w:jc w:val="center"/>
              <w:rPr>
                <w:rFonts w:ascii="宋体" w:hAnsi="宋体" w:cs="宋体" w:eastAsia="宋体" w:hint="default"/>
                <w:sz w:val="20"/>
                <w:szCs w:val="20"/>
              </w:rPr>
            </w:pPr>
            <w:r>
              <w:rPr>
                <w:rFonts w:ascii="宋体" w:hAnsi="宋体" w:cs="宋体" w:eastAsia="宋体" w:hint="default"/>
                <w:sz w:val="20"/>
                <w:szCs w:val="20"/>
              </w:rPr>
              <w:t>申请人</w:t>
            </w:r>
          </w:p>
        </w:tc>
      </w:tr>
      <w:tr>
        <w:trPr>
          <w:trHeight w:val="785" w:hRule="exact"/>
        </w:trPr>
        <w:tc>
          <w:tcPr>
            <w:tcW w:w="991"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91"/>
              <w:ind w:left="3"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第</w:t>
            </w:r>
            <w:r>
              <w:rPr>
                <w:rFonts w:ascii="Times New Roman" w:hAnsi="Times New Roman" w:cs="Times New Roman" w:eastAsia="Times New Roman" w:hint="default"/>
                <w:sz w:val="20"/>
                <w:szCs w:val="20"/>
              </w:rPr>
              <w:t>12280465</w:t>
            </w:r>
            <w:r>
              <w:rPr>
                <w:rFonts w:ascii="宋体" w:hAnsi="宋体" w:cs="宋体" w:eastAsia="宋体" w:hint="default"/>
                <w:sz w:val="20"/>
                <w:szCs w:val="20"/>
              </w:rPr>
              <w:t>号</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天玑</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305"/>
              <w:jc w:val="right"/>
              <w:rPr>
                <w:rFonts w:ascii="宋体" w:hAnsi="宋体" w:cs="宋体" w:eastAsia="宋体" w:hint="default"/>
                <w:sz w:val="20"/>
                <w:szCs w:val="20"/>
              </w:rPr>
            </w:pPr>
            <w:r>
              <w:rPr>
                <w:rFonts w:ascii="宋体" w:hAnsi="宋体" w:cs="宋体" w:eastAsia="宋体" w:hint="default"/>
                <w:w w:val="95"/>
                <w:sz w:val="20"/>
                <w:szCs w:val="20"/>
              </w:rPr>
              <w:t>第</w:t>
            </w:r>
            <w:r>
              <w:rPr>
                <w:rFonts w:ascii="Times New Roman" w:hAnsi="Times New Roman" w:cs="Times New Roman" w:eastAsia="Times New Roman" w:hint="default"/>
                <w:w w:val="95"/>
                <w:sz w:val="20"/>
                <w:szCs w:val="20"/>
              </w:rPr>
              <w:t>9</w:t>
            </w:r>
            <w:r>
              <w:rPr>
                <w:rFonts w:ascii="宋体" w:hAnsi="宋体" w:cs="宋体" w:eastAsia="宋体" w:hint="default"/>
                <w:w w:val="95"/>
                <w:sz w:val="20"/>
                <w:szCs w:val="20"/>
              </w:rPr>
              <w:t>类</w:t>
            </w:r>
            <w:r>
              <w:rPr>
                <w:rFonts w:ascii="宋体" w:hAnsi="宋体" w:cs="宋体" w:eastAsia="宋体" w:hint="default"/>
                <w:sz w:val="20"/>
                <w:szCs w:val="20"/>
              </w:rPr>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3</w:t>
            </w:r>
            <w:r>
              <w:rPr>
                <w:rFonts w:ascii="宋体" w:hAnsi="宋体" w:cs="宋体" w:eastAsia="宋体" w:hint="default"/>
                <w:sz w:val="20"/>
                <w:szCs w:val="20"/>
              </w:rPr>
              <w:t>月</w:t>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321" w:lineRule="auto" w:before="45"/>
              <w:ind w:left="2" w:right="-1"/>
              <w:jc w:val="left"/>
              <w:rPr>
                <w:rFonts w:ascii="宋体" w:hAnsi="宋体" w:cs="宋体" w:eastAsia="宋体" w:hint="default"/>
                <w:sz w:val="20"/>
                <w:szCs w:val="20"/>
              </w:rPr>
            </w:pPr>
            <w:r>
              <w:rPr>
                <w:rFonts w:ascii="宋体" w:hAnsi="宋体" w:cs="宋体" w:eastAsia="宋体" w:hint="default"/>
                <w:sz w:val="20"/>
                <w:szCs w:val="20"/>
              </w:rPr>
              <w:t>已审核通过，尚未</w:t>
            </w:r>
            <w:r>
              <w:rPr>
                <w:rFonts w:ascii="宋体" w:hAnsi="宋体" w:cs="宋体" w:eastAsia="宋体" w:hint="default"/>
                <w:w w:val="99"/>
                <w:sz w:val="20"/>
                <w:szCs w:val="20"/>
              </w:rPr>
              <w:t> </w:t>
            </w:r>
            <w:r>
              <w:rPr>
                <w:rFonts w:ascii="宋体" w:hAnsi="宋体" w:cs="宋体" w:eastAsia="宋体" w:hint="default"/>
                <w:sz w:val="20"/>
                <w:szCs w:val="20"/>
              </w:rPr>
              <w:t>发证书</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782" w:hRule="exact"/>
        </w:trPr>
        <w:tc>
          <w:tcPr>
            <w:tcW w:w="991"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89"/>
              <w:ind w:left="3"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0"/>
              <w:jc w:val="center"/>
              <w:rPr>
                <w:rFonts w:ascii="宋体" w:hAnsi="宋体" w:cs="宋体" w:eastAsia="宋体" w:hint="default"/>
                <w:sz w:val="20"/>
                <w:szCs w:val="20"/>
              </w:rPr>
            </w:pPr>
            <w:r>
              <w:rPr>
                <w:rFonts w:ascii="宋体" w:hAnsi="宋体" w:cs="宋体" w:eastAsia="宋体" w:hint="default"/>
                <w:sz w:val="20"/>
                <w:szCs w:val="20"/>
              </w:rPr>
              <w:t>第</w:t>
            </w:r>
            <w:r>
              <w:rPr>
                <w:rFonts w:ascii="Times New Roman" w:hAnsi="Times New Roman" w:cs="Times New Roman" w:eastAsia="Times New Roman" w:hint="default"/>
                <w:sz w:val="20"/>
                <w:szCs w:val="20"/>
              </w:rPr>
              <w:t>12281250</w:t>
            </w:r>
            <w:r>
              <w:rPr>
                <w:rFonts w:ascii="宋体" w:hAnsi="宋体" w:cs="宋体" w:eastAsia="宋体" w:hint="default"/>
                <w:sz w:val="20"/>
                <w:szCs w:val="20"/>
              </w:rPr>
              <w:t>号</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0"/>
              <w:jc w:val="center"/>
              <w:rPr>
                <w:rFonts w:ascii="宋体" w:hAnsi="宋体" w:cs="宋体" w:eastAsia="宋体" w:hint="default"/>
                <w:sz w:val="20"/>
                <w:szCs w:val="20"/>
              </w:rPr>
            </w:pPr>
            <w:r>
              <w:rPr>
                <w:rFonts w:ascii="宋体" w:hAnsi="宋体" w:cs="宋体" w:eastAsia="宋体" w:hint="default"/>
                <w:sz w:val="20"/>
                <w:szCs w:val="20"/>
              </w:rPr>
              <w:t>天玑</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254"/>
              <w:jc w:val="right"/>
              <w:rPr>
                <w:rFonts w:ascii="宋体" w:hAnsi="宋体" w:cs="宋体" w:eastAsia="宋体" w:hint="default"/>
                <w:sz w:val="20"/>
                <w:szCs w:val="20"/>
              </w:rPr>
            </w:pPr>
            <w:r>
              <w:rPr>
                <w:rFonts w:ascii="宋体" w:hAnsi="宋体" w:cs="宋体" w:eastAsia="宋体" w:hint="default"/>
                <w:w w:val="95"/>
                <w:sz w:val="20"/>
                <w:szCs w:val="20"/>
              </w:rPr>
              <w:t>第</w:t>
            </w:r>
            <w:r>
              <w:rPr>
                <w:rFonts w:ascii="Times New Roman" w:hAnsi="Times New Roman" w:cs="Times New Roman" w:eastAsia="Times New Roman" w:hint="default"/>
                <w:w w:val="95"/>
                <w:sz w:val="20"/>
                <w:szCs w:val="20"/>
              </w:rPr>
              <w:t>35</w:t>
            </w:r>
            <w:r>
              <w:rPr>
                <w:rFonts w:ascii="宋体" w:hAnsi="宋体" w:cs="宋体" w:eastAsia="宋体" w:hint="default"/>
                <w:w w:val="95"/>
                <w:sz w:val="20"/>
                <w:szCs w:val="20"/>
              </w:rPr>
              <w:t>类</w:t>
            </w:r>
            <w:r>
              <w:rPr>
                <w:rFonts w:ascii="宋体" w:hAnsi="宋体" w:cs="宋体" w:eastAsia="宋体" w:hint="default"/>
                <w:sz w:val="20"/>
                <w:szCs w:val="20"/>
              </w:rPr>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3</w:t>
            </w:r>
            <w:r>
              <w:rPr>
                <w:rFonts w:ascii="宋体" w:hAnsi="宋体" w:cs="宋体" w:eastAsia="宋体" w:hint="default"/>
                <w:sz w:val="20"/>
                <w:szCs w:val="20"/>
              </w:rPr>
              <w:t>月</w:t>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324" w:lineRule="auto" w:before="42"/>
              <w:ind w:left="2" w:right="-1"/>
              <w:jc w:val="left"/>
              <w:rPr>
                <w:rFonts w:ascii="宋体" w:hAnsi="宋体" w:cs="宋体" w:eastAsia="宋体" w:hint="default"/>
                <w:sz w:val="20"/>
                <w:szCs w:val="20"/>
              </w:rPr>
            </w:pPr>
            <w:r>
              <w:rPr>
                <w:rFonts w:ascii="宋体" w:hAnsi="宋体" w:cs="宋体" w:eastAsia="宋体" w:hint="default"/>
                <w:sz w:val="20"/>
                <w:szCs w:val="20"/>
              </w:rPr>
              <w:t>已审核通过，尚未</w:t>
            </w:r>
            <w:r>
              <w:rPr>
                <w:rFonts w:ascii="宋体" w:hAnsi="宋体" w:cs="宋体" w:eastAsia="宋体" w:hint="default"/>
                <w:w w:val="99"/>
                <w:sz w:val="20"/>
                <w:szCs w:val="20"/>
              </w:rPr>
              <w:t> </w:t>
            </w:r>
            <w:r>
              <w:rPr>
                <w:rFonts w:ascii="宋体" w:hAnsi="宋体" w:cs="宋体" w:eastAsia="宋体" w:hint="default"/>
                <w:sz w:val="20"/>
                <w:szCs w:val="20"/>
              </w:rPr>
              <w:t>发证书</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785" w:hRule="exact"/>
        </w:trPr>
        <w:tc>
          <w:tcPr>
            <w:tcW w:w="991"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91"/>
              <w:ind w:left="3" w:right="0"/>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第</w:t>
            </w:r>
            <w:r>
              <w:rPr>
                <w:rFonts w:ascii="Times New Roman" w:hAnsi="Times New Roman" w:cs="Times New Roman" w:eastAsia="Times New Roman" w:hint="default"/>
                <w:sz w:val="20"/>
                <w:szCs w:val="20"/>
              </w:rPr>
              <w:t>12280937</w:t>
            </w:r>
            <w:r>
              <w:rPr>
                <w:rFonts w:ascii="宋体" w:hAnsi="宋体" w:cs="宋体" w:eastAsia="宋体" w:hint="default"/>
                <w:sz w:val="20"/>
                <w:szCs w:val="20"/>
              </w:rPr>
              <w:t>号</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305"/>
              <w:jc w:val="right"/>
              <w:rPr>
                <w:rFonts w:ascii="宋体" w:hAnsi="宋体" w:cs="宋体" w:eastAsia="宋体" w:hint="default"/>
                <w:sz w:val="20"/>
                <w:szCs w:val="20"/>
              </w:rPr>
            </w:pPr>
            <w:r>
              <w:rPr>
                <w:rFonts w:ascii="宋体" w:hAnsi="宋体" w:cs="宋体" w:eastAsia="宋体" w:hint="default"/>
                <w:w w:val="95"/>
                <w:sz w:val="20"/>
                <w:szCs w:val="20"/>
              </w:rPr>
              <w:t>第</w:t>
            </w:r>
            <w:r>
              <w:rPr>
                <w:rFonts w:ascii="Times New Roman" w:hAnsi="Times New Roman" w:cs="Times New Roman" w:eastAsia="Times New Roman" w:hint="default"/>
                <w:w w:val="95"/>
                <w:sz w:val="20"/>
                <w:szCs w:val="20"/>
              </w:rPr>
              <w:t>9</w:t>
            </w:r>
            <w:r>
              <w:rPr>
                <w:rFonts w:ascii="宋体" w:hAnsi="宋体" w:cs="宋体" w:eastAsia="宋体" w:hint="default"/>
                <w:w w:val="95"/>
                <w:sz w:val="20"/>
                <w:szCs w:val="20"/>
              </w:rPr>
              <w:t>类</w:t>
            </w:r>
            <w:r>
              <w:rPr>
                <w:rFonts w:ascii="宋体" w:hAnsi="宋体" w:cs="宋体" w:eastAsia="宋体" w:hint="default"/>
                <w:sz w:val="20"/>
                <w:szCs w:val="20"/>
              </w:rPr>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3</w:t>
            </w:r>
            <w:r>
              <w:rPr>
                <w:rFonts w:ascii="宋体" w:hAnsi="宋体" w:cs="宋体" w:eastAsia="宋体" w:hint="default"/>
                <w:sz w:val="20"/>
                <w:szCs w:val="20"/>
              </w:rPr>
              <w:t>月</w:t>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321" w:lineRule="auto" w:before="45"/>
              <w:ind w:left="2" w:right="-1"/>
              <w:jc w:val="left"/>
              <w:rPr>
                <w:rFonts w:ascii="宋体" w:hAnsi="宋体" w:cs="宋体" w:eastAsia="宋体" w:hint="default"/>
                <w:sz w:val="20"/>
                <w:szCs w:val="20"/>
              </w:rPr>
            </w:pPr>
            <w:r>
              <w:rPr>
                <w:rFonts w:ascii="宋体" w:hAnsi="宋体" w:cs="宋体" w:eastAsia="宋体" w:hint="default"/>
                <w:sz w:val="20"/>
                <w:szCs w:val="20"/>
              </w:rPr>
              <w:t>已审核通过，尚未</w:t>
            </w:r>
            <w:r>
              <w:rPr>
                <w:rFonts w:ascii="宋体" w:hAnsi="宋体" w:cs="宋体" w:eastAsia="宋体" w:hint="default"/>
                <w:w w:val="99"/>
                <w:sz w:val="20"/>
                <w:szCs w:val="20"/>
              </w:rPr>
              <w:t> </w:t>
            </w:r>
            <w:r>
              <w:rPr>
                <w:rFonts w:ascii="宋体" w:hAnsi="宋体" w:cs="宋体" w:eastAsia="宋体" w:hint="default"/>
                <w:sz w:val="20"/>
                <w:szCs w:val="20"/>
              </w:rPr>
              <w:t>发证书</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785" w:hRule="exact"/>
        </w:trPr>
        <w:tc>
          <w:tcPr>
            <w:tcW w:w="991"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91"/>
              <w:ind w:left="3" w:right="0"/>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第</w:t>
            </w:r>
            <w:r>
              <w:rPr>
                <w:rFonts w:ascii="Times New Roman" w:hAnsi="Times New Roman" w:cs="Times New Roman" w:eastAsia="Times New Roman" w:hint="default"/>
                <w:sz w:val="20"/>
                <w:szCs w:val="20"/>
              </w:rPr>
              <w:t>12281758</w:t>
            </w:r>
            <w:r>
              <w:rPr>
                <w:rFonts w:ascii="宋体" w:hAnsi="宋体" w:cs="宋体" w:eastAsia="宋体" w:hint="default"/>
                <w:sz w:val="20"/>
                <w:szCs w:val="20"/>
              </w:rPr>
              <w:t>号</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254"/>
              <w:jc w:val="right"/>
              <w:rPr>
                <w:rFonts w:ascii="宋体" w:hAnsi="宋体" w:cs="宋体" w:eastAsia="宋体" w:hint="default"/>
                <w:sz w:val="20"/>
                <w:szCs w:val="20"/>
              </w:rPr>
            </w:pPr>
            <w:r>
              <w:rPr>
                <w:rFonts w:ascii="宋体" w:hAnsi="宋体" w:cs="宋体" w:eastAsia="宋体" w:hint="default"/>
                <w:w w:val="95"/>
                <w:sz w:val="20"/>
                <w:szCs w:val="20"/>
              </w:rPr>
              <w:t>第</w:t>
            </w:r>
            <w:r>
              <w:rPr>
                <w:rFonts w:ascii="Times New Roman" w:hAnsi="Times New Roman" w:cs="Times New Roman" w:eastAsia="Times New Roman" w:hint="default"/>
                <w:w w:val="95"/>
                <w:sz w:val="20"/>
                <w:szCs w:val="20"/>
              </w:rPr>
              <w:t>35</w:t>
            </w:r>
            <w:r>
              <w:rPr>
                <w:rFonts w:ascii="宋体" w:hAnsi="宋体" w:cs="宋体" w:eastAsia="宋体" w:hint="default"/>
                <w:w w:val="95"/>
                <w:sz w:val="20"/>
                <w:szCs w:val="20"/>
              </w:rPr>
              <w:t>类</w:t>
            </w:r>
            <w:r>
              <w:rPr>
                <w:rFonts w:ascii="宋体" w:hAnsi="宋体" w:cs="宋体" w:eastAsia="宋体" w:hint="default"/>
                <w:sz w:val="20"/>
                <w:szCs w:val="20"/>
              </w:rPr>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3</w:t>
            </w:r>
            <w:r>
              <w:rPr>
                <w:rFonts w:ascii="宋体" w:hAnsi="宋体" w:cs="宋体" w:eastAsia="宋体" w:hint="default"/>
                <w:sz w:val="20"/>
                <w:szCs w:val="20"/>
              </w:rPr>
              <w:t>月</w:t>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321" w:lineRule="auto" w:before="45"/>
              <w:ind w:left="2" w:right="-1"/>
              <w:jc w:val="left"/>
              <w:rPr>
                <w:rFonts w:ascii="宋体" w:hAnsi="宋体" w:cs="宋体" w:eastAsia="宋体" w:hint="default"/>
                <w:sz w:val="20"/>
                <w:szCs w:val="20"/>
              </w:rPr>
            </w:pPr>
            <w:r>
              <w:rPr>
                <w:rFonts w:ascii="宋体" w:hAnsi="宋体" w:cs="宋体" w:eastAsia="宋体" w:hint="default"/>
                <w:sz w:val="20"/>
                <w:szCs w:val="20"/>
              </w:rPr>
              <w:t>已审核通过，尚未</w:t>
            </w:r>
            <w:r>
              <w:rPr>
                <w:rFonts w:ascii="宋体" w:hAnsi="宋体" w:cs="宋体" w:eastAsia="宋体" w:hint="default"/>
                <w:w w:val="99"/>
                <w:sz w:val="20"/>
                <w:szCs w:val="20"/>
              </w:rPr>
              <w:t> </w:t>
            </w:r>
            <w:r>
              <w:rPr>
                <w:rFonts w:ascii="宋体" w:hAnsi="宋体" w:cs="宋体" w:eastAsia="宋体" w:hint="default"/>
                <w:sz w:val="20"/>
                <w:szCs w:val="20"/>
              </w:rPr>
              <w:t>发证书</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782" w:hRule="exact"/>
        </w:trPr>
        <w:tc>
          <w:tcPr>
            <w:tcW w:w="991"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89"/>
              <w:ind w:left="3"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0"/>
              <w:jc w:val="center"/>
              <w:rPr>
                <w:rFonts w:ascii="宋体" w:hAnsi="宋体" w:cs="宋体" w:eastAsia="宋体" w:hint="default"/>
                <w:sz w:val="20"/>
                <w:szCs w:val="20"/>
              </w:rPr>
            </w:pPr>
            <w:r>
              <w:rPr>
                <w:rFonts w:ascii="宋体" w:hAnsi="宋体" w:cs="宋体" w:eastAsia="宋体" w:hint="default"/>
                <w:sz w:val="20"/>
                <w:szCs w:val="20"/>
              </w:rPr>
              <w:t>第</w:t>
            </w:r>
            <w:r>
              <w:rPr>
                <w:rFonts w:ascii="Times New Roman" w:hAnsi="Times New Roman" w:cs="Times New Roman" w:eastAsia="Times New Roman" w:hint="default"/>
                <w:sz w:val="20"/>
                <w:szCs w:val="20"/>
              </w:rPr>
              <w:t>12282031</w:t>
            </w:r>
            <w:r>
              <w:rPr>
                <w:rFonts w:ascii="宋体" w:hAnsi="宋体" w:cs="宋体" w:eastAsia="宋体" w:hint="default"/>
                <w:sz w:val="20"/>
                <w:szCs w:val="20"/>
              </w:rPr>
              <w:t>号</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254"/>
              <w:jc w:val="right"/>
              <w:rPr>
                <w:rFonts w:ascii="宋体" w:hAnsi="宋体" w:cs="宋体" w:eastAsia="宋体" w:hint="default"/>
                <w:sz w:val="20"/>
                <w:szCs w:val="20"/>
              </w:rPr>
            </w:pPr>
            <w:r>
              <w:rPr>
                <w:rFonts w:ascii="宋体" w:hAnsi="宋体" w:cs="宋体" w:eastAsia="宋体" w:hint="default"/>
                <w:w w:val="95"/>
                <w:sz w:val="20"/>
                <w:szCs w:val="20"/>
              </w:rPr>
              <w:t>第</w:t>
            </w:r>
            <w:r>
              <w:rPr>
                <w:rFonts w:ascii="Times New Roman" w:hAnsi="Times New Roman" w:cs="Times New Roman" w:eastAsia="Times New Roman" w:hint="default"/>
                <w:w w:val="95"/>
                <w:sz w:val="20"/>
                <w:szCs w:val="20"/>
              </w:rPr>
              <w:t>42</w:t>
            </w:r>
            <w:r>
              <w:rPr>
                <w:rFonts w:ascii="宋体" w:hAnsi="宋体" w:cs="宋体" w:eastAsia="宋体" w:hint="default"/>
                <w:w w:val="95"/>
                <w:sz w:val="20"/>
                <w:szCs w:val="20"/>
              </w:rPr>
              <w:t>类</w:t>
            </w:r>
            <w:r>
              <w:rPr>
                <w:rFonts w:ascii="宋体" w:hAnsi="宋体" w:cs="宋体" w:eastAsia="宋体" w:hint="default"/>
                <w:sz w:val="20"/>
                <w:szCs w:val="20"/>
              </w:rPr>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3</w:t>
            </w:r>
            <w:r>
              <w:rPr>
                <w:rFonts w:ascii="宋体" w:hAnsi="宋体" w:cs="宋体" w:eastAsia="宋体" w:hint="default"/>
                <w:sz w:val="20"/>
                <w:szCs w:val="20"/>
              </w:rPr>
              <w:t>月</w:t>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324" w:lineRule="auto" w:before="42"/>
              <w:ind w:left="2" w:right="-1"/>
              <w:jc w:val="left"/>
              <w:rPr>
                <w:rFonts w:ascii="宋体" w:hAnsi="宋体" w:cs="宋体" w:eastAsia="宋体" w:hint="default"/>
                <w:sz w:val="20"/>
                <w:szCs w:val="20"/>
              </w:rPr>
            </w:pPr>
            <w:r>
              <w:rPr>
                <w:rFonts w:ascii="宋体" w:hAnsi="宋体" w:cs="宋体" w:eastAsia="宋体" w:hint="default"/>
                <w:sz w:val="20"/>
                <w:szCs w:val="20"/>
              </w:rPr>
              <w:t>已审核通过，尚未</w:t>
            </w:r>
            <w:r>
              <w:rPr>
                <w:rFonts w:ascii="宋体" w:hAnsi="宋体" w:cs="宋体" w:eastAsia="宋体" w:hint="default"/>
                <w:w w:val="99"/>
                <w:sz w:val="20"/>
                <w:szCs w:val="20"/>
              </w:rPr>
              <w:t> </w:t>
            </w:r>
            <w:r>
              <w:rPr>
                <w:rFonts w:ascii="宋体" w:hAnsi="宋体" w:cs="宋体" w:eastAsia="宋体" w:hint="default"/>
                <w:sz w:val="20"/>
                <w:szCs w:val="20"/>
              </w:rPr>
              <w:t>发证书</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785" w:hRule="exact"/>
        </w:trPr>
        <w:tc>
          <w:tcPr>
            <w:tcW w:w="991"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91"/>
              <w:ind w:left="3" w:right="0"/>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第</w:t>
            </w:r>
            <w:r>
              <w:rPr>
                <w:rFonts w:ascii="Times New Roman" w:hAnsi="Times New Roman" w:cs="Times New Roman" w:eastAsia="Times New Roman" w:hint="default"/>
                <w:sz w:val="20"/>
                <w:szCs w:val="20"/>
              </w:rPr>
              <w:t>12281841</w:t>
            </w:r>
            <w:r>
              <w:rPr>
                <w:rFonts w:ascii="宋体" w:hAnsi="宋体" w:cs="宋体" w:eastAsia="宋体" w:hint="default"/>
                <w:sz w:val="20"/>
                <w:szCs w:val="20"/>
              </w:rPr>
              <w:t>号</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天玑服务</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254"/>
              <w:jc w:val="right"/>
              <w:rPr>
                <w:rFonts w:ascii="宋体" w:hAnsi="宋体" w:cs="宋体" w:eastAsia="宋体" w:hint="default"/>
                <w:sz w:val="20"/>
                <w:szCs w:val="20"/>
              </w:rPr>
            </w:pPr>
            <w:r>
              <w:rPr>
                <w:rFonts w:ascii="宋体" w:hAnsi="宋体" w:cs="宋体" w:eastAsia="宋体" w:hint="default"/>
                <w:w w:val="95"/>
                <w:sz w:val="20"/>
                <w:szCs w:val="20"/>
              </w:rPr>
              <w:t>第</w:t>
            </w:r>
            <w:r>
              <w:rPr>
                <w:rFonts w:ascii="Times New Roman" w:hAnsi="Times New Roman" w:cs="Times New Roman" w:eastAsia="Times New Roman" w:hint="default"/>
                <w:w w:val="95"/>
                <w:sz w:val="20"/>
                <w:szCs w:val="20"/>
              </w:rPr>
              <w:t>35</w:t>
            </w:r>
            <w:r>
              <w:rPr>
                <w:rFonts w:ascii="宋体" w:hAnsi="宋体" w:cs="宋体" w:eastAsia="宋体" w:hint="default"/>
                <w:w w:val="95"/>
                <w:sz w:val="20"/>
                <w:szCs w:val="20"/>
              </w:rPr>
              <w:t>类</w:t>
            </w:r>
            <w:r>
              <w:rPr>
                <w:rFonts w:ascii="宋体" w:hAnsi="宋体" w:cs="宋体" w:eastAsia="宋体" w:hint="default"/>
                <w:sz w:val="20"/>
                <w:szCs w:val="20"/>
              </w:rPr>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3</w:t>
            </w:r>
            <w:r>
              <w:rPr>
                <w:rFonts w:ascii="宋体" w:hAnsi="宋体" w:cs="宋体" w:eastAsia="宋体" w:hint="default"/>
                <w:sz w:val="20"/>
                <w:szCs w:val="20"/>
              </w:rPr>
              <w:t>月</w:t>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321" w:lineRule="auto" w:before="45"/>
              <w:ind w:left="2" w:right="-1"/>
              <w:jc w:val="left"/>
              <w:rPr>
                <w:rFonts w:ascii="宋体" w:hAnsi="宋体" w:cs="宋体" w:eastAsia="宋体" w:hint="default"/>
                <w:sz w:val="20"/>
                <w:szCs w:val="20"/>
              </w:rPr>
            </w:pPr>
            <w:r>
              <w:rPr>
                <w:rFonts w:ascii="宋体" w:hAnsi="宋体" w:cs="宋体" w:eastAsia="宋体" w:hint="default"/>
                <w:sz w:val="20"/>
                <w:szCs w:val="20"/>
              </w:rPr>
              <w:t>已审核通过，尚未</w:t>
            </w:r>
            <w:r>
              <w:rPr>
                <w:rFonts w:ascii="宋体" w:hAnsi="宋体" w:cs="宋体" w:eastAsia="宋体" w:hint="default"/>
                <w:w w:val="99"/>
                <w:sz w:val="20"/>
                <w:szCs w:val="20"/>
              </w:rPr>
              <w:t> </w:t>
            </w:r>
            <w:r>
              <w:rPr>
                <w:rFonts w:ascii="宋体" w:hAnsi="宋体" w:cs="宋体" w:eastAsia="宋体" w:hint="default"/>
                <w:sz w:val="20"/>
                <w:szCs w:val="20"/>
              </w:rPr>
              <w:t>发证书</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785" w:hRule="exact"/>
        </w:trPr>
        <w:tc>
          <w:tcPr>
            <w:tcW w:w="991"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91"/>
              <w:ind w:left="3" w:right="0"/>
              <w:jc w:val="center"/>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第</w:t>
            </w:r>
            <w:r>
              <w:rPr>
                <w:rFonts w:ascii="Times New Roman" w:hAnsi="Times New Roman" w:cs="Times New Roman" w:eastAsia="Times New Roman" w:hint="default"/>
                <w:sz w:val="20"/>
                <w:szCs w:val="20"/>
              </w:rPr>
              <w:t>13942428</w:t>
            </w:r>
            <w:r>
              <w:rPr>
                <w:rFonts w:ascii="宋体" w:hAnsi="宋体" w:cs="宋体" w:eastAsia="宋体" w:hint="default"/>
                <w:sz w:val="20"/>
                <w:szCs w:val="20"/>
              </w:rPr>
              <w:t>号</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PBData</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305"/>
              <w:jc w:val="right"/>
              <w:rPr>
                <w:rFonts w:ascii="宋体" w:hAnsi="宋体" w:cs="宋体" w:eastAsia="宋体" w:hint="default"/>
                <w:sz w:val="20"/>
                <w:szCs w:val="20"/>
              </w:rPr>
            </w:pPr>
            <w:r>
              <w:rPr>
                <w:rFonts w:ascii="宋体" w:hAnsi="宋体" w:cs="宋体" w:eastAsia="宋体" w:hint="default"/>
                <w:w w:val="95"/>
                <w:sz w:val="20"/>
                <w:szCs w:val="20"/>
              </w:rPr>
              <w:t>第</w:t>
            </w:r>
            <w:r>
              <w:rPr>
                <w:rFonts w:ascii="Times New Roman" w:hAnsi="Times New Roman" w:cs="Times New Roman" w:eastAsia="Times New Roman" w:hint="default"/>
                <w:w w:val="95"/>
                <w:sz w:val="20"/>
                <w:szCs w:val="20"/>
              </w:rPr>
              <w:t>9</w:t>
            </w:r>
            <w:r>
              <w:rPr>
                <w:rFonts w:ascii="宋体" w:hAnsi="宋体" w:cs="宋体" w:eastAsia="宋体" w:hint="default"/>
                <w:w w:val="95"/>
                <w:sz w:val="20"/>
                <w:szCs w:val="20"/>
              </w:rPr>
              <w:t>类</w:t>
            </w:r>
            <w:r>
              <w:rPr>
                <w:rFonts w:ascii="宋体" w:hAnsi="宋体" w:cs="宋体" w:eastAsia="宋体" w:hint="default"/>
                <w:sz w:val="20"/>
                <w:szCs w:val="20"/>
              </w:rPr>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4</w:t>
            </w:r>
            <w:r>
              <w:rPr>
                <w:rFonts w:ascii="宋体" w:hAnsi="宋体" w:cs="宋体" w:eastAsia="宋体" w:hint="default"/>
                <w:sz w:val="20"/>
                <w:szCs w:val="20"/>
              </w:rPr>
              <w:t>月</w:t>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321" w:lineRule="auto" w:before="45"/>
              <w:ind w:left="2" w:right="-1"/>
              <w:jc w:val="left"/>
              <w:rPr>
                <w:rFonts w:ascii="宋体" w:hAnsi="宋体" w:cs="宋体" w:eastAsia="宋体" w:hint="default"/>
                <w:sz w:val="20"/>
                <w:szCs w:val="20"/>
              </w:rPr>
            </w:pPr>
            <w:r>
              <w:rPr>
                <w:rFonts w:ascii="宋体" w:hAnsi="宋体" w:cs="宋体" w:eastAsia="宋体" w:hint="default"/>
                <w:sz w:val="20"/>
                <w:szCs w:val="20"/>
              </w:rPr>
              <w:t>已审核通过，尚未</w:t>
            </w:r>
            <w:r>
              <w:rPr>
                <w:rFonts w:ascii="宋体" w:hAnsi="宋体" w:cs="宋体" w:eastAsia="宋体" w:hint="default"/>
                <w:w w:val="99"/>
                <w:sz w:val="20"/>
                <w:szCs w:val="20"/>
              </w:rPr>
              <w:t> </w:t>
            </w:r>
            <w:r>
              <w:rPr>
                <w:rFonts w:ascii="宋体" w:hAnsi="宋体" w:cs="宋体" w:eastAsia="宋体" w:hint="default"/>
                <w:sz w:val="20"/>
                <w:szCs w:val="20"/>
              </w:rPr>
              <w:t>发证书</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1097" w:hRule="exact"/>
        </w:trPr>
        <w:tc>
          <w:tcPr>
            <w:tcW w:w="991"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66"/>
              <w:ind w:left="3" w:right="0"/>
              <w:jc w:val="center"/>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0"/>
              <w:jc w:val="center"/>
              <w:rPr>
                <w:rFonts w:ascii="宋体" w:hAnsi="宋体" w:cs="宋体" w:eastAsia="宋体" w:hint="default"/>
                <w:sz w:val="20"/>
                <w:szCs w:val="20"/>
              </w:rPr>
            </w:pPr>
            <w:r>
              <w:rPr>
                <w:rFonts w:ascii="宋体" w:hAnsi="宋体" w:cs="宋体" w:eastAsia="宋体" w:hint="default"/>
                <w:sz w:val="20"/>
                <w:szCs w:val="20"/>
              </w:rPr>
              <w:t>第</w:t>
            </w:r>
            <w:r>
              <w:rPr>
                <w:rFonts w:ascii="Times New Roman" w:hAnsi="Times New Roman" w:cs="Times New Roman" w:eastAsia="Times New Roman" w:hint="default"/>
                <w:sz w:val="20"/>
                <w:szCs w:val="20"/>
              </w:rPr>
              <w:t>13942427</w:t>
            </w:r>
            <w:r>
              <w:rPr>
                <w:rFonts w:ascii="宋体" w:hAnsi="宋体" w:cs="宋体" w:eastAsia="宋体" w:hint="default"/>
                <w:sz w:val="20"/>
                <w:szCs w:val="20"/>
              </w:rPr>
              <w:t>号</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6"/>
              <w:ind w:right="0"/>
              <w:jc w:val="center"/>
              <w:rPr>
                <w:rFonts w:ascii="Times New Roman" w:hAnsi="Times New Roman" w:cs="Times New Roman" w:eastAsia="Times New Roman" w:hint="default"/>
                <w:sz w:val="20"/>
                <w:szCs w:val="20"/>
              </w:rPr>
            </w:pPr>
            <w:r>
              <w:rPr>
                <w:rFonts w:ascii="Times New Roman"/>
                <w:sz w:val="20"/>
              </w:rPr>
              <w:t>PBData</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254"/>
              <w:jc w:val="right"/>
              <w:rPr>
                <w:rFonts w:ascii="宋体" w:hAnsi="宋体" w:cs="宋体" w:eastAsia="宋体" w:hint="default"/>
                <w:sz w:val="20"/>
                <w:szCs w:val="20"/>
              </w:rPr>
            </w:pPr>
            <w:r>
              <w:rPr>
                <w:rFonts w:ascii="宋体" w:hAnsi="宋体" w:cs="宋体" w:eastAsia="宋体" w:hint="default"/>
                <w:w w:val="95"/>
                <w:sz w:val="20"/>
                <w:szCs w:val="20"/>
              </w:rPr>
              <w:t>第</w:t>
            </w:r>
            <w:r>
              <w:rPr>
                <w:rFonts w:ascii="Times New Roman" w:hAnsi="Times New Roman" w:cs="Times New Roman" w:eastAsia="Times New Roman" w:hint="default"/>
                <w:w w:val="95"/>
                <w:sz w:val="20"/>
                <w:szCs w:val="20"/>
              </w:rPr>
              <w:t>42</w:t>
            </w:r>
            <w:r>
              <w:rPr>
                <w:rFonts w:ascii="宋体" w:hAnsi="宋体" w:cs="宋体" w:eastAsia="宋体" w:hint="default"/>
                <w:w w:val="95"/>
                <w:sz w:val="20"/>
                <w:szCs w:val="20"/>
              </w:rPr>
              <w:t>类</w:t>
            </w:r>
            <w:r>
              <w:rPr>
                <w:rFonts w:ascii="宋体" w:hAnsi="宋体" w:cs="宋体" w:eastAsia="宋体" w:hint="default"/>
                <w:sz w:val="20"/>
                <w:szCs w:val="20"/>
              </w:rPr>
            </w:r>
          </w:p>
        </w:tc>
        <w:tc>
          <w:tcPr>
            <w:tcW w:w="1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4</w:t>
            </w:r>
            <w:r>
              <w:rPr>
                <w:rFonts w:ascii="宋体" w:hAnsi="宋体" w:cs="宋体" w:eastAsia="宋体" w:hint="default"/>
                <w:sz w:val="20"/>
                <w:szCs w:val="20"/>
              </w:rPr>
              <w:t>月</w:t>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465" w:lineRule="auto" w:before="121"/>
              <w:ind w:left="2" w:right="-1"/>
              <w:jc w:val="left"/>
              <w:rPr>
                <w:rFonts w:ascii="宋体" w:hAnsi="宋体" w:cs="宋体" w:eastAsia="宋体" w:hint="default"/>
                <w:sz w:val="20"/>
                <w:szCs w:val="20"/>
              </w:rPr>
            </w:pPr>
            <w:r>
              <w:rPr>
                <w:rFonts w:ascii="宋体" w:hAnsi="宋体" w:cs="宋体" w:eastAsia="宋体" w:hint="default"/>
                <w:sz w:val="20"/>
                <w:szCs w:val="20"/>
              </w:rPr>
              <w:t>已审核通过，尚未</w:t>
            </w:r>
            <w:r>
              <w:rPr>
                <w:rFonts w:ascii="宋体" w:hAnsi="宋体" w:cs="宋体" w:eastAsia="宋体" w:hint="default"/>
                <w:w w:val="99"/>
                <w:sz w:val="20"/>
                <w:szCs w:val="20"/>
              </w:rPr>
              <w:t> </w:t>
            </w:r>
            <w:r>
              <w:rPr>
                <w:rFonts w:ascii="宋体" w:hAnsi="宋体" w:cs="宋体" w:eastAsia="宋体" w:hint="default"/>
                <w:sz w:val="20"/>
                <w:szCs w:val="20"/>
              </w:rPr>
              <w:t>发证书</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bl>
    <w:p>
      <w:pPr>
        <w:pStyle w:val="BodyText"/>
        <w:spacing w:line="240" w:lineRule="auto" w:before="64"/>
        <w:ind w:right="0"/>
        <w:jc w:val="left"/>
      </w:pPr>
      <w:r>
        <w:rPr/>
        <w:t>（</w:t>
      </w:r>
      <w:r>
        <w:rPr>
          <w:rFonts w:ascii="Times New Roman" w:hAnsi="Times New Roman" w:cs="Times New Roman" w:eastAsia="Times New Roman" w:hint="default"/>
        </w:rPr>
        <w:t>2</w:t>
      </w:r>
      <w:r>
        <w:rPr/>
        <w:t>）截至报告期末，公司新申请并受理商标</w:t>
      </w:r>
      <w:r>
        <w:rPr>
          <w:rFonts w:ascii="Times New Roman" w:hAnsi="Times New Roman" w:cs="Times New Roman" w:eastAsia="Times New Roman" w:hint="default"/>
        </w:rPr>
        <w:t>7</w:t>
      </w:r>
      <w:r>
        <w:rPr/>
        <w:t>项，具体情况如下：</w:t>
      </w:r>
    </w:p>
    <w:p>
      <w:pPr>
        <w:spacing w:line="240" w:lineRule="auto" w:before="8"/>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780"/>
        <w:gridCol w:w="1454"/>
        <w:gridCol w:w="1238"/>
        <w:gridCol w:w="1135"/>
        <w:gridCol w:w="1274"/>
        <w:gridCol w:w="1702"/>
        <w:gridCol w:w="1135"/>
      </w:tblGrid>
      <w:tr>
        <w:trPr>
          <w:trHeight w:val="970"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sz w:val="20"/>
                <w:szCs w:val="20"/>
              </w:rPr>
              <w:t>序号</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22" w:right="0"/>
              <w:jc w:val="left"/>
              <w:rPr>
                <w:rFonts w:ascii="宋体" w:hAnsi="宋体" w:cs="宋体" w:eastAsia="宋体" w:hint="default"/>
                <w:sz w:val="20"/>
                <w:szCs w:val="20"/>
              </w:rPr>
            </w:pPr>
            <w:r>
              <w:rPr>
                <w:rFonts w:ascii="宋体" w:hAnsi="宋体" w:cs="宋体" w:eastAsia="宋体" w:hint="default"/>
                <w:sz w:val="20"/>
                <w:szCs w:val="20"/>
              </w:rPr>
              <w:t>申请号</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商标</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78" w:lineRule="auto" w:before="1"/>
              <w:ind w:left="33" w:right="31" w:hanging="3"/>
              <w:jc w:val="center"/>
              <w:rPr>
                <w:rFonts w:ascii="宋体" w:hAnsi="宋体" w:cs="宋体" w:eastAsia="宋体" w:hint="default"/>
                <w:sz w:val="20"/>
                <w:szCs w:val="20"/>
              </w:rPr>
            </w:pPr>
            <w:r>
              <w:rPr>
                <w:rFonts w:ascii="宋体" w:hAnsi="宋体" w:cs="宋体" w:eastAsia="宋体" w:hint="default"/>
                <w:sz w:val="20"/>
                <w:szCs w:val="20"/>
              </w:rPr>
              <w:t>核定服务项</w:t>
            </w:r>
            <w:r>
              <w:rPr>
                <w:rFonts w:ascii="宋体" w:hAnsi="宋体" w:cs="宋体" w:eastAsia="宋体" w:hint="default"/>
                <w:w w:val="99"/>
                <w:sz w:val="20"/>
                <w:szCs w:val="20"/>
              </w:rPr>
              <w:t> </w:t>
            </w:r>
            <w:r>
              <w:rPr>
                <w:rFonts w:ascii="宋体" w:hAnsi="宋体" w:cs="宋体" w:eastAsia="宋体" w:hint="default"/>
                <w:sz w:val="20"/>
                <w:szCs w:val="20"/>
              </w:rPr>
              <w:t>目</w:t>
            </w:r>
            <w:r>
              <w:rPr>
                <w:rFonts w:ascii="Times New Roman" w:hAnsi="Times New Roman" w:cs="Times New Roman" w:eastAsia="Times New Roman" w:hint="default"/>
                <w:sz w:val="20"/>
                <w:szCs w:val="20"/>
              </w:rPr>
              <w:t>/</w:t>
            </w:r>
            <w:r>
              <w:rPr>
                <w:rFonts w:ascii="宋体" w:hAnsi="宋体" w:cs="宋体" w:eastAsia="宋体" w:hint="default"/>
                <w:sz w:val="20"/>
                <w:szCs w:val="20"/>
              </w:rPr>
              <w:t>核定使用</w:t>
            </w:r>
            <w:r>
              <w:rPr>
                <w:rFonts w:ascii="宋体" w:hAnsi="宋体" w:cs="宋体" w:eastAsia="宋体" w:hint="default"/>
                <w:w w:val="99"/>
                <w:sz w:val="20"/>
                <w:szCs w:val="20"/>
              </w:rPr>
              <w:t> </w:t>
            </w:r>
            <w:r>
              <w:rPr>
                <w:rFonts w:ascii="宋体" w:hAnsi="宋体" w:cs="宋体" w:eastAsia="宋体" w:hint="default"/>
                <w:sz w:val="20"/>
                <w:szCs w:val="20"/>
              </w:rPr>
              <w:t>商品</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230"/>
              <w:jc w:val="right"/>
              <w:rPr>
                <w:rFonts w:ascii="宋体" w:hAnsi="宋体" w:cs="宋体" w:eastAsia="宋体" w:hint="default"/>
                <w:sz w:val="20"/>
                <w:szCs w:val="20"/>
              </w:rPr>
            </w:pPr>
            <w:r>
              <w:rPr>
                <w:rFonts w:ascii="宋体" w:hAnsi="宋体" w:cs="宋体" w:eastAsia="宋体" w:hint="default"/>
                <w:w w:val="95"/>
                <w:sz w:val="20"/>
                <w:szCs w:val="20"/>
              </w:rPr>
              <w:t>申请日期</w:t>
            </w:r>
            <w:r>
              <w:rPr>
                <w:rFonts w:ascii="宋体" w:hAnsi="宋体" w:cs="宋体" w:eastAsia="宋体" w:hint="default"/>
                <w:sz w:val="20"/>
                <w:szCs w:val="20"/>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状态</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申请人</w:t>
            </w:r>
          </w:p>
        </w:tc>
      </w:tr>
      <w:tr>
        <w:trPr>
          <w:trHeight w:val="660"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2" w:right="0"/>
              <w:jc w:val="left"/>
              <w:rPr>
                <w:rFonts w:ascii="Times New Roman" w:hAnsi="Times New Roman" w:cs="Times New Roman" w:eastAsia="Times New Roman" w:hint="default"/>
                <w:sz w:val="18"/>
                <w:szCs w:val="18"/>
              </w:rPr>
            </w:pPr>
            <w:r>
              <w:rPr>
                <w:rFonts w:ascii="Times New Roman"/>
                <w:sz w:val="18"/>
              </w:rPr>
              <w:t>16159807</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4"/>
                <w:szCs w:val="4"/>
              </w:rPr>
            </w:pPr>
          </w:p>
          <w:p>
            <w:pPr>
              <w:pStyle w:val="TableParagraph"/>
              <w:spacing w:line="529" w:lineRule="exact"/>
              <w:ind w:left="338" w:right="0"/>
              <w:jc w:val="left"/>
              <w:rPr>
                <w:rFonts w:ascii="宋体" w:hAnsi="宋体" w:cs="宋体" w:eastAsia="宋体" w:hint="default"/>
                <w:sz w:val="20"/>
                <w:szCs w:val="20"/>
              </w:rPr>
            </w:pPr>
            <w:r>
              <w:rPr>
                <w:rFonts w:ascii="宋体" w:hAnsi="宋体" w:cs="宋体" w:eastAsia="宋体" w:hint="default"/>
                <w:position w:val="-10"/>
                <w:sz w:val="20"/>
                <w:szCs w:val="20"/>
              </w:rPr>
              <w:drawing>
                <wp:inline distT="0" distB="0" distL="0" distR="0">
                  <wp:extent cx="345206" cy="336042"/>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0" cstate="print"/>
                          <a:stretch>
                            <a:fillRect/>
                          </a:stretch>
                        </pic:blipFill>
                        <pic:spPr>
                          <a:xfrm>
                            <a:off x="0" y="0"/>
                            <a:ext cx="345206" cy="336042"/>
                          </a:xfrm>
                          <a:prstGeom prst="rect">
                            <a:avLst/>
                          </a:prstGeom>
                        </pic:spPr>
                      </pic:pic>
                    </a:graphicData>
                  </a:graphic>
                </wp:inline>
              </w:drawing>
            </w:r>
            <w:r>
              <w:rPr>
                <w:rFonts w:ascii="宋体" w:hAnsi="宋体" w:cs="宋体" w:eastAsia="宋体" w:hint="default"/>
                <w:position w:val="-10"/>
                <w:sz w:val="20"/>
                <w:szCs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307"/>
              <w:jc w:val="right"/>
              <w:rPr>
                <w:rFonts w:ascii="宋体" w:hAnsi="宋体" w:cs="宋体" w:eastAsia="宋体" w:hint="default"/>
                <w:sz w:val="20"/>
                <w:szCs w:val="20"/>
              </w:rPr>
            </w:pPr>
            <w:r>
              <w:rPr>
                <w:rFonts w:ascii="宋体" w:hAnsi="宋体" w:cs="宋体" w:eastAsia="宋体" w:hint="default"/>
                <w:w w:val="95"/>
                <w:sz w:val="20"/>
                <w:szCs w:val="20"/>
              </w:rPr>
              <w:t>第</w:t>
            </w:r>
            <w:r>
              <w:rPr>
                <w:rFonts w:ascii="Times New Roman" w:hAnsi="Times New Roman" w:cs="Times New Roman" w:eastAsia="Times New Roman" w:hint="default"/>
                <w:w w:val="95"/>
                <w:sz w:val="20"/>
                <w:szCs w:val="20"/>
              </w:rPr>
              <w:t>9</w:t>
            </w:r>
            <w:r>
              <w:rPr>
                <w:rFonts w:ascii="宋体" w:hAnsi="宋体" w:cs="宋体" w:eastAsia="宋体" w:hint="default"/>
                <w:w w:val="95"/>
                <w:sz w:val="20"/>
                <w:szCs w:val="20"/>
              </w:rPr>
              <w:t>类</w:t>
            </w:r>
            <w:r>
              <w:rPr>
                <w:rFonts w:ascii="宋体" w:hAnsi="宋体" w:cs="宋体" w:eastAsia="宋体" w:hint="default"/>
                <w:sz w:val="20"/>
                <w:szCs w:val="20"/>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21"/>
              <w:jc w:val="right"/>
              <w:rPr>
                <w:rFonts w:ascii="Times New Roman" w:hAnsi="Times New Roman" w:cs="Times New Roman" w:eastAsia="Times New Roman" w:hint="default"/>
                <w:sz w:val="20"/>
                <w:szCs w:val="20"/>
              </w:rPr>
            </w:pPr>
            <w:r>
              <w:rPr>
                <w:rFonts w:ascii="Times New Roman"/>
                <w:w w:val="95"/>
                <w:sz w:val="20"/>
              </w:rPr>
              <w:t>2015/1/15</w:t>
            </w:r>
            <w:r>
              <w:rPr>
                <w:rFonts w:ascii="Times New Roman"/>
                <w:sz w:val="20"/>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取得受理通知书</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天玑数据</w:t>
            </w:r>
          </w:p>
        </w:tc>
      </w:tr>
      <w:tr>
        <w:trPr>
          <w:trHeight w:val="346"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62" w:right="0"/>
              <w:jc w:val="left"/>
              <w:rPr>
                <w:rFonts w:ascii="Times New Roman" w:hAnsi="Times New Roman" w:cs="Times New Roman" w:eastAsia="Times New Roman" w:hint="default"/>
                <w:sz w:val="18"/>
                <w:szCs w:val="18"/>
              </w:rPr>
            </w:pPr>
            <w:r>
              <w:rPr>
                <w:rFonts w:ascii="Times New Roman"/>
                <w:sz w:val="18"/>
              </w:rPr>
              <w:t>16335532</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 w:right="0"/>
              <w:jc w:val="center"/>
              <w:rPr>
                <w:rFonts w:ascii="Times New Roman" w:hAnsi="Times New Roman" w:cs="Times New Roman" w:eastAsia="Times New Roman" w:hint="default"/>
                <w:sz w:val="20"/>
                <w:szCs w:val="20"/>
              </w:rPr>
            </w:pPr>
            <w:r>
              <w:rPr>
                <w:rFonts w:ascii="Times New Roman"/>
                <w:sz w:val="20"/>
              </w:rPr>
              <w:t>PHEGDATA</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307"/>
              <w:jc w:val="right"/>
              <w:rPr>
                <w:rFonts w:ascii="宋体" w:hAnsi="宋体" w:cs="宋体" w:eastAsia="宋体" w:hint="default"/>
                <w:sz w:val="20"/>
                <w:szCs w:val="20"/>
              </w:rPr>
            </w:pPr>
            <w:r>
              <w:rPr>
                <w:rFonts w:ascii="宋体" w:hAnsi="宋体" w:cs="宋体" w:eastAsia="宋体" w:hint="default"/>
                <w:w w:val="95"/>
                <w:sz w:val="20"/>
                <w:szCs w:val="20"/>
              </w:rPr>
              <w:t>第</w:t>
            </w:r>
            <w:r>
              <w:rPr>
                <w:rFonts w:ascii="Times New Roman" w:hAnsi="Times New Roman" w:cs="Times New Roman" w:eastAsia="Times New Roman" w:hint="default"/>
                <w:w w:val="95"/>
                <w:sz w:val="20"/>
                <w:szCs w:val="20"/>
              </w:rPr>
              <w:t>9</w:t>
            </w:r>
            <w:r>
              <w:rPr>
                <w:rFonts w:ascii="宋体" w:hAnsi="宋体" w:cs="宋体" w:eastAsia="宋体" w:hint="default"/>
                <w:w w:val="95"/>
                <w:sz w:val="20"/>
                <w:szCs w:val="20"/>
              </w:rPr>
              <w:t>类</w:t>
            </w:r>
            <w:r>
              <w:rPr>
                <w:rFonts w:ascii="宋体" w:hAnsi="宋体" w:cs="宋体" w:eastAsia="宋体" w:hint="default"/>
                <w:sz w:val="20"/>
                <w:szCs w:val="20"/>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72"/>
              <w:jc w:val="right"/>
              <w:rPr>
                <w:rFonts w:ascii="Times New Roman" w:hAnsi="Times New Roman" w:cs="Times New Roman" w:eastAsia="Times New Roman" w:hint="default"/>
                <w:sz w:val="20"/>
                <w:szCs w:val="20"/>
              </w:rPr>
            </w:pPr>
            <w:r>
              <w:rPr>
                <w:rFonts w:ascii="Times New Roman"/>
                <w:w w:val="95"/>
                <w:sz w:val="20"/>
              </w:rPr>
              <w:t>2015/2/9</w:t>
            </w:r>
            <w:r>
              <w:rPr>
                <w:rFonts w:ascii="Times New Roman"/>
                <w:sz w:val="20"/>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取得受理通知书</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天玑数据</w:t>
            </w:r>
          </w:p>
        </w:tc>
      </w:tr>
      <w:tr>
        <w:trPr>
          <w:trHeight w:val="348"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2" w:right="0"/>
              <w:jc w:val="left"/>
              <w:rPr>
                <w:rFonts w:ascii="Times New Roman" w:hAnsi="Times New Roman" w:cs="Times New Roman" w:eastAsia="Times New Roman" w:hint="default"/>
                <w:sz w:val="18"/>
                <w:szCs w:val="18"/>
              </w:rPr>
            </w:pPr>
            <w:r>
              <w:rPr>
                <w:rFonts w:ascii="Times New Roman"/>
                <w:sz w:val="18"/>
              </w:rPr>
              <w:t>16335531</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20"/>
                <w:szCs w:val="20"/>
              </w:rPr>
            </w:pPr>
            <w:r>
              <w:rPr>
                <w:rFonts w:ascii="Times New Roman"/>
                <w:sz w:val="20"/>
              </w:rPr>
              <w:t>PHEGDATA</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57"/>
              <w:jc w:val="right"/>
              <w:rPr>
                <w:rFonts w:ascii="宋体" w:hAnsi="宋体" w:cs="宋体" w:eastAsia="宋体" w:hint="default"/>
                <w:sz w:val="20"/>
                <w:szCs w:val="20"/>
              </w:rPr>
            </w:pPr>
            <w:r>
              <w:rPr>
                <w:rFonts w:ascii="宋体" w:hAnsi="宋体" w:cs="宋体" w:eastAsia="宋体" w:hint="default"/>
                <w:w w:val="95"/>
                <w:sz w:val="20"/>
                <w:szCs w:val="20"/>
              </w:rPr>
              <w:t>第</w:t>
            </w:r>
            <w:r>
              <w:rPr>
                <w:rFonts w:ascii="Times New Roman" w:hAnsi="Times New Roman" w:cs="Times New Roman" w:eastAsia="Times New Roman" w:hint="default"/>
                <w:w w:val="95"/>
                <w:sz w:val="20"/>
                <w:szCs w:val="20"/>
              </w:rPr>
              <w:t>38</w:t>
            </w:r>
            <w:r>
              <w:rPr>
                <w:rFonts w:ascii="宋体" w:hAnsi="宋体" w:cs="宋体" w:eastAsia="宋体" w:hint="default"/>
                <w:w w:val="95"/>
                <w:sz w:val="20"/>
                <w:szCs w:val="20"/>
              </w:rPr>
              <w:t>类</w:t>
            </w:r>
            <w:r>
              <w:rPr>
                <w:rFonts w:ascii="宋体" w:hAnsi="宋体" w:cs="宋体" w:eastAsia="宋体" w:hint="default"/>
                <w:sz w:val="20"/>
                <w:szCs w:val="20"/>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72"/>
              <w:jc w:val="right"/>
              <w:rPr>
                <w:rFonts w:ascii="Times New Roman" w:hAnsi="Times New Roman" w:cs="Times New Roman" w:eastAsia="Times New Roman" w:hint="default"/>
                <w:sz w:val="20"/>
                <w:szCs w:val="20"/>
              </w:rPr>
            </w:pPr>
            <w:r>
              <w:rPr>
                <w:rFonts w:ascii="Times New Roman"/>
                <w:w w:val="95"/>
                <w:sz w:val="20"/>
              </w:rPr>
              <w:t>2015/2/9</w:t>
            </w:r>
            <w:r>
              <w:rPr>
                <w:rFonts w:ascii="Times New Roman"/>
                <w:sz w:val="20"/>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取得受理通知书</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天玑数据</w:t>
            </w:r>
          </w:p>
        </w:tc>
      </w:tr>
      <w:tr>
        <w:trPr>
          <w:trHeight w:val="348"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62" w:right="0"/>
              <w:jc w:val="left"/>
              <w:rPr>
                <w:rFonts w:ascii="Times New Roman" w:hAnsi="Times New Roman" w:cs="Times New Roman" w:eastAsia="Times New Roman" w:hint="default"/>
                <w:sz w:val="18"/>
                <w:szCs w:val="18"/>
              </w:rPr>
            </w:pPr>
            <w:r>
              <w:rPr>
                <w:rFonts w:ascii="Times New Roman"/>
                <w:sz w:val="18"/>
              </w:rPr>
              <w:t>16159804</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PHEGDA</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257"/>
              <w:jc w:val="right"/>
              <w:rPr>
                <w:rFonts w:ascii="宋体" w:hAnsi="宋体" w:cs="宋体" w:eastAsia="宋体" w:hint="default"/>
                <w:sz w:val="20"/>
                <w:szCs w:val="20"/>
              </w:rPr>
            </w:pPr>
            <w:r>
              <w:rPr>
                <w:rFonts w:ascii="宋体" w:hAnsi="宋体" w:cs="宋体" w:eastAsia="宋体" w:hint="default"/>
                <w:w w:val="95"/>
                <w:sz w:val="20"/>
                <w:szCs w:val="20"/>
              </w:rPr>
              <w:t>第</w:t>
            </w:r>
            <w:r>
              <w:rPr>
                <w:rFonts w:ascii="Times New Roman" w:hAnsi="Times New Roman" w:cs="Times New Roman" w:eastAsia="Times New Roman" w:hint="default"/>
                <w:w w:val="95"/>
                <w:sz w:val="20"/>
                <w:szCs w:val="20"/>
              </w:rPr>
              <w:t>38</w:t>
            </w:r>
            <w:r>
              <w:rPr>
                <w:rFonts w:ascii="宋体" w:hAnsi="宋体" w:cs="宋体" w:eastAsia="宋体" w:hint="default"/>
                <w:w w:val="95"/>
                <w:sz w:val="20"/>
                <w:szCs w:val="20"/>
              </w:rPr>
              <w:t>类</w:t>
            </w:r>
            <w:r>
              <w:rPr>
                <w:rFonts w:ascii="宋体" w:hAnsi="宋体" w:cs="宋体" w:eastAsia="宋体" w:hint="default"/>
                <w:sz w:val="20"/>
                <w:szCs w:val="20"/>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21"/>
              <w:jc w:val="right"/>
              <w:rPr>
                <w:rFonts w:ascii="Times New Roman" w:hAnsi="Times New Roman" w:cs="Times New Roman" w:eastAsia="Times New Roman" w:hint="default"/>
                <w:sz w:val="20"/>
                <w:szCs w:val="20"/>
              </w:rPr>
            </w:pPr>
            <w:r>
              <w:rPr>
                <w:rFonts w:ascii="Times New Roman"/>
                <w:w w:val="95"/>
                <w:sz w:val="20"/>
              </w:rPr>
              <w:t>2015/1/15</w:t>
            </w:r>
            <w:r>
              <w:rPr>
                <w:rFonts w:ascii="Times New Roman"/>
                <w:sz w:val="20"/>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取得受理通知书</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天玑数据</w:t>
            </w:r>
          </w:p>
        </w:tc>
      </w:tr>
      <w:tr>
        <w:trPr>
          <w:trHeight w:val="658"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62" w:right="0"/>
              <w:jc w:val="left"/>
              <w:rPr>
                <w:rFonts w:ascii="Times New Roman" w:hAnsi="Times New Roman" w:cs="Times New Roman" w:eastAsia="Times New Roman" w:hint="default"/>
                <w:sz w:val="18"/>
                <w:szCs w:val="18"/>
              </w:rPr>
            </w:pPr>
            <w:r>
              <w:rPr>
                <w:rFonts w:ascii="Times New Roman"/>
                <w:sz w:val="18"/>
              </w:rPr>
              <w:t>16159808</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595" w:lineRule="exact"/>
              <w:ind w:left="307" w:right="0"/>
              <w:jc w:val="left"/>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388717" cy="378047"/>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1" cstate="print"/>
                          <a:stretch>
                            <a:fillRect/>
                          </a:stretch>
                        </pic:blipFill>
                        <pic:spPr>
                          <a:xfrm>
                            <a:off x="0" y="0"/>
                            <a:ext cx="388717" cy="378047"/>
                          </a:xfrm>
                          <a:prstGeom prst="rect">
                            <a:avLst/>
                          </a:prstGeom>
                        </pic:spPr>
                      </pic:pic>
                    </a:graphicData>
                  </a:graphic>
                </wp:inline>
              </w:drawing>
            </w:r>
            <w:r>
              <w:rPr>
                <w:rFonts w:ascii="宋体" w:hAnsi="宋体" w:cs="宋体" w:eastAsia="宋体" w:hint="default"/>
                <w:position w:val="-11"/>
                <w:sz w:val="20"/>
                <w:szCs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257"/>
              <w:jc w:val="right"/>
              <w:rPr>
                <w:rFonts w:ascii="宋体" w:hAnsi="宋体" w:cs="宋体" w:eastAsia="宋体" w:hint="default"/>
                <w:sz w:val="20"/>
                <w:szCs w:val="20"/>
              </w:rPr>
            </w:pPr>
            <w:r>
              <w:rPr>
                <w:rFonts w:ascii="宋体" w:hAnsi="宋体" w:cs="宋体" w:eastAsia="宋体" w:hint="default"/>
                <w:w w:val="95"/>
                <w:sz w:val="20"/>
                <w:szCs w:val="20"/>
              </w:rPr>
              <w:t>第</w:t>
            </w:r>
            <w:r>
              <w:rPr>
                <w:rFonts w:ascii="Times New Roman" w:hAnsi="Times New Roman" w:cs="Times New Roman" w:eastAsia="Times New Roman" w:hint="default"/>
                <w:w w:val="95"/>
                <w:sz w:val="20"/>
                <w:szCs w:val="20"/>
              </w:rPr>
              <w:t>38</w:t>
            </w:r>
            <w:r>
              <w:rPr>
                <w:rFonts w:ascii="宋体" w:hAnsi="宋体" w:cs="宋体" w:eastAsia="宋体" w:hint="default"/>
                <w:w w:val="95"/>
                <w:sz w:val="20"/>
                <w:szCs w:val="20"/>
              </w:rPr>
              <w:t>类</w:t>
            </w:r>
            <w:r>
              <w:rPr>
                <w:rFonts w:ascii="宋体" w:hAnsi="宋体" w:cs="宋体" w:eastAsia="宋体" w:hint="default"/>
                <w:sz w:val="20"/>
                <w:szCs w:val="20"/>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06"/>
              <w:jc w:val="right"/>
              <w:rPr>
                <w:rFonts w:ascii="Times New Roman" w:hAnsi="Times New Roman" w:cs="Times New Roman" w:eastAsia="Times New Roman" w:hint="default"/>
                <w:sz w:val="18"/>
                <w:szCs w:val="18"/>
              </w:rPr>
            </w:pPr>
            <w:r>
              <w:rPr>
                <w:rFonts w:ascii="Times New Roman"/>
                <w:spacing w:val="-1"/>
                <w:sz w:val="18"/>
              </w:rPr>
              <w:t>2015-01-15</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取得受理通知书</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天玑数据</w:t>
            </w:r>
          </w:p>
        </w:tc>
      </w:tr>
      <w:tr>
        <w:trPr>
          <w:trHeight w:val="348"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2" w:right="0"/>
              <w:jc w:val="left"/>
              <w:rPr>
                <w:rFonts w:ascii="Times New Roman" w:hAnsi="Times New Roman" w:cs="Times New Roman" w:eastAsia="Times New Roman" w:hint="default"/>
                <w:sz w:val="18"/>
                <w:szCs w:val="18"/>
              </w:rPr>
            </w:pPr>
            <w:r>
              <w:rPr>
                <w:rFonts w:ascii="Times New Roman"/>
                <w:sz w:val="18"/>
              </w:rPr>
              <w:t>16335530</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20"/>
                <w:szCs w:val="20"/>
              </w:rPr>
            </w:pPr>
            <w:r>
              <w:rPr>
                <w:rFonts w:ascii="Times New Roman"/>
                <w:sz w:val="20"/>
              </w:rPr>
              <w:t>PHEGDATA</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57"/>
              <w:jc w:val="right"/>
              <w:rPr>
                <w:rFonts w:ascii="宋体" w:hAnsi="宋体" w:cs="宋体" w:eastAsia="宋体" w:hint="default"/>
                <w:sz w:val="20"/>
                <w:szCs w:val="20"/>
              </w:rPr>
            </w:pPr>
            <w:r>
              <w:rPr>
                <w:rFonts w:ascii="宋体" w:hAnsi="宋体" w:cs="宋体" w:eastAsia="宋体" w:hint="default"/>
                <w:w w:val="95"/>
                <w:sz w:val="20"/>
                <w:szCs w:val="20"/>
              </w:rPr>
              <w:t>第</w:t>
            </w:r>
            <w:r>
              <w:rPr>
                <w:rFonts w:ascii="Times New Roman" w:hAnsi="Times New Roman" w:cs="Times New Roman" w:eastAsia="Times New Roman" w:hint="default"/>
                <w:w w:val="95"/>
                <w:sz w:val="20"/>
                <w:szCs w:val="20"/>
              </w:rPr>
              <w:t>42</w:t>
            </w:r>
            <w:r>
              <w:rPr>
                <w:rFonts w:ascii="宋体" w:hAnsi="宋体" w:cs="宋体" w:eastAsia="宋体" w:hint="default"/>
                <w:w w:val="95"/>
                <w:sz w:val="20"/>
                <w:szCs w:val="20"/>
              </w:rPr>
              <w:t>类</w:t>
            </w:r>
            <w:r>
              <w:rPr>
                <w:rFonts w:ascii="宋体" w:hAnsi="宋体" w:cs="宋体" w:eastAsia="宋体" w:hint="default"/>
                <w:sz w:val="20"/>
                <w:szCs w:val="20"/>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72"/>
              <w:jc w:val="right"/>
              <w:rPr>
                <w:rFonts w:ascii="Times New Roman" w:hAnsi="Times New Roman" w:cs="Times New Roman" w:eastAsia="Times New Roman" w:hint="default"/>
                <w:sz w:val="20"/>
                <w:szCs w:val="20"/>
              </w:rPr>
            </w:pPr>
            <w:r>
              <w:rPr>
                <w:rFonts w:ascii="Times New Roman"/>
                <w:w w:val="95"/>
                <w:sz w:val="20"/>
              </w:rPr>
              <w:t>2015/2/9</w:t>
            </w:r>
            <w:r>
              <w:rPr>
                <w:rFonts w:ascii="Times New Roman"/>
                <w:sz w:val="20"/>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取得受理通知书</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天玑数据</w:t>
            </w:r>
          </w:p>
        </w:tc>
      </w:tr>
    </w:tbl>
    <w:p>
      <w:pPr>
        <w:spacing w:after="0" w:line="240" w:lineRule="auto"/>
        <w:jc w:val="center"/>
        <w:rPr>
          <w:rFonts w:ascii="宋体" w:hAnsi="宋体" w:cs="宋体" w:eastAsia="宋体" w:hint="default"/>
          <w:sz w:val="20"/>
          <w:szCs w:val="20"/>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780"/>
        <w:gridCol w:w="1454"/>
        <w:gridCol w:w="1238"/>
        <w:gridCol w:w="1135"/>
        <w:gridCol w:w="1274"/>
        <w:gridCol w:w="1702"/>
        <w:gridCol w:w="1135"/>
      </w:tblGrid>
      <w:tr>
        <w:trPr>
          <w:trHeight w:val="660"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62" w:right="0"/>
              <w:jc w:val="left"/>
              <w:rPr>
                <w:rFonts w:ascii="Times New Roman" w:hAnsi="Times New Roman" w:cs="Times New Roman" w:eastAsia="Times New Roman" w:hint="default"/>
                <w:sz w:val="18"/>
                <w:szCs w:val="18"/>
              </w:rPr>
            </w:pPr>
            <w:r>
              <w:rPr>
                <w:rFonts w:ascii="Times New Roman"/>
                <w:sz w:val="18"/>
              </w:rPr>
              <w:t>16159806</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595" w:lineRule="exact"/>
              <w:ind w:left="307" w:right="0"/>
              <w:jc w:val="left"/>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387156" cy="378047"/>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11" cstate="print"/>
                          <a:stretch>
                            <a:fillRect/>
                          </a:stretch>
                        </pic:blipFill>
                        <pic:spPr>
                          <a:xfrm>
                            <a:off x="0" y="0"/>
                            <a:ext cx="387156" cy="378047"/>
                          </a:xfrm>
                          <a:prstGeom prst="rect">
                            <a:avLst/>
                          </a:prstGeom>
                        </pic:spPr>
                      </pic:pic>
                    </a:graphicData>
                  </a:graphic>
                </wp:inline>
              </w:drawing>
            </w:r>
            <w:r>
              <w:rPr>
                <w:rFonts w:ascii="宋体" w:hAnsi="宋体" w:cs="宋体" w:eastAsia="宋体" w:hint="default"/>
                <w:position w:val="-11"/>
                <w:sz w:val="20"/>
                <w:szCs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61" w:right="0"/>
              <w:jc w:val="left"/>
              <w:rPr>
                <w:rFonts w:ascii="宋体" w:hAnsi="宋体" w:cs="宋体" w:eastAsia="宋体" w:hint="default"/>
                <w:sz w:val="20"/>
                <w:szCs w:val="20"/>
              </w:rPr>
            </w:pPr>
            <w:r>
              <w:rPr>
                <w:rFonts w:ascii="宋体" w:hAnsi="宋体" w:cs="宋体" w:eastAsia="宋体" w:hint="default"/>
                <w:sz w:val="20"/>
                <w:szCs w:val="20"/>
              </w:rPr>
              <w:t>第</w:t>
            </w:r>
            <w:r>
              <w:rPr>
                <w:rFonts w:ascii="Times New Roman" w:hAnsi="Times New Roman" w:cs="Times New Roman" w:eastAsia="Times New Roman" w:hint="default"/>
                <w:sz w:val="20"/>
                <w:szCs w:val="20"/>
              </w:rPr>
              <w:t>42</w:t>
            </w:r>
            <w:r>
              <w:rPr>
                <w:rFonts w:ascii="宋体" w:hAnsi="宋体" w:cs="宋体" w:eastAsia="宋体" w:hint="default"/>
                <w:sz w:val="20"/>
                <w:szCs w:val="20"/>
              </w:rPr>
              <w:t>类</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23" w:right="0"/>
              <w:jc w:val="left"/>
              <w:rPr>
                <w:rFonts w:ascii="Times New Roman" w:hAnsi="Times New Roman" w:cs="Times New Roman" w:eastAsia="Times New Roman" w:hint="default"/>
                <w:sz w:val="20"/>
                <w:szCs w:val="20"/>
              </w:rPr>
            </w:pPr>
            <w:r>
              <w:rPr>
                <w:rFonts w:ascii="Times New Roman"/>
                <w:sz w:val="20"/>
              </w:rPr>
              <w:t>2015/1/15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43" w:right="0"/>
              <w:jc w:val="left"/>
              <w:rPr>
                <w:rFonts w:ascii="宋体" w:hAnsi="宋体" w:cs="宋体" w:eastAsia="宋体" w:hint="default"/>
                <w:sz w:val="20"/>
                <w:szCs w:val="20"/>
              </w:rPr>
            </w:pPr>
            <w:r>
              <w:rPr>
                <w:rFonts w:ascii="宋体" w:hAnsi="宋体" w:cs="宋体" w:eastAsia="宋体" w:hint="default"/>
                <w:sz w:val="20"/>
                <w:szCs w:val="20"/>
              </w:rPr>
              <w:t>取得受理通知书</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60" w:right="0"/>
              <w:jc w:val="left"/>
              <w:rPr>
                <w:rFonts w:ascii="宋体" w:hAnsi="宋体" w:cs="宋体" w:eastAsia="宋体" w:hint="default"/>
                <w:sz w:val="20"/>
                <w:szCs w:val="20"/>
              </w:rPr>
            </w:pPr>
            <w:r>
              <w:rPr>
                <w:rFonts w:ascii="宋体" w:hAnsi="宋体" w:cs="宋体" w:eastAsia="宋体" w:hint="default"/>
                <w:sz w:val="20"/>
                <w:szCs w:val="20"/>
              </w:rPr>
              <w:t>天玑数据</w:t>
            </w:r>
          </w:p>
        </w:tc>
      </w:tr>
    </w:tbl>
    <w:p>
      <w:pPr>
        <w:spacing w:line="240" w:lineRule="auto" w:before="2"/>
        <w:rPr>
          <w:rFonts w:ascii="宋体" w:hAnsi="宋体" w:cs="宋体" w:eastAsia="宋体" w:hint="default"/>
          <w:sz w:val="20"/>
          <w:szCs w:val="20"/>
        </w:rPr>
      </w:pPr>
    </w:p>
    <w:p>
      <w:pPr>
        <w:pStyle w:val="Heading6"/>
        <w:spacing w:line="240" w:lineRule="auto" w:before="36"/>
        <w:ind w:right="0"/>
        <w:jc w:val="left"/>
        <w:rPr>
          <w:b w:val="0"/>
          <w:bCs w:val="0"/>
        </w:rPr>
      </w:pPr>
      <w:r>
        <w:rPr>
          <w:rFonts w:ascii="Times New Roman" w:hAnsi="Times New Roman" w:cs="Times New Roman" w:eastAsia="Times New Roman" w:hint="default"/>
        </w:rPr>
        <w:t>4</w:t>
      </w:r>
      <w:r>
        <w:rPr/>
        <w:t>、取得的荣誉、资质情况</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631"/>
        <w:gridCol w:w="5338"/>
        <w:gridCol w:w="1985"/>
        <w:gridCol w:w="1274"/>
      </w:tblGrid>
      <w:tr>
        <w:trPr>
          <w:trHeight w:val="346" w:hRule="exact"/>
        </w:trPr>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序号</w:t>
            </w:r>
          </w:p>
        </w:tc>
        <w:tc>
          <w:tcPr>
            <w:tcW w:w="5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761" w:right="0"/>
              <w:jc w:val="left"/>
              <w:rPr>
                <w:rFonts w:ascii="宋体" w:hAnsi="宋体" w:cs="宋体" w:eastAsia="宋体" w:hint="default"/>
                <w:sz w:val="20"/>
                <w:szCs w:val="20"/>
              </w:rPr>
            </w:pPr>
            <w:r>
              <w:rPr>
                <w:rFonts w:ascii="宋体" w:hAnsi="宋体" w:cs="宋体" w:eastAsia="宋体" w:hint="default"/>
                <w:sz w:val="20"/>
                <w:szCs w:val="20"/>
              </w:rPr>
              <w:t>所获荣誉、资质名称</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585" w:right="0"/>
              <w:jc w:val="left"/>
              <w:rPr>
                <w:rFonts w:ascii="宋体" w:hAnsi="宋体" w:cs="宋体" w:eastAsia="宋体" w:hint="default"/>
                <w:sz w:val="20"/>
                <w:szCs w:val="20"/>
              </w:rPr>
            </w:pPr>
            <w:r>
              <w:rPr>
                <w:rFonts w:ascii="宋体" w:hAnsi="宋体" w:cs="宋体" w:eastAsia="宋体" w:hint="default"/>
                <w:sz w:val="20"/>
                <w:szCs w:val="20"/>
              </w:rPr>
              <w:t>颁发日期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取得单位</w:t>
            </w:r>
          </w:p>
        </w:tc>
      </w:tr>
      <w:tr>
        <w:trPr>
          <w:trHeight w:val="348" w:hRule="exact"/>
        </w:trPr>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5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430"/>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2014-2015</w:t>
            </w:r>
            <w:r>
              <w:rPr>
                <w:rFonts w:ascii="宋体" w:hAnsi="宋体" w:cs="宋体" w:eastAsia="宋体" w:hint="default"/>
                <w:w w:val="95"/>
                <w:sz w:val="20"/>
                <w:szCs w:val="20"/>
              </w:rPr>
              <w:t>年度通信网络维护服务管理创新先进单位</w:t>
            </w:r>
            <w:r>
              <w:rPr>
                <w:rFonts w:ascii="宋体" w:hAnsi="宋体" w:cs="宋体" w:eastAsia="宋体" w:hint="default"/>
                <w:sz w:val="20"/>
                <w:szCs w:val="20"/>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530"/>
              <w:jc w:val="righ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4</w:t>
            </w:r>
            <w:r>
              <w:rPr>
                <w:rFonts w:ascii="宋体" w:hAnsi="宋体" w:cs="宋体" w:eastAsia="宋体" w:hint="default"/>
                <w:sz w:val="20"/>
                <w:szCs w:val="20"/>
              </w:rPr>
              <w:t>月</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348" w:hRule="exact"/>
        </w:trPr>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5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30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2014-2015</w:t>
            </w:r>
            <w:r>
              <w:rPr>
                <w:rFonts w:ascii="宋体" w:hAnsi="宋体" w:cs="宋体" w:eastAsia="宋体" w:hint="default"/>
                <w:sz w:val="20"/>
                <w:szCs w:val="20"/>
              </w:rPr>
              <w:t>年度通信网络维护服务领军人物</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530"/>
              <w:jc w:val="righ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4</w:t>
            </w:r>
            <w:r>
              <w:rPr>
                <w:rFonts w:ascii="宋体" w:hAnsi="宋体" w:cs="宋体" w:eastAsia="宋体" w:hint="default"/>
                <w:sz w:val="20"/>
                <w:szCs w:val="20"/>
              </w:rPr>
              <w:t>月</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658" w:hRule="exact"/>
        </w:trPr>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5338"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
              <w:ind w:left="2" w:right="62" w:firstLine="57"/>
              <w:jc w:val="left"/>
              <w:rPr>
                <w:rFonts w:ascii="宋体" w:hAnsi="宋体" w:cs="宋体" w:eastAsia="宋体" w:hint="default"/>
                <w:sz w:val="20"/>
                <w:szCs w:val="20"/>
              </w:rPr>
            </w:pPr>
            <w:r>
              <w:rPr>
                <w:rFonts w:ascii="宋体" w:hAnsi="宋体" w:cs="宋体" w:eastAsia="宋体" w:hint="default"/>
                <w:sz w:val="20"/>
                <w:szCs w:val="20"/>
              </w:rPr>
              <w:t>科学技术成功证书（市局信息中心运维管理质量评价体系研</w:t>
            </w:r>
            <w:r>
              <w:rPr>
                <w:rFonts w:ascii="宋体" w:hAnsi="宋体" w:cs="宋体" w:eastAsia="宋体" w:hint="default"/>
                <w:w w:val="99"/>
                <w:sz w:val="20"/>
                <w:szCs w:val="20"/>
              </w:rPr>
              <w:t> </w:t>
            </w:r>
            <w:r>
              <w:rPr>
                <w:rFonts w:ascii="宋体" w:hAnsi="宋体" w:cs="宋体" w:eastAsia="宋体" w:hint="default"/>
                <w:sz w:val="20"/>
                <w:szCs w:val="20"/>
              </w:rPr>
              <w:t>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530"/>
              <w:jc w:val="righ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6</w:t>
            </w:r>
            <w:r>
              <w:rPr>
                <w:rFonts w:ascii="宋体" w:hAnsi="宋体" w:cs="宋体" w:eastAsia="宋体" w:hint="default"/>
                <w:sz w:val="20"/>
                <w:szCs w:val="20"/>
              </w:rPr>
              <w:t>月</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348" w:hRule="exact"/>
        </w:trPr>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5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
              <w:jc w:val="center"/>
              <w:rPr>
                <w:rFonts w:ascii="宋体" w:hAnsi="宋体" w:cs="宋体" w:eastAsia="宋体" w:hint="default"/>
                <w:sz w:val="20"/>
                <w:szCs w:val="20"/>
              </w:rPr>
            </w:pPr>
            <w:r>
              <w:rPr>
                <w:rFonts w:ascii="Times New Roman" w:hAnsi="Times New Roman" w:cs="Times New Roman" w:eastAsia="Times New Roman" w:hint="default"/>
                <w:sz w:val="20"/>
                <w:szCs w:val="20"/>
              </w:rPr>
              <w:t>AAA</w:t>
            </w:r>
            <w:r>
              <w:rPr>
                <w:rFonts w:ascii="宋体" w:hAnsi="宋体" w:cs="宋体" w:eastAsia="宋体" w:hint="default"/>
                <w:sz w:val="20"/>
                <w:szCs w:val="20"/>
              </w:rPr>
              <w:t>资信等级证书</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530"/>
              <w:jc w:val="righ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346" w:hRule="exact"/>
        </w:trPr>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5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430"/>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2015-2016</w:t>
            </w:r>
            <w:r>
              <w:rPr>
                <w:rFonts w:ascii="宋体" w:hAnsi="宋体" w:cs="宋体" w:eastAsia="宋体" w:hint="default"/>
                <w:w w:val="95"/>
                <w:sz w:val="20"/>
                <w:szCs w:val="20"/>
              </w:rPr>
              <w:t>运维合格供方（业务平台专业）中国电信</w:t>
            </w:r>
            <w:r>
              <w:rPr>
                <w:rFonts w:ascii="宋体" w:hAnsi="宋体" w:cs="宋体" w:eastAsia="宋体" w:hint="default"/>
                <w:sz w:val="20"/>
                <w:szCs w:val="20"/>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482"/>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2015</w:t>
            </w:r>
            <w:r>
              <w:rPr>
                <w:rFonts w:ascii="宋体" w:hAnsi="宋体" w:cs="宋体" w:eastAsia="宋体" w:hint="default"/>
                <w:w w:val="95"/>
                <w:sz w:val="20"/>
                <w:szCs w:val="20"/>
              </w:rPr>
              <w:t>年</w:t>
            </w:r>
            <w:r>
              <w:rPr>
                <w:rFonts w:ascii="Times New Roman" w:hAnsi="Times New Roman" w:cs="Times New Roman" w:eastAsia="Times New Roman" w:hint="default"/>
                <w:w w:val="95"/>
                <w:sz w:val="20"/>
                <w:szCs w:val="20"/>
              </w:rPr>
              <w:t>12</w:t>
            </w:r>
            <w:r>
              <w:rPr>
                <w:rFonts w:ascii="宋体" w:hAnsi="宋体" w:cs="宋体" w:eastAsia="宋体" w:hint="default"/>
                <w:w w:val="95"/>
                <w:sz w:val="20"/>
                <w:szCs w:val="20"/>
              </w:rPr>
              <w:t>月</w:t>
            </w:r>
            <w:r>
              <w:rPr>
                <w:rFonts w:ascii="宋体" w:hAnsi="宋体" w:cs="宋体" w:eastAsia="宋体" w:hint="default"/>
                <w:sz w:val="20"/>
                <w:szCs w:val="20"/>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r>
        <w:trPr>
          <w:trHeight w:val="348" w:hRule="exact"/>
        </w:trPr>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5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06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年度上海市青浦区纳税百强企业</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482"/>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2015</w:t>
            </w:r>
            <w:r>
              <w:rPr>
                <w:rFonts w:ascii="宋体" w:hAnsi="宋体" w:cs="宋体" w:eastAsia="宋体" w:hint="default"/>
                <w:w w:val="95"/>
                <w:sz w:val="20"/>
                <w:szCs w:val="20"/>
              </w:rPr>
              <w:t>年</w:t>
            </w:r>
            <w:r>
              <w:rPr>
                <w:rFonts w:ascii="Times New Roman" w:hAnsi="Times New Roman" w:cs="Times New Roman" w:eastAsia="Times New Roman" w:hint="default"/>
                <w:w w:val="95"/>
                <w:sz w:val="20"/>
                <w:szCs w:val="20"/>
              </w:rPr>
              <w:t>12</w:t>
            </w:r>
            <w:r>
              <w:rPr>
                <w:rFonts w:ascii="宋体" w:hAnsi="宋体" w:cs="宋体" w:eastAsia="宋体" w:hint="default"/>
                <w:w w:val="95"/>
                <w:sz w:val="20"/>
                <w:szCs w:val="20"/>
              </w:rPr>
              <w:t>月</w:t>
            </w:r>
            <w:r>
              <w:rPr>
                <w:rFonts w:ascii="宋体" w:hAnsi="宋体" w:cs="宋体" w:eastAsia="宋体" w:hint="default"/>
                <w:sz w:val="20"/>
                <w:szCs w:val="20"/>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天玑科技</w:t>
            </w:r>
          </w:p>
        </w:tc>
      </w:tr>
    </w:tbl>
    <w:p>
      <w:pPr>
        <w:spacing w:after="0" w:line="240" w:lineRule="auto"/>
        <w:jc w:val="center"/>
        <w:rPr>
          <w:rFonts w:ascii="宋体" w:hAnsi="宋体" w:cs="宋体" w:eastAsia="宋体" w:hint="default"/>
          <w:sz w:val="20"/>
          <w:szCs w:val="20"/>
        </w:rPr>
        <w:sectPr>
          <w:pgSz w:w="11910" w:h="16840"/>
          <w:pgMar w:header="745"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3"/>
          <w:szCs w:val="23"/>
        </w:rPr>
      </w:pPr>
    </w:p>
    <w:p>
      <w:pPr>
        <w:pStyle w:val="Heading1"/>
        <w:spacing w:line="240" w:lineRule="auto"/>
        <w:ind w:left="3124" w:right="103"/>
        <w:jc w:val="left"/>
        <w:rPr>
          <w:b w:val="0"/>
          <w:bCs w:val="0"/>
        </w:rPr>
      </w:pPr>
      <w:bookmarkStart w:name="_TOC_250007" w:id="22"/>
      <w:bookmarkStart w:name="第四节 管理层讨论与分析" w:id="23"/>
      <w:r>
        <w:rPr>
          <w:b w:val="0"/>
          <w:bCs w:val="0"/>
        </w:rPr>
      </w:r>
      <w:r>
        <w:rPr/>
        <w:t>第四节</w:t>
      </w:r>
      <w:r>
        <w:rPr>
          <w:spacing w:val="-6"/>
        </w:rPr>
        <w:t> </w:t>
      </w:r>
      <w:r>
        <w:rPr/>
        <w:t>管理层讨论与分析</w:t>
      </w:r>
      <w:bookmarkEnd w:id="22"/>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4"/>
        <w:spacing w:line="240" w:lineRule="auto" w:before="26"/>
        <w:ind w:right="103"/>
        <w:jc w:val="left"/>
        <w:rPr>
          <w:b w:val="0"/>
          <w:bCs w:val="0"/>
        </w:rPr>
      </w:pPr>
      <w:r>
        <w:rPr/>
        <w:t>一、概述</w:t>
      </w:r>
      <w:r>
        <w:rPr>
          <w:b w:val="0"/>
          <w:bCs w:val="0"/>
        </w:rPr>
      </w:r>
    </w:p>
    <w:p>
      <w:pPr>
        <w:spacing w:line="240" w:lineRule="auto" w:before="10"/>
        <w:rPr>
          <w:rFonts w:ascii="宋体" w:hAnsi="宋体" w:cs="宋体" w:eastAsia="宋体" w:hint="default"/>
          <w:b/>
          <w:bCs/>
          <w:sz w:val="30"/>
          <w:szCs w:val="30"/>
        </w:rPr>
      </w:pPr>
    </w:p>
    <w:p>
      <w:pPr>
        <w:pStyle w:val="BodyText"/>
        <w:spacing w:line="396" w:lineRule="auto"/>
        <w:ind w:right="207" w:firstLine="420"/>
        <w:jc w:val="both"/>
      </w:pPr>
      <w:r>
        <w:rPr>
          <w:rFonts w:ascii="Times New Roman" w:hAnsi="Times New Roman" w:cs="Times New Roman" w:eastAsia="Times New Roman" w:hint="default"/>
          <w:spacing w:val="-3"/>
        </w:rPr>
        <w:t>2015</w:t>
      </w:r>
      <w:r>
        <w:rPr>
          <w:spacing w:val="-3"/>
        </w:rPr>
        <w:t>年是公</w:t>
      </w:r>
      <w:bookmarkStart w:name="一、概述" w:id="24"/>
      <w:bookmarkEnd w:id="24"/>
      <w:r>
        <w:rPr>
          <w:spacing w:val="-3"/>
        </w:rPr>
        <w:t>司</w:t>
      </w:r>
      <w:r>
        <w:rPr>
          <w:spacing w:val="-3"/>
        </w:rPr>
        <w:t>积极变革、谋求发展的重要之年，是公司奋力推动</w:t>
      </w:r>
      <w:r>
        <w:rPr>
          <w:rFonts w:ascii="Times New Roman" w:hAnsi="Times New Roman" w:cs="Times New Roman" w:eastAsia="Times New Roman" w:hint="default"/>
          <w:spacing w:val="-3"/>
        </w:rPr>
        <w:t>“</w:t>
      </w:r>
      <w:r>
        <w:rPr>
          <w:spacing w:val="-3"/>
        </w:rPr>
        <w:t>天玑</w:t>
      </w:r>
      <w:r>
        <w:rPr>
          <w:rFonts w:ascii="Times New Roman" w:hAnsi="Times New Roman" w:cs="Times New Roman" w:eastAsia="Times New Roman" w:hint="default"/>
          <w:spacing w:val="-3"/>
        </w:rPr>
        <w:t>2.0”</w:t>
      </w:r>
      <w:r>
        <w:rPr>
          <w:spacing w:val="-3"/>
        </w:rPr>
        <w:t>战略的突破之年。在董事会</w:t>
      </w:r>
      <w:r>
        <w:rPr>
          <w:spacing w:val="-3"/>
          <w:w w:val="100"/>
        </w:rPr>
        <w:t> </w:t>
      </w:r>
      <w:r>
        <w:rPr>
          <w:spacing w:val="-2"/>
        </w:rPr>
        <w:t>的领导下，在全体员工的共同努力下，积极进行战略转型，认真开展各项经营管理工作，扎实推动经营计</w:t>
      </w:r>
      <w:r>
        <w:rPr>
          <w:spacing w:val="-50"/>
        </w:rPr>
        <w:t> </w:t>
      </w:r>
      <w:r>
        <w:rPr>
          <w:spacing w:val="-50"/>
        </w:rPr>
      </w:r>
      <w:r>
        <w:rPr>
          <w:spacing w:val="-2"/>
        </w:rPr>
        <w:t>划的贯彻落实，在产品开发、市场开拓、品牌推广、内控建设等方面取得了一系列积极的进展。由于公司</w:t>
      </w:r>
      <w:r>
        <w:rPr>
          <w:spacing w:val="-43"/>
        </w:rPr>
        <w:t> </w:t>
      </w:r>
      <w:r>
        <w:rPr>
          <w:spacing w:val="-43"/>
        </w:rPr>
      </w:r>
      <w:r>
        <w:rPr>
          <w:spacing w:val="-2"/>
        </w:rPr>
        <w:t>战略转型并进行新业务领域布局建设和投资，相应的费用较上年大幅提升，新业务虽取得阶段性成果，但</w:t>
      </w:r>
      <w:r>
        <w:rPr>
          <w:spacing w:val="-42"/>
        </w:rPr>
        <w:t> </w:t>
      </w:r>
      <w:r>
        <w:rPr>
          <w:spacing w:val="-42"/>
        </w:rPr>
      </w:r>
      <w:r>
        <w:rPr>
          <w:spacing w:val="-2"/>
        </w:rPr>
        <w:t>尚未盈利，从而对公司经营利润产生影响，故而公司报告期内业绩有所下降。</w:t>
      </w:r>
      <w:r>
        <w:rPr>
          <w:rFonts w:ascii="Times New Roman" w:hAnsi="Times New Roman" w:cs="Times New Roman" w:eastAsia="Times New Roman" w:hint="default"/>
          <w:spacing w:val="-2"/>
        </w:rPr>
        <w:t>2015</w:t>
      </w:r>
      <w:r>
        <w:rPr>
          <w:spacing w:val="-2"/>
        </w:rPr>
        <w:t>年度，公司实现营业收</w:t>
      </w:r>
      <w:r>
        <w:rPr>
          <w:spacing w:val="-44"/>
        </w:rPr>
        <w:t> </w:t>
      </w:r>
      <w:r>
        <w:rPr>
          <w:spacing w:val="-44"/>
        </w:rPr>
      </w:r>
      <w:r>
        <w:rPr>
          <w:spacing w:val="-2"/>
        </w:rPr>
        <w:t>入</w:t>
      </w:r>
      <w:r>
        <w:rPr>
          <w:rFonts w:ascii="Times New Roman" w:hAnsi="Times New Roman" w:cs="Times New Roman" w:eastAsia="Times New Roman" w:hint="default"/>
          <w:spacing w:val="-2"/>
        </w:rPr>
        <w:t>394,995,623.83</w:t>
      </w:r>
      <w:r>
        <w:rPr>
          <w:spacing w:val="-2"/>
        </w:rPr>
        <w:t>元，比上一年同期下降</w:t>
      </w:r>
      <w:r>
        <w:rPr>
          <w:rFonts w:ascii="Times New Roman" w:hAnsi="Times New Roman" w:cs="Times New Roman" w:eastAsia="Times New Roman" w:hint="default"/>
          <w:spacing w:val="-2"/>
        </w:rPr>
        <w:t>3.43%</w:t>
      </w:r>
      <w:r>
        <w:rPr>
          <w:spacing w:val="-2"/>
        </w:rPr>
        <w:t>；营业利润</w:t>
      </w:r>
      <w:r>
        <w:rPr>
          <w:rFonts w:ascii="Times New Roman" w:hAnsi="Times New Roman" w:cs="Times New Roman" w:eastAsia="Times New Roman" w:hint="default"/>
          <w:spacing w:val="-2"/>
        </w:rPr>
        <w:t>33,069,331.82</w:t>
      </w:r>
      <w:r>
        <w:rPr>
          <w:spacing w:val="-2"/>
        </w:rPr>
        <w:t>元，比上一年同期下降</w:t>
      </w:r>
      <w:r>
        <w:rPr>
          <w:rFonts w:ascii="Times New Roman" w:hAnsi="Times New Roman" w:cs="Times New Roman" w:eastAsia="Times New Roman" w:hint="default"/>
          <w:spacing w:val="-2"/>
        </w:rPr>
        <w:t>58.70%</w:t>
      </w:r>
      <w:r>
        <w:rPr>
          <w:spacing w:val="-2"/>
        </w:rPr>
        <w:t>；实</w:t>
      </w:r>
      <w:r>
        <w:rPr>
          <w:spacing w:val="12"/>
        </w:rPr>
        <w:t> </w:t>
      </w:r>
      <w:r>
        <w:rPr>
          <w:spacing w:val="-1"/>
        </w:rPr>
        <w:t>现利润总额</w:t>
      </w:r>
      <w:r>
        <w:rPr>
          <w:rFonts w:ascii="Times New Roman" w:hAnsi="Times New Roman" w:cs="Times New Roman" w:eastAsia="Times New Roman" w:hint="default"/>
          <w:spacing w:val="-1"/>
        </w:rPr>
        <w:t>45,713,777.19</w:t>
      </w:r>
      <w:r>
        <w:rPr>
          <w:spacing w:val="-1"/>
        </w:rPr>
        <w:t>元，同比下降</w:t>
      </w:r>
      <w:r>
        <w:rPr>
          <w:rFonts w:ascii="Times New Roman" w:hAnsi="Times New Roman" w:cs="Times New Roman" w:eastAsia="Times New Roman" w:hint="default"/>
          <w:spacing w:val="-1"/>
        </w:rPr>
        <w:t>47.27%</w:t>
      </w:r>
      <w:r>
        <w:rPr>
          <w:spacing w:val="-1"/>
        </w:rPr>
        <w:t>，归属于上市公司普通股股东的净利润</w:t>
      </w:r>
      <w:r>
        <w:rPr>
          <w:rFonts w:ascii="Times New Roman" w:hAnsi="Times New Roman" w:cs="Times New Roman" w:eastAsia="Times New Roman" w:hint="default"/>
          <w:spacing w:val="-1"/>
        </w:rPr>
        <w:t>45,302,096.37</w:t>
      </w:r>
      <w:r>
        <w:rPr>
          <w:spacing w:val="-1"/>
        </w:rPr>
        <w:t>元，比</w:t>
      </w:r>
      <w:r>
        <w:rPr>
          <w:spacing w:val="-49"/>
        </w:rPr>
        <w:t> </w:t>
      </w:r>
      <w:r>
        <w:rPr>
          <w:spacing w:val="-49"/>
        </w:rPr>
      </w:r>
      <w:r>
        <w:rPr/>
        <w:t>上一年同期下降</w:t>
      </w:r>
      <w:r>
        <w:rPr>
          <w:rFonts w:ascii="Times New Roman" w:hAnsi="Times New Roman" w:cs="Times New Roman" w:eastAsia="Times New Roman" w:hint="default"/>
        </w:rPr>
        <w:t>37.38%</w:t>
      </w:r>
      <w:r>
        <w:rPr/>
        <w:t>。</w:t>
      </w:r>
    </w:p>
    <w:p>
      <w:pPr>
        <w:pStyle w:val="BodyText"/>
        <w:spacing w:line="240" w:lineRule="auto" w:before="26"/>
        <w:ind w:right="103"/>
        <w:jc w:val="left"/>
      </w:pPr>
      <w:r>
        <w:rPr/>
        <w:t>（一）报告期内，公司主要经营情况概述如下：</w:t>
      </w:r>
    </w:p>
    <w:p>
      <w:pPr>
        <w:spacing w:line="240" w:lineRule="auto" w:before="10"/>
        <w:rPr>
          <w:rFonts w:ascii="宋体" w:hAnsi="宋体" w:cs="宋体" w:eastAsia="宋体" w:hint="default"/>
          <w:sz w:val="14"/>
          <w:szCs w:val="14"/>
        </w:rPr>
      </w:pPr>
    </w:p>
    <w:p>
      <w:pPr>
        <w:pStyle w:val="BodyText"/>
        <w:spacing w:line="386" w:lineRule="auto"/>
        <w:ind w:left="572" w:right="103" w:hanging="420"/>
        <w:jc w:val="left"/>
      </w:pPr>
      <w:r>
        <w:rPr>
          <w:rFonts w:ascii="Times New Roman" w:hAnsi="Times New Roman" w:cs="Times New Roman" w:eastAsia="Times New Roman" w:hint="default"/>
        </w:rPr>
        <w:t>1</w:t>
      </w:r>
      <w:r>
        <w:rPr/>
        <w:t>、持续推进基础架构国产化和金融互联化两大战略发展方向。</w:t>
      </w:r>
      <w:r>
        <w:rPr>
          <w:w w:val="100"/>
        </w:rPr>
        <w:t> </w:t>
      </w:r>
      <w:r>
        <w:rPr>
          <w:spacing w:val="-2"/>
        </w:rPr>
        <w:t>公司报告期内公司持续推进基础架构国产化和金融互联网化两大战略发展方向，即一横一纵。横向战</w:t>
      </w:r>
    </w:p>
    <w:p>
      <w:pPr>
        <w:pStyle w:val="BodyText"/>
        <w:spacing w:line="386" w:lineRule="auto" w:before="65"/>
        <w:ind w:right="103" w:hanging="1"/>
        <w:jc w:val="left"/>
      </w:pPr>
      <w:r>
        <w:rPr/>
        <w:t>略 </w:t>
      </w:r>
      <w:r>
        <w:rPr>
          <w:rFonts w:ascii="Times New Roman" w:hAnsi="Times New Roman" w:cs="Times New Roman" w:eastAsia="Times New Roman" w:hint="default"/>
        </w:rPr>
        <w:t>-- </w:t>
      </w:r>
      <w:r>
        <w:rPr/>
        <w:t>聚焦基础架构国产化，要成为</w:t>
      </w:r>
      <w:r>
        <w:rPr>
          <w:rFonts w:ascii="Times New Roman" w:hAnsi="Times New Roman" w:cs="Times New Roman" w:eastAsia="Times New Roman" w:hint="default"/>
        </w:rPr>
        <w:t>“IT </w:t>
      </w:r>
      <w:r>
        <w:rPr/>
        <w:t>基础架构的服务</w:t>
      </w:r>
      <w:r>
        <w:rPr>
          <w:rFonts w:ascii="Times New Roman" w:hAnsi="Times New Roman" w:cs="Times New Roman" w:eastAsia="Times New Roman" w:hint="default"/>
        </w:rPr>
        <w:t>+X86</w:t>
      </w:r>
      <w:r>
        <w:rPr>
          <w:rFonts w:ascii="Times New Roman" w:hAnsi="Times New Roman" w:cs="Times New Roman" w:eastAsia="Times New Roman" w:hint="default"/>
          <w:spacing w:val="12"/>
        </w:rPr>
        <w:t> </w:t>
      </w:r>
      <w:r>
        <w:rPr/>
        <w:t>软件定义的产品</w:t>
      </w:r>
      <w:r>
        <w:rPr>
          <w:rFonts w:ascii="Times New Roman" w:hAnsi="Times New Roman" w:cs="Times New Roman" w:eastAsia="Times New Roman" w:hint="default"/>
        </w:rPr>
        <w:t>+</w:t>
      </w:r>
      <w:r>
        <w:rPr/>
        <w:t>开源数据库中间件</w:t>
      </w:r>
      <w:r>
        <w:rPr>
          <w:rFonts w:ascii="Times New Roman" w:hAnsi="Times New Roman" w:cs="Times New Roman" w:eastAsia="Times New Roman" w:hint="default"/>
        </w:rPr>
        <w:t>+</w:t>
      </w:r>
      <w:r>
        <w:rPr/>
        <w:t>云计</w:t>
      </w:r>
      <w:r>
        <w:rPr>
          <w:w w:val="100"/>
        </w:rPr>
        <w:t> </w:t>
      </w:r>
      <w:r>
        <w:rPr>
          <w:spacing w:val="-5"/>
        </w:rPr>
        <w:t>算、大数据解决方案的提供者</w:t>
      </w:r>
      <w:r>
        <w:rPr>
          <w:rFonts w:ascii="Times New Roman" w:hAnsi="Times New Roman" w:cs="Times New Roman" w:eastAsia="Times New Roman" w:hint="default"/>
          <w:spacing w:val="-5"/>
        </w:rPr>
        <w:t>”</w:t>
      </w:r>
      <w:r>
        <w:rPr>
          <w:spacing w:val="-5"/>
        </w:rPr>
        <w:t>；纵向战略</w:t>
      </w:r>
      <w:r>
        <w:rPr>
          <w:spacing w:val="10"/>
        </w:rPr>
        <w:t> </w:t>
      </w:r>
      <w:r>
        <w:rPr>
          <w:rFonts w:ascii="Times New Roman" w:hAnsi="Times New Roman" w:cs="Times New Roman" w:eastAsia="Times New Roman" w:hint="default"/>
        </w:rPr>
        <w:t>--</w:t>
      </w:r>
      <w:r>
        <w:rPr>
          <w:rFonts w:ascii="Times New Roman" w:hAnsi="Times New Roman" w:cs="Times New Roman" w:eastAsia="Times New Roman" w:hint="default"/>
          <w:spacing w:val="6"/>
        </w:rPr>
        <w:t> </w:t>
      </w:r>
      <w:r>
        <w:rPr>
          <w:spacing w:val="-3"/>
        </w:rPr>
        <w:t>聚集金融互联网化，作为</w:t>
      </w:r>
      <w:r>
        <w:rPr>
          <w:rFonts w:ascii="Times New Roman" w:hAnsi="Times New Roman" w:cs="Times New Roman" w:eastAsia="Times New Roman" w:hint="default"/>
          <w:spacing w:val="-3"/>
        </w:rPr>
        <w:t>“</w:t>
      </w:r>
      <w:r>
        <w:rPr>
          <w:spacing w:val="-3"/>
        </w:rPr>
        <w:t>金融企业互联网转型中的应用和解</w:t>
      </w:r>
      <w:r>
        <w:rPr>
          <w:spacing w:val="-98"/>
        </w:rPr>
        <w:t> </w:t>
      </w:r>
      <w:r>
        <w:rPr>
          <w:spacing w:val="-98"/>
        </w:rPr>
      </w:r>
      <w:r>
        <w:rPr>
          <w:spacing w:val="-4"/>
        </w:rPr>
        <w:t>决方案的提供者</w:t>
      </w:r>
      <w:r>
        <w:rPr>
          <w:rFonts w:ascii="Times New Roman" w:hAnsi="Times New Roman" w:cs="Times New Roman" w:eastAsia="Times New Roman" w:hint="default"/>
          <w:spacing w:val="-4"/>
        </w:rPr>
        <w:t>”</w:t>
      </w:r>
      <w:r>
        <w:rPr>
          <w:spacing w:val="-4"/>
        </w:rPr>
        <w:t>，逐步形成平台化发展。报告期内公司投资成立了</w:t>
      </w:r>
      <w:r>
        <w:rPr>
          <w:rFonts w:ascii="Times New Roman" w:hAnsi="Times New Roman" w:cs="Times New Roman" w:eastAsia="Times New Roman" w:hint="default"/>
          <w:spacing w:val="-4"/>
        </w:rPr>
        <w:t>“</w:t>
      </w:r>
      <w:r>
        <w:rPr>
          <w:spacing w:val="-4"/>
        </w:rPr>
        <w:t>上海卓之联信息科技有限公司</w:t>
      </w:r>
      <w:r>
        <w:rPr>
          <w:rFonts w:ascii="Times New Roman" w:hAnsi="Times New Roman" w:cs="Times New Roman" w:eastAsia="Times New Roman" w:hint="default"/>
          <w:spacing w:val="-4"/>
        </w:rPr>
        <w:t>”</w:t>
      </w:r>
      <w:r>
        <w:rPr>
          <w:spacing w:val="-4"/>
        </w:rPr>
        <w:t>逐步落</w:t>
      </w:r>
      <w:r>
        <w:rPr>
          <w:spacing w:val="-29"/>
        </w:rPr>
        <w:t> </w:t>
      </w:r>
      <w:r>
        <w:rPr>
          <w:spacing w:val="-3"/>
        </w:rPr>
        <w:t>实纵向战略的发展。该合资公司目前已推出全媒体联络中心，移动</w:t>
      </w:r>
      <w:r>
        <w:rPr>
          <w:rFonts w:ascii="Times New Roman" w:hAnsi="Times New Roman" w:cs="Times New Roman" w:eastAsia="Times New Roman" w:hint="default"/>
          <w:spacing w:val="-3"/>
        </w:rPr>
        <w:t>CRM</w:t>
      </w:r>
      <w:r>
        <w:rPr>
          <w:spacing w:val="-3"/>
        </w:rPr>
        <w:t>，远程认证平台，视频银行解决方</w:t>
      </w:r>
      <w:r>
        <w:rPr>
          <w:spacing w:val="-47"/>
        </w:rPr>
        <w:t> </w:t>
      </w:r>
      <w:r>
        <w:rPr>
          <w:spacing w:val="-47"/>
        </w:rPr>
      </w:r>
      <w:r>
        <w:rPr>
          <w:spacing w:val="-2"/>
        </w:rPr>
        <w:t>案，精准营销，大数据运营决策系统六条产品线，且目前已有项目开展。报告期内公司新产品</w:t>
      </w:r>
      <w:r>
        <w:rPr>
          <w:rFonts w:ascii="Times New Roman" w:hAnsi="Times New Roman" w:cs="Times New Roman" w:eastAsia="Times New Roman" w:hint="default"/>
          <w:spacing w:val="-2"/>
        </w:rPr>
        <w:t>“PBData</w:t>
      </w:r>
      <w:r>
        <w:rPr>
          <w:spacing w:val="-2"/>
        </w:rPr>
        <w:t>一</w:t>
      </w:r>
      <w:r>
        <w:rPr>
          <w:spacing w:val="-18"/>
        </w:rPr>
        <w:t> </w:t>
      </w:r>
      <w:r>
        <w:rPr/>
        <w:t>体机</w:t>
      </w:r>
      <w:r>
        <w:rPr>
          <w:rFonts w:ascii="Times New Roman" w:hAnsi="Times New Roman" w:cs="Times New Roman" w:eastAsia="Times New Roman" w:hint="default"/>
        </w:rPr>
        <w:t>”</w:t>
      </w:r>
      <w:r>
        <w:rPr/>
        <w:t>也取得了阶段性的成果。新业务、新产品的良好开拓验证了公司在新产品的开发设计与实施能力，</w:t>
      </w:r>
      <w:r>
        <w:rPr>
          <w:w w:val="100"/>
        </w:rPr>
        <w:t> </w:t>
      </w:r>
      <w:r>
        <w:rPr/>
        <w:t>为新业务的市场发展打开了有利局面。</w:t>
      </w:r>
    </w:p>
    <w:p>
      <w:pPr>
        <w:pStyle w:val="BodyText"/>
        <w:spacing w:line="386" w:lineRule="auto" w:before="65"/>
        <w:ind w:left="573" w:right="103" w:hanging="421"/>
        <w:jc w:val="left"/>
      </w:pPr>
      <w:r>
        <w:rPr>
          <w:rFonts w:ascii="Times New Roman" w:hAnsi="Times New Roman" w:cs="Times New Roman" w:eastAsia="Times New Roman" w:hint="default"/>
        </w:rPr>
        <w:t>2</w:t>
      </w:r>
      <w:r>
        <w:rPr/>
        <w:t>、加大研发投入，不断推出新产品，提高公司核心竞争力</w:t>
      </w:r>
      <w:r>
        <w:rPr>
          <w:w w:val="100"/>
        </w:rPr>
        <w:t> </w:t>
      </w:r>
      <w:r>
        <w:rPr>
          <w:spacing w:val="-2"/>
        </w:rPr>
        <w:t>报告期内公司大力投资研发，并遵循互联网的技术架构模式，推出了数种面向私有云的新产品。公司</w:t>
      </w:r>
    </w:p>
    <w:p>
      <w:pPr>
        <w:pStyle w:val="BodyText"/>
        <w:spacing w:line="391" w:lineRule="auto" w:before="65"/>
        <w:ind w:left="153" w:right="104"/>
        <w:jc w:val="both"/>
      </w:pPr>
      <w:r>
        <w:rPr/>
        <w:t>自行研发的云操作系统</w:t>
      </w:r>
      <w:r>
        <w:rPr>
          <w:rFonts w:ascii="Times New Roman" w:hAnsi="Times New Roman" w:cs="Times New Roman" w:eastAsia="Times New Roman" w:hint="default"/>
        </w:rPr>
        <w:t>DCOS</w:t>
      </w:r>
      <w:r>
        <w:rPr/>
        <w:t>，以自动化运维支撑私有云应用的弹性扩展，已在行业标杆客户处得到认可</w:t>
      </w:r>
      <w:r>
        <w:rPr>
          <w:w w:val="100"/>
        </w:rPr>
        <w:t> </w:t>
      </w:r>
      <w:r>
        <w:rPr>
          <w:spacing w:val="-2"/>
        </w:rPr>
        <w:t>并获取订单，并在实际业务应用中表现出色。控股子公司天玑数据，专攻分布式存储技术，聚焦软件定义</w:t>
      </w:r>
      <w:r>
        <w:rPr>
          <w:spacing w:val="-50"/>
        </w:rPr>
        <w:t> </w:t>
      </w:r>
      <w:r>
        <w:rPr>
          <w:spacing w:val="-50"/>
        </w:rPr>
      </w:r>
      <w:r>
        <w:rPr>
          <w:spacing w:val="-3"/>
        </w:rPr>
        <w:t>存储市场。</w:t>
      </w:r>
      <w:r>
        <w:rPr>
          <w:rFonts w:ascii="Times New Roman" w:hAnsi="Times New Roman" w:cs="Times New Roman" w:eastAsia="Times New Roman" w:hint="default"/>
          <w:spacing w:val="-3"/>
        </w:rPr>
        <w:t>2015</w:t>
      </w:r>
      <w:r>
        <w:rPr>
          <w:spacing w:val="-3"/>
        </w:rPr>
        <w:t>年内，其首个产品</w:t>
      </w:r>
      <w:r>
        <w:rPr>
          <w:rFonts w:ascii="Times New Roman" w:hAnsi="Times New Roman" w:cs="Times New Roman" w:eastAsia="Times New Roman" w:hint="default"/>
          <w:spacing w:val="-3"/>
        </w:rPr>
        <w:t>PBData</w:t>
      </w:r>
      <w:r>
        <w:rPr>
          <w:spacing w:val="-3"/>
        </w:rPr>
        <w:t>已经在国内的数据库一体机细分市场取得了市场领先地位，并同</w:t>
      </w:r>
      <w:r>
        <w:rPr>
          <w:spacing w:val="-12"/>
        </w:rPr>
        <w:t> </w:t>
      </w:r>
      <w:r>
        <w:rPr>
          <w:spacing w:val="-12"/>
        </w:rPr>
      </w:r>
      <w:r>
        <w:rPr>
          <w:spacing w:val="-4"/>
        </w:rPr>
        <w:t>时孵化和对外推出了两款产品，分别面向私有云</w:t>
      </w:r>
      <w:r>
        <w:rPr>
          <w:rFonts w:ascii="Times New Roman" w:hAnsi="Times New Roman" w:cs="Times New Roman" w:eastAsia="Times New Roman" w:hint="default"/>
          <w:spacing w:val="-4"/>
        </w:rPr>
        <w:t>/</w:t>
      </w:r>
      <w:r>
        <w:rPr>
          <w:spacing w:val="-4"/>
        </w:rPr>
        <w:t>虚拟化和通用分布式存储。控股子公司平民软件推出了分</w:t>
      </w:r>
      <w:r>
        <w:rPr>
          <w:spacing w:val="-6"/>
        </w:rPr>
        <w:t> </w:t>
      </w:r>
      <w:r>
        <w:rPr>
          <w:spacing w:val="-6"/>
        </w:rPr>
      </w:r>
      <w:r>
        <w:rPr>
          <w:spacing w:val="-3"/>
        </w:rPr>
        <w:t>布式数据库中间件</w:t>
      </w:r>
      <w:r>
        <w:rPr>
          <w:rFonts w:ascii="Times New Roman" w:hAnsi="Times New Roman" w:cs="Times New Roman" w:eastAsia="Times New Roman" w:hint="default"/>
          <w:spacing w:val="-3"/>
        </w:rPr>
        <w:t>OneProxy</w:t>
      </w:r>
      <w:r>
        <w:rPr>
          <w:spacing w:val="-3"/>
        </w:rPr>
        <w:t>，并已支持</w:t>
      </w:r>
      <w:r>
        <w:rPr>
          <w:rFonts w:ascii="Times New Roman" w:hAnsi="Times New Roman" w:cs="Times New Roman" w:eastAsia="Times New Roman" w:hint="default"/>
          <w:spacing w:val="-3"/>
        </w:rPr>
        <w:t>MySQL</w:t>
      </w:r>
      <w:r>
        <w:rPr>
          <w:spacing w:val="-3"/>
        </w:rPr>
        <w:t>和</w:t>
      </w:r>
      <w:r>
        <w:rPr>
          <w:rFonts w:ascii="Times New Roman" w:hAnsi="Times New Roman" w:cs="Times New Roman" w:eastAsia="Times New Roman" w:hint="default"/>
          <w:spacing w:val="-3"/>
        </w:rPr>
        <w:t>Postgres</w:t>
      </w:r>
      <w:r>
        <w:rPr>
          <w:spacing w:val="-3"/>
        </w:rPr>
        <w:t>两种开源数据库，在多个互联网客户处投入使用。</w:t>
      </w:r>
    </w:p>
    <w:p>
      <w:pPr>
        <w:spacing w:after="0" w:line="391" w:lineRule="auto"/>
        <w:jc w:val="both"/>
        <w:sectPr>
          <w:pgSz w:w="11910" w:h="16840"/>
          <w:pgMar w:header="745" w:footer="982" w:top="1060" w:bottom="1180" w:left="980" w:right="920"/>
        </w:sectPr>
      </w:pPr>
    </w:p>
    <w:p>
      <w:pPr>
        <w:spacing w:line="240" w:lineRule="auto" w:before="0"/>
        <w:rPr>
          <w:rFonts w:ascii="宋体" w:hAnsi="宋体" w:cs="宋体" w:eastAsia="宋体" w:hint="default"/>
          <w:sz w:val="20"/>
          <w:szCs w:val="20"/>
        </w:rPr>
      </w:pPr>
    </w:p>
    <w:p>
      <w:pPr>
        <w:pStyle w:val="BodyText"/>
        <w:spacing w:line="386" w:lineRule="auto" w:before="175"/>
        <w:ind w:left="572" w:right="0" w:hanging="420"/>
        <w:jc w:val="left"/>
      </w:pPr>
      <w:bookmarkStart w:name="二、主营业务分析" w:id="25"/>
      <w:bookmarkEnd w:id="25"/>
      <w:r>
        <w:rPr/>
      </w:r>
      <w:bookmarkStart w:name="1、概述" w:id="26"/>
      <w:bookmarkEnd w:id="26"/>
      <w:r>
        <w:rPr/>
      </w:r>
      <w:bookmarkStart w:name="2、收入与成本" w:id="27"/>
      <w:bookmarkEnd w:id="27"/>
      <w:r>
        <w:rPr/>
      </w:r>
      <w:bookmarkStart w:name="（1）营业收入构成" w:id="28"/>
      <w:bookmarkEnd w:id="28"/>
      <w:r>
        <w:rPr/>
      </w:r>
      <w:r>
        <w:rPr>
          <w:rFonts w:ascii="Times New Roman" w:hAnsi="Times New Roman" w:cs="Times New Roman" w:eastAsia="Times New Roman" w:hint="default"/>
        </w:rPr>
        <w:t>3</w:t>
      </w:r>
      <w:r>
        <w:rPr/>
        <w:t>、优化公司组织架构、鼓励创新及团队建设</w:t>
      </w:r>
      <w:r>
        <w:rPr>
          <w:spacing w:val="-3"/>
          <w:w w:val="100"/>
        </w:rPr>
        <w:t> </w:t>
      </w:r>
      <w:r>
        <w:rPr>
          <w:spacing w:val="-4"/>
        </w:rPr>
        <w:t>报告期内，公司的组织架构，与一横一纵两个战略方向相配合，成立了</w:t>
      </w:r>
      <w:r>
        <w:rPr>
          <w:rFonts w:ascii="Times New Roman" w:hAnsi="Times New Roman" w:cs="Times New Roman" w:eastAsia="Times New Roman" w:hint="default"/>
          <w:spacing w:val="-4"/>
        </w:rPr>
        <w:t>“</w:t>
      </w:r>
      <w:r>
        <w:rPr>
          <w:spacing w:val="-4"/>
        </w:rPr>
        <w:t>系统服务事业部</w:t>
      </w:r>
      <w:r>
        <w:rPr>
          <w:rFonts w:ascii="Times New Roman" w:hAnsi="Times New Roman" w:cs="Times New Roman" w:eastAsia="Times New Roman" w:hint="default"/>
          <w:spacing w:val="-4"/>
        </w:rPr>
        <w:t>”</w:t>
      </w:r>
      <w:r>
        <w:rPr>
          <w:spacing w:val="-4"/>
        </w:rPr>
        <w:t>和</w:t>
      </w:r>
      <w:r>
        <w:rPr>
          <w:rFonts w:ascii="Times New Roman" w:hAnsi="Times New Roman" w:cs="Times New Roman" w:eastAsia="Times New Roman" w:hint="default"/>
          <w:spacing w:val="-4"/>
        </w:rPr>
        <w:t>“</w:t>
      </w:r>
      <w:r>
        <w:rPr>
          <w:spacing w:val="-4"/>
        </w:rPr>
        <w:t>创新及金</w:t>
      </w:r>
    </w:p>
    <w:p>
      <w:pPr>
        <w:pStyle w:val="BodyText"/>
        <w:spacing w:line="398" w:lineRule="auto" w:before="35"/>
        <w:ind w:right="0"/>
        <w:jc w:val="left"/>
      </w:pPr>
      <w:r>
        <w:rPr>
          <w:spacing w:val="-2"/>
        </w:rPr>
        <w:t>融业务事业部</w:t>
      </w:r>
      <w:r>
        <w:rPr>
          <w:rFonts w:ascii="Times New Roman" w:hAnsi="Times New Roman" w:cs="Times New Roman" w:eastAsia="Times New Roman" w:hint="default"/>
          <w:spacing w:val="-2"/>
        </w:rPr>
        <w:t>”</w:t>
      </w:r>
      <w:r>
        <w:rPr>
          <w:spacing w:val="-2"/>
        </w:rPr>
        <w:t>，分别承担起基础架构国产化和金融互联网化两方面的战略发展目标。不断鼓励创新及团</w:t>
      </w:r>
      <w:r>
        <w:rPr>
          <w:spacing w:val="-22"/>
        </w:rPr>
        <w:t> </w:t>
      </w:r>
      <w:r>
        <w:rPr>
          <w:spacing w:val="-22"/>
        </w:rPr>
      </w:r>
      <w:r>
        <w:rPr/>
        <w:t>队建设，以期打造出有动力、有创新、有担当、有绩效的骨干团队，领航天玑科技的发展。</w:t>
      </w:r>
      <w:r>
        <w:rPr>
          <w:w w:val="100"/>
        </w:rPr>
        <w:t> </w:t>
      </w:r>
      <w:r>
        <w:rPr>
          <w:rFonts w:ascii="Times New Roman" w:hAnsi="Times New Roman" w:cs="Times New Roman" w:eastAsia="Times New Roman" w:hint="default"/>
        </w:rPr>
        <w:t>4</w:t>
      </w:r>
      <w:r>
        <w:rPr/>
        <w:t>、加强市场开拓及品牌推广</w:t>
      </w:r>
    </w:p>
    <w:p>
      <w:pPr>
        <w:pStyle w:val="BodyText"/>
        <w:spacing w:line="408" w:lineRule="auto" w:before="24"/>
        <w:ind w:right="0" w:firstLine="420"/>
        <w:jc w:val="left"/>
      </w:pPr>
      <w:r>
        <w:rPr>
          <w:spacing w:val="-3"/>
        </w:rPr>
        <w:t>报告期内，加强市场营销与业务拓展能力，实施区域分公司负责制，实现区域市场的本地化服务，保</w:t>
      </w:r>
      <w:r>
        <w:rPr>
          <w:w w:val="100"/>
        </w:rPr>
        <w:t> </w:t>
      </w:r>
      <w:r>
        <w:rPr>
          <w:spacing w:val="-2"/>
        </w:rPr>
        <w:t>障公司传统业务目标达成的同时，更好的推广新业务的发展，提高市场占有率。目前公司已基本形成了总</w:t>
      </w:r>
      <w:r>
        <w:rPr>
          <w:spacing w:val="-43"/>
        </w:rPr>
        <w:t> </w:t>
      </w:r>
      <w:r>
        <w:rPr>
          <w:spacing w:val="-43"/>
        </w:rPr>
      </w:r>
      <w:r>
        <w:rPr>
          <w:spacing w:val="-2"/>
        </w:rPr>
        <w:t>部－区域中心－分支机构的三级管理体系。另一方面，公司对服务业务支撑平台进行了建设、升级、整合</w:t>
      </w:r>
      <w:r>
        <w:rPr>
          <w:spacing w:val="-47"/>
        </w:rPr>
        <w:t> </w:t>
      </w:r>
      <w:r>
        <w:rPr>
          <w:spacing w:val="-47"/>
        </w:rPr>
      </w:r>
      <w:r>
        <w:rPr/>
        <w:t>和强化，进一步提升了公司的服务支撑能力和管理能力。</w:t>
      </w:r>
      <w:r>
        <w:rPr>
          <w:w w:val="100"/>
        </w:rPr>
        <w:t> </w:t>
      </w:r>
      <w:r>
        <w:rPr>
          <w:rFonts w:ascii="Times New Roman" w:hAnsi="Times New Roman" w:cs="Times New Roman" w:eastAsia="Times New Roman" w:hint="default"/>
        </w:rPr>
        <w:t>5</w:t>
      </w:r>
      <w:r>
        <w:rPr/>
        <w:t>、不断拓宽公司产品线、完善产业布局，提高市场竞争优势</w:t>
      </w:r>
    </w:p>
    <w:p>
      <w:pPr>
        <w:pStyle w:val="BodyText"/>
        <w:spacing w:line="398" w:lineRule="auto" w:before="14"/>
        <w:ind w:right="146" w:firstLine="420"/>
        <w:jc w:val="both"/>
      </w:pPr>
      <w:r>
        <w:rPr>
          <w:spacing w:val="-2"/>
        </w:rPr>
        <w:t>报告期内，公司控股子公司上海天玑数据技术有限公司通过向深圳市杉岩数据技术有限公司增资的方</w:t>
      </w:r>
      <w:r>
        <w:rPr>
          <w:w w:val="100"/>
        </w:rPr>
        <w:t> </w:t>
      </w:r>
      <w:r>
        <w:rPr>
          <w:spacing w:val="-2"/>
        </w:rPr>
        <w:t>式收购其</w:t>
      </w:r>
      <w:r>
        <w:rPr>
          <w:rFonts w:ascii="Times New Roman" w:hAnsi="Times New Roman" w:cs="Times New Roman" w:eastAsia="Times New Roman" w:hint="default"/>
          <w:spacing w:val="-2"/>
        </w:rPr>
        <w:t>15%</w:t>
      </w:r>
      <w:r>
        <w:rPr>
          <w:spacing w:val="-2"/>
        </w:rPr>
        <w:t>的股份，本次投资将开启天玑数据和杉岩在技术、业务层面的合作与优势互补，有利于天玑</w:t>
      </w:r>
      <w:r>
        <w:rPr>
          <w:spacing w:val="-17"/>
        </w:rPr>
        <w:t> </w:t>
      </w:r>
      <w:r>
        <w:rPr>
          <w:spacing w:val="-17"/>
        </w:rPr>
      </w:r>
      <w:r>
        <w:rPr>
          <w:spacing w:val="-2"/>
        </w:rPr>
        <w:t>数据拓宽产品线，强化其在国内融合系统产品市场上的先发优势。这既是公司</w:t>
      </w:r>
      <w:r>
        <w:rPr>
          <w:rFonts w:ascii="Times New Roman" w:hAnsi="Times New Roman" w:cs="Times New Roman" w:eastAsia="Times New Roman" w:hint="default"/>
          <w:spacing w:val="-2"/>
        </w:rPr>
        <w:t>IT</w:t>
      </w:r>
      <w:r>
        <w:rPr>
          <w:spacing w:val="-2"/>
        </w:rPr>
        <w:t>国产化战略落地的重要举</w:t>
      </w:r>
      <w:r>
        <w:rPr>
          <w:spacing w:val="-35"/>
        </w:rPr>
        <w:t> </w:t>
      </w:r>
      <w:r>
        <w:rPr>
          <w:spacing w:val="-35"/>
        </w:rPr>
      </w:r>
      <w:r>
        <w:rPr>
          <w:spacing w:val="-2"/>
        </w:rPr>
        <w:t>措，也是公司在产业链布局方面的一次尝试。通过不断完善公司的产业布局，巩固公司行业地位，提升公</w:t>
      </w:r>
      <w:r>
        <w:rPr>
          <w:spacing w:val="-48"/>
        </w:rPr>
        <w:t> </w:t>
      </w:r>
      <w:r>
        <w:rPr>
          <w:spacing w:val="-48"/>
        </w:rPr>
      </w:r>
      <w:r>
        <w:rPr/>
        <w:t>司综合竞争实力。</w:t>
      </w:r>
    </w:p>
    <w:p>
      <w:pPr>
        <w:pStyle w:val="BodyText"/>
        <w:spacing w:line="386" w:lineRule="auto" w:before="54"/>
        <w:ind w:left="572" w:right="0" w:hanging="336"/>
        <w:jc w:val="left"/>
      </w:pPr>
      <w:r>
        <w:rPr>
          <w:rFonts w:ascii="Times New Roman" w:hAnsi="Times New Roman" w:cs="Times New Roman" w:eastAsia="Times New Roman" w:hint="default"/>
        </w:rPr>
        <w:t>6</w:t>
      </w:r>
      <w:r>
        <w:rPr/>
        <w:t>、人力资源管理</w:t>
      </w:r>
      <w:r>
        <w:rPr>
          <w:spacing w:val="-3"/>
          <w:w w:val="100"/>
        </w:rPr>
        <w:t> </w:t>
      </w:r>
      <w:r>
        <w:rPr>
          <w:spacing w:val="-2"/>
        </w:rPr>
        <w:t>推进积极的人才引进政策，吸引优秀人才加入，优化人才的结构，为公司发展提供充足的内在动力，</w:t>
      </w:r>
    </w:p>
    <w:p>
      <w:pPr>
        <w:pStyle w:val="BodyText"/>
        <w:spacing w:line="403" w:lineRule="auto" w:before="65"/>
        <w:ind w:right="0"/>
        <w:jc w:val="left"/>
      </w:pPr>
      <w:r>
        <w:rPr>
          <w:spacing w:val="-2"/>
        </w:rPr>
        <w:t>满足公司多元业务发展需。持续加大人才培养力度，完善培训体系，将现有体系进行细化设计，全力打造</w:t>
      </w:r>
      <w:r>
        <w:rPr>
          <w:spacing w:val="-47"/>
        </w:rPr>
        <w:t> </w:t>
      </w:r>
      <w:r>
        <w:rPr>
          <w:spacing w:val="-47"/>
        </w:rPr>
      </w:r>
      <w:r>
        <w:rPr>
          <w:spacing w:val="-2"/>
        </w:rPr>
        <w:t>天玑学院，建立和完善在线学习环境，促进员工技术、业务能力的提升，保证员工与公司共同成长。积极</w:t>
      </w:r>
      <w:r>
        <w:rPr>
          <w:spacing w:val="-43"/>
        </w:rPr>
        <w:t> </w:t>
      </w:r>
      <w:r>
        <w:rPr>
          <w:spacing w:val="-43"/>
        </w:rPr>
      </w:r>
      <w:r>
        <w:rPr>
          <w:spacing w:val="-2"/>
        </w:rPr>
        <w:t>构建科学合理的激励体系，强化责任目标约束，切实提升员工积极性、主动性。报告期内，公司股权激励</w:t>
      </w:r>
      <w:r>
        <w:rPr>
          <w:spacing w:val="-43"/>
        </w:rPr>
        <w:t> </w:t>
      </w:r>
      <w:r>
        <w:rPr>
          <w:spacing w:val="-43"/>
        </w:rPr>
      </w:r>
      <w:r>
        <w:rPr/>
        <w:t>限制性股票第二期及预留部分第一期限制性股票已于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9</w:t>
      </w:r>
      <w:r>
        <w:rPr/>
        <w:t>日解锁流通，共有</w:t>
      </w:r>
      <w:r>
        <w:rPr>
          <w:rFonts w:ascii="Times New Roman" w:hAnsi="Times New Roman" w:cs="Times New Roman" w:eastAsia="Times New Roman" w:hint="default"/>
        </w:rPr>
        <w:t>101</w:t>
      </w:r>
      <w:r>
        <w:rPr/>
        <w:t>名激励对象限制性</w:t>
      </w:r>
      <w:r>
        <w:rPr>
          <w:spacing w:val="-3"/>
          <w:w w:val="100"/>
        </w:rPr>
        <w:t> </w:t>
      </w:r>
      <w:r>
        <w:rPr/>
        <w:t>股票解锁，激励效果明显。</w:t>
      </w:r>
    </w:p>
    <w:p>
      <w:pPr>
        <w:spacing w:line="240" w:lineRule="auto" w:before="12"/>
        <w:rPr>
          <w:rFonts w:ascii="宋体" w:hAnsi="宋体" w:cs="宋体" w:eastAsia="宋体" w:hint="default"/>
          <w:sz w:val="18"/>
          <w:szCs w:val="18"/>
        </w:rPr>
      </w:pPr>
    </w:p>
    <w:p>
      <w:pPr>
        <w:pStyle w:val="Heading4"/>
        <w:spacing w:line="240" w:lineRule="auto"/>
        <w:ind w:right="0"/>
        <w:jc w:val="left"/>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spacing w:line="547" w:lineRule="auto" w:before="0"/>
        <w:ind w:left="152" w:right="56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6"/>
        <w:spacing w:line="240" w:lineRule="auto" w:before="26"/>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6"/>
          <w:szCs w:val="26"/>
        </w:rPr>
      </w:pPr>
    </w:p>
    <w:p>
      <w:pPr>
        <w:spacing w:before="0"/>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4D4D4"/>
          </w:tcPr>
          <w:p>
            <w:pPr/>
          </w:p>
        </w:tc>
        <w:tc>
          <w:tcPr>
            <w:tcW w:w="318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6" w:hRule="exact"/>
        </w:trPr>
        <w:tc>
          <w:tcPr>
            <w:tcW w:w="1599" w:type="dxa"/>
            <w:vMerge w:val="restart"/>
            <w:tcBorders>
              <w:top w:val="nil" w:sz="6" w:space="0" w:color="auto"/>
              <w:left w:val="single" w:sz="4" w:space="0" w:color="000000"/>
              <w:right w:val="single" w:sz="4" w:space="0" w:color="000000"/>
            </w:tcBorders>
            <w:shd w:val="clear" w:color="auto" w:fill="D4D4D4"/>
          </w:tcPr>
          <w:p>
            <w:pPr/>
          </w:p>
        </w:tc>
        <w:tc>
          <w:tcPr>
            <w:tcW w:w="3184" w:type="dxa"/>
            <w:gridSpan w:val="2"/>
            <w:vMerge/>
            <w:tcBorders>
              <w:left w:val="single" w:sz="4" w:space="0" w:color="000000"/>
              <w:bottom w:val="single" w:sz="4" w:space="0" w:color="000000"/>
              <w:right w:val="single" w:sz="4" w:space="0" w:color="000000"/>
            </w:tcBorders>
            <w:shd w:val="clear" w:color="auto" w:fill="D4D4D4"/>
          </w:tcPr>
          <w:p>
            <w:pPr/>
          </w:p>
        </w:tc>
        <w:tc>
          <w:tcPr>
            <w:tcW w:w="3186" w:type="dxa"/>
            <w:gridSpan w:val="2"/>
            <w:vMerge/>
            <w:tcBorders>
              <w:left w:val="single" w:sz="4" w:space="0" w:color="000000"/>
              <w:bottom w:val="single" w:sz="4" w:space="0" w:color="000000"/>
              <w:right w:val="single" w:sz="4" w:space="0" w:color="000000"/>
            </w:tcBorders>
            <w:shd w:val="clear" w:color="auto" w:fill="D4D4D4"/>
          </w:tcPr>
          <w:p>
            <w:pPr/>
          </w:p>
        </w:tc>
        <w:tc>
          <w:tcPr>
            <w:tcW w:w="15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9" w:type="dxa"/>
            <w:vMerge/>
            <w:tcBorders>
              <w:left w:val="single" w:sz="4" w:space="0" w:color="000000"/>
              <w:bottom w:val="nil" w:sz="6" w:space="0" w:color="auto"/>
              <w:right w:val="single" w:sz="4" w:space="0" w:color="000000"/>
            </w:tcBorders>
            <w:shd w:val="clear" w:color="auto" w:fill="D4D4D4"/>
          </w:tcPr>
          <w:p>
            <w:pP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4D4D4"/>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1" w:type="dxa"/>
            <w:vMerge/>
            <w:tcBorders>
              <w:left w:val="single" w:sz="4" w:space="0" w:color="000000"/>
              <w:bottom w:val="single" w:sz="4" w:space="0" w:color="000000"/>
              <w:right w:val="single" w:sz="4" w:space="0" w:color="000000"/>
            </w:tcBorders>
            <w:shd w:val="clear" w:color="auto" w:fill="D4D4D4"/>
          </w:tcPr>
          <w:p>
            <w:pPr/>
          </w:p>
        </w:tc>
        <w:tc>
          <w:tcPr>
            <w:tcW w:w="1599" w:type="dxa"/>
            <w:vMerge/>
            <w:tcBorders>
              <w:left w:val="single" w:sz="4" w:space="0" w:color="000000"/>
              <w:bottom w:val="single" w:sz="4" w:space="0" w:color="000000"/>
              <w:right w:val="single" w:sz="4" w:space="0" w:color="000000"/>
            </w:tcBorders>
            <w:shd w:val="clear" w:color="auto" w:fill="D4D4D4"/>
          </w:tcPr>
          <w:p>
            <w:pPr/>
          </w:p>
        </w:tc>
        <w:tc>
          <w:tcPr>
            <w:tcW w:w="1588" w:type="dxa"/>
            <w:vMerge/>
            <w:tcBorders>
              <w:left w:val="single" w:sz="4" w:space="0" w:color="000000"/>
              <w:bottom w:val="single" w:sz="4" w:space="0" w:color="000000"/>
              <w:right w:val="single" w:sz="4" w:space="0" w:color="000000"/>
            </w:tcBorders>
            <w:shd w:val="clear" w:color="auto" w:fill="D4D4D4"/>
          </w:tcPr>
          <w:p>
            <w:pPr/>
          </w:p>
        </w:tc>
        <w:tc>
          <w:tcPr>
            <w:tcW w:w="1597"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4D4D4"/>
              <w:bottom w:val="single" w:sz="4" w:space="0" w:color="000000"/>
              <w:right w:val="single" w:sz="13" w:space="0" w:color="D4D4D4"/>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394,995,623.83</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409,040,721.43</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-3.43%</w:t>
            </w:r>
          </w:p>
        </w:tc>
      </w:tr>
      <w:tr>
        <w:trPr>
          <w:trHeight w:val="396"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109,087,332.12</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27.62%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97,861,789.89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23.92%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11.47%</w:t>
            </w:r>
            <w:r>
              <w:rPr>
                <w:rFonts w:ascii="Times New Roman"/>
                <w:sz w:val="18"/>
              </w:rPr>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138,637,308.37</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35.10%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158,038,914.60</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38.64%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-12.28%</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22,750,364.84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39,421,648.14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9.64%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-42.29%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能源交通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19,378,213.25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26,384,857.84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6.45%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-26.56%</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103,857,902.15</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26.29%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87,228,257.76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21.33%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19.06%</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1,284,503.10</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0.33%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105,253.20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0.03%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1,120.39%</w:t>
            </w:r>
          </w:p>
        </w:tc>
      </w:tr>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支持与维护服务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150,591,093.87</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38.12%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139,853,372.10</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34.19%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7.68%</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外包服务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65,419,813.68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16.56%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69,480,716.74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16.99%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-5.84%</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专业服务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39,158,499.52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9.91%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31,575,411.50</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7.72%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24.02%</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94,517,357.85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23.93%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81,962,127.52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20.04%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15.32%</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软、硬件销售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44,024,355.81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11.15%</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86,063,840.37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21.04%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-48.85%</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1,284,503.10</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105,253.20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0.03%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1,120.39%</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309,999,286.76</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78.48%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313,064,285.83</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76.54%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-0.98%</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18,487,760.23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24,812,615.88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6.07%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-25.49%</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17,066,225.63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17,085,929.93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4.18%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-0.12%</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15,006,237.95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3.80%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19,509,936.40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4.77%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-23.08%</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20,375,199.76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17,258,221.18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4.22%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18.06%</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12,776,410.40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3.23%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12,872,460.00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3.15%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-0.75%</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4,332,019.01</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1,284,503.10</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0.33%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105,253.20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0.03%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1,120.39%</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4"/>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5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6"/>
        <w:gridCol w:w="1368"/>
        <w:gridCol w:w="1366"/>
        <w:gridCol w:w="1368"/>
        <w:gridCol w:w="1360"/>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10" w:right="37"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109,087,332.12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59,636,143.15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45.33%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7" w:right="0"/>
              <w:jc w:val="left"/>
              <w:rPr>
                <w:rFonts w:ascii="Times New Roman" w:hAnsi="Times New Roman" w:cs="Times New Roman" w:eastAsia="Times New Roman" w:hint="default"/>
                <w:sz w:val="18"/>
                <w:szCs w:val="18"/>
              </w:rPr>
            </w:pPr>
            <w:r>
              <w:rPr>
                <w:rFonts w:ascii="Times New Roman"/>
                <w:sz w:val="18"/>
              </w:rPr>
              <w:t>11.47%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35.18%</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4" w:right="0"/>
              <w:jc w:val="left"/>
              <w:rPr>
                <w:rFonts w:ascii="Times New Roman" w:hAnsi="Times New Roman" w:cs="Times New Roman" w:eastAsia="Times New Roman" w:hint="default"/>
                <w:sz w:val="18"/>
                <w:szCs w:val="18"/>
              </w:rPr>
            </w:pPr>
            <w:r>
              <w:rPr>
                <w:rFonts w:ascii="Times New Roman"/>
                <w:sz w:val="18"/>
              </w:rPr>
              <w:t>-17.46%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138,637,308.37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93,940,431.25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-13.02%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103,857,902.15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57,642,065.28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44.50%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19.06%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53.15%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-21.72%</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支持与维护</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150,591,093.87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77,879,027.02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48.28%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24.71%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-12.77%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外包服务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65,419,813.68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39,205,824.59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23.45%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-26.19%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94,517,357.85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64,005,118.96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32.28%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15.32%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32.16%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-21.10%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软硬件销售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44,024,355.81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32,280,375.76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-48.85%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-52.81%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30.02%</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309,999,286.76</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183,886,955.62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-11.18%</w:t>
            </w:r>
            <w:r>
              <w:rPr>
                <w:rFonts w:ascii="Times New Roman"/>
                <w:sz w:val="18"/>
              </w:rPr>
            </w:r>
          </w:p>
        </w:tc>
      </w:tr>
    </w:tbl>
    <w:p>
      <w:pPr>
        <w:spacing w:before="49"/>
        <w:ind w:left="152" w:right="0" w:firstLine="0"/>
        <w:jc w:val="left"/>
        <w:rPr>
          <w:rFonts w:ascii="宋体" w:hAnsi="宋体" w:cs="宋体" w:eastAsia="宋体" w:hint="default"/>
          <w:sz w:val="18"/>
          <w:szCs w:val="18"/>
        </w:rPr>
      </w:pPr>
      <w:bookmarkStart w:name="（6）报告期内合并范围是否发生变动" w:id="30"/>
      <w:bookmarkEnd w:id="30"/>
      <w:r>
        <w:rPr/>
      </w: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w:t>
      </w:r>
      <w:bookmarkStart w:name="（3）公司实物销售收入是否大于劳务收入" w:id="31"/>
      <w:bookmarkEnd w:id="31"/>
      <w:r>
        <w:rPr/>
        <w:t>的</w:t>
      </w:r>
      <w:r>
        <w:rPr/>
        <w:t>履行情况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6"/>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80"/>
        </w:sectPr>
      </w:pPr>
    </w:p>
    <w:p>
      <w:pPr>
        <w:spacing w:line="357"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bookmarkStart w:name="（4）公司已签订的重大销售合同截至本报告期的履行情况" w:id="32"/>
      <w:bookmarkEnd w:id="32"/>
      <w:r>
        <w:rPr/>
      </w:r>
      <w:bookmarkStart w:name="（5）营业成本构成" w:id="33"/>
      <w:bookmarkEnd w:id="33"/>
      <w:r>
        <w:rPr/>
      </w: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873" w:space="8045"/>
            <w:col w:w="1032"/>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100,714,346.12</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42.72%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84,666,825.47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37.55%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18.95%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备件消耗及折旧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14,926,248.63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14,195,070.39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交通差旅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4,008,277.61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4,688,297.94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-14.50%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软硬件销售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32,280,375.76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68,384,476.08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-52.80%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391" w:lineRule="auto"/>
        <w:ind w:right="0"/>
        <w:jc w:val="left"/>
      </w:pPr>
      <w:r>
        <w:rPr>
          <w:rFonts w:ascii="Times New Roman" w:hAnsi="Times New Roman" w:cs="Times New Roman" w:eastAsia="Times New Roman" w:hint="default"/>
          <w:sz w:val="18"/>
          <w:szCs w:val="18"/>
        </w:rPr>
        <w:t>√ </w:t>
      </w:r>
      <w:r>
        <w:rPr>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sz w:val="18"/>
          <w:szCs w:val="18"/>
        </w:rPr>
        <w:t>否 </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21</w:t>
      </w:r>
      <w:r>
        <w:rPr>
          <w:spacing w:val="-2"/>
        </w:rPr>
        <w:t>日召开第二届董事会第二十二次会议，审议通过了《关于对外投资设立合资公司议案》，</w:t>
      </w:r>
      <w:r>
        <w:rPr>
          <w:spacing w:val="-13"/>
        </w:rPr>
        <w:t> </w:t>
      </w:r>
      <w:r>
        <w:rPr>
          <w:spacing w:val="-13"/>
        </w:rPr>
      </w:r>
      <w:r>
        <w:rPr>
          <w:spacing w:val="-2"/>
        </w:rPr>
        <w:t>同意公司与上海嗣承投资管理中心（有限合伙）共同出资设立合资公司上海缔塔科技有限公司。其中天玑</w:t>
      </w:r>
    </w:p>
    <w:p>
      <w:pPr>
        <w:spacing w:after="0" w:line="391" w:lineRule="auto"/>
        <w:jc w:val="left"/>
        <w:sectPr>
          <w:type w:val="continuous"/>
          <w:pgSz w:w="11910" w:h="16840"/>
          <w:pgMar w:top="1060" w:bottom="1180" w:left="980" w:right="980"/>
        </w:sectPr>
      </w:pPr>
    </w:p>
    <w:p>
      <w:pPr>
        <w:spacing w:line="240" w:lineRule="auto" w:before="0"/>
        <w:rPr>
          <w:rFonts w:ascii="宋体" w:hAnsi="宋体" w:cs="宋体" w:eastAsia="宋体" w:hint="default"/>
          <w:sz w:val="20"/>
          <w:szCs w:val="20"/>
        </w:rPr>
      </w:pPr>
    </w:p>
    <w:p>
      <w:pPr>
        <w:pStyle w:val="BodyText"/>
        <w:spacing w:line="391" w:lineRule="auto" w:before="175"/>
        <w:ind w:left="153" w:right="103" w:hanging="1"/>
        <w:jc w:val="left"/>
      </w:pPr>
      <w:r>
        <w:rPr/>
        <w:t>科技以自有资金出资人民币</w:t>
      </w:r>
      <w:r>
        <w:rPr>
          <w:spacing w:val="-24"/>
        </w:rPr>
        <w:t> </w:t>
      </w:r>
      <w:r>
        <w:rPr>
          <w:rFonts w:ascii="Times New Roman" w:hAnsi="Times New Roman" w:cs="Times New Roman" w:eastAsia="Times New Roman" w:hint="default"/>
        </w:rPr>
        <w:t>600</w:t>
      </w:r>
      <w:r>
        <w:rPr/>
        <w:t>万元，占出资比例的</w:t>
      </w:r>
      <w:r>
        <w:rPr>
          <w:rFonts w:ascii="Times New Roman" w:hAnsi="Times New Roman" w:cs="Times New Roman" w:eastAsia="Times New Roman" w:hint="default"/>
        </w:rPr>
        <w:t>60%</w:t>
      </w:r>
      <w:r>
        <w:rPr/>
        <w:t>。合资公司于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日取得营业执照。</w:t>
      </w:r>
      <w:r>
        <w:rPr>
          <w:w w:val="100"/>
        </w:rPr>
        <w:t> </w:t>
      </w: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26</w:t>
      </w:r>
      <w:r>
        <w:rPr>
          <w:spacing w:val="-2"/>
        </w:rPr>
        <w:t>日召开第二届董事会第二十八次临时会议审议通过《关于使用超募资金投资设立合</w:t>
      </w:r>
      <w:r>
        <w:rPr>
          <w:spacing w:val="-37"/>
        </w:rPr>
        <w:t> </w:t>
      </w:r>
      <w:r>
        <w:rPr>
          <w:spacing w:val="-37"/>
        </w:rPr>
      </w:r>
      <w:r>
        <w:rPr>
          <w:spacing w:val="-2"/>
        </w:rPr>
        <w:t>资公司的议案》，同意为进一步开拓金融市场，强化公司在新兴技术、尤其是金融互联网渠道方面的新产</w:t>
      </w:r>
      <w:r>
        <w:rPr>
          <w:spacing w:val="-48"/>
        </w:rPr>
        <w:t> </w:t>
      </w:r>
      <w:r>
        <w:rPr>
          <w:spacing w:val="-48"/>
        </w:rPr>
      </w:r>
      <w:r>
        <w:rPr>
          <w:spacing w:val="-2"/>
        </w:rPr>
        <w:t>品研发、销售与服务能力，有效发挥募集资金的效率，上海天玑科技股份有限公司以超募资金</w:t>
      </w:r>
      <w:r>
        <w:rPr>
          <w:rFonts w:ascii="Times New Roman" w:hAnsi="Times New Roman" w:cs="Times New Roman" w:eastAsia="Times New Roman" w:hint="default"/>
          <w:spacing w:val="-2"/>
        </w:rPr>
        <w:t>2500</w:t>
      </w:r>
      <w:r>
        <w:rPr>
          <w:spacing w:val="-2"/>
        </w:rPr>
        <w:t>万元与</w:t>
      </w:r>
      <w:r>
        <w:rPr>
          <w:spacing w:val="-43"/>
        </w:rPr>
        <w:t> </w:t>
      </w:r>
      <w:r>
        <w:rPr>
          <w:spacing w:val="-4"/>
        </w:rPr>
        <w:t>自然人沈星、薛琦共同出资设立</w:t>
      </w:r>
      <w:r>
        <w:rPr>
          <w:rFonts w:ascii="Times New Roman" w:hAnsi="Times New Roman" w:cs="Times New Roman" w:eastAsia="Times New Roman" w:hint="default"/>
          <w:spacing w:val="-4"/>
        </w:rPr>
        <w:t>“</w:t>
      </w:r>
      <w:r>
        <w:rPr>
          <w:spacing w:val="-4"/>
        </w:rPr>
        <w:t>上海卓之联信息技术有限公司</w:t>
      </w:r>
      <w:r>
        <w:rPr>
          <w:rFonts w:ascii="Times New Roman" w:hAnsi="Times New Roman" w:cs="Times New Roman" w:eastAsia="Times New Roman" w:hint="default"/>
          <w:spacing w:val="-4"/>
        </w:rPr>
        <w:t>”</w:t>
      </w:r>
      <w:r>
        <w:rPr>
          <w:spacing w:val="-4"/>
        </w:rPr>
        <w:t>。公司于</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25</w:t>
      </w:r>
      <w:r>
        <w:rPr>
          <w:spacing w:val="-4"/>
        </w:rPr>
        <w:t>日取得了该合资公司</w:t>
      </w:r>
      <w:r>
        <w:rPr>
          <w:spacing w:val="-24"/>
        </w:rPr>
        <w:t> </w:t>
      </w:r>
      <w:r>
        <w:rPr>
          <w:spacing w:val="-24"/>
        </w:rPr>
      </w:r>
      <w:r>
        <w:rPr/>
        <w:t>的营业执照。故报告期内并入公司合并范围。</w:t>
      </w:r>
      <w:r>
        <w:rPr>
          <w:w w:val="100"/>
        </w:rPr>
        <w:t> </w:t>
      </w:r>
      <w:r>
        <w:rPr>
          <w:rFonts w:ascii="Times New Roman" w:hAnsi="Times New Roman" w:cs="Times New Roman" w:eastAsia="Times New Roman" w:hint="default"/>
        </w:rPr>
        <w:t>3</w:t>
      </w: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日召开第三届董事会第二次会议审议通过《关于使用超募资金购买办公房产并设</w:t>
      </w:r>
      <w:r>
        <w:rPr>
          <w:w w:val="100"/>
        </w:rPr>
        <w:t> </w:t>
      </w:r>
      <w:r>
        <w:rPr>
          <w:spacing w:val="-4"/>
        </w:rPr>
        <w:t>立全资子公司的议案》，同意公司使用不超过</w:t>
      </w:r>
      <w:r>
        <w:rPr>
          <w:rFonts w:ascii="Times New Roman" w:hAnsi="Times New Roman" w:cs="Times New Roman" w:eastAsia="Times New Roman" w:hint="default"/>
          <w:spacing w:val="-4"/>
        </w:rPr>
        <w:t>3800</w:t>
      </w:r>
      <w:r>
        <w:rPr>
          <w:spacing w:val="-4"/>
        </w:rPr>
        <w:t>万元的超募资金投资在杭州购买房产并设立全资子公司。</w:t>
      </w:r>
      <w:r>
        <w:rPr>
          <w:spacing w:val="-44"/>
        </w:rPr>
        <w:t> </w:t>
      </w:r>
      <w:r>
        <w:rPr>
          <w:spacing w:val="-44"/>
        </w:rPr>
      </w:r>
      <w:r>
        <w:rPr>
          <w:spacing w:val="-2"/>
        </w:rPr>
        <w:t>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日取得了两家全资子公司的营业执照。分别为：杭州广捷科技有限公司、杭州鸿昇科</w:t>
      </w:r>
      <w:r>
        <w:rPr>
          <w:spacing w:val="-36"/>
        </w:rPr>
        <w:t> </w:t>
      </w:r>
      <w:r>
        <w:rPr>
          <w:spacing w:val="-36"/>
        </w:rPr>
      </w:r>
      <w:r>
        <w:rPr/>
        <w:t>技有限公司。</w:t>
      </w:r>
    </w:p>
    <w:p>
      <w:pPr>
        <w:spacing w:line="240" w:lineRule="auto" w:before="9"/>
        <w:rPr>
          <w:rFonts w:ascii="宋体" w:hAnsi="宋体" w:cs="宋体" w:eastAsia="宋体" w:hint="default"/>
          <w:sz w:val="21"/>
          <w:szCs w:val="21"/>
        </w:rPr>
      </w:pPr>
    </w:p>
    <w:p>
      <w:pPr>
        <w:pStyle w:val="Heading6"/>
        <w:spacing w:line="240" w:lineRule="auto"/>
        <w:ind w:right="103"/>
        <w:jc w:val="left"/>
        <w:rPr>
          <w:b w:val="0"/>
          <w:bCs w:val="0"/>
        </w:rPr>
      </w:pPr>
      <w:r>
        <w:rPr/>
        <w:t>（</w:t>
      </w:r>
      <w:r>
        <w:rPr>
          <w:rFonts w:ascii="Times New Roman" w:hAnsi="Times New Roman" w:cs="Times New Roman" w:eastAsia="Times New Roman" w:hint="default"/>
        </w:rPr>
        <w:t>7</w:t>
      </w:r>
      <w:r>
        <w:rPr/>
        <w:t>）公司报告期内业务、产品或服务发生重大变化</w:t>
      </w:r>
      <w:bookmarkStart w:name="（7）公司报告期内业务、产品或服务发生重大变化或调整有关情况" w:id="34"/>
      <w:bookmarkEnd w:id="34"/>
      <w:r>
        <w:rPr/>
        <w:t>或调整有关情况</w:t>
      </w:r>
      <w:r>
        <w:rPr>
          <w:b w:val="0"/>
          <w:bCs w:val="0"/>
        </w:rPr>
      </w:r>
    </w:p>
    <w:p>
      <w:pPr>
        <w:spacing w:line="240" w:lineRule="auto" w:before="4"/>
        <w:rPr>
          <w:rFonts w:ascii="宋体" w:hAnsi="宋体" w:cs="宋体" w:eastAsia="宋体" w:hint="default"/>
          <w:b/>
          <w:bCs/>
          <w:sz w:val="26"/>
          <w:szCs w:val="26"/>
        </w:rPr>
      </w:pPr>
    </w:p>
    <w:p>
      <w:pPr>
        <w:spacing w:before="0"/>
        <w:ind w:left="152" w:right="10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6"/>
        <w:spacing w:line="240" w:lineRule="auto"/>
        <w:ind w:right="10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spacing w:before="0"/>
        <w:ind w:left="152" w:right="103"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46"/>
        <w:gridCol w:w="5322"/>
      </w:tblGrid>
      <w:tr>
        <w:trPr>
          <w:trHeight w:val="401"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bookmarkStart w:name="（8）主要销售客户和主要供应商情况" w:id="35"/>
            <w:bookmarkEnd w:id="35"/>
            <w:r>
              <w:rPr/>
            </w:r>
            <w:r>
              <w:rPr>
                <w:rFonts w:ascii="Times New Roman"/>
                <w:spacing w:val="-1"/>
                <w:sz w:val="18"/>
              </w:rPr>
              <w:t>128,817,071.72</w:t>
            </w:r>
            <w:r>
              <w:rPr>
                <w:rFonts w:ascii="Times New Roman"/>
                <w:sz w:val="18"/>
              </w:rPr>
            </w:r>
          </w:p>
        </w:tc>
      </w:tr>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32.60%</w:t>
            </w:r>
          </w:p>
        </w:tc>
      </w:tr>
    </w:tbl>
    <w:p>
      <w:pPr>
        <w:spacing w:before="49"/>
        <w:ind w:left="152" w:right="10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1"/>
        <w:gridCol w:w="3144"/>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中国移动通信集团浙江有限公司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41,124,921.25</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10.41%</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中国太平洋保险（集团）股份有限公司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32,587,597.78</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8.25%</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中国银联股份有限公司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22,997,550.09</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中国电信股份有限公司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18,618,158.55</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4.71%</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交通银行股份有限公司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13,488,844.05</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128,817,071.72</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32.60%</w:t>
            </w:r>
          </w:p>
        </w:tc>
      </w:tr>
    </w:tbl>
    <w:p>
      <w:pPr>
        <w:spacing w:before="49"/>
        <w:ind w:left="152" w:right="103"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46"/>
        <w:gridCol w:w="5322"/>
      </w:tblGrid>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20"/>
                <w:szCs w:val="20"/>
              </w:rPr>
            </w:pPr>
            <w:r>
              <w:rPr>
                <w:rFonts w:ascii="Times New Roman"/>
                <w:w w:val="95"/>
                <w:sz w:val="20"/>
              </w:rPr>
              <w:t>34,028,105.26</w:t>
            </w:r>
            <w:r>
              <w:rPr>
                <w:rFonts w:ascii="Times New Roman"/>
                <w:sz w:val="20"/>
              </w:rPr>
            </w:r>
          </w:p>
        </w:tc>
      </w:tr>
      <w:tr>
        <w:trPr>
          <w:trHeight w:val="401"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27.01%</w:t>
            </w:r>
          </w:p>
        </w:tc>
      </w:tr>
    </w:tbl>
    <w:p>
      <w:pPr>
        <w:spacing w:before="49"/>
        <w:ind w:left="152" w:right="10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1"/>
        <w:gridCol w:w="3144"/>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国际商业机器（中国）有限公司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139" w:right="0"/>
              <w:jc w:val="left"/>
              <w:rPr>
                <w:rFonts w:ascii="Times New Roman" w:hAnsi="Times New Roman" w:cs="Times New Roman" w:eastAsia="Times New Roman" w:hint="default"/>
                <w:sz w:val="20"/>
                <w:szCs w:val="20"/>
              </w:rPr>
            </w:pPr>
            <w:r>
              <w:rPr>
                <w:rFonts w:ascii="Times New Roman"/>
                <w:sz w:val="20"/>
              </w:rPr>
              <w:t>16,038,391.35</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12.73%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2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1"/>
        <w:gridCol w:w="3144"/>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上海腾昊信息技术有限公司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6,224,802.00</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4.94%</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上海润谦实业有限公司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5,054,500.00</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4.01%</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上海联洋信息科技有限公司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4,382,000.00</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上海网越信息技术有限公司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8"/>
              <w:jc w:val="right"/>
              <w:rPr>
                <w:rFonts w:ascii="Times New Roman" w:hAnsi="Times New Roman" w:cs="Times New Roman" w:eastAsia="Times New Roman" w:hint="default"/>
                <w:sz w:val="20"/>
                <w:szCs w:val="20"/>
              </w:rPr>
            </w:pPr>
            <w:r>
              <w:rPr>
                <w:rFonts w:ascii="Times New Roman"/>
                <w:spacing w:val="-1"/>
                <w:w w:val="95"/>
                <w:sz w:val="20"/>
              </w:rPr>
              <w:t>2,328,411.91</w:t>
            </w:r>
            <w:r>
              <w:rPr>
                <w:rFonts w:ascii="Times New Roman"/>
                <w:spacing w:val="-1"/>
                <w:sz w:val="20"/>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8"/>
              <w:jc w:val="right"/>
              <w:rPr>
                <w:rFonts w:ascii="Times New Roman" w:hAnsi="Times New Roman" w:cs="Times New Roman" w:eastAsia="Times New Roman" w:hint="default"/>
                <w:sz w:val="20"/>
                <w:szCs w:val="20"/>
              </w:rPr>
            </w:pPr>
            <w:r>
              <w:rPr>
                <w:rFonts w:ascii="Times New Roman"/>
                <w:sz w:val="20"/>
              </w:rPr>
              <w:t>1.85%</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20"/>
                <w:szCs w:val="20"/>
              </w:rPr>
            </w:pPr>
            <w:r>
              <w:rPr>
                <w:rFonts w:ascii="Times New Roman"/>
                <w:w w:val="95"/>
                <w:sz w:val="20"/>
              </w:rPr>
              <w:t>34,028,105.26</w:t>
            </w:r>
            <w:r>
              <w:rPr>
                <w:rFonts w:ascii="Times New Roman"/>
                <w:sz w:val="20"/>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27.01%</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3、费用" w:id="36"/>
      <w:bookmarkEnd w:id="36"/>
      <w:r>
        <w:rPr/>
      </w: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648"/>
        <w:gridCol w:w="1637"/>
        <w:gridCol w:w="1462"/>
        <w:gridCol w:w="2918"/>
      </w:tblGrid>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27,484,568.16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5" w:right="0"/>
              <w:jc w:val="left"/>
              <w:rPr>
                <w:rFonts w:ascii="Times New Roman" w:hAnsi="Times New Roman" w:cs="Times New Roman" w:eastAsia="Times New Roman" w:hint="default"/>
                <w:sz w:val="18"/>
                <w:szCs w:val="18"/>
              </w:rPr>
            </w:pPr>
            <w:r>
              <w:rPr>
                <w:rFonts w:ascii="Times New Roman"/>
                <w:sz w:val="18"/>
              </w:rPr>
              <w:t>24,265,666.11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13.27%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101,003,920.85</w:t>
            </w:r>
            <w:r>
              <w:rPr>
                <w:rFonts w:ascii="Times New Roman"/>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87,213,351.68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15.82%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-7,347,464.95</w:t>
            </w:r>
            <w:r>
              <w:rPr>
                <w:rFonts w:ascii="Times New Roman"/>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8" w:right="0"/>
              <w:jc w:val="left"/>
              <w:rPr>
                <w:rFonts w:ascii="Times New Roman" w:hAnsi="Times New Roman" w:cs="Times New Roman" w:eastAsia="Times New Roman" w:hint="default"/>
                <w:sz w:val="18"/>
                <w:szCs w:val="18"/>
              </w:rPr>
            </w:pPr>
            <w:r>
              <w:rPr>
                <w:rFonts w:ascii="Times New Roman"/>
                <w:sz w:val="18"/>
              </w:rPr>
              <w:t>-11,013,650.02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-33.30%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定期存款利息减少</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28" w:type="dxa"/>
        <w:tblLayout w:type="fixed"/>
        <w:tblCellMar>
          <w:top w:w="0" w:type="dxa"/>
          <w:left w:w="0" w:type="dxa"/>
          <w:bottom w:w="0" w:type="dxa"/>
          <w:right w:w="0" w:type="dxa"/>
        </w:tblCellMar>
        <w:tblLook w:val="01E0"/>
      </w:tblPr>
      <w:tblGrid>
        <w:gridCol w:w="866"/>
        <w:gridCol w:w="4006"/>
        <w:gridCol w:w="842"/>
        <w:gridCol w:w="1104"/>
        <w:gridCol w:w="2551"/>
      </w:tblGrid>
      <w:tr>
        <w:trPr>
          <w:trHeight w:val="641" w:hRule="exact"/>
        </w:trPr>
        <w:tc>
          <w:tcPr>
            <w:tcW w:w="866"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150"/>
              <w:ind w:left="98" w:right="0"/>
              <w:jc w:val="left"/>
              <w:rPr>
                <w:rFonts w:ascii="宋体" w:hAnsi="宋体" w:cs="宋体" w:eastAsia="宋体" w:hint="default"/>
                <w:sz w:val="20"/>
                <w:szCs w:val="20"/>
              </w:rPr>
            </w:pPr>
            <w:r>
              <w:rPr>
                <w:rFonts w:ascii="宋体" w:hAnsi="宋体" w:cs="宋体" w:eastAsia="宋体" w:hint="default"/>
                <w:sz w:val="20"/>
                <w:szCs w:val="20"/>
              </w:rPr>
              <w:t>序号</w:t>
            </w:r>
          </w:p>
        </w:tc>
        <w:tc>
          <w:tcPr>
            <w:tcW w:w="400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研发项目</w:t>
            </w:r>
          </w:p>
        </w:tc>
        <w:tc>
          <w:tcPr>
            <w:tcW w:w="842" w:type="dxa"/>
            <w:tcBorders>
              <w:top w:val="single" w:sz="8" w:space="0" w:color="000000"/>
              <w:left w:val="single" w:sz="4" w:space="0" w:color="000000"/>
              <w:bottom w:val="single" w:sz="4" w:space="0" w:color="000000"/>
              <w:right w:val="single" w:sz="4" w:space="0" w:color="000000"/>
            </w:tcBorders>
          </w:tcPr>
          <w:p>
            <w:pPr>
              <w:pStyle w:val="TableParagraph"/>
              <w:spacing w:line="285" w:lineRule="auto"/>
              <w:ind w:left="105" w:right="127"/>
              <w:jc w:val="left"/>
              <w:rPr>
                <w:rFonts w:ascii="宋体" w:hAnsi="宋体" w:cs="宋体" w:eastAsia="宋体" w:hint="default"/>
                <w:sz w:val="20"/>
                <w:szCs w:val="20"/>
              </w:rPr>
            </w:pPr>
            <w:bookmarkStart w:name="4、研发投入" w:id="37"/>
            <w:bookmarkEnd w:id="37"/>
            <w:r>
              <w:rPr/>
            </w:r>
            <w:r>
              <w:rPr>
                <w:rFonts w:ascii="宋体" w:hAnsi="宋体" w:cs="宋体" w:eastAsia="宋体" w:hint="default"/>
                <w:sz w:val="20"/>
                <w:szCs w:val="20"/>
              </w:rPr>
              <w:t>主承担</w:t>
            </w:r>
            <w:r>
              <w:rPr>
                <w:rFonts w:ascii="宋体" w:hAnsi="宋体" w:cs="宋体" w:eastAsia="宋体" w:hint="default"/>
                <w:w w:val="99"/>
                <w:sz w:val="20"/>
                <w:szCs w:val="20"/>
              </w:rPr>
              <w:t> </w:t>
            </w:r>
            <w:r>
              <w:rPr>
                <w:rFonts w:ascii="宋体" w:hAnsi="宋体" w:cs="宋体" w:eastAsia="宋体" w:hint="default"/>
                <w:sz w:val="20"/>
                <w:szCs w:val="20"/>
              </w:rPr>
              <w:t>企业</w:t>
            </w:r>
          </w:p>
        </w:tc>
        <w:tc>
          <w:tcPr>
            <w:tcW w:w="1104" w:type="dxa"/>
            <w:tcBorders>
              <w:top w:val="single" w:sz="8" w:space="0" w:color="000000"/>
              <w:left w:val="single" w:sz="4" w:space="0" w:color="000000"/>
              <w:bottom w:val="single" w:sz="4" w:space="0" w:color="000000"/>
              <w:right w:val="single" w:sz="4" w:space="0" w:color="000000"/>
            </w:tcBorders>
          </w:tcPr>
          <w:p>
            <w:pPr>
              <w:pStyle w:val="TableParagraph"/>
              <w:spacing w:line="285" w:lineRule="auto"/>
              <w:ind w:left="105" w:right="191"/>
              <w:jc w:val="left"/>
              <w:rPr>
                <w:rFonts w:ascii="宋体" w:hAnsi="宋体" w:cs="宋体" w:eastAsia="宋体" w:hint="default"/>
                <w:sz w:val="20"/>
                <w:szCs w:val="20"/>
              </w:rPr>
            </w:pPr>
            <w:r>
              <w:rPr>
                <w:rFonts w:ascii="宋体" w:hAnsi="宋体" w:cs="宋体" w:eastAsia="宋体" w:hint="default"/>
                <w:sz w:val="20"/>
                <w:szCs w:val="20"/>
              </w:rPr>
              <w:t>研究成果</w:t>
            </w:r>
            <w:r>
              <w:rPr>
                <w:rFonts w:ascii="宋体" w:hAnsi="宋体" w:cs="宋体" w:eastAsia="宋体" w:hint="default"/>
                <w:w w:val="99"/>
                <w:sz w:val="20"/>
                <w:szCs w:val="20"/>
              </w:rPr>
              <w:t> </w:t>
            </w:r>
            <w:r>
              <w:rPr>
                <w:rFonts w:ascii="宋体" w:hAnsi="宋体" w:cs="宋体" w:eastAsia="宋体" w:hint="default"/>
                <w:sz w:val="20"/>
                <w:szCs w:val="20"/>
              </w:rPr>
              <w:t>分配方案</w:t>
            </w:r>
          </w:p>
        </w:tc>
        <w:tc>
          <w:tcPr>
            <w:tcW w:w="2551" w:type="dxa"/>
            <w:tcBorders>
              <w:top w:val="single" w:sz="8" w:space="0" w:color="000000"/>
              <w:left w:val="single" w:sz="4" w:space="0" w:color="000000"/>
              <w:bottom w:val="single" w:sz="4" w:space="0" w:color="000000"/>
              <w:right w:val="single" w:sz="8" w:space="0" w:color="000000"/>
            </w:tcBorders>
          </w:tcPr>
          <w:p>
            <w:pPr>
              <w:pStyle w:val="TableParagraph"/>
              <w:spacing w:line="285" w:lineRule="auto"/>
              <w:ind w:left="103" w:right="233"/>
              <w:jc w:val="left"/>
              <w:rPr>
                <w:rFonts w:ascii="宋体" w:hAnsi="宋体" w:cs="宋体" w:eastAsia="宋体" w:hint="default"/>
                <w:sz w:val="20"/>
                <w:szCs w:val="20"/>
              </w:rPr>
            </w:pPr>
            <w:r>
              <w:rPr>
                <w:rFonts w:ascii="宋体" w:hAnsi="宋体" w:cs="宋体" w:eastAsia="宋体" w:hint="default"/>
                <w:sz w:val="20"/>
                <w:szCs w:val="20"/>
              </w:rPr>
              <w:t>报告期内达到的目标或状</w:t>
            </w:r>
            <w:r>
              <w:rPr>
                <w:rFonts w:ascii="宋体" w:hAnsi="宋体" w:cs="宋体" w:eastAsia="宋体" w:hint="default"/>
                <w:w w:val="99"/>
                <w:sz w:val="20"/>
                <w:szCs w:val="20"/>
              </w:rPr>
              <w:t> </w:t>
            </w:r>
            <w:r>
              <w:rPr>
                <w:rFonts w:ascii="宋体" w:hAnsi="宋体" w:cs="宋体" w:eastAsia="宋体" w:hint="default"/>
                <w:sz w:val="20"/>
                <w:szCs w:val="20"/>
              </w:rPr>
              <w:t>态</w:t>
            </w:r>
          </w:p>
        </w:tc>
      </w:tr>
      <w:tr>
        <w:trPr>
          <w:trHeight w:val="490" w:hRule="exact"/>
        </w:trPr>
        <w:tc>
          <w:tcPr>
            <w:tcW w:w="866" w:type="dxa"/>
            <w:tcBorders>
              <w:top w:val="single" w:sz="4" w:space="0" w:color="000000"/>
              <w:left w:val="single" w:sz="8" w:space="0" w:color="000000"/>
              <w:bottom w:val="single" w:sz="4" w:space="0" w:color="000000"/>
              <w:right w:val="single" w:sz="4" w:space="0" w:color="000000"/>
            </w:tcBorders>
          </w:tcPr>
          <w:p>
            <w:pPr>
              <w:pStyle w:val="TableParagraph"/>
              <w:spacing w:line="254" w:lineRule="exact"/>
              <w:ind w:left="98" w:right="0"/>
              <w:jc w:val="left"/>
              <w:rPr>
                <w:rFonts w:ascii="宋体" w:hAnsi="宋体" w:cs="宋体" w:eastAsia="宋体" w:hint="default"/>
                <w:sz w:val="20"/>
                <w:szCs w:val="20"/>
              </w:rPr>
            </w:pPr>
            <w:r>
              <w:rPr>
                <w:rFonts w:ascii="宋体"/>
                <w:w w:val="99"/>
                <w:sz w:val="20"/>
              </w:rPr>
              <w:t>1</w:t>
            </w:r>
            <w:r>
              <w:rPr>
                <w:rFonts w:ascii="宋体"/>
                <w:sz w:val="20"/>
              </w:rPr>
            </w:r>
          </w:p>
        </w:tc>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0"/>
                <w:szCs w:val="20"/>
              </w:rPr>
            </w:pPr>
            <w:r>
              <w:rPr>
                <w:rFonts w:ascii="宋体" w:hAnsi="宋体" w:cs="宋体" w:eastAsia="宋体" w:hint="default"/>
                <w:sz w:val="20"/>
                <w:szCs w:val="20"/>
              </w:rPr>
              <w:t>天玑客户自服务平台软件</w:t>
            </w:r>
            <w:r>
              <w:rPr>
                <w:rFonts w:ascii="宋体" w:hAnsi="宋体" w:cs="宋体" w:eastAsia="宋体" w:hint="default"/>
                <w:spacing w:val="-1"/>
                <w:sz w:val="20"/>
                <w:szCs w:val="20"/>
              </w:rPr>
              <w:t> </w:t>
            </w:r>
            <w:r>
              <w:rPr>
                <w:rFonts w:ascii="宋体" w:hAnsi="宋体" w:cs="宋体" w:eastAsia="宋体" w:hint="default"/>
                <w:sz w:val="20"/>
                <w:szCs w:val="20"/>
              </w:rPr>
              <w:t>V1.0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5"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84"/>
              <w:jc w:val="center"/>
              <w:rPr>
                <w:rFonts w:ascii="宋体" w:hAnsi="宋体" w:cs="宋体" w:eastAsia="宋体" w:hint="default"/>
                <w:sz w:val="20"/>
                <w:szCs w:val="20"/>
              </w:rPr>
            </w:pPr>
            <w:r>
              <w:rPr>
                <w:rFonts w:ascii="宋体" w:hAnsi="宋体" w:cs="宋体" w:eastAsia="宋体" w:hint="default"/>
                <w:sz w:val="20"/>
                <w:szCs w:val="20"/>
              </w:rPr>
              <w:t>自主研发</w:t>
            </w:r>
          </w:p>
        </w:tc>
        <w:tc>
          <w:tcPr>
            <w:tcW w:w="255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6"/>
              <w:ind w:left="103" w:right="0"/>
              <w:jc w:val="left"/>
              <w:rPr>
                <w:rFonts w:ascii="宋体" w:hAnsi="宋体" w:cs="宋体" w:eastAsia="宋体" w:hint="default"/>
                <w:sz w:val="20"/>
                <w:szCs w:val="20"/>
              </w:rPr>
            </w:pPr>
            <w:r>
              <w:rPr>
                <w:rFonts w:ascii="宋体" w:hAnsi="宋体" w:cs="宋体" w:eastAsia="宋体" w:hint="default"/>
                <w:sz w:val="20"/>
                <w:szCs w:val="20"/>
              </w:rPr>
              <w:t>目前按计划已经完成</w:t>
            </w:r>
          </w:p>
        </w:tc>
      </w:tr>
      <w:tr>
        <w:trPr>
          <w:trHeight w:val="490" w:hRule="exact"/>
        </w:trPr>
        <w:tc>
          <w:tcPr>
            <w:tcW w:w="866" w:type="dxa"/>
            <w:tcBorders>
              <w:top w:val="single" w:sz="4" w:space="0" w:color="000000"/>
              <w:left w:val="single" w:sz="8" w:space="0" w:color="000000"/>
              <w:bottom w:val="single" w:sz="4" w:space="0" w:color="000000"/>
              <w:right w:val="single" w:sz="4" w:space="0" w:color="000000"/>
            </w:tcBorders>
          </w:tcPr>
          <w:p>
            <w:pPr>
              <w:pStyle w:val="TableParagraph"/>
              <w:spacing w:line="254" w:lineRule="exact"/>
              <w:ind w:left="98" w:right="0"/>
              <w:jc w:val="left"/>
              <w:rPr>
                <w:rFonts w:ascii="宋体" w:hAnsi="宋体" w:cs="宋体" w:eastAsia="宋体" w:hint="default"/>
                <w:sz w:val="20"/>
                <w:szCs w:val="20"/>
              </w:rPr>
            </w:pPr>
            <w:r>
              <w:rPr>
                <w:rFonts w:ascii="宋体"/>
                <w:w w:val="99"/>
                <w:sz w:val="20"/>
              </w:rPr>
              <w:t>2</w:t>
            </w:r>
            <w:r>
              <w:rPr>
                <w:rFonts w:ascii="宋体"/>
                <w:sz w:val="20"/>
              </w:rPr>
            </w:r>
          </w:p>
        </w:tc>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0"/>
                <w:szCs w:val="20"/>
              </w:rPr>
            </w:pPr>
            <w:r>
              <w:rPr>
                <w:rFonts w:ascii="宋体" w:hAnsi="宋体" w:cs="宋体" w:eastAsia="宋体" w:hint="default"/>
                <w:sz w:val="20"/>
                <w:szCs w:val="20"/>
              </w:rPr>
              <w:t>天玑企业管理</w:t>
            </w:r>
            <w:r>
              <w:rPr>
                <w:rFonts w:ascii="宋体" w:hAnsi="宋体" w:cs="宋体" w:eastAsia="宋体" w:hint="default"/>
                <w:spacing w:val="-52"/>
                <w:sz w:val="20"/>
                <w:szCs w:val="20"/>
              </w:rPr>
              <w:t> </w:t>
            </w:r>
            <w:r>
              <w:rPr>
                <w:rFonts w:ascii="宋体" w:hAnsi="宋体" w:cs="宋体" w:eastAsia="宋体" w:hint="default"/>
                <w:sz w:val="20"/>
                <w:szCs w:val="20"/>
              </w:rPr>
              <w:t>ERP</w:t>
            </w:r>
            <w:r>
              <w:rPr>
                <w:rFonts w:ascii="宋体" w:hAnsi="宋体" w:cs="宋体" w:eastAsia="宋体" w:hint="default"/>
                <w:spacing w:val="-51"/>
                <w:sz w:val="20"/>
                <w:szCs w:val="20"/>
              </w:rPr>
              <w:t> </w:t>
            </w:r>
            <w:r>
              <w:rPr>
                <w:rFonts w:ascii="宋体" w:hAnsi="宋体" w:cs="宋体" w:eastAsia="宋体" w:hint="default"/>
                <w:sz w:val="20"/>
                <w:szCs w:val="20"/>
              </w:rPr>
              <w:t>软件</w:t>
            </w:r>
            <w:r>
              <w:rPr>
                <w:rFonts w:ascii="宋体" w:hAnsi="宋体" w:cs="宋体" w:eastAsia="宋体" w:hint="default"/>
                <w:spacing w:val="-3"/>
                <w:sz w:val="20"/>
                <w:szCs w:val="20"/>
              </w:rPr>
              <w:t> </w:t>
            </w:r>
            <w:r>
              <w:rPr>
                <w:rFonts w:ascii="宋体" w:hAnsi="宋体" w:cs="宋体" w:eastAsia="宋体" w:hint="default"/>
                <w:sz w:val="20"/>
                <w:szCs w:val="20"/>
              </w:rPr>
              <w:t>V3.2</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5"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84"/>
              <w:jc w:val="center"/>
              <w:rPr>
                <w:rFonts w:ascii="宋体" w:hAnsi="宋体" w:cs="宋体" w:eastAsia="宋体" w:hint="default"/>
                <w:sz w:val="20"/>
                <w:szCs w:val="20"/>
              </w:rPr>
            </w:pPr>
            <w:r>
              <w:rPr>
                <w:rFonts w:ascii="宋体" w:hAnsi="宋体" w:cs="宋体" w:eastAsia="宋体" w:hint="default"/>
                <w:sz w:val="20"/>
                <w:szCs w:val="20"/>
              </w:rPr>
              <w:t>自主研发</w:t>
            </w:r>
          </w:p>
        </w:tc>
        <w:tc>
          <w:tcPr>
            <w:tcW w:w="255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6"/>
              <w:ind w:left="103" w:right="0"/>
              <w:jc w:val="left"/>
              <w:rPr>
                <w:rFonts w:ascii="宋体" w:hAnsi="宋体" w:cs="宋体" w:eastAsia="宋体" w:hint="default"/>
                <w:sz w:val="20"/>
                <w:szCs w:val="20"/>
              </w:rPr>
            </w:pPr>
            <w:r>
              <w:rPr>
                <w:rFonts w:ascii="宋体" w:hAnsi="宋体" w:cs="宋体" w:eastAsia="宋体" w:hint="default"/>
                <w:sz w:val="20"/>
                <w:szCs w:val="20"/>
              </w:rPr>
              <w:t>目前按计划已经完成</w:t>
            </w:r>
          </w:p>
        </w:tc>
      </w:tr>
      <w:tr>
        <w:trPr>
          <w:trHeight w:val="634" w:hRule="exact"/>
        </w:trPr>
        <w:tc>
          <w:tcPr>
            <w:tcW w:w="866" w:type="dxa"/>
            <w:tcBorders>
              <w:top w:val="single" w:sz="4" w:space="0" w:color="000000"/>
              <w:left w:val="single" w:sz="8" w:space="0" w:color="000000"/>
              <w:bottom w:val="single" w:sz="4" w:space="0" w:color="000000"/>
              <w:right w:val="single" w:sz="4" w:space="0" w:color="000000"/>
            </w:tcBorders>
          </w:tcPr>
          <w:p>
            <w:pPr>
              <w:pStyle w:val="TableParagraph"/>
              <w:spacing w:line="254" w:lineRule="exact"/>
              <w:ind w:left="98" w:right="0"/>
              <w:jc w:val="left"/>
              <w:rPr>
                <w:rFonts w:ascii="宋体" w:hAnsi="宋体" w:cs="宋体" w:eastAsia="宋体" w:hint="default"/>
                <w:sz w:val="20"/>
                <w:szCs w:val="20"/>
              </w:rPr>
            </w:pPr>
            <w:r>
              <w:rPr>
                <w:rFonts w:ascii="宋体"/>
                <w:w w:val="99"/>
                <w:sz w:val="20"/>
              </w:rPr>
              <w:t>3</w:t>
            </w:r>
            <w:r>
              <w:rPr>
                <w:rFonts w:ascii="宋体"/>
                <w:sz w:val="20"/>
              </w:rPr>
            </w:r>
          </w:p>
        </w:tc>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93"/>
              <w:jc w:val="left"/>
              <w:rPr>
                <w:rFonts w:ascii="宋体" w:hAnsi="宋体" w:cs="宋体" w:eastAsia="宋体" w:hint="default"/>
                <w:sz w:val="20"/>
                <w:szCs w:val="20"/>
              </w:rPr>
            </w:pPr>
            <w:r>
              <w:rPr>
                <w:rFonts w:ascii="宋体" w:hAnsi="宋体" w:cs="宋体" w:eastAsia="宋体" w:hint="default"/>
                <w:sz w:val="20"/>
                <w:szCs w:val="20"/>
              </w:rPr>
              <w:t>超大规模分布式存储系统关键技术研制与</w:t>
            </w:r>
            <w:r>
              <w:rPr>
                <w:rFonts w:ascii="宋体" w:hAnsi="宋体" w:cs="宋体" w:eastAsia="宋体" w:hint="default"/>
                <w:w w:val="99"/>
                <w:sz w:val="20"/>
                <w:szCs w:val="20"/>
              </w:rPr>
              <w:t> </w:t>
            </w:r>
            <w:r>
              <w:rPr>
                <w:rFonts w:ascii="宋体" w:hAnsi="宋体" w:cs="宋体" w:eastAsia="宋体" w:hint="default"/>
                <w:sz w:val="20"/>
                <w:szCs w:val="20"/>
              </w:rPr>
              <w:t>示范应用</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84"/>
              <w:jc w:val="center"/>
              <w:rPr>
                <w:rFonts w:ascii="宋体" w:hAnsi="宋体" w:cs="宋体" w:eastAsia="宋体" w:hint="default"/>
                <w:sz w:val="20"/>
                <w:szCs w:val="20"/>
              </w:rPr>
            </w:pPr>
            <w:r>
              <w:rPr>
                <w:rFonts w:ascii="宋体" w:hAnsi="宋体" w:cs="宋体" w:eastAsia="宋体" w:hint="default"/>
                <w:sz w:val="20"/>
                <w:szCs w:val="20"/>
              </w:rPr>
              <w:t>自主研发</w:t>
            </w:r>
          </w:p>
        </w:tc>
        <w:tc>
          <w:tcPr>
            <w:tcW w:w="2551" w:type="dxa"/>
            <w:tcBorders>
              <w:top w:val="single" w:sz="4" w:space="0" w:color="000000"/>
              <w:left w:val="single" w:sz="4" w:space="0" w:color="000000"/>
              <w:bottom w:val="single" w:sz="4" w:space="0" w:color="000000"/>
              <w:right w:val="single" w:sz="8"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按计划继续推进中。</w:t>
            </w:r>
          </w:p>
        </w:tc>
      </w:tr>
      <w:tr>
        <w:trPr>
          <w:trHeight w:val="490" w:hRule="exact"/>
        </w:trPr>
        <w:tc>
          <w:tcPr>
            <w:tcW w:w="866" w:type="dxa"/>
            <w:tcBorders>
              <w:top w:val="single" w:sz="4" w:space="0" w:color="000000"/>
              <w:left w:val="single" w:sz="8" w:space="0" w:color="000000"/>
              <w:bottom w:val="single" w:sz="4" w:space="0" w:color="000000"/>
              <w:right w:val="single" w:sz="4" w:space="0" w:color="000000"/>
            </w:tcBorders>
          </w:tcPr>
          <w:p>
            <w:pPr>
              <w:pStyle w:val="TableParagraph"/>
              <w:spacing w:line="254" w:lineRule="exact"/>
              <w:ind w:left="98" w:right="0"/>
              <w:jc w:val="left"/>
              <w:rPr>
                <w:rFonts w:ascii="宋体" w:hAnsi="宋体" w:cs="宋体" w:eastAsia="宋体" w:hint="default"/>
                <w:sz w:val="20"/>
                <w:szCs w:val="20"/>
              </w:rPr>
            </w:pPr>
            <w:r>
              <w:rPr>
                <w:rFonts w:ascii="宋体"/>
                <w:w w:val="99"/>
                <w:sz w:val="20"/>
              </w:rPr>
              <w:t>4</w:t>
            </w:r>
            <w:r>
              <w:rPr>
                <w:rFonts w:ascii="宋体"/>
                <w:sz w:val="20"/>
              </w:rPr>
            </w:r>
          </w:p>
        </w:tc>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0"/>
                <w:szCs w:val="20"/>
              </w:rPr>
            </w:pPr>
            <w:r>
              <w:rPr>
                <w:rFonts w:ascii="宋体" w:hAnsi="宋体" w:cs="宋体" w:eastAsia="宋体" w:hint="default"/>
                <w:sz w:val="20"/>
                <w:szCs w:val="20"/>
              </w:rPr>
              <w:t>天玑移动办公软件</w:t>
            </w:r>
            <w:r>
              <w:rPr>
                <w:rFonts w:ascii="宋体" w:hAnsi="宋体" w:cs="宋体" w:eastAsia="宋体" w:hint="default"/>
                <w:spacing w:val="-1"/>
                <w:sz w:val="20"/>
                <w:szCs w:val="20"/>
              </w:rPr>
              <w:t> </w:t>
            </w:r>
            <w:r>
              <w:rPr>
                <w:rFonts w:ascii="宋体" w:hAnsi="宋体" w:cs="宋体" w:eastAsia="宋体" w:hint="default"/>
                <w:sz w:val="20"/>
                <w:szCs w:val="20"/>
              </w:rPr>
              <w:t>V1.0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5"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84"/>
              <w:jc w:val="center"/>
              <w:rPr>
                <w:rFonts w:ascii="宋体" w:hAnsi="宋体" w:cs="宋体" w:eastAsia="宋体" w:hint="default"/>
                <w:sz w:val="20"/>
                <w:szCs w:val="20"/>
              </w:rPr>
            </w:pPr>
            <w:r>
              <w:rPr>
                <w:rFonts w:ascii="宋体" w:hAnsi="宋体" w:cs="宋体" w:eastAsia="宋体" w:hint="default"/>
                <w:sz w:val="20"/>
                <w:szCs w:val="20"/>
              </w:rPr>
              <w:t>自主研发</w:t>
            </w:r>
          </w:p>
        </w:tc>
        <w:tc>
          <w:tcPr>
            <w:tcW w:w="255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6"/>
              <w:ind w:left="103" w:right="0"/>
              <w:jc w:val="left"/>
              <w:rPr>
                <w:rFonts w:ascii="宋体" w:hAnsi="宋体" w:cs="宋体" w:eastAsia="宋体" w:hint="default"/>
                <w:sz w:val="20"/>
                <w:szCs w:val="20"/>
              </w:rPr>
            </w:pPr>
            <w:r>
              <w:rPr>
                <w:rFonts w:ascii="宋体" w:hAnsi="宋体" w:cs="宋体" w:eastAsia="宋体" w:hint="default"/>
                <w:sz w:val="20"/>
                <w:szCs w:val="20"/>
              </w:rPr>
              <w:t>目前按计划已经完成</w:t>
            </w:r>
          </w:p>
        </w:tc>
      </w:tr>
      <w:tr>
        <w:trPr>
          <w:trHeight w:val="490" w:hRule="exact"/>
        </w:trPr>
        <w:tc>
          <w:tcPr>
            <w:tcW w:w="866" w:type="dxa"/>
            <w:tcBorders>
              <w:top w:val="single" w:sz="4" w:space="0" w:color="000000"/>
              <w:left w:val="single" w:sz="8" w:space="0" w:color="000000"/>
              <w:bottom w:val="single" w:sz="4" w:space="0" w:color="000000"/>
              <w:right w:val="single" w:sz="4" w:space="0" w:color="000000"/>
            </w:tcBorders>
          </w:tcPr>
          <w:p>
            <w:pPr>
              <w:pStyle w:val="TableParagraph"/>
              <w:spacing w:line="254" w:lineRule="exact"/>
              <w:ind w:left="98" w:right="0"/>
              <w:jc w:val="left"/>
              <w:rPr>
                <w:rFonts w:ascii="宋体" w:hAnsi="宋体" w:cs="宋体" w:eastAsia="宋体" w:hint="default"/>
                <w:sz w:val="20"/>
                <w:szCs w:val="20"/>
              </w:rPr>
            </w:pPr>
            <w:r>
              <w:rPr>
                <w:rFonts w:ascii="宋体"/>
                <w:w w:val="99"/>
                <w:sz w:val="20"/>
              </w:rPr>
              <w:t>5</w:t>
            </w:r>
            <w:r>
              <w:rPr>
                <w:rFonts w:ascii="宋体"/>
                <w:sz w:val="20"/>
              </w:rPr>
            </w:r>
          </w:p>
        </w:tc>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0"/>
                <w:szCs w:val="20"/>
              </w:rPr>
            </w:pPr>
            <w:r>
              <w:rPr>
                <w:rFonts w:ascii="宋体" w:hAnsi="宋体" w:cs="宋体" w:eastAsia="宋体" w:hint="default"/>
                <w:sz w:val="20"/>
                <w:szCs w:val="20"/>
              </w:rPr>
              <w:t>天玑玑云资源管理中心软件</w:t>
            </w:r>
            <w:r>
              <w:rPr>
                <w:rFonts w:ascii="宋体" w:hAnsi="宋体" w:cs="宋体" w:eastAsia="宋体" w:hint="default"/>
                <w:spacing w:val="-3"/>
                <w:sz w:val="20"/>
                <w:szCs w:val="20"/>
              </w:rPr>
              <w:t> </w:t>
            </w:r>
            <w:r>
              <w:rPr>
                <w:rFonts w:ascii="宋体" w:hAnsi="宋体" w:cs="宋体" w:eastAsia="宋体" w:hint="default"/>
                <w:sz w:val="20"/>
                <w:szCs w:val="20"/>
              </w:rPr>
              <w:t>V1.2</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5"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84"/>
              <w:jc w:val="center"/>
              <w:rPr>
                <w:rFonts w:ascii="宋体" w:hAnsi="宋体" w:cs="宋体" w:eastAsia="宋体" w:hint="default"/>
                <w:sz w:val="20"/>
                <w:szCs w:val="20"/>
              </w:rPr>
            </w:pPr>
            <w:r>
              <w:rPr>
                <w:rFonts w:ascii="宋体" w:hAnsi="宋体" w:cs="宋体" w:eastAsia="宋体" w:hint="default"/>
                <w:sz w:val="20"/>
                <w:szCs w:val="20"/>
              </w:rPr>
              <w:t>自主研发</w:t>
            </w:r>
          </w:p>
        </w:tc>
        <w:tc>
          <w:tcPr>
            <w:tcW w:w="255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6"/>
              <w:ind w:left="103" w:right="0"/>
              <w:jc w:val="left"/>
              <w:rPr>
                <w:rFonts w:ascii="宋体" w:hAnsi="宋体" w:cs="宋体" w:eastAsia="宋体" w:hint="default"/>
                <w:sz w:val="20"/>
                <w:szCs w:val="20"/>
              </w:rPr>
            </w:pPr>
            <w:r>
              <w:rPr>
                <w:rFonts w:ascii="宋体" w:hAnsi="宋体" w:cs="宋体" w:eastAsia="宋体" w:hint="default"/>
                <w:sz w:val="20"/>
                <w:szCs w:val="20"/>
              </w:rPr>
              <w:t>目前按计划已经完成</w:t>
            </w:r>
          </w:p>
        </w:tc>
      </w:tr>
      <w:tr>
        <w:trPr>
          <w:trHeight w:val="492" w:hRule="exact"/>
        </w:trPr>
        <w:tc>
          <w:tcPr>
            <w:tcW w:w="866" w:type="dxa"/>
            <w:tcBorders>
              <w:top w:val="single" w:sz="4" w:space="0" w:color="000000"/>
              <w:left w:val="single" w:sz="8" w:space="0" w:color="000000"/>
              <w:bottom w:val="single" w:sz="4" w:space="0" w:color="000000"/>
              <w:right w:val="single" w:sz="4" w:space="0" w:color="000000"/>
            </w:tcBorders>
          </w:tcPr>
          <w:p>
            <w:pPr>
              <w:pStyle w:val="TableParagraph"/>
              <w:spacing w:line="256" w:lineRule="exact"/>
              <w:ind w:left="98" w:right="0"/>
              <w:jc w:val="left"/>
              <w:rPr>
                <w:rFonts w:ascii="宋体" w:hAnsi="宋体" w:cs="宋体" w:eastAsia="宋体" w:hint="default"/>
                <w:sz w:val="20"/>
                <w:szCs w:val="20"/>
              </w:rPr>
            </w:pPr>
            <w:r>
              <w:rPr>
                <w:rFonts w:ascii="宋体"/>
                <w:w w:val="99"/>
                <w:sz w:val="20"/>
              </w:rPr>
              <w:t>6</w:t>
            </w:r>
            <w:r>
              <w:rPr>
                <w:rFonts w:ascii="宋体"/>
                <w:sz w:val="20"/>
              </w:rPr>
            </w:r>
          </w:p>
        </w:tc>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20"/>
                <w:szCs w:val="20"/>
              </w:rPr>
            </w:pPr>
            <w:r>
              <w:rPr>
                <w:rFonts w:ascii="宋体" w:hAnsi="宋体" w:cs="宋体" w:eastAsia="宋体" w:hint="default"/>
                <w:sz w:val="20"/>
                <w:szCs w:val="20"/>
              </w:rPr>
              <w:t>天玑玑云运营中心软件</w:t>
            </w:r>
            <w:r>
              <w:rPr>
                <w:rFonts w:ascii="宋体" w:hAnsi="宋体" w:cs="宋体" w:eastAsia="宋体" w:hint="default"/>
                <w:spacing w:val="-2"/>
                <w:sz w:val="20"/>
                <w:szCs w:val="20"/>
              </w:rPr>
              <w:t> </w:t>
            </w:r>
            <w:r>
              <w:rPr>
                <w:rFonts w:ascii="宋体" w:hAnsi="宋体" w:cs="宋体" w:eastAsia="宋体" w:hint="default"/>
                <w:sz w:val="20"/>
                <w:szCs w:val="20"/>
              </w:rPr>
              <w:t>V1.0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5"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84"/>
              <w:jc w:val="center"/>
              <w:rPr>
                <w:rFonts w:ascii="宋体" w:hAnsi="宋体" w:cs="宋体" w:eastAsia="宋体" w:hint="default"/>
                <w:sz w:val="20"/>
                <w:szCs w:val="20"/>
              </w:rPr>
            </w:pPr>
            <w:r>
              <w:rPr>
                <w:rFonts w:ascii="宋体" w:hAnsi="宋体" w:cs="宋体" w:eastAsia="宋体" w:hint="default"/>
                <w:sz w:val="20"/>
                <w:szCs w:val="20"/>
              </w:rPr>
              <w:t>自主研发</w:t>
            </w:r>
          </w:p>
        </w:tc>
        <w:tc>
          <w:tcPr>
            <w:tcW w:w="255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8"/>
              <w:ind w:left="103" w:right="0"/>
              <w:jc w:val="left"/>
              <w:rPr>
                <w:rFonts w:ascii="宋体" w:hAnsi="宋体" w:cs="宋体" w:eastAsia="宋体" w:hint="default"/>
                <w:sz w:val="20"/>
                <w:szCs w:val="20"/>
              </w:rPr>
            </w:pPr>
            <w:r>
              <w:rPr>
                <w:rFonts w:ascii="宋体" w:hAnsi="宋体" w:cs="宋体" w:eastAsia="宋体" w:hint="default"/>
                <w:sz w:val="20"/>
                <w:szCs w:val="20"/>
              </w:rPr>
              <w:t>目前按计划已经完成</w:t>
            </w:r>
          </w:p>
        </w:tc>
      </w:tr>
      <w:tr>
        <w:trPr>
          <w:trHeight w:val="322" w:hRule="exact"/>
        </w:trPr>
        <w:tc>
          <w:tcPr>
            <w:tcW w:w="866" w:type="dxa"/>
            <w:tcBorders>
              <w:top w:val="single" w:sz="4" w:space="0" w:color="000000"/>
              <w:left w:val="single" w:sz="8" w:space="0" w:color="000000"/>
              <w:bottom w:val="single" w:sz="4" w:space="0" w:color="000000"/>
              <w:right w:val="single" w:sz="4" w:space="0" w:color="000000"/>
            </w:tcBorders>
          </w:tcPr>
          <w:p>
            <w:pPr>
              <w:pStyle w:val="TableParagraph"/>
              <w:spacing w:line="254" w:lineRule="exact"/>
              <w:ind w:left="98" w:right="0"/>
              <w:jc w:val="left"/>
              <w:rPr>
                <w:rFonts w:ascii="宋体" w:hAnsi="宋体" w:cs="宋体" w:eastAsia="宋体" w:hint="default"/>
                <w:sz w:val="20"/>
                <w:szCs w:val="20"/>
              </w:rPr>
            </w:pPr>
            <w:r>
              <w:rPr>
                <w:rFonts w:ascii="宋体"/>
                <w:w w:val="99"/>
                <w:sz w:val="20"/>
              </w:rPr>
              <w:t>7</w:t>
            </w:r>
            <w:r>
              <w:rPr>
                <w:rFonts w:ascii="宋体"/>
                <w:sz w:val="20"/>
              </w:rPr>
            </w:r>
          </w:p>
        </w:tc>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呼叫中心电话软件</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84"/>
              <w:jc w:val="center"/>
              <w:rPr>
                <w:rFonts w:ascii="宋体" w:hAnsi="宋体" w:cs="宋体" w:eastAsia="宋体" w:hint="default"/>
                <w:sz w:val="20"/>
                <w:szCs w:val="20"/>
              </w:rPr>
            </w:pPr>
            <w:r>
              <w:rPr>
                <w:rFonts w:ascii="宋体" w:hAnsi="宋体" w:cs="宋体" w:eastAsia="宋体" w:hint="default"/>
                <w:sz w:val="20"/>
                <w:szCs w:val="20"/>
              </w:rPr>
              <w:t>自主研发</w:t>
            </w:r>
          </w:p>
        </w:tc>
        <w:tc>
          <w:tcPr>
            <w:tcW w:w="2551" w:type="dxa"/>
            <w:tcBorders>
              <w:top w:val="single" w:sz="4" w:space="0" w:color="000000"/>
              <w:left w:val="single" w:sz="4" w:space="0" w:color="000000"/>
              <w:bottom w:val="single" w:sz="4" w:space="0" w:color="000000"/>
              <w:right w:val="single" w:sz="8"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目前按计划已经完成</w:t>
            </w:r>
          </w:p>
        </w:tc>
      </w:tr>
      <w:tr>
        <w:trPr>
          <w:trHeight w:val="322" w:hRule="exact"/>
        </w:trPr>
        <w:tc>
          <w:tcPr>
            <w:tcW w:w="866" w:type="dxa"/>
            <w:tcBorders>
              <w:top w:val="single" w:sz="4" w:space="0" w:color="000000"/>
              <w:left w:val="single" w:sz="8" w:space="0" w:color="000000"/>
              <w:bottom w:val="single" w:sz="4" w:space="0" w:color="000000"/>
              <w:right w:val="single" w:sz="4" w:space="0" w:color="000000"/>
            </w:tcBorders>
          </w:tcPr>
          <w:p>
            <w:pPr>
              <w:pStyle w:val="TableParagraph"/>
              <w:spacing w:line="254" w:lineRule="exact"/>
              <w:ind w:left="98" w:right="0"/>
              <w:jc w:val="left"/>
              <w:rPr>
                <w:rFonts w:ascii="宋体" w:hAnsi="宋体" w:cs="宋体" w:eastAsia="宋体" w:hint="default"/>
                <w:sz w:val="20"/>
                <w:szCs w:val="20"/>
              </w:rPr>
            </w:pPr>
            <w:r>
              <w:rPr>
                <w:rFonts w:ascii="宋体"/>
                <w:w w:val="99"/>
                <w:sz w:val="20"/>
              </w:rPr>
              <w:t>8</w:t>
            </w:r>
            <w:r>
              <w:rPr>
                <w:rFonts w:ascii="宋体"/>
                <w:sz w:val="20"/>
              </w:rPr>
            </w:r>
          </w:p>
        </w:tc>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企业资源计划系统</w:t>
            </w:r>
            <w:r>
              <w:rPr>
                <w:rFonts w:ascii="宋体" w:hAnsi="宋体" w:cs="宋体" w:eastAsia="宋体" w:hint="default"/>
                <w:spacing w:val="-51"/>
                <w:sz w:val="20"/>
                <w:szCs w:val="20"/>
              </w:rPr>
              <w:t> </w:t>
            </w:r>
            <w:r>
              <w:rPr>
                <w:rFonts w:ascii="宋体" w:hAnsi="宋体" w:cs="宋体" w:eastAsia="宋体" w:hint="default"/>
                <w:sz w:val="20"/>
                <w:szCs w:val="20"/>
              </w:rPr>
              <w:t>V3.3</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84"/>
              <w:jc w:val="center"/>
              <w:rPr>
                <w:rFonts w:ascii="宋体" w:hAnsi="宋体" w:cs="宋体" w:eastAsia="宋体" w:hint="default"/>
                <w:sz w:val="20"/>
                <w:szCs w:val="20"/>
              </w:rPr>
            </w:pPr>
            <w:r>
              <w:rPr>
                <w:rFonts w:ascii="宋体" w:hAnsi="宋体" w:cs="宋体" w:eastAsia="宋体" w:hint="default"/>
                <w:sz w:val="20"/>
                <w:szCs w:val="20"/>
              </w:rPr>
              <w:t>自主研发</w:t>
            </w:r>
          </w:p>
        </w:tc>
        <w:tc>
          <w:tcPr>
            <w:tcW w:w="2551" w:type="dxa"/>
            <w:tcBorders>
              <w:top w:val="single" w:sz="4" w:space="0" w:color="000000"/>
              <w:left w:val="single" w:sz="4" w:space="0" w:color="000000"/>
              <w:bottom w:val="single" w:sz="4" w:space="0" w:color="000000"/>
              <w:right w:val="single" w:sz="8"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目前已经在试运行阶段</w:t>
            </w:r>
          </w:p>
        </w:tc>
      </w:tr>
      <w:tr>
        <w:trPr>
          <w:trHeight w:val="322" w:hRule="exact"/>
        </w:trPr>
        <w:tc>
          <w:tcPr>
            <w:tcW w:w="866" w:type="dxa"/>
            <w:tcBorders>
              <w:top w:val="single" w:sz="4" w:space="0" w:color="000000"/>
              <w:left w:val="single" w:sz="8" w:space="0" w:color="000000"/>
              <w:bottom w:val="single" w:sz="4" w:space="0" w:color="000000"/>
              <w:right w:val="single" w:sz="4" w:space="0" w:color="000000"/>
            </w:tcBorders>
          </w:tcPr>
          <w:p>
            <w:pPr>
              <w:pStyle w:val="TableParagraph"/>
              <w:spacing w:line="254" w:lineRule="exact"/>
              <w:ind w:left="98" w:right="0"/>
              <w:jc w:val="left"/>
              <w:rPr>
                <w:rFonts w:ascii="宋体" w:hAnsi="宋体" w:cs="宋体" w:eastAsia="宋体" w:hint="default"/>
                <w:sz w:val="20"/>
                <w:szCs w:val="20"/>
              </w:rPr>
            </w:pPr>
            <w:r>
              <w:rPr>
                <w:rFonts w:ascii="宋体"/>
                <w:w w:val="99"/>
                <w:sz w:val="20"/>
              </w:rPr>
              <w:t>9</w:t>
            </w:r>
            <w:r>
              <w:rPr>
                <w:rFonts w:ascii="宋体"/>
                <w:sz w:val="20"/>
              </w:rPr>
            </w:r>
          </w:p>
        </w:tc>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即时通讯软件</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84"/>
              <w:jc w:val="center"/>
              <w:rPr>
                <w:rFonts w:ascii="宋体" w:hAnsi="宋体" w:cs="宋体" w:eastAsia="宋体" w:hint="default"/>
                <w:sz w:val="20"/>
                <w:szCs w:val="20"/>
              </w:rPr>
            </w:pPr>
            <w:r>
              <w:rPr>
                <w:rFonts w:ascii="宋体" w:hAnsi="宋体" w:cs="宋体" w:eastAsia="宋体" w:hint="default"/>
                <w:sz w:val="20"/>
                <w:szCs w:val="20"/>
              </w:rPr>
              <w:t>自主研发</w:t>
            </w:r>
          </w:p>
        </w:tc>
        <w:tc>
          <w:tcPr>
            <w:tcW w:w="2551" w:type="dxa"/>
            <w:tcBorders>
              <w:top w:val="single" w:sz="4" w:space="0" w:color="000000"/>
              <w:left w:val="single" w:sz="4" w:space="0" w:color="000000"/>
              <w:bottom w:val="single" w:sz="4" w:space="0" w:color="000000"/>
              <w:right w:val="single" w:sz="8"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目前按照计划进行</w:t>
            </w:r>
          </w:p>
        </w:tc>
      </w:tr>
      <w:tr>
        <w:trPr>
          <w:trHeight w:val="322" w:hRule="exact"/>
        </w:trPr>
        <w:tc>
          <w:tcPr>
            <w:tcW w:w="866" w:type="dxa"/>
            <w:tcBorders>
              <w:top w:val="single" w:sz="4" w:space="0" w:color="000000"/>
              <w:left w:val="single" w:sz="8" w:space="0" w:color="000000"/>
              <w:bottom w:val="single" w:sz="4" w:space="0" w:color="000000"/>
              <w:right w:val="single" w:sz="4" w:space="0" w:color="000000"/>
            </w:tcBorders>
          </w:tcPr>
          <w:p>
            <w:pPr>
              <w:pStyle w:val="TableParagraph"/>
              <w:spacing w:line="254" w:lineRule="exact"/>
              <w:ind w:left="98" w:right="0"/>
              <w:jc w:val="left"/>
              <w:rPr>
                <w:rFonts w:ascii="宋体" w:hAnsi="宋体" w:cs="宋体" w:eastAsia="宋体" w:hint="default"/>
                <w:sz w:val="20"/>
                <w:szCs w:val="20"/>
              </w:rPr>
            </w:pPr>
            <w:r>
              <w:rPr>
                <w:rFonts w:ascii="宋体"/>
                <w:sz w:val="20"/>
              </w:rPr>
              <w:t>10</w:t>
            </w:r>
          </w:p>
        </w:tc>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远程电子合同签署管理系统</w:t>
            </w:r>
            <w:r>
              <w:rPr>
                <w:rFonts w:ascii="宋体" w:hAnsi="宋体" w:cs="宋体" w:eastAsia="宋体" w:hint="default"/>
                <w:spacing w:val="-50"/>
                <w:sz w:val="20"/>
                <w:szCs w:val="20"/>
              </w:rPr>
              <w:t> </w:t>
            </w:r>
            <w:r>
              <w:rPr>
                <w:rFonts w:ascii="宋体" w:hAnsi="宋体" w:cs="宋体" w:eastAsia="宋体" w:hint="default"/>
                <w:sz w:val="20"/>
                <w:szCs w:val="20"/>
              </w:rPr>
              <w:t>V1.0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84"/>
              <w:jc w:val="center"/>
              <w:rPr>
                <w:rFonts w:ascii="宋体" w:hAnsi="宋体" w:cs="宋体" w:eastAsia="宋体" w:hint="default"/>
                <w:sz w:val="20"/>
                <w:szCs w:val="20"/>
              </w:rPr>
            </w:pPr>
            <w:r>
              <w:rPr>
                <w:rFonts w:ascii="宋体" w:hAnsi="宋体" w:cs="宋体" w:eastAsia="宋体" w:hint="default"/>
                <w:sz w:val="20"/>
                <w:szCs w:val="20"/>
              </w:rPr>
              <w:t>自主研发</w:t>
            </w:r>
          </w:p>
        </w:tc>
        <w:tc>
          <w:tcPr>
            <w:tcW w:w="2551" w:type="dxa"/>
            <w:tcBorders>
              <w:top w:val="single" w:sz="4" w:space="0" w:color="000000"/>
              <w:left w:val="single" w:sz="4" w:space="0" w:color="000000"/>
              <w:bottom w:val="single" w:sz="4" w:space="0" w:color="000000"/>
              <w:right w:val="single" w:sz="8"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目前已经在试运行阶段</w:t>
            </w:r>
          </w:p>
        </w:tc>
      </w:tr>
      <w:tr>
        <w:trPr>
          <w:trHeight w:val="322" w:hRule="exact"/>
        </w:trPr>
        <w:tc>
          <w:tcPr>
            <w:tcW w:w="866" w:type="dxa"/>
            <w:tcBorders>
              <w:top w:val="single" w:sz="4" w:space="0" w:color="000000"/>
              <w:left w:val="single" w:sz="8" w:space="0" w:color="000000"/>
              <w:bottom w:val="single" w:sz="4" w:space="0" w:color="000000"/>
              <w:right w:val="single" w:sz="4" w:space="0" w:color="000000"/>
            </w:tcBorders>
          </w:tcPr>
          <w:p>
            <w:pPr>
              <w:pStyle w:val="TableParagraph"/>
              <w:spacing w:line="254" w:lineRule="exact"/>
              <w:ind w:left="98" w:right="0"/>
              <w:jc w:val="left"/>
              <w:rPr>
                <w:rFonts w:ascii="宋体" w:hAnsi="宋体" w:cs="宋体" w:eastAsia="宋体" w:hint="default"/>
                <w:sz w:val="20"/>
                <w:szCs w:val="20"/>
              </w:rPr>
            </w:pPr>
            <w:r>
              <w:rPr>
                <w:rFonts w:ascii="宋体"/>
                <w:sz w:val="20"/>
              </w:rPr>
              <w:t>11</w:t>
            </w:r>
          </w:p>
        </w:tc>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天玑基于许可证的授权管理软件</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84"/>
              <w:jc w:val="center"/>
              <w:rPr>
                <w:rFonts w:ascii="宋体" w:hAnsi="宋体" w:cs="宋体" w:eastAsia="宋体" w:hint="default"/>
                <w:sz w:val="20"/>
                <w:szCs w:val="20"/>
              </w:rPr>
            </w:pPr>
            <w:r>
              <w:rPr>
                <w:rFonts w:ascii="宋体" w:hAnsi="宋体" w:cs="宋体" w:eastAsia="宋体" w:hint="default"/>
                <w:sz w:val="20"/>
                <w:szCs w:val="20"/>
              </w:rPr>
              <w:t>自主研发</w:t>
            </w:r>
          </w:p>
        </w:tc>
        <w:tc>
          <w:tcPr>
            <w:tcW w:w="2551" w:type="dxa"/>
            <w:tcBorders>
              <w:top w:val="single" w:sz="4" w:space="0" w:color="000000"/>
              <w:left w:val="single" w:sz="4" w:space="0" w:color="000000"/>
              <w:bottom w:val="single" w:sz="4" w:space="0" w:color="000000"/>
              <w:right w:val="single" w:sz="8"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目前已经在试运行阶段</w:t>
            </w:r>
          </w:p>
        </w:tc>
      </w:tr>
      <w:tr>
        <w:trPr>
          <w:trHeight w:val="324" w:hRule="exact"/>
        </w:trPr>
        <w:tc>
          <w:tcPr>
            <w:tcW w:w="866" w:type="dxa"/>
            <w:tcBorders>
              <w:top w:val="single" w:sz="4" w:space="0" w:color="000000"/>
              <w:left w:val="single" w:sz="8" w:space="0" w:color="000000"/>
              <w:bottom w:val="single" w:sz="4" w:space="0" w:color="000000"/>
              <w:right w:val="single" w:sz="4" w:space="0" w:color="000000"/>
            </w:tcBorders>
          </w:tcPr>
          <w:p>
            <w:pPr>
              <w:pStyle w:val="TableParagraph"/>
              <w:spacing w:line="256" w:lineRule="exact"/>
              <w:ind w:left="98" w:right="0"/>
              <w:jc w:val="left"/>
              <w:rPr>
                <w:rFonts w:ascii="宋体" w:hAnsi="宋体" w:cs="宋体" w:eastAsia="宋体" w:hint="default"/>
                <w:sz w:val="20"/>
                <w:szCs w:val="20"/>
              </w:rPr>
            </w:pPr>
            <w:r>
              <w:rPr>
                <w:rFonts w:ascii="宋体"/>
                <w:sz w:val="20"/>
              </w:rPr>
              <w:t>12</w:t>
            </w:r>
          </w:p>
        </w:tc>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天玑高性能、高可用全冗余存储软件系统</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84"/>
              <w:jc w:val="center"/>
              <w:rPr>
                <w:rFonts w:ascii="宋体" w:hAnsi="宋体" w:cs="宋体" w:eastAsia="宋体" w:hint="default"/>
                <w:sz w:val="20"/>
                <w:szCs w:val="20"/>
              </w:rPr>
            </w:pPr>
            <w:r>
              <w:rPr>
                <w:rFonts w:ascii="宋体" w:hAnsi="宋体" w:cs="宋体" w:eastAsia="宋体" w:hint="default"/>
                <w:sz w:val="20"/>
                <w:szCs w:val="20"/>
              </w:rPr>
              <w:t>自主研发</w:t>
            </w:r>
          </w:p>
        </w:tc>
        <w:tc>
          <w:tcPr>
            <w:tcW w:w="2551" w:type="dxa"/>
            <w:tcBorders>
              <w:top w:val="single" w:sz="4" w:space="0" w:color="000000"/>
              <w:left w:val="single" w:sz="4" w:space="0" w:color="000000"/>
              <w:bottom w:val="single" w:sz="4" w:space="0" w:color="000000"/>
              <w:right w:val="single" w:sz="8"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目前已经在试运行阶段</w:t>
            </w:r>
          </w:p>
        </w:tc>
      </w:tr>
      <w:tr>
        <w:trPr>
          <w:trHeight w:val="322" w:hRule="exact"/>
        </w:trPr>
        <w:tc>
          <w:tcPr>
            <w:tcW w:w="866" w:type="dxa"/>
            <w:tcBorders>
              <w:top w:val="single" w:sz="4" w:space="0" w:color="000000"/>
              <w:left w:val="single" w:sz="8" w:space="0" w:color="000000"/>
              <w:bottom w:val="single" w:sz="4" w:space="0" w:color="000000"/>
              <w:right w:val="single" w:sz="4" w:space="0" w:color="000000"/>
            </w:tcBorders>
          </w:tcPr>
          <w:p>
            <w:pPr>
              <w:pStyle w:val="TableParagraph"/>
              <w:spacing w:line="254" w:lineRule="exact"/>
              <w:ind w:left="98" w:right="0"/>
              <w:jc w:val="left"/>
              <w:rPr>
                <w:rFonts w:ascii="宋体" w:hAnsi="宋体" w:cs="宋体" w:eastAsia="宋体" w:hint="default"/>
                <w:sz w:val="20"/>
                <w:szCs w:val="20"/>
              </w:rPr>
            </w:pPr>
            <w:r>
              <w:rPr>
                <w:rFonts w:ascii="宋体"/>
                <w:sz w:val="20"/>
              </w:rPr>
              <w:t>13</w:t>
            </w:r>
          </w:p>
        </w:tc>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玑云运维中心软件</w:t>
            </w:r>
            <w:r>
              <w:rPr>
                <w:rFonts w:ascii="宋体" w:hAnsi="宋体" w:cs="宋体" w:eastAsia="宋体" w:hint="default"/>
                <w:spacing w:val="-51"/>
                <w:sz w:val="20"/>
                <w:szCs w:val="20"/>
              </w:rPr>
              <w:t> </w:t>
            </w:r>
            <w:r>
              <w:rPr>
                <w:rFonts w:ascii="宋体" w:hAnsi="宋体" w:cs="宋体" w:eastAsia="宋体" w:hint="default"/>
                <w:sz w:val="20"/>
                <w:szCs w:val="20"/>
              </w:rPr>
              <w:t>V1.0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84"/>
              <w:jc w:val="center"/>
              <w:rPr>
                <w:rFonts w:ascii="宋体" w:hAnsi="宋体" w:cs="宋体" w:eastAsia="宋体" w:hint="default"/>
                <w:sz w:val="20"/>
                <w:szCs w:val="20"/>
              </w:rPr>
            </w:pPr>
            <w:r>
              <w:rPr>
                <w:rFonts w:ascii="宋体" w:hAnsi="宋体" w:cs="宋体" w:eastAsia="宋体" w:hint="default"/>
                <w:sz w:val="20"/>
                <w:szCs w:val="20"/>
              </w:rPr>
              <w:t>自主研发</w:t>
            </w:r>
          </w:p>
        </w:tc>
        <w:tc>
          <w:tcPr>
            <w:tcW w:w="2551" w:type="dxa"/>
            <w:tcBorders>
              <w:top w:val="single" w:sz="4" w:space="0" w:color="000000"/>
              <w:left w:val="single" w:sz="4" w:space="0" w:color="000000"/>
              <w:bottom w:val="single" w:sz="4" w:space="0" w:color="000000"/>
              <w:right w:val="single" w:sz="8"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目前已经在试运行阶段</w:t>
            </w:r>
          </w:p>
        </w:tc>
      </w:tr>
      <w:tr>
        <w:trPr>
          <w:trHeight w:val="322" w:hRule="exact"/>
        </w:trPr>
        <w:tc>
          <w:tcPr>
            <w:tcW w:w="866" w:type="dxa"/>
            <w:tcBorders>
              <w:top w:val="single" w:sz="4" w:space="0" w:color="000000"/>
              <w:left w:val="single" w:sz="8" w:space="0" w:color="000000"/>
              <w:bottom w:val="single" w:sz="4" w:space="0" w:color="000000"/>
              <w:right w:val="single" w:sz="4" w:space="0" w:color="000000"/>
            </w:tcBorders>
          </w:tcPr>
          <w:p>
            <w:pPr>
              <w:pStyle w:val="TableParagraph"/>
              <w:spacing w:line="254" w:lineRule="exact"/>
              <w:ind w:left="98" w:right="0"/>
              <w:jc w:val="left"/>
              <w:rPr>
                <w:rFonts w:ascii="宋体" w:hAnsi="宋体" w:cs="宋体" w:eastAsia="宋体" w:hint="default"/>
                <w:sz w:val="20"/>
                <w:szCs w:val="20"/>
              </w:rPr>
            </w:pPr>
            <w:r>
              <w:rPr>
                <w:rFonts w:ascii="宋体"/>
                <w:sz w:val="20"/>
              </w:rPr>
              <w:t>14</w:t>
            </w:r>
          </w:p>
        </w:tc>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天玑云数据中心操作系统软件</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84"/>
              <w:jc w:val="center"/>
              <w:rPr>
                <w:rFonts w:ascii="宋体" w:hAnsi="宋体" w:cs="宋体" w:eastAsia="宋体" w:hint="default"/>
                <w:sz w:val="20"/>
                <w:szCs w:val="20"/>
              </w:rPr>
            </w:pPr>
            <w:r>
              <w:rPr>
                <w:rFonts w:ascii="宋体" w:hAnsi="宋体" w:cs="宋体" w:eastAsia="宋体" w:hint="default"/>
                <w:sz w:val="20"/>
                <w:szCs w:val="20"/>
              </w:rPr>
              <w:t>自主研发</w:t>
            </w:r>
          </w:p>
        </w:tc>
        <w:tc>
          <w:tcPr>
            <w:tcW w:w="2551" w:type="dxa"/>
            <w:tcBorders>
              <w:top w:val="single" w:sz="4" w:space="0" w:color="000000"/>
              <w:left w:val="single" w:sz="4" w:space="0" w:color="000000"/>
              <w:bottom w:val="single" w:sz="4" w:space="0" w:color="000000"/>
              <w:right w:val="single" w:sz="8"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目前已经在试运行阶段</w:t>
            </w:r>
          </w:p>
        </w:tc>
      </w:tr>
      <w:tr>
        <w:trPr>
          <w:trHeight w:val="322" w:hRule="exact"/>
        </w:trPr>
        <w:tc>
          <w:tcPr>
            <w:tcW w:w="866" w:type="dxa"/>
            <w:tcBorders>
              <w:top w:val="single" w:sz="4" w:space="0" w:color="000000"/>
              <w:left w:val="single" w:sz="8" w:space="0" w:color="000000"/>
              <w:bottom w:val="single" w:sz="4" w:space="0" w:color="000000"/>
              <w:right w:val="single" w:sz="4" w:space="0" w:color="000000"/>
            </w:tcBorders>
          </w:tcPr>
          <w:p>
            <w:pPr>
              <w:pStyle w:val="TableParagraph"/>
              <w:spacing w:line="254" w:lineRule="exact"/>
              <w:ind w:left="98" w:right="0"/>
              <w:jc w:val="left"/>
              <w:rPr>
                <w:rFonts w:ascii="宋体" w:hAnsi="宋体" w:cs="宋体" w:eastAsia="宋体" w:hint="default"/>
                <w:sz w:val="20"/>
                <w:szCs w:val="20"/>
              </w:rPr>
            </w:pPr>
            <w:r>
              <w:rPr>
                <w:rFonts w:ascii="宋体"/>
                <w:sz w:val="20"/>
              </w:rPr>
              <w:t>15</w:t>
            </w:r>
          </w:p>
        </w:tc>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复深蓝</w:t>
            </w:r>
            <w:r>
              <w:rPr>
                <w:rFonts w:ascii="宋体" w:hAnsi="宋体" w:cs="宋体" w:eastAsia="宋体" w:hint="default"/>
                <w:spacing w:val="-51"/>
                <w:sz w:val="20"/>
                <w:szCs w:val="20"/>
              </w:rPr>
              <w:t> </w:t>
            </w:r>
            <w:r>
              <w:rPr>
                <w:rFonts w:ascii="宋体" w:hAnsi="宋体" w:cs="宋体" w:eastAsia="宋体" w:hint="default"/>
                <w:sz w:val="20"/>
                <w:szCs w:val="20"/>
              </w:rPr>
              <w:t>Web</w:t>
            </w:r>
            <w:r>
              <w:rPr>
                <w:rFonts w:ascii="宋体" w:hAnsi="宋体" w:cs="宋体" w:eastAsia="宋体" w:hint="default"/>
                <w:spacing w:val="-50"/>
                <w:sz w:val="20"/>
                <w:szCs w:val="20"/>
              </w:rPr>
              <w:t> </w:t>
            </w:r>
            <w:r>
              <w:rPr>
                <w:rFonts w:ascii="宋体" w:hAnsi="宋体" w:cs="宋体" w:eastAsia="宋体" w:hint="default"/>
                <w:sz w:val="20"/>
                <w:szCs w:val="20"/>
              </w:rPr>
              <w:t>自动化测试云平台</w:t>
            </w:r>
            <w:r>
              <w:rPr>
                <w:rFonts w:ascii="宋体" w:hAnsi="宋体" w:cs="宋体" w:eastAsia="宋体" w:hint="default"/>
                <w:spacing w:val="-51"/>
                <w:sz w:val="20"/>
                <w:szCs w:val="20"/>
              </w:rPr>
              <w:t> </w:t>
            </w:r>
            <w:r>
              <w:rPr>
                <w:rFonts w:ascii="宋体" w:hAnsi="宋体" w:cs="宋体" w:eastAsia="宋体" w:hint="default"/>
                <w:sz w:val="20"/>
                <w:szCs w:val="20"/>
              </w:rPr>
              <w:t>V1.0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复深蓝</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84"/>
              <w:jc w:val="center"/>
              <w:rPr>
                <w:rFonts w:ascii="宋体" w:hAnsi="宋体" w:cs="宋体" w:eastAsia="宋体" w:hint="default"/>
                <w:sz w:val="20"/>
                <w:szCs w:val="20"/>
              </w:rPr>
            </w:pPr>
            <w:r>
              <w:rPr>
                <w:rFonts w:ascii="宋体" w:hAnsi="宋体" w:cs="宋体" w:eastAsia="宋体" w:hint="default"/>
                <w:sz w:val="20"/>
                <w:szCs w:val="20"/>
              </w:rPr>
              <w:t>自主研发</w:t>
            </w:r>
          </w:p>
        </w:tc>
        <w:tc>
          <w:tcPr>
            <w:tcW w:w="2551" w:type="dxa"/>
            <w:tcBorders>
              <w:top w:val="single" w:sz="4" w:space="0" w:color="000000"/>
              <w:left w:val="single" w:sz="4" w:space="0" w:color="000000"/>
              <w:bottom w:val="single" w:sz="4" w:space="0" w:color="000000"/>
              <w:right w:val="single" w:sz="8"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目前按计划已经完成</w:t>
            </w:r>
          </w:p>
        </w:tc>
      </w:tr>
      <w:tr>
        <w:trPr>
          <w:trHeight w:val="322" w:hRule="exact"/>
        </w:trPr>
        <w:tc>
          <w:tcPr>
            <w:tcW w:w="866" w:type="dxa"/>
            <w:tcBorders>
              <w:top w:val="single" w:sz="4" w:space="0" w:color="000000"/>
              <w:left w:val="single" w:sz="8" w:space="0" w:color="000000"/>
              <w:bottom w:val="single" w:sz="4" w:space="0" w:color="000000"/>
              <w:right w:val="single" w:sz="4" w:space="0" w:color="000000"/>
            </w:tcBorders>
          </w:tcPr>
          <w:p>
            <w:pPr>
              <w:pStyle w:val="TableParagraph"/>
              <w:spacing w:line="254" w:lineRule="exact"/>
              <w:ind w:left="98" w:right="0"/>
              <w:jc w:val="left"/>
              <w:rPr>
                <w:rFonts w:ascii="宋体" w:hAnsi="宋体" w:cs="宋体" w:eastAsia="宋体" w:hint="default"/>
                <w:sz w:val="20"/>
                <w:szCs w:val="20"/>
              </w:rPr>
            </w:pPr>
            <w:r>
              <w:rPr>
                <w:rFonts w:ascii="宋体"/>
                <w:sz w:val="20"/>
              </w:rPr>
              <w:t>16</w:t>
            </w:r>
          </w:p>
        </w:tc>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复深蓝 “网络爬虫”信息抓取软件</w:t>
            </w:r>
            <w:r>
              <w:rPr>
                <w:rFonts w:ascii="宋体" w:hAnsi="宋体" w:cs="宋体" w:eastAsia="宋体" w:hint="default"/>
                <w:spacing w:val="-54"/>
                <w:sz w:val="20"/>
                <w:szCs w:val="20"/>
              </w:rPr>
              <w:t> </w:t>
            </w:r>
            <w:r>
              <w:rPr>
                <w:rFonts w:ascii="宋体" w:hAnsi="宋体" w:cs="宋体" w:eastAsia="宋体" w:hint="default"/>
                <w:sz w:val="20"/>
                <w:szCs w:val="20"/>
              </w:rPr>
              <w:t>V2.0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复深蓝</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84"/>
              <w:jc w:val="center"/>
              <w:rPr>
                <w:rFonts w:ascii="宋体" w:hAnsi="宋体" w:cs="宋体" w:eastAsia="宋体" w:hint="default"/>
                <w:sz w:val="20"/>
                <w:szCs w:val="20"/>
              </w:rPr>
            </w:pPr>
            <w:r>
              <w:rPr>
                <w:rFonts w:ascii="宋体" w:hAnsi="宋体" w:cs="宋体" w:eastAsia="宋体" w:hint="default"/>
                <w:sz w:val="20"/>
                <w:szCs w:val="20"/>
              </w:rPr>
              <w:t>自主研发</w:t>
            </w:r>
          </w:p>
        </w:tc>
        <w:tc>
          <w:tcPr>
            <w:tcW w:w="2551" w:type="dxa"/>
            <w:tcBorders>
              <w:top w:val="single" w:sz="4" w:space="0" w:color="000000"/>
              <w:left w:val="single" w:sz="4" w:space="0" w:color="000000"/>
              <w:bottom w:val="single" w:sz="4" w:space="0" w:color="000000"/>
              <w:right w:val="single" w:sz="8"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目前按计划已经完成</w:t>
            </w:r>
          </w:p>
        </w:tc>
      </w:tr>
      <w:tr>
        <w:trPr>
          <w:trHeight w:val="322" w:hRule="exact"/>
        </w:trPr>
        <w:tc>
          <w:tcPr>
            <w:tcW w:w="866" w:type="dxa"/>
            <w:tcBorders>
              <w:top w:val="single" w:sz="4" w:space="0" w:color="000000"/>
              <w:left w:val="single" w:sz="8" w:space="0" w:color="000000"/>
              <w:bottom w:val="single" w:sz="4" w:space="0" w:color="000000"/>
              <w:right w:val="single" w:sz="4" w:space="0" w:color="000000"/>
            </w:tcBorders>
          </w:tcPr>
          <w:p>
            <w:pPr>
              <w:pStyle w:val="TableParagraph"/>
              <w:spacing w:line="254" w:lineRule="exact"/>
              <w:ind w:left="98" w:right="0"/>
              <w:jc w:val="left"/>
              <w:rPr>
                <w:rFonts w:ascii="宋体" w:hAnsi="宋体" w:cs="宋体" w:eastAsia="宋体" w:hint="default"/>
                <w:sz w:val="20"/>
                <w:szCs w:val="20"/>
              </w:rPr>
            </w:pPr>
            <w:r>
              <w:rPr>
                <w:rFonts w:ascii="宋体"/>
                <w:sz w:val="20"/>
              </w:rPr>
              <w:t>17</w:t>
            </w:r>
          </w:p>
        </w:tc>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复深蓝移动应用自动化测试云平台</w:t>
            </w:r>
            <w:r>
              <w:rPr>
                <w:rFonts w:ascii="宋体" w:hAnsi="宋体" w:cs="宋体" w:eastAsia="宋体" w:hint="default"/>
                <w:spacing w:val="-52"/>
                <w:sz w:val="20"/>
                <w:szCs w:val="20"/>
              </w:rPr>
              <w:t> </w:t>
            </w:r>
            <w:r>
              <w:rPr>
                <w:rFonts w:ascii="宋体" w:hAnsi="宋体" w:cs="宋体" w:eastAsia="宋体" w:hint="default"/>
                <w:sz w:val="20"/>
                <w:szCs w:val="20"/>
              </w:rPr>
              <w:t>V1.0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复深蓝</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84"/>
              <w:jc w:val="center"/>
              <w:rPr>
                <w:rFonts w:ascii="宋体" w:hAnsi="宋体" w:cs="宋体" w:eastAsia="宋体" w:hint="default"/>
                <w:sz w:val="20"/>
                <w:szCs w:val="20"/>
              </w:rPr>
            </w:pPr>
            <w:r>
              <w:rPr>
                <w:rFonts w:ascii="宋体" w:hAnsi="宋体" w:cs="宋体" w:eastAsia="宋体" w:hint="default"/>
                <w:sz w:val="20"/>
                <w:szCs w:val="20"/>
              </w:rPr>
              <w:t>自主研发</w:t>
            </w:r>
          </w:p>
        </w:tc>
        <w:tc>
          <w:tcPr>
            <w:tcW w:w="2551" w:type="dxa"/>
            <w:tcBorders>
              <w:top w:val="single" w:sz="4" w:space="0" w:color="000000"/>
              <w:left w:val="single" w:sz="4" w:space="0" w:color="000000"/>
              <w:bottom w:val="single" w:sz="4" w:space="0" w:color="000000"/>
              <w:right w:val="single" w:sz="8"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目前已经在试运行阶段</w:t>
            </w:r>
          </w:p>
        </w:tc>
      </w:tr>
      <w:tr>
        <w:trPr>
          <w:trHeight w:val="324" w:hRule="exact"/>
        </w:trPr>
        <w:tc>
          <w:tcPr>
            <w:tcW w:w="866" w:type="dxa"/>
            <w:tcBorders>
              <w:top w:val="single" w:sz="4" w:space="0" w:color="000000"/>
              <w:left w:val="single" w:sz="8" w:space="0" w:color="000000"/>
              <w:bottom w:val="single" w:sz="4" w:space="0" w:color="000000"/>
              <w:right w:val="single" w:sz="4" w:space="0" w:color="000000"/>
            </w:tcBorders>
          </w:tcPr>
          <w:p>
            <w:pPr>
              <w:pStyle w:val="TableParagraph"/>
              <w:spacing w:line="256" w:lineRule="exact"/>
              <w:ind w:left="98" w:right="0"/>
              <w:jc w:val="left"/>
              <w:rPr>
                <w:rFonts w:ascii="宋体" w:hAnsi="宋体" w:cs="宋体" w:eastAsia="宋体" w:hint="default"/>
                <w:sz w:val="20"/>
                <w:szCs w:val="20"/>
              </w:rPr>
            </w:pPr>
            <w:r>
              <w:rPr>
                <w:rFonts w:ascii="宋体"/>
                <w:sz w:val="20"/>
              </w:rPr>
              <w:t>18</w:t>
            </w:r>
          </w:p>
        </w:tc>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复深蓝互联网金融内容发布平台软件</w:t>
            </w:r>
            <w:r>
              <w:rPr>
                <w:rFonts w:ascii="宋体" w:hAnsi="宋体" w:cs="宋体" w:eastAsia="宋体" w:hint="default"/>
                <w:spacing w:val="-53"/>
                <w:sz w:val="20"/>
                <w:szCs w:val="20"/>
              </w:rPr>
              <w:t> </w:t>
            </w:r>
            <w:r>
              <w:rPr>
                <w:rFonts w:ascii="宋体" w:hAnsi="宋体" w:cs="宋体" w:eastAsia="宋体" w:hint="default"/>
                <w:sz w:val="20"/>
                <w:szCs w:val="20"/>
              </w:rPr>
              <w:t>V1.0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复深蓝</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84"/>
              <w:jc w:val="center"/>
              <w:rPr>
                <w:rFonts w:ascii="宋体" w:hAnsi="宋体" w:cs="宋体" w:eastAsia="宋体" w:hint="default"/>
                <w:sz w:val="20"/>
                <w:szCs w:val="20"/>
              </w:rPr>
            </w:pPr>
            <w:r>
              <w:rPr>
                <w:rFonts w:ascii="宋体" w:hAnsi="宋体" w:cs="宋体" w:eastAsia="宋体" w:hint="default"/>
                <w:sz w:val="20"/>
                <w:szCs w:val="20"/>
              </w:rPr>
              <w:t>自主研发</w:t>
            </w:r>
          </w:p>
        </w:tc>
        <w:tc>
          <w:tcPr>
            <w:tcW w:w="2551" w:type="dxa"/>
            <w:tcBorders>
              <w:top w:val="single" w:sz="4" w:space="0" w:color="000000"/>
              <w:left w:val="single" w:sz="4" w:space="0" w:color="000000"/>
              <w:bottom w:val="single" w:sz="4" w:space="0" w:color="000000"/>
              <w:right w:val="single" w:sz="8"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目前按计划已经完成</w:t>
            </w:r>
          </w:p>
        </w:tc>
      </w:tr>
    </w:tbl>
    <w:p>
      <w:pPr>
        <w:spacing w:after="0" w:line="256" w:lineRule="exact"/>
        <w:jc w:val="left"/>
        <w:rPr>
          <w:rFonts w:ascii="宋体" w:hAnsi="宋体" w:cs="宋体" w:eastAsia="宋体" w:hint="default"/>
          <w:sz w:val="20"/>
          <w:szCs w:val="20"/>
        </w:rPr>
        <w:sectPr>
          <w:pgSz w:w="11910" w:h="16840"/>
          <w:pgMar w:header="745" w:footer="982" w:top="1060" w:bottom="1180" w:left="980" w:right="980"/>
        </w:sectPr>
      </w:pPr>
    </w:p>
    <w:p>
      <w:pPr>
        <w:spacing w:line="240" w:lineRule="auto" w:before="10"/>
        <w:rPr>
          <w:rFonts w:ascii="宋体" w:hAnsi="宋体" w:cs="宋体" w:eastAsia="宋体" w:hint="default"/>
          <w:sz w:val="27"/>
          <w:szCs w:val="27"/>
        </w:rPr>
      </w:pPr>
    </w:p>
    <w:tbl>
      <w:tblPr>
        <w:tblW w:w="0" w:type="auto"/>
        <w:jc w:val="left"/>
        <w:tblInd w:w="128" w:type="dxa"/>
        <w:tblLayout w:type="fixed"/>
        <w:tblCellMar>
          <w:top w:w="0" w:type="dxa"/>
          <w:left w:w="0" w:type="dxa"/>
          <w:bottom w:w="0" w:type="dxa"/>
          <w:right w:w="0" w:type="dxa"/>
        </w:tblCellMar>
        <w:tblLook w:val="01E0"/>
      </w:tblPr>
      <w:tblGrid>
        <w:gridCol w:w="866"/>
        <w:gridCol w:w="4006"/>
        <w:gridCol w:w="842"/>
        <w:gridCol w:w="1104"/>
        <w:gridCol w:w="2551"/>
      </w:tblGrid>
      <w:tr>
        <w:trPr>
          <w:trHeight w:val="317" w:hRule="exact"/>
        </w:trPr>
        <w:tc>
          <w:tcPr>
            <w:tcW w:w="866" w:type="dxa"/>
            <w:tcBorders>
              <w:top w:val="nil" w:sz="6" w:space="0" w:color="auto"/>
              <w:left w:val="single" w:sz="8" w:space="0" w:color="000000"/>
              <w:bottom w:val="single" w:sz="4" w:space="0" w:color="000000"/>
              <w:right w:val="single" w:sz="4" w:space="0" w:color="000000"/>
            </w:tcBorders>
          </w:tcPr>
          <w:p>
            <w:pPr>
              <w:pStyle w:val="TableParagraph"/>
              <w:spacing w:line="254" w:lineRule="exact"/>
              <w:ind w:left="98" w:right="0"/>
              <w:jc w:val="left"/>
              <w:rPr>
                <w:rFonts w:ascii="宋体" w:hAnsi="宋体" w:cs="宋体" w:eastAsia="宋体" w:hint="default"/>
                <w:sz w:val="20"/>
                <w:szCs w:val="20"/>
              </w:rPr>
            </w:pPr>
            <w:r>
              <w:rPr>
                <w:rFonts w:ascii="宋体"/>
                <w:sz w:val="20"/>
              </w:rPr>
              <w:t>19</w:t>
            </w:r>
          </w:p>
        </w:tc>
        <w:tc>
          <w:tcPr>
            <w:tcW w:w="4006" w:type="dxa"/>
            <w:tcBorders>
              <w:top w:val="nil" w:sz="6" w:space="0" w:color="auto"/>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复深蓝移动互联网</w:t>
            </w:r>
            <w:r>
              <w:rPr>
                <w:rFonts w:ascii="宋体" w:hAnsi="宋体" w:cs="宋体" w:eastAsia="宋体" w:hint="default"/>
                <w:spacing w:val="-51"/>
                <w:sz w:val="20"/>
                <w:szCs w:val="20"/>
              </w:rPr>
              <w:t> </w:t>
            </w:r>
            <w:r>
              <w:rPr>
                <w:rFonts w:ascii="宋体" w:hAnsi="宋体" w:cs="宋体" w:eastAsia="宋体" w:hint="default"/>
                <w:sz w:val="20"/>
                <w:szCs w:val="20"/>
              </w:rPr>
              <w:t>P2P</w:t>
            </w:r>
            <w:r>
              <w:rPr>
                <w:rFonts w:ascii="宋体" w:hAnsi="宋体" w:cs="宋体" w:eastAsia="宋体" w:hint="default"/>
                <w:spacing w:val="-50"/>
                <w:sz w:val="20"/>
                <w:szCs w:val="20"/>
              </w:rPr>
              <w:t> </w:t>
            </w:r>
            <w:r>
              <w:rPr>
                <w:rFonts w:ascii="宋体" w:hAnsi="宋体" w:cs="宋体" w:eastAsia="宋体" w:hint="default"/>
                <w:sz w:val="20"/>
                <w:szCs w:val="20"/>
              </w:rPr>
              <w:t>软件</w:t>
            </w:r>
            <w:r>
              <w:rPr>
                <w:rFonts w:ascii="宋体" w:hAnsi="宋体" w:cs="宋体" w:eastAsia="宋体" w:hint="default"/>
                <w:spacing w:val="-51"/>
                <w:sz w:val="20"/>
                <w:szCs w:val="20"/>
              </w:rPr>
              <w:t> </w:t>
            </w:r>
            <w:r>
              <w:rPr>
                <w:rFonts w:ascii="宋体" w:hAnsi="宋体" w:cs="宋体" w:eastAsia="宋体" w:hint="default"/>
                <w:sz w:val="20"/>
                <w:szCs w:val="20"/>
              </w:rPr>
              <w:t>V1.0</w:t>
            </w:r>
          </w:p>
        </w:tc>
        <w:tc>
          <w:tcPr>
            <w:tcW w:w="842" w:type="dxa"/>
            <w:tcBorders>
              <w:top w:val="nil" w:sz="6" w:space="0" w:color="auto"/>
              <w:left w:val="single" w:sz="4" w:space="0" w:color="000000"/>
              <w:bottom w:val="single" w:sz="4" w:space="0" w:color="000000"/>
              <w:right w:val="single" w:sz="4" w:space="0" w:color="000000"/>
            </w:tcBorders>
          </w:tcPr>
          <w:p>
            <w:pPr>
              <w:pStyle w:val="TableParagraph"/>
              <w:spacing w:line="254" w:lineRule="exact"/>
              <w:ind w:right="23"/>
              <w:jc w:val="center"/>
              <w:rPr>
                <w:rFonts w:ascii="宋体" w:hAnsi="宋体" w:cs="宋体" w:eastAsia="宋体" w:hint="default"/>
                <w:sz w:val="20"/>
                <w:szCs w:val="20"/>
              </w:rPr>
            </w:pPr>
            <w:r>
              <w:rPr>
                <w:rFonts w:ascii="宋体" w:hAnsi="宋体" w:cs="宋体" w:eastAsia="宋体" w:hint="default"/>
                <w:sz w:val="20"/>
                <w:szCs w:val="20"/>
              </w:rPr>
              <w:t>复深蓝</w:t>
            </w:r>
          </w:p>
        </w:tc>
        <w:tc>
          <w:tcPr>
            <w:tcW w:w="1104" w:type="dxa"/>
            <w:tcBorders>
              <w:top w:val="nil" w:sz="6" w:space="0" w:color="auto"/>
              <w:left w:val="single" w:sz="4" w:space="0" w:color="000000"/>
              <w:bottom w:val="single" w:sz="4" w:space="0" w:color="000000"/>
              <w:right w:val="single" w:sz="4" w:space="0" w:color="000000"/>
            </w:tcBorders>
          </w:tcPr>
          <w:p>
            <w:pPr>
              <w:pStyle w:val="TableParagraph"/>
              <w:spacing w:line="254" w:lineRule="exact"/>
              <w:ind w:right="84"/>
              <w:jc w:val="center"/>
              <w:rPr>
                <w:rFonts w:ascii="宋体" w:hAnsi="宋体" w:cs="宋体" w:eastAsia="宋体" w:hint="default"/>
                <w:sz w:val="20"/>
                <w:szCs w:val="20"/>
              </w:rPr>
            </w:pPr>
            <w:r>
              <w:rPr>
                <w:rFonts w:ascii="宋体" w:hAnsi="宋体" w:cs="宋体" w:eastAsia="宋体" w:hint="default"/>
                <w:sz w:val="20"/>
                <w:szCs w:val="20"/>
              </w:rPr>
              <w:t>自主研发</w:t>
            </w:r>
          </w:p>
        </w:tc>
        <w:tc>
          <w:tcPr>
            <w:tcW w:w="2551" w:type="dxa"/>
            <w:tcBorders>
              <w:top w:val="nil" w:sz="6" w:space="0" w:color="auto"/>
              <w:left w:val="single" w:sz="4" w:space="0" w:color="000000"/>
              <w:bottom w:val="single" w:sz="4" w:space="0" w:color="000000"/>
              <w:right w:val="single" w:sz="8"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目前按计划已经完成</w:t>
            </w:r>
          </w:p>
        </w:tc>
      </w:tr>
      <w:tr>
        <w:trPr>
          <w:trHeight w:val="322" w:hRule="exact"/>
        </w:trPr>
        <w:tc>
          <w:tcPr>
            <w:tcW w:w="866" w:type="dxa"/>
            <w:tcBorders>
              <w:top w:val="single" w:sz="4" w:space="0" w:color="000000"/>
              <w:left w:val="single" w:sz="8" w:space="0" w:color="000000"/>
              <w:bottom w:val="single" w:sz="4" w:space="0" w:color="000000"/>
              <w:right w:val="single" w:sz="4" w:space="0" w:color="000000"/>
            </w:tcBorders>
          </w:tcPr>
          <w:p>
            <w:pPr>
              <w:pStyle w:val="TableParagraph"/>
              <w:spacing w:line="254" w:lineRule="exact"/>
              <w:ind w:left="98" w:right="0"/>
              <w:jc w:val="left"/>
              <w:rPr>
                <w:rFonts w:ascii="宋体" w:hAnsi="宋体" w:cs="宋体" w:eastAsia="宋体" w:hint="default"/>
                <w:sz w:val="20"/>
                <w:szCs w:val="20"/>
              </w:rPr>
            </w:pPr>
            <w:r>
              <w:rPr>
                <w:rFonts w:ascii="宋体"/>
                <w:sz w:val="20"/>
              </w:rPr>
              <w:t>20</w:t>
            </w:r>
          </w:p>
        </w:tc>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复深蓝移动理财软件</w:t>
            </w:r>
            <w:r>
              <w:rPr>
                <w:rFonts w:ascii="宋体" w:hAnsi="宋体" w:cs="宋体" w:eastAsia="宋体" w:hint="default"/>
                <w:spacing w:val="-51"/>
                <w:sz w:val="20"/>
                <w:szCs w:val="20"/>
              </w:rPr>
              <w:t> </w:t>
            </w:r>
            <w:r>
              <w:rPr>
                <w:rFonts w:ascii="宋体" w:hAnsi="宋体" w:cs="宋体" w:eastAsia="宋体" w:hint="default"/>
                <w:sz w:val="20"/>
                <w:szCs w:val="20"/>
              </w:rPr>
              <w:t>V2.0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3"/>
              <w:jc w:val="center"/>
              <w:rPr>
                <w:rFonts w:ascii="宋体" w:hAnsi="宋体" w:cs="宋体" w:eastAsia="宋体" w:hint="default"/>
                <w:sz w:val="20"/>
                <w:szCs w:val="20"/>
              </w:rPr>
            </w:pPr>
            <w:r>
              <w:rPr>
                <w:rFonts w:ascii="宋体" w:hAnsi="宋体" w:cs="宋体" w:eastAsia="宋体" w:hint="default"/>
                <w:sz w:val="20"/>
                <w:szCs w:val="20"/>
              </w:rPr>
              <w:t>复深蓝</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84"/>
              <w:jc w:val="center"/>
              <w:rPr>
                <w:rFonts w:ascii="宋体" w:hAnsi="宋体" w:cs="宋体" w:eastAsia="宋体" w:hint="default"/>
                <w:sz w:val="20"/>
                <w:szCs w:val="20"/>
              </w:rPr>
            </w:pPr>
            <w:r>
              <w:rPr>
                <w:rFonts w:ascii="宋体" w:hAnsi="宋体" w:cs="宋体" w:eastAsia="宋体" w:hint="default"/>
                <w:sz w:val="20"/>
                <w:szCs w:val="20"/>
              </w:rPr>
              <w:t>自主研发</w:t>
            </w:r>
          </w:p>
        </w:tc>
        <w:tc>
          <w:tcPr>
            <w:tcW w:w="2551" w:type="dxa"/>
            <w:tcBorders>
              <w:top w:val="single" w:sz="4" w:space="0" w:color="000000"/>
              <w:left w:val="single" w:sz="4" w:space="0" w:color="000000"/>
              <w:bottom w:val="single" w:sz="4" w:space="0" w:color="000000"/>
              <w:right w:val="single" w:sz="8"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目前按计划已经完成</w:t>
            </w:r>
          </w:p>
        </w:tc>
      </w:tr>
      <w:tr>
        <w:trPr>
          <w:trHeight w:val="322" w:hRule="exact"/>
        </w:trPr>
        <w:tc>
          <w:tcPr>
            <w:tcW w:w="866" w:type="dxa"/>
            <w:tcBorders>
              <w:top w:val="single" w:sz="4" w:space="0" w:color="000000"/>
              <w:left w:val="single" w:sz="8" w:space="0" w:color="000000"/>
              <w:bottom w:val="single" w:sz="4" w:space="0" w:color="000000"/>
              <w:right w:val="single" w:sz="4" w:space="0" w:color="000000"/>
            </w:tcBorders>
          </w:tcPr>
          <w:p>
            <w:pPr>
              <w:pStyle w:val="TableParagraph"/>
              <w:spacing w:line="254" w:lineRule="exact"/>
              <w:ind w:left="98" w:right="0"/>
              <w:jc w:val="left"/>
              <w:rPr>
                <w:rFonts w:ascii="宋体" w:hAnsi="宋体" w:cs="宋体" w:eastAsia="宋体" w:hint="default"/>
                <w:sz w:val="20"/>
                <w:szCs w:val="20"/>
              </w:rPr>
            </w:pPr>
            <w:r>
              <w:rPr>
                <w:rFonts w:ascii="宋体"/>
                <w:sz w:val="20"/>
              </w:rPr>
              <w:t>21</w:t>
            </w:r>
          </w:p>
        </w:tc>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复深蓝一站式银保通系统软件</w:t>
            </w:r>
            <w:r>
              <w:rPr>
                <w:rFonts w:ascii="宋体" w:hAnsi="宋体" w:cs="宋体" w:eastAsia="宋体" w:hint="default"/>
                <w:spacing w:val="-51"/>
                <w:sz w:val="20"/>
                <w:szCs w:val="20"/>
              </w:rPr>
              <w:t> </w:t>
            </w:r>
            <w:r>
              <w:rPr>
                <w:rFonts w:ascii="宋体" w:hAnsi="宋体" w:cs="宋体" w:eastAsia="宋体" w:hint="default"/>
                <w:sz w:val="20"/>
                <w:szCs w:val="20"/>
              </w:rPr>
              <w:t>V1.0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3"/>
              <w:jc w:val="center"/>
              <w:rPr>
                <w:rFonts w:ascii="宋体" w:hAnsi="宋体" w:cs="宋体" w:eastAsia="宋体" w:hint="default"/>
                <w:sz w:val="20"/>
                <w:szCs w:val="20"/>
              </w:rPr>
            </w:pPr>
            <w:r>
              <w:rPr>
                <w:rFonts w:ascii="宋体" w:hAnsi="宋体" w:cs="宋体" w:eastAsia="宋体" w:hint="default"/>
                <w:sz w:val="20"/>
                <w:szCs w:val="20"/>
              </w:rPr>
              <w:t>复深蓝</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84"/>
              <w:jc w:val="center"/>
              <w:rPr>
                <w:rFonts w:ascii="宋体" w:hAnsi="宋体" w:cs="宋体" w:eastAsia="宋体" w:hint="default"/>
                <w:sz w:val="20"/>
                <w:szCs w:val="20"/>
              </w:rPr>
            </w:pPr>
            <w:r>
              <w:rPr>
                <w:rFonts w:ascii="宋体" w:hAnsi="宋体" w:cs="宋体" w:eastAsia="宋体" w:hint="default"/>
                <w:sz w:val="20"/>
                <w:szCs w:val="20"/>
              </w:rPr>
              <w:t>自主研发</w:t>
            </w:r>
          </w:p>
        </w:tc>
        <w:tc>
          <w:tcPr>
            <w:tcW w:w="2551" w:type="dxa"/>
            <w:tcBorders>
              <w:top w:val="single" w:sz="4" w:space="0" w:color="000000"/>
              <w:left w:val="single" w:sz="4" w:space="0" w:color="000000"/>
              <w:bottom w:val="single" w:sz="4" w:space="0" w:color="000000"/>
              <w:right w:val="single" w:sz="8"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目前按计划已经完成</w:t>
            </w:r>
          </w:p>
        </w:tc>
      </w:tr>
      <w:tr>
        <w:trPr>
          <w:trHeight w:val="322" w:hRule="exact"/>
        </w:trPr>
        <w:tc>
          <w:tcPr>
            <w:tcW w:w="866" w:type="dxa"/>
            <w:tcBorders>
              <w:top w:val="single" w:sz="4" w:space="0" w:color="000000"/>
              <w:left w:val="single" w:sz="8" w:space="0" w:color="000000"/>
              <w:bottom w:val="single" w:sz="4" w:space="0" w:color="000000"/>
              <w:right w:val="single" w:sz="4" w:space="0" w:color="000000"/>
            </w:tcBorders>
          </w:tcPr>
          <w:p>
            <w:pPr>
              <w:pStyle w:val="TableParagraph"/>
              <w:spacing w:line="254" w:lineRule="exact"/>
              <w:ind w:left="98" w:right="0"/>
              <w:jc w:val="left"/>
              <w:rPr>
                <w:rFonts w:ascii="宋体" w:hAnsi="宋体" w:cs="宋体" w:eastAsia="宋体" w:hint="default"/>
                <w:sz w:val="20"/>
                <w:szCs w:val="20"/>
              </w:rPr>
            </w:pPr>
            <w:r>
              <w:rPr>
                <w:rFonts w:ascii="宋体"/>
                <w:sz w:val="20"/>
              </w:rPr>
              <w:t>22</w:t>
            </w:r>
          </w:p>
        </w:tc>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复深蓝消费贷系统软件</w:t>
            </w:r>
            <w:r>
              <w:rPr>
                <w:rFonts w:ascii="宋体" w:hAnsi="宋体" w:cs="宋体" w:eastAsia="宋体" w:hint="default"/>
                <w:spacing w:val="-52"/>
                <w:sz w:val="20"/>
                <w:szCs w:val="20"/>
              </w:rPr>
              <w:t> </w:t>
            </w:r>
            <w:r>
              <w:rPr>
                <w:rFonts w:ascii="宋体" w:hAnsi="宋体" w:cs="宋体" w:eastAsia="宋体" w:hint="default"/>
                <w:sz w:val="20"/>
                <w:szCs w:val="20"/>
              </w:rPr>
              <w:t>V1.0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3"/>
              <w:jc w:val="center"/>
              <w:rPr>
                <w:rFonts w:ascii="宋体" w:hAnsi="宋体" w:cs="宋体" w:eastAsia="宋体" w:hint="default"/>
                <w:sz w:val="20"/>
                <w:szCs w:val="20"/>
              </w:rPr>
            </w:pPr>
            <w:r>
              <w:rPr>
                <w:rFonts w:ascii="宋体" w:hAnsi="宋体" w:cs="宋体" w:eastAsia="宋体" w:hint="default"/>
                <w:sz w:val="20"/>
                <w:szCs w:val="20"/>
              </w:rPr>
              <w:t>复深蓝</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84"/>
              <w:jc w:val="center"/>
              <w:rPr>
                <w:rFonts w:ascii="宋体" w:hAnsi="宋体" w:cs="宋体" w:eastAsia="宋体" w:hint="default"/>
                <w:sz w:val="20"/>
                <w:szCs w:val="20"/>
              </w:rPr>
            </w:pPr>
            <w:r>
              <w:rPr>
                <w:rFonts w:ascii="宋体" w:hAnsi="宋体" w:cs="宋体" w:eastAsia="宋体" w:hint="default"/>
                <w:sz w:val="20"/>
                <w:szCs w:val="20"/>
              </w:rPr>
              <w:t>自主研发</w:t>
            </w:r>
          </w:p>
        </w:tc>
        <w:tc>
          <w:tcPr>
            <w:tcW w:w="2551" w:type="dxa"/>
            <w:tcBorders>
              <w:top w:val="single" w:sz="4" w:space="0" w:color="000000"/>
              <w:left w:val="single" w:sz="4" w:space="0" w:color="000000"/>
              <w:bottom w:val="single" w:sz="4" w:space="0" w:color="000000"/>
              <w:right w:val="single" w:sz="8"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目前按计划已经完成</w:t>
            </w:r>
          </w:p>
        </w:tc>
      </w:tr>
      <w:tr>
        <w:trPr>
          <w:trHeight w:val="636" w:hRule="exact"/>
        </w:trPr>
        <w:tc>
          <w:tcPr>
            <w:tcW w:w="866" w:type="dxa"/>
            <w:tcBorders>
              <w:top w:val="single" w:sz="4" w:space="0" w:color="000000"/>
              <w:left w:val="single" w:sz="8" w:space="0" w:color="000000"/>
              <w:bottom w:val="single" w:sz="4" w:space="0" w:color="000000"/>
              <w:right w:val="single" w:sz="4" w:space="0" w:color="000000"/>
            </w:tcBorders>
          </w:tcPr>
          <w:p>
            <w:pPr>
              <w:pStyle w:val="TableParagraph"/>
              <w:spacing w:line="256" w:lineRule="exact"/>
              <w:ind w:left="98" w:right="0"/>
              <w:jc w:val="left"/>
              <w:rPr>
                <w:rFonts w:ascii="宋体" w:hAnsi="宋体" w:cs="宋体" w:eastAsia="宋体" w:hint="default"/>
                <w:sz w:val="20"/>
                <w:szCs w:val="20"/>
              </w:rPr>
            </w:pPr>
            <w:r>
              <w:rPr>
                <w:rFonts w:ascii="宋体"/>
                <w:sz w:val="20"/>
              </w:rPr>
              <w:t>23</w:t>
            </w:r>
          </w:p>
        </w:tc>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复深蓝精灵云测测试平台项目</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3"/>
              <w:jc w:val="center"/>
              <w:rPr>
                <w:rFonts w:ascii="宋体" w:hAnsi="宋体" w:cs="宋体" w:eastAsia="宋体" w:hint="default"/>
                <w:sz w:val="20"/>
                <w:szCs w:val="20"/>
              </w:rPr>
            </w:pPr>
            <w:r>
              <w:rPr>
                <w:rFonts w:ascii="宋体" w:hAnsi="宋体" w:cs="宋体" w:eastAsia="宋体" w:hint="default"/>
                <w:sz w:val="20"/>
                <w:szCs w:val="20"/>
              </w:rPr>
              <w:t>复深蓝</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84"/>
              <w:jc w:val="center"/>
              <w:rPr>
                <w:rFonts w:ascii="宋体" w:hAnsi="宋体" w:cs="宋体" w:eastAsia="宋体" w:hint="default"/>
                <w:sz w:val="20"/>
                <w:szCs w:val="20"/>
              </w:rPr>
            </w:pPr>
            <w:r>
              <w:rPr>
                <w:rFonts w:ascii="宋体" w:hAnsi="宋体" w:cs="宋体" w:eastAsia="宋体" w:hint="default"/>
                <w:sz w:val="20"/>
                <w:szCs w:val="20"/>
              </w:rPr>
              <w:t>自主研发</w:t>
            </w:r>
          </w:p>
        </w:tc>
        <w:tc>
          <w:tcPr>
            <w:tcW w:w="2551" w:type="dxa"/>
            <w:tcBorders>
              <w:top w:val="single" w:sz="4" w:space="0" w:color="000000"/>
              <w:left w:val="single" w:sz="4" w:space="0" w:color="000000"/>
              <w:bottom w:val="single" w:sz="4" w:space="0" w:color="000000"/>
              <w:right w:val="single" w:sz="8" w:space="0" w:color="000000"/>
            </w:tcBorders>
          </w:tcPr>
          <w:p>
            <w:pPr>
              <w:pStyle w:val="TableParagraph"/>
              <w:spacing w:line="285" w:lineRule="auto"/>
              <w:ind w:left="103" w:right="98"/>
              <w:jc w:val="left"/>
              <w:rPr>
                <w:rFonts w:ascii="宋体" w:hAnsi="宋体" w:cs="宋体" w:eastAsia="宋体" w:hint="default"/>
                <w:sz w:val="20"/>
                <w:szCs w:val="20"/>
              </w:rPr>
            </w:pPr>
            <w:r>
              <w:rPr>
                <w:rFonts w:ascii="宋体" w:hAnsi="宋体" w:cs="宋体" w:eastAsia="宋体" w:hint="default"/>
                <w:spacing w:val="-5"/>
                <w:sz w:val="20"/>
                <w:szCs w:val="20"/>
              </w:rPr>
              <w:t>目前按照计划，已经完成系</w:t>
            </w:r>
            <w:r>
              <w:rPr>
                <w:rFonts w:ascii="宋体" w:hAnsi="宋体" w:cs="宋体" w:eastAsia="宋体" w:hint="default"/>
                <w:w w:val="99"/>
                <w:sz w:val="20"/>
                <w:szCs w:val="20"/>
              </w:rPr>
              <w:t> </w:t>
            </w:r>
            <w:r>
              <w:rPr>
                <w:rFonts w:ascii="宋体" w:hAnsi="宋体" w:cs="宋体" w:eastAsia="宋体" w:hint="default"/>
                <w:sz w:val="20"/>
                <w:szCs w:val="20"/>
              </w:rPr>
              <w:t>统的架构和功能设计。</w:t>
            </w:r>
          </w:p>
        </w:tc>
      </w:tr>
      <w:tr>
        <w:trPr>
          <w:trHeight w:val="322" w:hRule="exact"/>
        </w:trPr>
        <w:tc>
          <w:tcPr>
            <w:tcW w:w="866" w:type="dxa"/>
            <w:tcBorders>
              <w:top w:val="single" w:sz="4" w:space="0" w:color="000000"/>
              <w:left w:val="single" w:sz="8" w:space="0" w:color="000000"/>
              <w:bottom w:val="single" w:sz="4" w:space="0" w:color="000000"/>
              <w:right w:val="single" w:sz="4" w:space="0" w:color="000000"/>
            </w:tcBorders>
          </w:tcPr>
          <w:p>
            <w:pPr>
              <w:pStyle w:val="TableParagraph"/>
              <w:spacing w:line="254" w:lineRule="exact"/>
              <w:ind w:left="98" w:right="0"/>
              <w:jc w:val="left"/>
              <w:rPr>
                <w:rFonts w:ascii="宋体" w:hAnsi="宋体" w:cs="宋体" w:eastAsia="宋体" w:hint="default"/>
                <w:sz w:val="20"/>
                <w:szCs w:val="20"/>
              </w:rPr>
            </w:pPr>
            <w:r>
              <w:rPr>
                <w:rFonts w:ascii="宋体"/>
                <w:sz w:val="20"/>
              </w:rPr>
              <w:t>24</w:t>
            </w:r>
          </w:p>
        </w:tc>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复深蓝</w:t>
            </w:r>
            <w:r>
              <w:rPr>
                <w:rFonts w:ascii="宋体" w:hAnsi="宋体" w:cs="宋体" w:eastAsia="宋体" w:hint="default"/>
                <w:spacing w:val="-53"/>
                <w:sz w:val="20"/>
                <w:szCs w:val="20"/>
              </w:rPr>
              <w:t> </w:t>
            </w:r>
            <w:r>
              <w:rPr>
                <w:rFonts w:ascii="宋体" w:hAnsi="宋体" w:cs="宋体" w:eastAsia="宋体" w:hint="default"/>
                <w:sz w:val="20"/>
                <w:szCs w:val="20"/>
              </w:rPr>
              <w:t>J2EE</w:t>
            </w:r>
            <w:r>
              <w:rPr>
                <w:rFonts w:ascii="宋体" w:hAnsi="宋体" w:cs="宋体" w:eastAsia="宋体" w:hint="default"/>
                <w:spacing w:val="-52"/>
                <w:sz w:val="20"/>
                <w:szCs w:val="20"/>
              </w:rPr>
              <w:t> </w:t>
            </w:r>
            <w:r>
              <w:rPr>
                <w:rFonts w:ascii="宋体" w:hAnsi="宋体" w:cs="宋体" w:eastAsia="宋体" w:hint="default"/>
                <w:sz w:val="20"/>
                <w:szCs w:val="20"/>
              </w:rPr>
              <w:t>应用开发框架平台</w:t>
            </w:r>
            <w:r>
              <w:rPr>
                <w:rFonts w:ascii="宋体" w:hAnsi="宋体" w:cs="宋体" w:eastAsia="宋体" w:hint="default"/>
                <w:spacing w:val="-53"/>
                <w:sz w:val="20"/>
                <w:szCs w:val="20"/>
              </w:rPr>
              <w:t> </w:t>
            </w:r>
            <w:r>
              <w:rPr>
                <w:rFonts w:ascii="宋体" w:hAnsi="宋体" w:cs="宋体" w:eastAsia="宋体" w:hint="default"/>
                <w:sz w:val="20"/>
                <w:szCs w:val="20"/>
              </w:rPr>
              <w:t>JDEV(V3.0)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3"/>
              <w:jc w:val="center"/>
              <w:rPr>
                <w:rFonts w:ascii="宋体" w:hAnsi="宋体" w:cs="宋体" w:eastAsia="宋体" w:hint="default"/>
                <w:sz w:val="20"/>
                <w:szCs w:val="20"/>
              </w:rPr>
            </w:pPr>
            <w:r>
              <w:rPr>
                <w:rFonts w:ascii="宋体" w:hAnsi="宋体" w:cs="宋体" w:eastAsia="宋体" w:hint="default"/>
                <w:sz w:val="20"/>
                <w:szCs w:val="20"/>
              </w:rPr>
              <w:t>复深蓝</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84"/>
              <w:jc w:val="center"/>
              <w:rPr>
                <w:rFonts w:ascii="宋体" w:hAnsi="宋体" w:cs="宋体" w:eastAsia="宋体" w:hint="default"/>
                <w:sz w:val="20"/>
                <w:szCs w:val="20"/>
              </w:rPr>
            </w:pPr>
            <w:r>
              <w:rPr>
                <w:rFonts w:ascii="宋体" w:hAnsi="宋体" w:cs="宋体" w:eastAsia="宋体" w:hint="default"/>
                <w:sz w:val="20"/>
                <w:szCs w:val="20"/>
              </w:rPr>
              <w:t>自主研发</w:t>
            </w:r>
          </w:p>
        </w:tc>
        <w:tc>
          <w:tcPr>
            <w:tcW w:w="2551" w:type="dxa"/>
            <w:tcBorders>
              <w:top w:val="single" w:sz="4" w:space="0" w:color="000000"/>
              <w:left w:val="single" w:sz="4" w:space="0" w:color="000000"/>
              <w:bottom w:val="single" w:sz="4" w:space="0" w:color="000000"/>
              <w:right w:val="single" w:sz="8"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目前已经在试运行阶段</w:t>
            </w:r>
          </w:p>
        </w:tc>
      </w:tr>
      <w:tr>
        <w:trPr>
          <w:trHeight w:val="322" w:hRule="exact"/>
        </w:trPr>
        <w:tc>
          <w:tcPr>
            <w:tcW w:w="866" w:type="dxa"/>
            <w:tcBorders>
              <w:top w:val="single" w:sz="4" w:space="0" w:color="000000"/>
              <w:left w:val="single" w:sz="8" w:space="0" w:color="000000"/>
              <w:bottom w:val="single" w:sz="4" w:space="0" w:color="000000"/>
              <w:right w:val="single" w:sz="4" w:space="0" w:color="000000"/>
            </w:tcBorders>
          </w:tcPr>
          <w:p>
            <w:pPr>
              <w:pStyle w:val="TableParagraph"/>
              <w:spacing w:line="254" w:lineRule="exact"/>
              <w:ind w:left="98" w:right="0"/>
              <w:jc w:val="left"/>
              <w:rPr>
                <w:rFonts w:ascii="宋体" w:hAnsi="宋体" w:cs="宋体" w:eastAsia="宋体" w:hint="default"/>
                <w:sz w:val="20"/>
                <w:szCs w:val="20"/>
              </w:rPr>
            </w:pPr>
            <w:r>
              <w:rPr>
                <w:rFonts w:ascii="宋体"/>
                <w:sz w:val="20"/>
              </w:rPr>
              <w:t>25</w:t>
            </w:r>
          </w:p>
        </w:tc>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复深蓝微信应用平台</w:t>
            </w:r>
            <w:r>
              <w:rPr>
                <w:rFonts w:ascii="宋体" w:hAnsi="宋体" w:cs="宋体" w:eastAsia="宋体" w:hint="default"/>
                <w:spacing w:val="-51"/>
                <w:sz w:val="20"/>
                <w:szCs w:val="20"/>
              </w:rPr>
              <w:t> </w:t>
            </w:r>
            <w:r>
              <w:rPr>
                <w:rFonts w:ascii="宋体" w:hAnsi="宋体" w:cs="宋体" w:eastAsia="宋体" w:hint="default"/>
                <w:sz w:val="20"/>
                <w:szCs w:val="20"/>
              </w:rPr>
              <w:t>V1.0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3"/>
              <w:jc w:val="center"/>
              <w:rPr>
                <w:rFonts w:ascii="宋体" w:hAnsi="宋体" w:cs="宋体" w:eastAsia="宋体" w:hint="default"/>
                <w:sz w:val="20"/>
                <w:szCs w:val="20"/>
              </w:rPr>
            </w:pPr>
            <w:r>
              <w:rPr>
                <w:rFonts w:ascii="宋体" w:hAnsi="宋体" w:cs="宋体" w:eastAsia="宋体" w:hint="default"/>
                <w:sz w:val="20"/>
                <w:szCs w:val="20"/>
              </w:rPr>
              <w:t>复深蓝</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84"/>
              <w:jc w:val="center"/>
              <w:rPr>
                <w:rFonts w:ascii="宋体" w:hAnsi="宋体" w:cs="宋体" w:eastAsia="宋体" w:hint="default"/>
                <w:sz w:val="20"/>
                <w:szCs w:val="20"/>
              </w:rPr>
            </w:pPr>
            <w:r>
              <w:rPr>
                <w:rFonts w:ascii="宋体" w:hAnsi="宋体" w:cs="宋体" w:eastAsia="宋体" w:hint="default"/>
                <w:sz w:val="20"/>
                <w:szCs w:val="20"/>
              </w:rPr>
              <w:t>自主研发</w:t>
            </w:r>
          </w:p>
        </w:tc>
        <w:tc>
          <w:tcPr>
            <w:tcW w:w="2551" w:type="dxa"/>
            <w:tcBorders>
              <w:top w:val="single" w:sz="4" w:space="0" w:color="000000"/>
              <w:left w:val="single" w:sz="4" w:space="0" w:color="000000"/>
              <w:bottom w:val="single" w:sz="4" w:space="0" w:color="000000"/>
              <w:right w:val="single" w:sz="8"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目前已经在试运行阶段</w:t>
            </w:r>
          </w:p>
        </w:tc>
      </w:tr>
      <w:tr>
        <w:trPr>
          <w:trHeight w:val="638" w:hRule="exact"/>
        </w:trPr>
        <w:tc>
          <w:tcPr>
            <w:tcW w:w="866" w:type="dxa"/>
            <w:tcBorders>
              <w:top w:val="single" w:sz="4" w:space="0" w:color="000000"/>
              <w:left w:val="single" w:sz="8" w:space="0" w:color="000000"/>
              <w:bottom w:val="single" w:sz="8" w:space="0" w:color="000000"/>
              <w:right w:val="single" w:sz="4" w:space="0" w:color="000000"/>
            </w:tcBorders>
          </w:tcPr>
          <w:p>
            <w:pPr>
              <w:pStyle w:val="TableParagraph"/>
              <w:spacing w:line="254" w:lineRule="exact"/>
              <w:ind w:left="98" w:right="0"/>
              <w:jc w:val="left"/>
              <w:rPr>
                <w:rFonts w:ascii="宋体" w:hAnsi="宋体" w:cs="宋体" w:eastAsia="宋体" w:hint="default"/>
                <w:sz w:val="20"/>
                <w:szCs w:val="20"/>
              </w:rPr>
            </w:pPr>
            <w:r>
              <w:rPr>
                <w:rFonts w:ascii="宋体"/>
                <w:sz w:val="20"/>
              </w:rPr>
              <w:t>26</w:t>
            </w:r>
          </w:p>
        </w:tc>
        <w:tc>
          <w:tcPr>
            <w:tcW w:w="400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复深蓝金融企业代理人招募软件</w:t>
            </w:r>
            <w:r>
              <w:rPr>
                <w:rFonts w:ascii="宋体" w:hAnsi="宋体" w:cs="宋体" w:eastAsia="宋体" w:hint="default"/>
                <w:spacing w:val="-51"/>
                <w:sz w:val="20"/>
                <w:szCs w:val="20"/>
              </w:rPr>
              <w:t> </w:t>
            </w:r>
            <w:r>
              <w:rPr>
                <w:rFonts w:ascii="宋体" w:hAnsi="宋体" w:cs="宋体" w:eastAsia="宋体" w:hint="default"/>
                <w:sz w:val="20"/>
                <w:szCs w:val="20"/>
              </w:rPr>
              <w:t>V1.0</w:t>
            </w:r>
          </w:p>
        </w:tc>
        <w:tc>
          <w:tcPr>
            <w:tcW w:w="84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8"/>
              <w:ind w:right="23"/>
              <w:jc w:val="center"/>
              <w:rPr>
                <w:rFonts w:ascii="宋体" w:hAnsi="宋体" w:cs="宋体" w:eastAsia="宋体" w:hint="default"/>
                <w:sz w:val="20"/>
                <w:szCs w:val="20"/>
              </w:rPr>
            </w:pPr>
            <w:r>
              <w:rPr>
                <w:rFonts w:ascii="宋体" w:hAnsi="宋体" w:cs="宋体" w:eastAsia="宋体" w:hint="default"/>
                <w:sz w:val="20"/>
                <w:szCs w:val="20"/>
              </w:rPr>
              <w:t>复深蓝</w:t>
            </w:r>
          </w:p>
        </w:tc>
        <w:tc>
          <w:tcPr>
            <w:tcW w:w="110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8"/>
              <w:ind w:right="84"/>
              <w:jc w:val="center"/>
              <w:rPr>
                <w:rFonts w:ascii="宋体" w:hAnsi="宋体" w:cs="宋体" w:eastAsia="宋体" w:hint="default"/>
                <w:sz w:val="20"/>
                <w:szCs w:val="20"/>
              </w:rPr>
            </w:pPr>
            <w:r>
              <w:rPr>
                <w:rFonts w:ascii="宋体" w:hAnsi="宋体" w:cs="宋体" w:eastAsia="宋体" w:hint="default"/>
                <w:sz w:val="20"/>
                <w:szCs w:val="20"/>
              </w:rPr>
              <w:t>自主研发</w:t>
            </w:r>
          </w:p>
        </w:tc>
        <w:tc>
          <w:tcPr>
            <w:tcW w:w="2551" w:type="dxa"/>
            <w:tcBorders>
              <w:top w:val="single" w:sz="4" w:space="0" w:color="000000"/>
              <w:left w:val="single" w:sz="4" w:space="0" w:color="000000"/>
              <w:bottom w:val="single" w:sz="8" w:space="0" w:color="000000"/>
              <w:right w:val="single" w:sz="8" w:space="0" w:color="000000"/>
            </w:tcBorders>
          </w:tcPr>
          <w:p>
            <w:pPr>
              <w:pStyle w:val="TableParagraph"/>
              <w:spacing w:line="285" w:lineRule="auto"/>
              <w:ind w:left="103" w:right="98"/>
              <w:jc w:val="left"/>
              <w:rPr>
                <w:rFonts w:ascii="宋体" w:hAnsi="宋体" w:cs="宋体" w:eastAsia="宋体" w:hint="default"/>
                <w:sz w:val="20"/>
                <w:szCs w:val="20"/>
              </w:rPr>
            </w:pPr>
            <w:r>
              <w:rPr>
                <w:rFonts w:ascii="宋体" w:hAnsi="宋体" w:cs="宋体" w:eastAsia="宋体" w:hint="default"/>
                <w:spacing w:val="-5"/>
                <w:sz w:val="20"/>
                <w:szCs w:val="20"/>
              </w:rPr>
              <w:t>目前按照计划，项目进入测</w:t>
            </w:r>
            <w:r>
              <w:rPr>
                <w:rFonts w:ascii="宋体" w:hAnsi="宋体" w:cs="宋体" w:eastAsia="宋体" w:hint="default"/>
                <w:w w:val="99"/>
                <w:sz w:val="20"/>
                <w:szCs w:val="20"/>
              </w:rPr>
              <w:t> </w:t>
            </w:r>
            <w:r>
              <w:rPr>
                <w:rFonts w:ascii="宋体" w:hAnsi="宋体" w:cs="宋体" w:eastAsia="宋体" w:hint="default"/>
                <w:sz w:val="20"/>
                <w:szCs w:val="20"/>
              </w:rPr>
              <w:t>试阶段</w:t>
            </w:r>
          </w:p>
        </w:tc>
      </w:tr>
    </w:tbl>
    <w:p>
      <w:pPr>
        <w:spacing w:line="240" w:lineRule="auto" w:before="2"/>
        <w:rPr>
          <w:rFonts w:ascii="宋体" w:hAnsi="宋体" w:cs="宋体" w:eastAsia="宋体" w:hint="default"/>
          <w:sz w:val="24"/>
          <w:szCs w:val="24"/>
        </w:rPr>
      </w:pPr>
    </w:p>
    <w:p>
      <w:pPr>
        <w:spacing w:before="44"/>
        <w:ind w:left="152" w:right="0" w:firstLine="0"/>
        <w:jc w:val="left"/>
        <w:rPr>
          <w:rFonts w:ascii="宋体" w:hAnsi="宋体" w:cs="宋体" w:eastAsia="宋体" w:hint="default"/>
          <w:sz w:val="18"/>
          <w:szCs w:val="18"/>
        </w:rPr>
      </w:pPr>
      <w:bookmarkStart w:name="5、现金流" w:id="38"/>
      <w:bookmarkEnd w:id="38"/>
      <w:r>
        <w:rPr/>
      </w:r>
      <w:r>
        <w:rPr>
          <w:rFonts w:ascii="宋体" w:hAnsi="宋体" w:cs="宋体" w:eastAsia="宋体" w:hint="default"/>
          <w:sz w:val="18"/>
          <w:szCs w:val="18"/>
        </w:rPr>
        <w:t>近三年公司研发投入金额及占营业收入的比例</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2"/>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16.17%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43,772,092.50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35,163,993.38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29,867,868.11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11.08%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40" w:lineRule="auto" w:before="115"/>
        <w:ind w:left="152" w:right="581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研发投入资本化率大幅变动的原因及其合理性说明</w:t>
      </w:r>
    </w:p>
    <w:p>
      <w:pPr>
        <w:spacing w:line="338" w:lineRule="auto" w:before="41"/>
        <w:ind w:left="153" w:right="8333"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近两年专利数情况</w:t>
      </w:r>
    </w:p>
    <w:p>
      <w:pPr>
        <w:spacing w:before="4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96"/>
        <w:gridCol w:w="2113"/>
        <w:gridCol w:w="2225"/>
        <w:gridCol w:w="2023"/>
      </w:tblGrid>
      <w:tr>
        <w:trPr>
          <w:trHeight w:val="401" w:hRule="exact"/>
        </w:trPr>
        <w:tc>
          <w:tcPr>
            <w:tcW w:w="319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1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已申请</w:t>
            </w:r>
          </w:p>
        </w:tc>
        <w:tc>
          <w:tcPr>
            <w:tcW w:w="22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已获得</w:t>
            </w:r>
          </w:p>
        </w:tc>
        <w:tc>
          <w:tcPr>
            <w:tcW w:w="20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截至报告期末累计获得</w:t>
            </w:r>
          </w:p>
        </w:tc>
      </w:tr>
      <w:tr>
        <w:trPr>
          <w:trHeight w:val="403" w:hRule="exact"/>
        </w:trPr>
        <w:tc>
          <w:tcPr>
            <w:tcW w:w="3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21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21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21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3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113"/>
              <w:jc w:val="left"/>
              <w:rPr>
                <w:rFonts w:ascii="宋体" w:hAnsi="宋体" w:cs="宋体" w:eastAsia="宋体" w:hint="default"/>
                <w:sz w:val="18"/>
                <w:szCs w:val="18"/>
              </w:rPr>
            </w:pPr>
            <w:r>
              <w:rPr>
                <w:rFonts w:ascii="宋体" w:hAnsi="宋体" w:cs="宋体" w:eastAsia="宋体" w:hint="default"/>
                <w:sz w:val="18"/>
                <w:szCs w:val="18"/>
              </w:rPr>
              <w:t>本年度核心技术团队或关键技术人员变 动情况</w:t>
            </w:r>
          </w:p>
        </w:tc>
        <w:tc>
          <w:tcPr>
            <w:tcW w:w="6361" w:type="dxa"/>
            <w:gridSpan w:val="3"/>
            <w:tcBorders>
              <w:top w:val="single" w:sz="4" w:space="0" w:color="000000"/>
              <w:left w:val="single" w:sz="10"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本年度核心技术团队关键技术人员未发生变动。</w:t>
            </w:r>
          </w:p>
        </w:tc>
      </w:tr>
      <w:tr>
        <w:trPr>
          <w:trHeight w:val="403" w:hRule="exact"/>
        </w:trPr>
        <w:tc>
          <w:tcPr>
            <w:tcW w:w="3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是否属于科技部认定高新企业</w:t>
            </w:r>
          </w:p>
        </w:tc>
        <w:tc>
          <w:tcPr>
            <w:tcW w:w="6361" w:type="dxa"/>
            <w:gridSpan w:val="3"/>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69"/>
        <w:gridCol w:w="2402"/>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434,801,208.60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435,999,424.38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-0.27%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400,829,482.85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382,049,049.56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33,971,725.75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53,950,374.82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-37.03%</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35,290.00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8,834,350.00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-99.60%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95,987,630.57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9,129,947.24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951.35%</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-95,952,340.57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-295,597.24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32,360.50%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5,700,000.00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17,331,202.00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-67.11%</w:t>
            </w:r>
            <w:r>
              <w:rPr>
                <w:rFonts w:ascii="Times New Roman"/>
                <w:sz w:val="18"/>
              </w:rPr>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21,381,451.23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15,670,593.05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36.44%</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-15,681,451.23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1,660,608.95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-1,044.32%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-77,513,319.67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55,318,991.69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-240.12%</w:t>
            </w:r>
            <w:r>
              <w:rPr>
                <w:rFonts w:ascii="Times New Roman"/>
                <w:sz w:val="18"/>
              </w:rPr>
            </w:r>
          </w:p>
        </w:tc>
      </w:tr>
    </w:tbl>
    <w:p>
      <w:pPr>
        <w:spacing w:before="49"/>
        <w:ind w:left="152" w:right="0" w:firstLine="0"/>
        <w:jc w:val="left"/>
        <w:rPr>
          <w:rFonts w:ascii="宋体" w:hAnsi="宋体" w:cs="宋体" w:eastAsia="宋体" w:hint="default"/>
          <w:sz w:val="18"/>
          <w:szCs w:val="18"/>
        </w:rPr>
      </w:pPr>
      <w:bookmarkStart w:name="四、资产及负债状况" w:id="39"/>
      <w:bookmarkEnd w:id="39"/>
      <w:r>
        <w:rPr/>
      </w:r>
      <w:bookmarkStart w:name="1、资产构成重大变动情况" w:id="40"/>
      <w:bookmarkEnd w:id="40"/>
      <w:r>
        <w:rPr/>
      </w:r>
      <w:r>
        <w:rPr>
          <w:rFonts w:ascii="宋体" w:hAnsi="宋体" w:cs="宋体" w:eastAsia="宋体" w:hint="default"/>
          <w:sz w:val="18"/>
          <w:szCs w:val="18"/>
        </w:rPr>
        <w:t>相关数据同比发生重大变动的主要影响因素说明</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、经营活动产生的现金流量净额下降</w:t>
      </w:r>
      <w:r>
        <w:rPr>
          <w:rFonts w:ascii="Times New Roman" w:hAnsi="Times New Roman" w:cs="Times New Roman" w:eastAsia="Times New Roman" w:hint="default"/>
          <w:sz w:val="18"/>
          <w:szCs w:val="18"/>
        </w:rPr>
        <w:t>37.03%</w:t>
      </w:r>
      <w:r>
        <w:rPr>
          <w:rFonts w:ascii="宋体" w:hAnsi="宋体" w:cs="宋体" w:eastAsia="宋体" w:hint="default"/>
          <w:sz w:val="18"/>
          <w:szCs w:val="18"/>
        </w:rPr>
        <w:t>，主要因报告期内人力成本、税费、其他往来款增加所致；</w:t>
      </w:r>
    </w:p>
    <w:p>
      <w:pPr>
        <w:spacing w:line="240" w:lineRule="auto" w:before="9"/>
        <w:rPr>
          <w:rFonts w:ascii="宋体" w:hAnsi="宋体" w:cs="宋体" w:eastAsia="宋体" w:hint="default"/>
          <w:sz w:val="16"/>
          <w:szCs w:val="1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、投资活动产生的现金流量净额增加</w:t>
      </w:r>
      <w:r>
        <w:rPr>
          <w:rFonts w:ascii="Times New Roman" w:hAnsi="Times New Roman" w:cs="Times New Roman" w:eastAsia="Times New Roman" w:hint="default"/>
          <w:sz w:val="18"/>
          <w:szCs w:val="18"/>
        </w:rPr>
        <w:t>32360.50%</w:t>
      </w:r>
      <w:r>
        <w:rPr>
          <w:rFonts w:ascii="宋体" w:hAnsi="宋体" w:cs="宋体" w:eastAsia="宋体" w:hint="default"/>
          <w:sz w:val="18"/>
          <w:szCs w:val="18"/>
        </w:rPr>
        <w:t>，主要因报告期内房产等固定资产购买增加及联营公司的投资；</w:t>
      </w:r>
    </w:p>
    <w:p>
      <w:pPr>
        <w:spacing w:line="240" w:lineRule="auto" w:before="9"/>
        <w:rPr>
          <w:rFonts w:ascii="宋体" w:hAnsi="宋体" w:cs="宋体" w:eastAsia="宋体" w:hint="default"/>
          <w:sz w:val="16"/>
          <w:szCs w:val="16"/>
        </w:rPr>
      </w:pPr>
    </w:p>
    <w:p>
      <w:pPr>
        <w:spacing w:line="412" w:lineRule="auto" w:before="0"/>
        <w:ind w:left="153" w:right="30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、筹资活动产生的现金流量净额下降</w:t>
      </w:r>
      <w:r>
        <w:rPr>
          <w:rFonts w:ascii="Times New Roman" w:hAnsi="Times New Roman" w:cs="Times New Roman" w:eastAsia="Times New Roman" w:hint="default"/>
          <w:sz w:val="18"/>
          <w:szCs w:val="18"/>
        </w:rPr>
        <w:t>1044.32%</w:t>
      </w:r>
      <w:r>
        <w:rPr>
          <w:rFonts w:ascii="宋体" w:hAnsi="宋体" w:cs="宋体" w:eastAsia="宋体" w:hint="default"/>
          <w:sz w:val="18"/>
          <w:szCs w:val="18"/>
        </w:rPr>
        <w:t>，主要因报告期内分红增加、归还借款、退回股权激励回购款增加所致； 报告期内公司经营活动产生的现金净流量与本年度净利润存在重大差异的原因说明</w:t>
      </w:r>
    </w:p>
    <w:p>
      <w:pPr>
        <w:spacing w:line="234" w:lineRule="exact"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4"/>
        <w:spacing w:line="240" w:lineRule="auto"/>
        <w:ind w:right="0"/>
        <w:jc w:val="left"/>
        <w:rPr>
          <w:b w:val="0"/>
          <w:bCs w:val="0"/>
        </w:rPr>
      </w:pPr>
      <w:r>
        <w:rPr/>
        <w:t>三、非主营业务情况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4"/>
        <w:rPr>
          <w:rFonts w:ascii="宋体" w:hAnsi="宋体" w:cs="宋体" w:eastAsia="宋体" w:hint="default"/>
          <w:b/>
          <w:bCs/>
          <w:sz w:val="26"/>
          <w:szCs w:val="26"/>
        </w:rPr>
      </w:pPr>
    </w:p>
    <w:p>
      <w:pPr>
        <w:spacing w:before="0"/>
        <w:ind w:left="0" w:right="153" w:firstLine="0"/>
        <w:jc w:val="right"/>
        <w:rPr>
          <w:rFonts w:ascii="宋体" w:hAnsi="宋体" w:cs="宋体" w:eastAsia="宋体" w:hint="default"/>
          <w:sz w:val="18"/>
          <w:szCs w:val="18"/>
        </w:rPr>
      </w:pPr>
      <w:bookmarkStart w:name="三、非主营业务情况" w:id="41"/>
      <w:bookmarkEnd w:id="41"/>
      <w:r>
        <w:rPr/>
      </w: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164"/>
        <w:gridCol w:w="1063"/>
        <w:gridCol w:w="1195"/>
        <w:gridCol w:w="1063"/>
        <w:gridCol w:w="797"/>
        <w:gridCol w:w="2918"/>
      </w:tblGrid>
      <w:tr>
        <w:trPr>
          <w:trHeight w:val="380" w:hRule="exact"/>
        </w:trPr>
        <w:tc>
          <w:tcPr>
            <w:tcW w:w="1356" w:type="dxa"/>
            <w:tcBorders>
              <w:top w:val="single" w:sz="4" w:space="0" w:color="000000"/>
              <w:left w:val="single" w:sz="4" w:space="0" w:color="000000"/>
              <w:bottom w:val="single" w:sz="14" w:space="0" w:color="FFFFFF"/>
              <w:right w:val="single" w:sz="4" w:space="0" w:color="000000"/>
            </w:tcBorders>
            <w:shd w:val="clear" w:color="auto" w:fill="D4D4D4"/>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4D4D4"/>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14" w:space="0" w:color="FFFFFF"/>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single" w:sz="14" w:space="0" w:color="FFFFFF"/>
              <w:right w:val="single" w:sz="4" w:space="0" w:color="000000"/>
            </w:tcBorders>
            <w:shd w:val="clear" w:color="auto" w:fill="D4D4D4"/>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4D4D4"/>
          </w:tcPr>
          <w:p>
            <w:pPr/>
          </w:p>
        </w:tc>
      </w:tr>
      <w:tr>
        <w:trPr>
          <w:trHeight w:val="184" w:hRule="exact"/>
        </w:trPr>
        <w:tc>
          <w:tcPr>
            <w:tcW w:w="1356" w:type="dxa"/>
            <w:vMerge w:val="restart"/>
            <w:tcBorders>
              <w:top w:val="single" w:sz="14" w:space="0" w:color="FFFFFF"/>
              <w:left w:val="single" w:sz="4" w:space="0" w:color="000000"/>
              <w:right w:val="single" w:sz="4" w:space="0" w:color="000000"/>
            </w:tcBorders>
            <w:shd w:val="clear" w:color="auto" w:fill="D4D4D4"/>
          </w:tcPr>
          <w:p>
            <w:pPr/>
          </w:p>
        </w:tc>
        <w:tc>
          <w:tcPr>
            <w:tcW w:w="1164" w:type="dxa"/>
            <w:tcBorders>
              <w:top w:val="single" w:sz="14" w:space="0" w:color="FFFFFF"/>
              <w:left w:val="single" w:sz="4" w:space="0" w:color="000000"/>
              <w:bottom w:val="nil" w:sz="6" w:space="0" w:color="auto"/>
              <w:right w:val="single" w:sz="4" w:space="0" w:color="000000"/>
            </w:tcBorders>
            <w:shd w:val="clear" w:color="auto" w:fill="D4D4D4"/>
          </w:tcPr>
          <w:p>
            <w:pPr/>
          </w:p>
        </w:tc>
        <w:tc>
          <w:tcPr>
            <w:tcW w:w="1063" w:type="dxa"/>
            <w:vMerge w:val="restart"/>
            <w:tcBorders>
              <w:top w:val="single" w:sz="14" w:space="0" w:color="FFFFFF"/>
              <w:left w:val="single" w:sz="4" w:space="0" w:color="000000"/>
              <w:right w:val="single" w:sz="4" w:space="0" w:color="000000"/>
            </w:tcBorders>
            <w:shd w:val="clear" w:color="auto" w:fill="D4D4D4"/>
          </w:tcPr>
          <w:p>
            <w:pPr>
              <w:pStyle w:val="TableParagraph"/>
              <w:spacing w:line="316" w:lineRule="auto" w:before="5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4" w:space="0" w:color="FFFFFF"/>
              <w:left w:val="single" w:sz="4" w:space="0" w:color="000000"/>
              <w:bottom w:val="nil" w:sz="6" w:space="0" w:color="auto"/>
              <w:right w:val="single" w:sz="4" w:space="0" w:color="000000"/>
            </w:tcBorders>
            <w:shd w:val="clear" w:color="auto" w:fill="D4D4D4"/>
          </w:tcPr>
          <w:p>
            <w:pPr/>
          </w:p>
        </w:tc>
        <w:tc>
          <w:tcPr>
            <w:tcW w:w="1063" w:type="dxa"/>
            <w:vMerge w:val="restart"/>
            <w:tcBorders>
              <w:top w:val="single" w:sz="14" w:space="0" w:color="FFFFFF"/>
              <w:left w:val="single" w:sz="4" w:space="0" w:color="000000"/>
              <w:right w:val="single" w:sz="4" w:space="0" w:color="000000"/>
            </w:tcBorders>
            <w:shd w:val="clear" w:color="auto" w:fill="D4D4D4"/>
          </w:tcPr>
          <w:p>
            <w:pPr>
              <w:pStyle w:val="TableParagraph"/>
              <w:spacing w:line="316" w:lineRule="auto" w:before="5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4" w:space="0" w:color="FFFFFF"/>
              <w:left w:val="single" w:sz="4" w:space="0" w:color="000000"/>
              <w:right w:val="single" w:sz="4" w:space="0" w:color="000000"/>
            </w:tcBorders>
            <w:shd w:val="clear" w:color="auto" w:fill="D4D4D4"/>
          </w:tcPr>
          <w:p>
            <w:pPr>
              <w:pStyle w:val="TableParagraph"/>
              <w:spacing w:line="240" w:lineRule="auto" w:before="13"/>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4D4D4"/>
          </w:tcPr>
          <w:p>
            <w:pPr>
              <w:pStyle w:val="TableParagraph"/>
              <w:spacing w:line="240" w:lineRule="auto" w:before="13"/>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6" w:type="dxa"/>
            <w:vMerge/>
            <w:tcBorders>
              <w:left w:val="single" w:sz="4" w:space="0" w:color="000000"/>
              <w:bottom w:val="nil" w:sz="6" w:space="0" w:color="auto"/>
              <w:right w:val="single" w:sz="4" w:space="0" w:color="000000"/>
            </w:tcBorders>
            <w:shd w:val="clear" w:color="auto" w:fill="D4D4D4"/>
          </w:tcPr>
          <w:p>
            <w:pPr/>
          </w:p>
        </w:tc>
        <w:tc>
          <w:tcPr>
            <w:tcW w:w="116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4D4D4"/>
          </w:tcPr>
          <w:p>
            <w:pPr/>
          </w:p>
        </w:tc>
        <w:tc>
          <w:tcPr>
            <w:tcW w:w="119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2918" w:type="dxa"/>
            <w:vMerge/>
            <w:tcBorders>
              <w:left w:val="single" w:sz="4" w:space="0" w:color="000000"/>
              <w:bottom w:val="nil" w:sz="6" w:space="0" w:color="auto"/>
              <w:right w:val="single" w:sz="4" w:space="0" w:color="000000"/>
            </w:tcBorders>
            <w:shd w:val="clear" w:color="auto" w:fill="D4D4D4"/>
          </w:tcPr>
          <w:p>
            <w:pPr/>
          </w:p>
        </w:tc>
      </w:tr>
      <w:tr>
        <w:trPr>
          <w:trHeight w:val="199" w:hRule="exact"/>
        </w:trPr>
        <w:tc>
          <w:tcPr>
            <w:tcW w:w="1356" w:type="dxa"/>
            <w:vMerge w:val="restart"/>
            <w:tcBorders>
              <w:top w:val="nil" w:sz="6" w:space="0" w:color="auto"/>
              <w:left w:val="single" w:sz="4" w:space="0" w:color="000000"/>
              <w:right w:val="single" w:sz="4" w:space="0" w:color="000000"/>
            </w:tcBorders>
            <w:shd w:val="clear" w:color="auto" w:fill="D4D4D4"/>
          </w:tcPr>
          <w:p>
            <w:pPr/>
          </w:p>
        </w:tc>
        <w:tc>
          <w:tcPr>
            <w:tcW w:w="1164" w:type="dxa"/>
            <w:vMerge/>
            <w:tcBorders>
              <w:left w:val="single" w:sz="4" w:space="0" w:color="000000"/>
              <w:bottom w:val="nil" w:sz="6" w:space="0" w:color="auto"/>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bottom w:val="nil" w:sz="6" w:space="0" w:color="auto"/>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
        </w:tc>
        <w:tc>
          <w:tcPr>
            <w:tcW w:w="2918"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356" w:type="dxa"/>
            <w:vMerge/>
            <w:tcBorders>
              <w:left w:val="single" w:sz="4" w:space="0" w:color="000000"/>
              <w:bottom w:val="single" w:sz="4" w:space="0" w:color="000000"/>
              <w:right w:val="single" w:sz="4" w:space="0" w:color="000000"/>
            </w:tcBorders>
            <w:shd w:val="clear" w:color="auto" w:fill="D4D4D4"/>
          </w:tcPr>
          <w:p>
            <w:pPr/>
          </w:p>
        </w:tc>
        <w:tc>
          <w:tcPr>
            <w:tcW w:w="1164"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2918"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4"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396,557,162.2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48.60%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474,166,158.40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60.26%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-11.66%</w:t>
            </w:r>
          </w:p>
        </w:tc>
        <w:tc>
          <w:tcPr>
            <w:tcW w:w="2918" w:type="dxa"/>
            <w:vMerge w:val="restart"/>
            <w:tcBorders>
              <w:top w:val="single" w:sz="4" w:space="0" w:color="000000"/>
              <w:left w:val="single" w:sz="4" w:space="0" w:color="000000"/>
              <w:right w:val="single" w:sz="4" w:space="0" w:color="000000"/>
            </w:tcBorders>
          </w:tcPr>
          <w:p>
            <w:pP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4D4D4"/>
          </w:tcPr>
          <w:p>
            <w:pPr/>
          </w:p>
        </w:tc>
        <w:tc>
          <w:tcPr>
            <w:tcW w:w="1164"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4"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154,455,687.0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18.93%</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145,906,218.68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18.54%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0.39%</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4D4D4"/>
          </w:tcPr>
          <w:p>
            <w:pPr/>
          </w:p>
        </w:tc>
        <w:tc>
          <w:tcPr>
            <w:tcW w:w="1164"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164"/>
        <w:gridCol w:w="1063"/>
        <w:gridCol w:w="1195"/>
        <w:gridCol w:w="1063"/>
        <w:gridCol w:w="797"/>
        <w:gridCol w:w="2918"/>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32,194,840.47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31,257,779.22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13,022,703.32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1.60%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1.60%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78,107,182.52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92,558,085.80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11.76%</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-2.19%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2,050,000.00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0.35%</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2</w:t>
      </w:r>
      <w:r>
        <w:rPr/>
        <w:t>、以公允价值计量的资产</w:t>
      </w:r>
      <w:bookmarkStart w:name="2、以公允价值计量的资产和负债" w:id="42"/>
      <w:bookmarkEnd w:id="42"/>
      <w:r>
        <w:rPr/>
        <w:t>和负债</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691" w:right="0"/>
              <w:jc w:val="left"/>
              <w:rPr>
                <w:rFonts w:ascii="宋体" w:hAnsi="宋体" w:cs="宋体" w:eastAsia="宋体" w:hint="default"/>
                <w:sz w:val="18"/>
                <w:szCs w:val="18"/>
              </w:rPr>
            </w:pPr>
            <w:bookmarkStart w:name="五、投资状况分析" w:id="43"/>
            <w:bookmarkEnd w:id="43"/>
            <w:r>
              <w:rPr/>
            </w:r>
            <w:bookmarkStart w:name="1、总体情况" w:id="44"/>
            <w:bookmarkEnd w:id="44"/>
            <w:r>
              <w:rPr/>
            </w: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58,000,000.00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28,780,000.00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201.53%</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52" w:firstLine="0"/>
        <w:jc w:val="right"/>
        <w:rPr>
          <w:rFonts w:ascii="宋体" w:hAnsi="宋体" w:cs="宋体" w:eastAsia="宋体" w:hint="default"/>
          <w:sz w:val="18"/>
          <w:szCs w:val="18"/>
        </w:rPr>
      </w:pPr>
      <w:bookmarkStart w:name="2、报告期内获取的重大的股权投资情况" w:id="45"/>
      <w:bookmarkEnd w:id="45"/>
      <w:r>
        <w:rPr/>
      </w: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17"/>
        <w:gridCol w:w="749"/>
        <w:gridCol w:w="684"/>
        <w:gridCol w:w="682"/>
        <w:gridCol w:w="684"/>
        <w:gridCol w:w="684"/>
        <w:gridCol w:w="682"/>
        <w:gridCol w:w="684"/>
        <w:gridCol w:w="682"/>
        <w:gridCol w:w="684"/>
        <w:gridCol w:w="682"/>
        <w:gridCol w:w="684"/>
      </w:tblGrid>
      <w:tr>
        <w:trPr>
          <w:trHeight w:val="1026" w:hRule="exact"/>
        </w:trPr>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67" w:right="65"/>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49" w:right="62"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7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80" w:right="96"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7"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67" w:right="62"/>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67" w:right="62"/>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69" w:right="62"/>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414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4" w:right="108"/>
              <w:jc w:val="both"/>
              <w:rPr>
                <w:rFonts w:ascii="宋体" w:hAnsi="宋体" w:cs="宋体" w:eastAsia="宋体" w:hint="default"/>
                <w:sz w:val="18"/>
                <w:szCs w:val="18"/>
              </w:rPr>
            </w:pPr>
            <w:r>
              <w:rPr>
                <w:rFonts w:ascii="宋体" w:hAnsi="宋体" w:cs="宋体" w:eastAsia="宋体" w:hint="default"/>
                <w:sz w:val="18"/>
                <w:szCs w:val="18"/>
              </w:rPr>
              <w:t>深圳市 杉岩数 据技术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00" w:lineRule="auto"/>
              <w:ind w:left="26"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计算</w:t>
            </w:r>
            <w:r>
              <w:rPr>
                <w:rFonts w:ascii="宋体" w:hAnsi="宋体" w:cs="宋体" w:eastAsia="宋体" w:hint="default"/>
                <w:w w:val="99"/>
                <w:sz w:val="18"/>
                <w:szCs w:val="18"/>
              </w:rPr>
              <w:t> </w:t>
            </w:r>
            <w:r>
              <w:rPr>
                <w:rFonts w:ascii="宋体" w:hAnsi="宋体" w:cs="宋体" w:eastAsia="宋体" w:hint="default"/>
                <w:sz w:val="18"/>
                <w:szCs w:val="18"/>
              </w:rPr>
              <w:t>机</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24" w:right="10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陈坚、 赵桂 铭、邱 尚高、 文刘 飞、李 信荣、 深圳融 智汇创 投资管 理企业</w:t>
            </w:r>
          </w:p>
          <w:p>
            <w:pPr>
              <w:pStyle w:val="TableParagraph"/>
              <w:spacing w:line="316" w:lineRule="auto" w:before="19"/>
              <w:ind w:left="23" w:right="108"/>
              <w:jc w:val="left"/>
              <w:rPr>
                <w:rFonts w:ascii="宋体" w:hAnsi="宋体" w:cs="宋体" w:eastAsia="宋体" w:hint="default"/>
                <w:sz w:val="18"/>
                <w:szCs w:val="18"/>
              </w:rPr>
            </w:pPr>
            <w:r>
              <w:rPr>
                <w:rFonts w:ascii="宋体" w:hAnsi="宋体" w:cs="宋体" w:eastAsia="宋体" w:hint="default"/>
                <w:sz w:val="18"/>
                <w:szCs w:val="18"/>
              </w:rPr>
              <w:t>（有限 合伙）</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IT</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62" w:lineRule="auto"/>
              <w:ind w:left="26" w:right="42"/>
              <w:jc w:val="left"/>
              <w:rPr>
                <w:rFonts w:ascii="Times New Roman" w:hAnsi="Times New Roman" w:cs="Times New Roman" w:eastAsia="Times New Roman" w:hint="default"/>
                <w:sz w:val="18"/>
                <w:szCs w:val="18"/>
              </w:rPr>
            </w:pPr>
            <w:hyperlink r:id="rId12">
              <w:r>
                <w:rPr>
                  <w:rFonts w:ascii="Times New Roman"/>
                  <w:sz w:val="18"/>
                </w:rPr>
                <w:t>http://w</w:t>
              </w:r>
            </w:hyperlink>
            <w:r>
              <w:rPr>
                <w:rFonts w:ascii="Times New Roman"/>
                <w:w w:val="99"/>
                <w:sz w:val="18"/>
              </w:rPr>
              <w:t> </w:t>
            </w:r>
            <w:r>
              <w:rPr>
                <w:rFonts w:ascii="Times New Roman"/>
                <w:spacing w:val="-2"/>
                <w:sz w:val="18"/>
              </w:rPr>
              <w:t>ww.cnin</w:t>
            </w:r>
            <w:r>
              <w:rPr>
                <w:rFonts w:ascii="Times New Roman"/>
                <w:sz w:val="18"/>
              </w:rPr>
              <w:t> fo.com. cn</w:t>
            </w:r>
          </w:p>
        </w:tc>
      </w:tr>
      <w:tr>
        <w:trPr>
          <w:trHeight w:val="71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108"/>
              <w:jc w:val="left"/>
              <w:rPr>
                <w:rFonts w:ascii="宋体" w:hAnsi="宋体" w:cs="宋体" w:eastAsia="宋体" w:hint="default"/>
                <w:sz w:val="18"/>
                <w:szCs w:val="18"/>
              </w:rPr>
            </w:pPr>
            <w:r>
              <w:rPr>
                <w:rFonts w:ascii="宋体" w:hAnsi="宋体" w:cs="宋体" w:eastAsia="宋体" w:hint="default"/>
                <w:sz w:val="18"/>
                <w:szCs w:val="18"/>
              </w:rPr>
              <w:t>杭州广 捷科技</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6"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计算</w:t>
            </w:r>
            <w:r>
              <w:rPr>
                <w:rFonts w:ascii="宋体" w:hAnsi="宋体" w:cs="宋体" w:eastAsia="宋体" w:hint="default"/>
                <w:w w:val="99"/>
                <w:sz w:val="18"/>
                <w:szCs w:val="18"/>
              </w:rPr>
              <w:t> </w:t>
            </w:r>
            <w:r>
              <w:rPr>
                <w:rFonts w:ascii="宋体" w:hAnsi="宋体" w:cs="宋体" w:eastAsia="宋体" w:hint="default"/>
                <w:sz w:val="18"/>
                <w:szCs w:val="18"/>
              </w:rPr>
              <w:t>机</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07"/>
              <w:jc w:val="left"/>
              <w:rPr>
                <w:rFonts w:ascii="宋体" w:hAnsi="宋体" w:cs="宋体" w:eastAsia="宋体" w:hint="default"/>
                <w:sz w:val="18"/>
                <w:szCs w:val="18"/>
              </w:rPr>
            </w:pPr>
            <w:r>
              <w:rPr>
                <w:rFonts w:ascii="宋体" w:hAnsi="宋体" w:cs="宋体" w:eastAsia="宋体" w:hint="default"/>
                <w:sz w:val="18"/>
                <w:szCs w:val="18"/>
              </w:rPr>
              <w:t>超募资 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IT</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12"/>
              <w:ind w:left="26" w:right="42"/>
              <w:jc w:val="left"/>
              <w:rPr>
                <w:rFonts w:ascii="Times New Roman" w:hAnsi="Times New Roman" w:cs="Times New Roman" w:eastAsia="Times New Roman" w:hint="default"/>
                <w:sz w:val="18"/>
                <w:szCs w:val="18"/>
              </w:rPr>
            </w:pPr>
            <w:hyperlink r:id="rId12">
              <w:r>
                <w:rPr>
                  <w:rFonts w:ascii="Times New Roman"/>
                  <w:sz w:val="18"/>
                </w:rPr>
                <w:t>http://w</w:t>
              </w:r>
            </w:hyperlink>
            <w:r>
              <w:rPr>
                <w:rFonts w:ascii="Times New Roman"/>
                <w:w w:val="99"/>
                <w:sz w:val="18"/>
              </w:rPr>
              <w:t> </w:t>
            </w:r>
            <w:r>
              <w:rPr>
                <w:rFonts w:ascii="Times New Roman"/>
                <w:spacing w:val="-2"/>
                <w:sz w:val="18"/>
              </w:rPr>
              <w:t>ww.cnin</w:t>
            </w:r>
          </w:p>
        </w:tc>
      </w:tr>
    </w:tbl>
    <w:p>
      <w:pPr>
        <w:spacing w:after="0" w:line="362"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17"/>
        <w:gridCol w:w="749"/>
        <w:gridCol w:w="684"/>
        <w:gridCol w:w="682"/>
        <w:gridCol w:w="684"/>
        <w:gridCol w:w="684"/>
        <w:gridCol w:w="682"/>
        <w:gridCol w:w="684"/>
        <w:gridCol w:w="682"/>
        <w:gridCol w:w="684"/>
        <w:gridCol w:w="682"/>
        <w:gridCol w:w="684"/>
      </w:tblGrid>
      <w:tr>
        <w:trPr>
          <w:trHeight w:val="674"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08"/>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6" w:right="99"/>
              <w:jc w:val="left"/>
              <w:rPr>
                <w:rFonts w:ascii="Times New Roman" w:hAnsi="Times New Roman" w:cs="Times New Roman" w:eastAsia="Times New Roman" w:hint="default"/>
                <w:sz w:val="18"/>
                <w:szCs w:val="18"/>
              </w:rPr>
            </w:pPr>
            <w:r>
              <w:rPr>
                <w:rFonts w:ascii="Times New Roman"/>
                <w:sz w:val="18"/>
              </w:rPr>
              <w:t>fo.com.</w:t>
            </w:r>
            <w:r>
              <w:rPr>
                <w:rFonts w:ascii="Times New Roman"/>
                <w:w w:val="99"/>
                <w:sz w:val="18"/>
              </w:rPr>
              <w:t> </w:t>
            </w:r>
            <w:r>
              <w:rPr>
                <w:rFonts w:ascii="Times New Roman"/>
                <w:sz w:val="18"/>
              </w:rPr>
              <w:t>cn</w:t>
            </w:r>
          </w:p>
        </w:tc>
      </w:tr>
      <w:tr>
        <w:trPr>
          <w:trHeight w:val="133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杭州鸿 昇科技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6"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计算</w:t>
            </w:r>
            <w:r>
              <w:rPr>
                <w:rFonts w:ascii="宋体" w:hAnsi="宋体" w:cs="宋体" w:eastAsia="宋体" w:hint="default"/>
                <w:w w:val="99"/>
                <w:sz w:val="18"/>
                <w:szCs w:val="18"/>
              </w:rPr>
              <w:t> </w:t>
            </w:r>
            <w:r>
              <w:rPr>
                <w:rFonts w:ascii="宋体" w:hAnsi="宋体" w:cs="宋体" w:eastAsia="宋体" w:hint="default"/>
                <w:sz w:val="18"/>
                <w:szCs w:val="18"/>
              </w:rPr>
              <w:t>机</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新设</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07"/>
              <w:jc w:val="left"/>
              <w:rPr>
                <w:rFonts w:ascii="宋体" w:hAnsi="宋体" w:cs="宋体" w:eastAsia="宋体" w:hint="default"/>
                <w:sz w:val="18"/>
                <w:szCs w:val="18"/>
              </w:rPr>
            </w:pPr>
            <w:r>
              <w:rPr>
                <w:rFonts w:ascii="宋体" w:hAnsi="宋体" w:cs="宋体" w:eastAsia="宋体" w:hint="default"/>
                <w:sz w:val="18"/>
                <w:szCs w:val="18"/>
              </w:rPr>
              <w:t>超募资 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IT</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6" w:right="42"/>
              <w:jc w:val="left"/>
              <w:rPr>
                <w:rFonts w:ascii="Times New Roman" w:hAnsi="Times New Roman" w:cs="Times New Roman" w:eastAsia="Times New Roman" w:hint="default"/>
                <w:sz w:val="18"/>
                <w:szCs w:val="18"/>
              </w:rPr>
            </w:pPr>
            <w:hyperlink r:id="rId12">
              <w:r>
                <w:rPr>
                  <w:rFonts w:ascii="Times New Roman"/>
                  <w:sz w:val="18"/>
                </w:rPr>
                <w:t>http://w</w:t>
              </w:r>
            </w:hyperlink>
            <w:r>
              <w:rPr>
                <w:rFonts w:ascii="Times New Roman"/>
                <w:w w:val="99"/>
                <w:sz w:val="18"/>
              </w:rPr>
              <w:t> </w:t>
            </w:r>
            <w:r>
              <w:rPr>
                <w:rFonts w:ascii="Times New Roman"/>
                <w:spacing w:val="-2"/>
                <w:sz w:val="18"/>
              </w:rPr>
              <w:t>ww.cnin</w:t>
            </w:r>
            <w:r>
              <w:rPr>
                <w:rFonts w:ascii="Times New Roman"/>
                <w:sz w:val="18"/>
              </w:rPr>
              <w:t> fo.com. cn</w:t>
            </w:r>
          </w:p>
        </w:tc>
      </w:tr>
      <w:tr>
        <w:trPr>
          <w:trHeight w:val="403" w:hRule="exact"/>
        </w:trPr>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40"/>
              <w:jc w:val="right"/>
              <w:rPr>
                <w:rFonts w:ascii="Times New Roman" w:hAnsi="Times New Roman" w:cs="Times New Roman" w:eastAsia="Times New Roman" w:hint="default"/>
                <w:sz w:val="18"/>
                <w:szCs w:val="18"/>
              </w:rPr>
            </w:pPr>
            <w:r>
              <w:rPr>
                <w:rFonts w:ascii="Times New Roman"/>
                <w:sz w:val="18"/>
              </w:rPr>
              <w:t>--</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4,800.00</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76" w:right="0"/>
              <w:jc w:val="left"/>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6" w:right="0"/>
              <w:jc w:val="left"/>
              <w:rPr>
                <w:rFonts w:ascii="Times New Roman" w:hAnsi="Times New Roman" w:cs="Times New Roman" w:eastAsia="Times New Roman" w:hint="default"/>
                <w:sz w:val="18"/>
                <w:szCs w:val="18"/>
              </w:rPr>
            </w:pPr>
            <w:r>
              <w:rPr>
                <w:rFonts w:ascii="Times New Roman"/>
                <w:sz w:val="18"/>
              </w:rPr>
              <w:t>0.00</w:t>
            </w:r>
          </w:p>
        </w:tc>
        <w:tc>
          <w:tcPr>
            <w:tcW w:w="68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left="335"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3</w:t>
      </w:r>
      <w:r>
        <w:rPr/>
        <w:t>、报告期内正在进行的重</w:t>
      </w:r>
      <w:bookmarkStart w:name="3、报告期内正在进行的重大的非股权投资情况" w:id="46"/>
      <w:bookmarkEnd w:id="46"/>
      <w:r>
        <w:rPr/>
        <w:t>大的非股权投资情况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52" w:firstLine="0"/>
        <w:jc w:val="right"/>
        <w:rPr>
          <w:rFonts w:ascii="宋体" w:hAnsi="宋体" w:cs="宋体" w:eastAsia="宋体" w:hint="default"/>
          <w:sz w:val="18"/>
          <w:szCs w:val="18"/>
        </w:rPr>
      </w:pPr>
      <w:bookmarkStart w:name="4、以公允价值计量的金融资产" w:id="47"/>
      <w:bookmarkEnd w:id="47"/>
      <w:r>
        <w:rPr/>
      </w:r>
      <w:bookmarkStart w:name="5、募集资金使用情况" w:id="48"/>
      <w:bookmarkEnd w:id="48"/>
      <w:r>
        <w:rPr/>
      </w:r>
      <w:bookmarkStart w:name="（1）募集资金总体使用情况" w:id="49"/>
      <w:bookmarkEnd w:id="49"/>
      <w:r>
        <w:rPr/>
      </w: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6"/>
        <w:gridCol w:w="862"/>
        <w:gridCol w:w="878"/>
        <w:gridCol w:w="869"/>
        <w:gridCol w:w="871"/>
        <w:gridCol w:w="869"/>
        <w:gridCol w:w="869"/>
        <w:gridCol w:w="871"/>
        <w:gridCol w:w="869"/>
        <w:gridCol w:w="871"/>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56"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69"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71"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649"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3"/>
              <w:jc w:val="center"/>
              <w:rPr>
                <w:rFonts w:ascii="宋体" w:hAnsi="宋体" w:cs="宋体" w:eastAsia="宋体" w:hint="default"/>
                <w:sz w:val="18"/>
                <w:szCs w:val="18"/>
              </w:rPr>
            </w:pPr>
            <w:r>
              <w:rPr>
                <w:rFonts w:ascii="宋体" w:hAnsi="宋体" w:cs="宋体" w:eastAsia="宋体" w:hint="default"/>
                <w:sz w:val="18"/>
                <w:szCs w:val="18"/>
              </w:rPr>
              <w:t>股票发行</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31,601.9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8,372.10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21,169.54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6,204.7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9,171.8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29.02%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13,344.25</w:t>
            </w:r>
            <w:r>
              <w:rPr>
                <w:rFonts w:ascii="Times New Roman"/>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both"/>
              <w:rPr>
                <w:rFonts w:ascii="宋体" w:hAnsi="宋体" w:cs="宋体" w:eastAsia="宋体" w:hint="default"/>
                <w:sz w:val="18"/>
                <w:szCs w:val="18"/>
              </w:rPr>
            </w:pPr>
            <w:r>
              <w:rPr>
                <w:rFonts w:ascii="宋体" w:hAnsi="宋体" w:cs="宋体" w:eastAsia="宋体" w:hint="default"/>
                <w:sz w:val="18"/>
                <w:szCs w:val="18"/>
              </w:rPr>
              <w:t>以活期和 定期存款 形式存放 募集专用 专户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31,601.9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8,372.10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21,169.54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6,204.7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9,171.8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29.02%</w:t>
            </w:r>
          </w:p>
        </w:tc>
        <w:tc>
          <w:tcPr>
            <w:tcW w:w="869" w:type="dxa"/>
            <w:tcBorders>
              <w:top w:val="single" w:sz="4" w:space="0" w:color="000000"/>
              <w:left w:val="single" w:sz="4" w:space="0" w:color="000000"/>
              <w:bottom w:val="single" w:sz="4" w:space="0" w:color="000000"/>
              <w:right w:val="single" w:sz="14" w:space="0" w:color="D4D4D4"/>
            </w:tcBorders>
          </w:tcPr>
          <w:p>
            <w:pPr>
              <w:pStyle w:val="TableParagraph"/>
              <w:spacing w:line="240" w:lineRule="auto" w:before="93"/>
              <w:ind w:right="5"/>
              <w:jc w:val="right"/>
              <w:rPr>
                <w:rFonts w:ascii="Times New Roman" w:hAnsi="Times New Roman" w:cs="Times New Roman" w:eastAsia="Times New Roman" w:hint="default"/>
                <w:sz w:val="18"/>
                <w:szCs w:val="18"/>
              </w:rPr>
            </w:pPr>
            <w:r>
              <w:rPr>
                <w:rFonts w:ascii="Times New Roman"/>
                <w:spacing w:val="-1"/>
                <w:sz w:val="18"/>
              </w:rPr>
              <w:t>13,344.25</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51"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38"/>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1035 </w:t>
            </w:r>
            <w:r>
              <w:rPr>
                <w:rFonts w:ascii="宋体" w:hAnsi="宋体" w:cs="宋体" w:eastAsia="宋体" w:hint="default"/>
                <w:sz w:val="18"/>
                <w:szCs w:val="18"/>
              </w:rPr>
              <w:t>号</w:t>
            </w:r>
            <w:r>
              <w:rPr>
                <w:rFonts w:ascii="宋体" w:hAnsi="宋体" w:cs="宋体" w:eastAsia="宋体" w:hint="default"/>
                <w:spacing w:val="-9"/>
                <w:sz w:val="18"/>
                <w:szCs w:val="18"/>
              </w:rPr>
              <w:t> </w:t>
            </w:r>
            <w:r>
              <w:rPr>
                <w:rFonts w:ascii="宋体" w:hAnsi="宋体" w:cs="宋体" w:eastAsia="宋体" w:hint="default"/>
                <w:sz w:val="18"/>
                <w:szCs w:val="18"/>
              </w:rPr>
              <w:t>《关于核准上海天玑科技股份有限公司首次公开发行股票并在创业</w:t>
            </w:r>
            <w:r>
              <w:rPr>
                <w:rFonts w:ascii="宋体" w:hAnsi="宋体" w:cs="宋体" w:eastAsia="宋体" w:hint="default"/>
                <w:sz w:val="18"/>
                <w:szCs w:val="18"/>
              </w:rPr>
              <w:t> 板上市的批复》核准，发行人民币普通股（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万股，每股面值</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元，发行价格为人民币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元，募集资</w:t>
            </w:r>
          </w:p>
          <w:p>
            <w:pPr>
              <w:pStyle w:val="TableParagraph"/>
              <w:spacing w:line="240" w:lineRule="auto" w:before="1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金总额为人民币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340,000,000.00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元。扣除发行费用合计人民币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23,981,000.00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元，实际募集资金净额为人民币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316,019,000.00</w:t>
            </w:r>
          </w:p>
          <w:p>
            <w:pPr>
              <w:pStyle w:val="TableParagraph"/>
              <w:spacing w:line="300" w:lineRule="auto" w:before="63"/>
              <w:ind w:left="24" w:right="21"/>
              <w:jc w:val="left"/>
              <w:rPr>
                <w:rFonts w:ascii="宋体" w:hAnsi="宋体" w:cs="宋体" w:eastAsia="宋体" w:hint="default"/>
                <w:sz w:val="18"/>
                <w:szCs w:val="18"/>
              </w:rPr>
            </w:pPr>
            <w:r>
              <w:rPr>
                <w:rFonts w:ascii="宋体" w:hAnsi="宋体" w:cs="宋体" w:eastAsia="宋体" w:hint="default"/>
                <w:sz w:val="18"/>
                <w:szCs w:val="18"/>
              </w:rPr>
              <w:t>元。公司在报告期内共计投入募集资金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8,372.10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万元，截止</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日，已累计使用募集资金</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21,169.54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万元用</w:t>
            </w:r>
            <w:r>
              <w:rPr>
                <w:rFonts w:ascii="宋体" w:hAnsi="宋体" w:cs="宋体" w:eastAsia="宋体" w:hint="default"/>
                <w:spacing w:val="-3"/>
                <w:sz w:val="18"/>
                <w:szCs w:val="18"/>
              </w:rPr>
              <w:t> </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基础设施支持与维护服务区域扩展项目、</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管理外包服务项目、天玑科技数据中心创新服务项目。</w:t>
            </w:r>
          </w:p>
        </w:tc>
      </w:tr>
    </w:tbl>
    <w:p>
      <w:pPr>
        <w:spacing w:after="0" w:line="30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bookmarkStart w:name="（2）募集资金承诺项目情况" w:id="50"/>
      <w:bookmarkEnd w:id="50"/>
      <w:r>
        <w:rPr>
          <w:rFonts w:ascii="宋体" w:hAnsi="宋体" w:cs="宋体" w:eastAsia="宋体" w:hint="default"/>
          <w:sz w:val="18"/>
          <w:szCs w:val="18"/>
        </w:rPr>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5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51"/>
        <w:gridCol w:w="737"/>
        <w:gridCol w:w="722"/>
        <w:gridCol w:w="716"/>
        <w:gridCol w:w="717"/>
        <w:gridCol w:w="702"/>
        <w:gridCol w:w="734"/>
        <w:gridCol w:w="718"/>
        <w:gridCol w:w="718"/>
        <w:gridCol w:w="719"/>
        <w:gridCol w:w="718"/>
        <w:gridCol w:w="710"/>
      </w:tblGrid>
      <w:tr>
        <w:trPr>
          <w:trHeight w:val="1649" w:hRule="exact"/>
        </w:trPr>
        <w:tc>
          <w:tcPr>
            <w:tcW w:w="16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69" w:right="98" w:hanging="269"/>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64" w:right="60"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3" w:right="86"/>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1" w:right="82"/>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0" w:right="8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1" w:right="68"/>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3" w:right="68"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4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3" w:right="82"/>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0" w:right="85"/>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0" w:right="86"/>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1"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9" w:right="79"/>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3" w:hRule="exact"/>
        </w:trPr>
        <w:tc>
          <w:tcPr>
            <w:tcW w:w="9562"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1"/>
              <w:jc w:val="both"/>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基础设施支持与</w:t>
            </w:r>
            <w:r>
              <w:rPr>
                <w:rFonts w:ascii="宋体" w:hAnsi="宋体" w:cs="宋体" w:eastAsia="宋体" w:hint="default"/>
                <w:w w:val="99"/>
                <w:sz w:val="18"/>
                <w:szCs w:val="18"/>
              </w:rPr>
              <w:t> </w:t>
            </w:r>
            <w:r>
              <w:rPr>
                <w:rFonts w:ascii="宋体" w:hAnsi="宋体" w:cs="宋体" w:eastAsia="宋体" w:hint="default"/>
                <w:sz w:val="18"/>
                <w:szCs w:val="18"/>
              </w:rPr>
              <w:t>维护服务区域扩展</w:t>
            </w:r>
            <w:r>
              <w:rPr>
                <w:rFonts w:ascii="宋体" w:hAnsi="宋体" w:cs="宋体" w:eastAsia="宋体" w:hint="default"/>
                <w:w w:val="99"/>
                <w:sz w:val="18"/>
                <w:szCs w:val="18"/>
              </w:rPr>
              <w:t> </w:t>
            </w:r>
            <w:r>
              <w:rPr>
                <w:rFonts w:ascii="宋体" w:hAnsi="宋体" w:cs="宋体" w:eastAsia="宋体" w:hint="default"/>
                <w:sz w:val="18"/>
                <w:szCs w:val="18"/>
              </w:rPr>
              <w:t>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9,500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4,595.3</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370.48</w:t>
            </w:r>
            <w:r>
              <w:rPr>
                <w:rFonts w:ascii="Times New Roman"/>
                <w:sz w:val="18"/>
              </w:rPr>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4,595.3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4"/>
                <w:sz w:val="18"/>
              </w:rPr>
              <w:t>1111.96</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1972.53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4" w:right="141"/>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管理外包服务项</w:t>
            </w:r>
            <w:r>
              <w:rPr>
                <w:rFonts w:ascii="宋体" w:hAnsi="宋体" w:cs="宋体" w:eastAsia="宋体" w:hint="default"/>
                <w:w w:val="99"/>
                <w:sz w:val="18"/>
                <w:szCs w:val="18"/>
              </w:rPr>
              <w:t> </w:t>
            </w:r>
            <w:r>
              <w:rPr>
                <w:rFonts w:ascii="宋体" w:hAnsi="宋体" w:cs="宋体" w:eastAsia="宋体" w:hint="default"/>
                <w:sz w:val="18"/>
                <w:szCs w:val="18"/>
              </w:rPr>
              <w:t>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4,800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4,800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1,963.01</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2,366.74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45" w:right="0"/>
              <w:jc w:val="center"/>
              <w:rPr>
                <w:rFonts w:ascii="Times New Roman" w:hAnsi="Times New Roman" w:cs="Times New Roman" w:eastAsia="Times New Roman" w:hint="default"/>
                <w:sz w:val="18"/>
                <w:szCs w:val="18"/>
              </w:rPr>
            </w:pPr>
            <w:r>
              <w:rPr>
                <w:rFonts w:ascii="Times New Roman"/>
                <w:sz w:val="18"/>
              </w:rPr>
              <w:t>49.31%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165.67</w:t>
            </w:r>
            <w:r>
              <w:rPr>
                <w:rFonts w:ascii="Times New Roman"/>
                <w:sz w:val="18"/>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325.16</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75"/>
              <w:jc w:val="left"/>
              <w:rPr>
                <w:rFonts w:ascii="宋体" w:hAnsi="宋体" w:cs="宋体" w:eastAsia="宋体" w:hint="default"/>
                <w:sz w:val="18"/>
                <w:szCs w:val="18"/>
              </w:rPr>
            </w:pPr>
            <w:r>
              <w:rPr>
                <w:rFonts w:ascii="宋体" w:hAnsi="宋体" w:cs="宋体" w:eastAsia="宋体" w:hint="default"/>
                <w:sz w:val="18"/>
                <w:szCs w:val="18"/>
              </w:rPr>
              <w:t>天玑科技数据中心 创新服务项目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4,300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4,300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2,238.61</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4,267.50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5" w:right="0"/>
              <w:jc w:val="center"/>
              <w:rPr>
                <w:rFonts w:ascii="Times New Roman" w:hAnsi="Times New Roman" w:cs="Times New Roman" w:eastAsia="Times New Roman" w:hint="default"/>
                <w:sz w:val="18"/>
                <w:szCs w:val="18"/>
              </w:rPr>
            </w:pPr>
            <w:r>
              <w:rPr>
                <w:rFonts w:ascii="Times New Roman"/>
                <w:sz w:val="18"/>
              </w:rPr>
              <w:t>99.24%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497.10</w:t>
            </w:r>
            <w:r>
              <w:rPr>
                <w:rFonts w:ascii="Times New Roman"/>
                <w:sz w:val="18"/>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775.03</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3" w:hRule="exact"/>
        </w:trPr>
        <w:tc>
          <w:tcPr>
            <w:tcW w:w="1651" w:type="dxa"/>
            <w:tcBorders>
              <w:top w:val="single" w:sz="4" w:space="0" w:color="000000"/>
              <w:left w:val="single" w:sz="4" w:space="0" w:color="000000"/>
              <w:bottom w:val="nil" w:sz="6" w:space="0" w:color="auto"/>
              <w:right w:val="single" w:sz="4" w:space="0" w:color="000000"/>
            </w:tcBorders>
            <w:shd w:val="clear" w:color="auto" w:fill="D4D4D4"/>
          </w:tcPr>
          <w:p>
            <w:pPr/>
          </w:p>
        </w:tc>
        <w:tc>
          <w:tcPr>
            <w:tcW w:w="737" w:type="dxa"/>
            <w:tcBorders>
              <w:top w:val="single" w:sz="4" w:space="0" w:color="000000"/>
              <w:left w:val="single" w:sz="4" w:space="0" w:color="000000"/>
              <w:bottom w:val="nil" w:sz="6" w:space="0" w:color="auto"/>
              <w:right w:val="single" w:sz="4" w:space="0" w:color="000000"/>
            </w:tcBorders>
            <w:shd w:val="clear" w:color="auto" w:fill="D4D4D4"/>
          </w:tcPr>
          <w:p>
            <w:pPr/>
          </w:p>
        </w:tc>
        <w:tc>
          <w:tcPr>
            <w:tcW w:w="722" w:type="dxa"/>
            <w:vMerge w:val="restart"/>
            <w:tcBorders>
              <w:top w:val="single" w:sz="4" w:space="0" w:color="000000"/>
              <w:left w:val="single" w:sz="9" w:space="0" w:color="D4D4D4"/>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5" w:right="0"/>
              <w:jc w:val="left"/>
              <w:rPr>
                <w:rFonts w:ascii="Times New Roman" w:hAnsi="Times New Roman" w:cs="Times New Roman" w:eastAsia="Times New Roman" w:hint="default"/>
                <w:sz w:val="18"/>
                <w:szCs w:val="18"/>
              </w:rPr>
            </w:pPr>
            <w:r>
              <w:rPr>
                <w:rFonts w:ascii="Times New Roman"/>
                <w:sz w:val="18"/>
              </w:rPr>
              <w:t>18,600</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13,695.3</w:t>
            </w:r>
          </w:p>
        </w:tc>
        <w:tc>
          <w:tcPr>
            <w:tcW w:w="71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4,572.10</w:t>
            </w:r>
          </w:p>
        </w:tc>
        <w:tc>
          <w:tcPr>
            <w:tcW w:w="702" w:type="dxa"/>
            <w:vMerge w:val="restart"/>
            <w:tcBorders>
              <w:top w:val="single" w:sz="4" w:space="0" w:color="000000"/>
              <w:left w:val="single" w:sz="4" w:space="0" w:color="000000"/>
              <w:right w:val="single" w:sz="10" w:space="0" w:color="D4D4D4"/>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11,229.5</w:t>
            </w:r>
          </w:p>
          <w:p>
            <w:pPr>
              <w:pStyle w:val="TableParagraph"/>
              <w:spacing w:line="240" w:lineRule="auto" w:before="102"/>
              <w:ind w:right="-6"/>
              <w:jc w:val="right"/>
              <w:rPr>
                <w:rFonts w:ascii="Times New Roman" w:hAnsi="Times New Roman" w:cs="Times New Roman" w:eastAsia="Times New Roman" w:hint="default"/>
                <w:sz w:val="18"/>
                <w:szCs w:val="18"/>
              </w:rPr>
            </w:pPr>
            <w:r>
              <w:rPr>
                <w:rFonts w:ascii="Times New Roman"/>
                <w:sz w:val="18"/>
              </w:rPr>
              <w:t>4</w:t>
            </w:r>
          </w:p>
        </w:tc>
        <w:tc>
          <w:tcPr>
            <w:tcW w:w="734" w:type="dxa"/>
            <w:tcBorders>
              <w:top w:val="single" w:sz="4" w:space="0" w:color="000000"/>
              <w:left w:val="single" w:sz="4" w:space="0" w:color="000000"/>
              <w:bottom w:val="nil" w:sz="6" w:space="0" w:color="auto"/>
              <w:right w:val="single" w:sz="4" w:space="0" w:color="000000"/>
            </w:tcBorders>
            <w:shd w:val="clear" w:color="auto" w:fill="D4D4D4"/>
          </w:tcPr>
          <w:p>
            <w:pPr/>
          </w:p>
        </w:tc>
        <w:tc>
          <w:tcPr>
            <w:tcW w:w="718" w:type="dxa"/>
            <w:tcBorders>
              <w:top w:val="single" w:sz="4" w:space="0" w:color="000000"/>
              <w:left w:val="single" w:sz="4" w:space="0" w:color="000000"/>
              <w:bottom w:val="nil" w:sz="6" w:space="0" w:color="auto"/>
              <w:right w:val="single" w:sz="4" w:space="0" w:color="000000"/>
            </w:tcBorders>
            <w:shd w:val="clear" w:color="auto" w:fill="D4D4D4"/>
          </w:tcPr>
          <w:p>
            <w:pPr/>
          </w:p>
        </w:tc>
        <w:tc>
          <w:tcPr>
            <w:tcW w:w="718" w:type="dxa"/>
            <w:vMerge w:val="restart"/>
            <w:tcBorders>
              <w:top w:val="single" w:sz="4" w:space="0" w:color="000000"/>
              <w:left w:val="single" w:sz="10" w:space="0" w:color="D4D4D4"/>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1774.73</w:t>
            </w:r>
          </w:p>
        </w:tc>
        <w:tc>
          <w:tcPr>
            <w:tcW w:w="719" w:type="dxa"/>
            <w:vMerge w:val="restart"/>
            <w:tcBorders>
              <w:top w:val="single" w:sz="4" w:space="0" w:color="000000"/>
              <w:left w:val="single" w:sz="4" w:space="0" w:color="000000"/>
              <w:right w:val="single" w:sz="10" w:space="0" w:color="D4D4D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3072.72</w:t>
            </w:r>
          </w:p>
        </w:tc>
        <w:tc>
          <w:tcPr>
            <w:tcW w:w="718" w:type="dxa"/>
            <w:tcBorders>
              <w:top w:val="single" w:sz="4" w:space="0" w:color="000000"/>
              <w:left w:val="single" w:sz="4" w:space="0" w:color="000000"/>
              <w:bottom w:val="nil" w:sz="6" w:space="0" w:color="auto"/>
              <w:right w:val="single" w:sz="4" w:space="0" w:color="000000"/>
            </w:tcBorders>
            <w:shd w:val="clear" w:color="auto" w:fill="D4D4D4"/>
          </w:tcPr>
          <w:p>
            <w:pPr/>
          </w:p>
        </w:tc>
        <w:tc>
          <w:tcPr>
            <w:tcW w:w="710"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165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3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300"/>
              <w:jc w:val="right"/>
              <w:rPr>
                <w:rFonts w:ascii="Times New Roman" w:hAnsi="Times New Roman" w:cs="Times New Roman" w:eastAsia="Times New Roman" w:hint="default"/>
                <w:sz w:val="18"/>
                <w:szCs w:val="18"/>
              </w:rPr>
            </w:pPr>
            <w:r>
              <w:rPr>
                <w:rFonts w:ascii="Times New Roman"/>
                <w:sz w:val="18"/>
              </w:rPr>
              <w:t>--</w:t>
            </w:r>
          </w:p>
        </w:tc>
        <w:tc>
          <w:tcPr>
            <w:tcW w:w="722" w:type="dxa"/>
            <w:vMerge/>
            <w:tcBorders>
              <w:left w:val="single" w:sz="9" w:space="0" w:color="D4D4D4"/>
              <w:right w:val="single" w:sz="4" w:space="0" w:color="000000"/>
            </w:tcBorders>
          </w:tcPr>
          <w:p>
            <w:pPr/>
          </w:p>
        </w:tc>
        <w:tc>
          <w:tcPr>
            <w:tcW w:w="716" w:type="dxa"/>
            <w:vMerge/>
            <w:tcBorders>
              <w:left w:val="single" w:sz="4" w:space="0" w:color="000000"/>
              <w:right w:val="single" w:sz="4" w:space="0" w:color="000000"/>
            </w:tcBorders>
          </w:tcPr>
          <w:p>
            <w:pPr/>
          </w:p>
        </w:tc>
        <w:tc>
          <w:tcPr>
            <w:tcW w:w="717" w:type="dxa"/>
            <w:vMerge/>
            <w:tcBorders>
              <w:left w:val="single" w:sz="4" w:space="0" w:color="000000"/>
              <w:right w:val="single" w:sz="4" w:space="0" w:color="000000"/>
            </w:tcBorders>
          </w:tcPr>
          <w:p>
            <w:pPr/>
          </w:p>
        </w:tc>
        <w:tc>
          <w:tcPr>
            <w:tcW w:w="702" w:type="dxa"/>
            <w:vMerge/>
            <w:tcBorders>
              <w:left w:val="single" w:sz="4" w:space="0" w:color="000000"/>
              <w:right w:val="single" w:sz="10" w:space="0" w:color="D4D4D4"/>
            </w:tcBorders>
          </w:tcPr>
          <w:p>
            <w:pPr/>
          </w:p>
        </w:tc>
        <w:tc>
          <w:tcPr>
            <w:tcW w:w="73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718" w:type="dxa"/>
            <w:vMerge/>
            <w:tcBorders>
              <w:left w:val="single" w:sz="10" w:space="0" w:color="D4D4D4"/>
              <w:right w:val="single" w:sz="4" w:space="0" w:color="000000"/>
            </w:tcBorders>
          </w:tcPr>
          <w:p>
            <w:pPr/>
          </w:p>
        </w:tc>
        <w:tc>
          <w:tcPr>
            <w:tcW w:w="719" w:type="dxa"/>
            <w:vMerge/>
            <w:tcBorders>
              <w:left w:val="single" w:sz="4" w:space="0" w:color="000000"/>
              <w:right w:val="single" w:sz="10" w:space="0" w:color="D4D4D4"/>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286"/>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286"/>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51" w:type="dxa"/>
            <w:tcBorders>
              <w:top w:val="nil" w:sz="6" w:space="0" w:color="auto"/>
              <w:left w:val="single" w:sz="4" w:space="0" w:color="000000"/>
              <w:bottom w:val="single" w:sz="4" w:space="0" w:color="000000"/>
              <w:right w:val="single" w:sz="4" w:space="0" w:color="000000"/>
            </w:tcBorders>
            <w:shd w:val="clear" w:color="auto" w:fill="D4D4D4"/>
          </w:tcPr>
          <w:p>
            <w:pPr/>
          </w:p>
        </w:tc>
        <w:tc>
          <w:tcPr>
            <w:tcW w:w="737" w:type="dxa"/>
            <w:tcBorders>
              <w:top w:val="nil" w:sz="6" w:space="0" w:color="auto"/>
              <w:left w:val="single" w:sz="4" w:space="0" w:color="000000"/>
              <w:bottom w:val="single" w:sz="4" w:space="0" w:color="000000"/>
              <w:right w:val="single" w:sz="4" w:space="0" w:color="000000"/>
            </w:tcBorders>
            <w:shd w:val="clear" w:color="auto" w:fill="D4D4D4"/>
          </w:tcPr>
          <w:p>
            <w:pPr/>
          </w:p>
        </w:tc>
        <w:tc>
          <w:tcPr>
            <w:tcW w:w="722" w:type="dxa"/>
            <w:vMerge/>
            <w:tcBorders>
              <w:left w:val="single" w:sz="9" w:space="0" w:color="D4D4D4"/>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02" w:type="dxa"/>
            <w:vMerge/>
            <w:tcBorders>
              <w:left w:val="single" w:sz="4" w:space="0" w:color="000000"/>
              <w:bottom w:val="single" w:sz="4" w:space="0" w:color="000000"/>
              <w:right w:val="single" w:sz="10" w:space="0" w:color="D4D4D4"/>
            </w:tcBorders>
          </w:tcPr>
          <w:p>
            <w:pPr/>
          </w:p>
        </w:tc>
        <w:tc>
          <w:tcPr>
            <w:tcW w:w="734" w:type="dxa"/>
            <w:tcBorders>
              <w:top w:val="nil" w:sz="6" w:space="0" w:color="auto"/>
              <w:left w:val="single" w:sz="4" w:space="0" w:color="000000"/>
              <w:bottom w:val="single" w:sz="4" w:space="0" w:color="000000"/>
              <w:right w:val="single" w:sz="4" w:space="0" w:color="000000"/>
            </w:tcBorders>
            <w:shd w:val="clear" w:color="auto" w:fill="D4D4D4"/>
          </w:tcPr>
          <w:p>
            <w:pPr/>
          </w:p>
        </w:tc>
        <w:tc>
          <w:tcPr>
            <w:tcW w:w="718" w:type="dxa"/>
            <w:tcBorders>
              <w:top w:val="nil" w:sz="6" w:space="0" w:color="auto"/>
              <w:left w:val="single" w:sz="4" w:space="0" w:color="000000"/>
              <w:bottom w:val="single" w:sz="4" w:space="0" w:color="000000"/>
              <w:right w:val="single" w:sz="4" w:space="0" w:color="000000"/>
            </w:tcBorders>
            <w:shd w:val="clear" w:color="auto" w:fill="D4D4D4"/>
          </w:tcPr>
          <w:p>
            <w:pPr/>
          </w:p>
        </w:tc>
        <w:tc>
          <w:tcPr>
            <w:tcW w:w="718" w:type="dxa"/>
            <w:vMerge/>
            <w:tcBorders>
              <w:left w:val="single" w:sz="10" w:space="0" w:color="D4D4D4"/>
              <w:bottom w:val="single" w:sz="4" w:space="0" w:color="000000"/>
              <w:right w:val="single" w:sz="4" w:space="0" w:color="000000"/>
            </w:tcBorders>
          </w:tcPr>
          <w:p>
            <w:pPr/>
          </w:p>
        </w:tc>
        <w:tc>
          <w:tcPr>
            <w:tcW w:w="719" w:type="dxa"/>
            <w:vMerge/>
            <w:tcBorders>
              <w:left w:val="single" w:sz="4" w:space="0" w:color="000000"/>
              <w:bottom w:val="single" w:sz="4" w:space="0" w:color="000000"/>
              <w:right w:val="single" w:sz="10" w:space="0" w:color="D4D4D4"/>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4D4D4"/>
          </w:tcPr>
          <w:p>
            <w:pPr/>
          </w:p>
        </w:tc>
        <w:tc>
          <w:tcPr>
            <w:tcW w:w="710"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96" w:hRule="exact"/>
        </w:trPr>
        <w:tc>
          <w:tcPr>
            <w:tcW w:w="9562"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5"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5"/>
              <w:jc w:val="left"/>
              <w:rPr>
                <w:rFonts w:ascii="宋体" w:hAnsi="宋体" w:cs="宋体" w:eastAsia="宋体" w:hint="default"/>
                <w:sz w:val="18"/>
                <w:szCs w:val="18"/>
              </w:rPr>
            </w:pPr>
            <w:r>
              <w:rPr>
                <w:rFonts w:ascii="宋体" w:hAnsi="宋体" w:cs="宋体" w:eastAsia="宋体" w:hint="default"/>
                <w:sz w:val="18"/>
                <w:szCs w:val="18"/>
              </w:rPr>
              <w:t>购买青浦土地使用 权</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57"/>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6" w:right="0"/>
              <w:jc w:val="center"/>
              <w:rPr>
                <w:rFonts w:ascii="Times New Roman" w:hAnsi="Times New Roman" w:cs="Times New Roman" w:eastAsia="Times New Roman" w:hint="default"/>
                <w:sz w:val="18"/>
                <w:szCs w:val="18"/>
              </w:rPr>
            </w:pPr>
            <w:r>
              <w:rPr>
                <w:rFonts w:ascii="Times New Roman"/>
                <w:sz w:val="18"/>
              </w:rPr>
              <w:t>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收购复深蓝子公司</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股权</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3,640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3,640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3,640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663.32</w:t>
            </w:r>
            <w:r>
              <w:rPr>
                <w:rFonts w:ascii="Times New Roman"/>
                <w:sz w:val="18"/>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1,838.43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5"/>
              <w:jc w:val="both"/>
              <w:rPr>
                <w:rFonts w:ascii="宋体" w:hAnsi="宋体" w:cs="宋体" w:eastAsia="宋体" w:hint="default"/>
                <w:sz w:val="18"/>
                <w:szCs w:val="18"/>
              </w:rPr>
            </w:pPr>
            <w:r>
              <w:rPr>
                <w:rFonts w:ascii="宋体" w:hAnsi="宋体" w:cs="宋体" w:eastAsia="宋体" w:hint="default"/>
                <w:sz w:val="18"/>
                <w:szCs w:val="18"/>
              </w:rPr>
              <w:t>天玑科技青浦综合 业务大楼建设使用 部分超募资金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2,087.1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57"/>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16" w:right="0"/>
              <w:jc w:val="center"/>
              <w:rPr>
                <w:rFonts w:ascii="Times New Roman" w:hAnsi="Times New Roman" w:cs="Times New Roman" w:eastAsia="Times New Roman" w:hint="default"/>
                <w:sz w:val="18"/>
                <w:szCs w:val="18"/>
              </w:rPr>
            </w:pPr>
            <w:r>
              <w:rPr>
                <w:rFonts w:ascii="Times New Roman"/>
                <w:sz w:val="18"/>
              </w:rPr>
              <w:t>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left"/>
              <w:rPr>
                <w:rFonts w:ascii="宋体" w:hAnsi="宋体" w:cs="宋体" w:eastAsia="宋体" w:hint="default"/>
                <w:sz w:val="18"/>
                <w:szCs w:val="18"/>
              </w:rPr>
            </w:pPr>
            <w:r>
              <w:rPr>
                <w:rFonts w:ascii="宋体" w:hAnsi="宋体" w:cs="宋体" w:eastAsia="宋体" w:hint="default"/>
                <w:sz w:val="18"/>
                <w:szCs w:val="18"/>
              </w:rPr>
              <w:t>投资设立上海天玑 数据技术有限公司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7"/>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6" w:right="0"/>
              <w:jc w:val="center"/>
              <w:rPr>
                <w:rFonts w:ascii="Times New Roman" w:hAnsi="Times New Roman" w:cs="Times New Roman" w:eastAsia="Times New Roman" w:hint="default"/>
                <w:sz w:val="18"/>
                <w:szCs w:val="18"/>
              </w:rPr>
            </w:pPr>
            <w:r>
              <w:rPr>
                <w:rFonts w:ascii="Times New Roman"/>
                <w:sz w:val="18"/>
              </w:rPr>
              <w:t>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5"/>
              <w:jc w:val="both"/>
              <w:rPr>
                <w:rFonts w:ascii="宋体" w:hAnsi="宋体" w:cs="宋体" w:eastAsia="宋体" w:hint="default"/>
                <w:sz w:val="18"/>
                <w:szCs w:val="18"/>
              </w:rPr>
            </w:pPr>
            <w:r>
              <w:rPr>
                <w:rFonts w:ascii="宋体" w:hAnsi="宋体" w:cs="宋体" w:eastAsia="宋体" w:hint="default"/>
                <w:sz w:val="18"/>
                <w:szCs w:val="18"/>
              </w:rPr>
              <w:t>投资设立上海卓之 联信息科技有限公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57"/>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16" w:right="0"/>
              <w:jc w:val="center"/>
              <w:rPr>
                <w:rFonts w:ascii="Times New Roman" w:hAnsi="Times New Roman" w:cs="Times New Roman" w:eastAsia="Times New Roman" w:hint="default"/>
                <w:sz w:val="18"/>
                <w:szCs w:val="18"/>
              </w:rPr>
            </w:pPr>
            <w:r>
              <w:rPr>
                <w:rFonts w:ascii="Times New Roman"/>
                <w:sz w:val="18"/>
              </w:rPr>
              <w:t>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投资设立杭州广捷 </w:t>
            </w:r>
            <w:r>
              <w:rPr>
                <w:rFonts w:ascii="宋体" w:hAnsi="宋体" w:cs="宋体" w:eastAsia="宋体" w:hint="default"/>
                <w:spacing w:val="-3"/>
                <w:sz w:val="18"/>
                <w:szCs w:val="18"/>
              </w:rPr>
              <w:t>科技有限公司、杭州</w:t>
            </w:r>
            <w:r>
              <w:rPr>
                <w:rFonts w:ascii="宋体" w:hAnsi="宋体" w:cs="宋体" w:eastAsia="宋体" w:hint="default"/>
                <w:sz w:val="18"/>
                <w:szCs w:val="18"/>
              </w:rPr>
              <w:t> 鸿昇科技有限公司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3,800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3,800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51" w:type="dxa"/>
            <w:tcBorders>
              <w:top w:val="single" w:sz="4" w:space="0" w:color="000000"/>
              <w:left w:val="single" w:sz="4" w:space="0" w:color="000000"/>
              <w:bottom w:val="single" w:sz="12" w:space="0" w:color="D4D4D4"/>
              <w:right w:val="single" w:sz="4" w:space="0" w:color="000000"/>
            </w:tcBorders>
          </w:tcPr>
          <w:p>
            <w:pPr>
              <w:pStyle w:val="TableParagraph"/>
              <w:spacing w:line="316" w:lineRule="auto" w:before="49"/>
              <w:ind w:left="24" w:right="175"/>
              <w:jc w:val="left"/>
              <w:rPr>
                <w:rFonts w:ascii="宋体" w:hAnsi="宋体" w:cs="宋体" w:eastAsia="宋体" w:hint="default"/>
                <w:sz w:val="18"/>
                <w:szCs w:val="18"/>
              </w:rPr>
            </w:pPr>
            <w:r>
              <w:rPr>
                <w:rFonts w:ascii="宋体" w:hAnsi="宋体" w:cs="宋体" w:eastAsia="宋体" w:hint="default"/>
                <w:sz w:val="18"/>
                <w:szCs w:val="18"/>
              </w:rPr>
              <w:t>未确认使用投向的 超募资金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-3,705.2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5,466.6</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7"/>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6" w:right="0"/>
              <w:jc w:val="center"/>
              <w:rPr>
                <w:rFonts w:ascii="Times New Roman" w:hAnsi="Times New Roman" w:cs="Times New Roman" w:eastAsia="Times New Roman" w:hint="default"/>
                <w:sz w:val="18"/>
                <w:szCs w:val="18"/>
              </w:rPr>
            </w:pPr>
            <w:r>
              <w:rPr>
                <w:rFonts w:ascii="Times New Roman"/>
                <w:sz w:val="18"/>
              </w:rPr>
              <w:t>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补充流动资金（如</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300"/>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7" w:right="0"/>
              <w:jc w:val="left"/>
              <w:rPr>
                <w:rFonts w:ascii="Times New Roman" w:hAnsi="Times New Roman" w:cs="Times New Roman" w:eastAsia="Times New Roman" w:hint="default"/>
                <w:sz w:val="18"/>
                <w:szCs w:val="18"/>
              </w:rPr>
            </w:pPr>
            <w:r>
              <w:rPr>
                <w:rFonts w:ascii="Times New Roman"/>
                <w:sz w:val="18"/>
              </w:rPr>
              <w:t>2,500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100.00%</w:t>
            </w:r>
          </w:p>
        </w:tc>
        <w:tc>
          <w:tcPr>
            <w:tcW w:w="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7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651"/>
        <w:gridCol w:w="726"/>
        <w:gridCol w:w="731"/>
        <w:gridCol w:w="715"/>
        <w:gridCol w:w="718"/>
        <w:gridCol w:w="680"/>
        <w:gridCol w:w="755"/>
        <w:gridCol w:w="707"/>
        <w:gridCol w:w="728"/>
        <w:gridCol w:w="732"/>
        <w:gridCol w:w="706"/>
        <w:gridCol w:w="713"/>
      </w:tblGrid>
      <w:tr>
        <w:trPr>
          <w:trHeight w:val="362" w:hRule="exact"/>
        </w:trPr>
        <w:tc>
          <w:tcPr>
            <w:tcW w:w="16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2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2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3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0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1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16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731"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13,001.9</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17,906.6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8" w:right="0"/>
              <w:jc w:val="left"/>
              <w:rPr>
                <w:rFonts w:ascii="Times New Roman" w:hAnsi="Times New Roman" w:cs="Times New Roman" w:eastAsia="Times New Roman" w:hint="default"/>
                <w:sz w:val="18"/>
                <w:szCs w:val="18"/>
              </w:rPr>
            </w:pPr>
            <w:r>
              <w:rPr>
                <w:rFonts w:ascii="Times New Roman"/>
                <w:sz w:val="18"/>
              </w:rPr>
              <w:t>3,800</w:t>
            </w:r>
          </w:p>
        </w:tc>
        <w:tc>
          <w:tcPr>
            <w:tcW w:w="680" w:type="dxa"/>
            <w:tcBorders>
              <w:top w:val="single" w:sz="4" w:space="0" w:color="000000"/>
              <w:left w:val="single" w:sz="4" w:space="0" w:color="000000"/>
              <w:bottom w:val="single" w:sz="4" w:space="0" w:color="000000"/>
              <w:right w:val="single" w:sz="14" w:space="0" w:color="D4D4D4"/>
            </w:tcBorders>
          </w:tcPr>
          <w:p>
            <w:pPr>
              <w:pStyle w:val="TableParagraph"/>
              <w:spacing w:line="240" w:lineRule="auto" w:before="91"/>
              <w:ind w:left="230" w:right="0"/>
              <w:jc w:val="left"/>
              <w:rPr>
                <w:rFonts w:ascii="Times New Roman" w:hAnsi="Times New Roman" w:cs="Times New Roman" w:eastAsia="Times New Roman" w:hint="default"/>
                <w:sz w:val="18"/>
                <w:szCs w:val="18"/>
              </w:rPr>
            </w:pPr>
            <w:r>
              <w:rPr>
                <w:rFonts w:ascii="Times New Roman"/>
                <w:sz w:val="18"/>
              </w:rPr>
              <w:t>9,940</w:t>
            </w:r>
          </w:p>
        </w:tc>
        <w:tc>
          <w:tcPr>
            <w:tcW w:w="7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w:t>
            </w:r>
          </w:p>
        </w:tc>
        <w:tc>
          <w:tcPr>
            <w:tcW w:w="7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72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5" w:right="0"/>
              <w:jc w:val="left"/>
              <w:rPr>
                <w:rFonts w:ascii="Times New Roman" w:hAnsi="Times New Roman" w:cs="Times New Roman" w:eastAsia="Times New Roman" w:hint="default"/>
                <w:sz w:val="18"/>
                <w:szCs w:val="18"/>
              </w:rPr>
            </w:pPr>
            <w:r>
              <w:rPr>
                <w:rFonts w:ascii="Times New Roman"/>
                <w:sz w:val="18"/>
              </w:rPr>
              <w:t>663.32</w:t>
            </w:r>
          </w:p>
        </w:tc>
        <w:tc>
          <w:tcPr>
            <w:tcW w:w="732" w:type="dxa"/>
            <w:tcBorders>
              <w:top w:val="single" w:sz="4" w:space="0" w:color="000000"/>
              <w:left w:val="single" w:sz="4" w:space="0" w:color="000000"/>
              <w:bottom w:val="single" w:sz="4" w:space="0" w:color="000000"/>
              <w:right w:val="single" w:sz="10" w:space="0" w:color="D4D4D4"/>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1,838.43</w:t>
            </w:r>
          </w:p>
        </w:tc>
        <w:tc>
          <w:tcPr>
            <w:tcW w:w="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c>
          <w:tcPr>
            <w:tcW w:w="7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51" w:type="dxa"/>
            <w:tcBorders>
              <w:top w:val="single" w:sz="4" w:space="0" w:color="000000"/>
              <w:left w:val="single" w:sz="4" w:space="0" w:color="000000"/>
              <w:bottom w:val="nil" w:sz="6" w:space="0" w:color="auto"/>
              <w:right w:val="single" w:sz="4" w:space="0" w:color="000000"/>
            </w:tcBorders>
            <w:shd w:val="clear" w:color="auto" w:fill="D4D4D4"/>
          </w:tcPr>
          <w:p>
            <w:pPr/>
          </w:p>
        </w:tc>
        <w:tc>
          <w:tcPr>
            <w:tcW w:w="726" w:type="dxa"/>
            <w:tcBorders>
              <w:top w:val="single" w:sz="4" w:space="0" w:color="000000"/>
              <w:left w:val="single" w:sz="4" w:space="0" w:color="000000"/>
              <w:bottom w:val="nil" w:sz="6" w:space="0" w:color="auto"/>
              <w:right w:val="single" w:sz="4" w:space="0" w:color="000000"/>
            </w:tcBorders>
            <w:shd w:val="clear" w:color="auto" w:fill="D4D4D4"/>
          </w:tcPr>
          <w:p>
            <w:pPr/>
          </w:p>
        </w:tc>
        <w:tc>
          <w:tcPr>
            <w:tcW w:w="731" w:type="dxa"/>
            <w:vMerge w:val="restart"/>
            <w:tcBorders>
              <w:top w:val="single" w:sz="4" w:space="0" w:color="000000"/>
              <w:left w:val="single" w:sz="9" w:space="0" w:color="D4D4D4"/>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31,601.9</w:t>
            </w:r>
          </w:p>
        </w:tc>
        <w:tc>
          <w:tcPr>
            <w:tcW w:w="71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31,601.9</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8,372.10</w:t>
            </w:r>
          </w:p>
        </w:tc>
        <w:tc>
          <w:tcPr>
            <w:tcW w:w="680" w:type="dxa"/>
            <w:vMerge w:val="restart"/>
            <w:tcBorders>
              <w:top w:val="single" w:sz="4" w:space="0" w:color="000000"/>
              <w:left w:val="single" w:sz="4" w:space="0" w:color="000000"/>
              <w:right w:val="single" w:sz="10" w:space="0" w:color="D4D4D4"/>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21,169.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54</w:t>
            </w:r>
          </w:p>
        </w:tc>
        <w:tc>
          <w:tcPr>
            <w:tcW w:w="7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07" w:type="dxa"/>
            <w:tcBorders>
              <w:top w:val="single" w:sz="4" w:space="0" w:color="000000"/>
              <w:left w:val="single" w:sz="4" w:space="0" w:color="000000"/>
              <w:bottom w:val="nil" w:sz="6" w:space="0" w:color="auto"/>
              <w:right w:val="single" w:sz="4" w:space="0" w:color="000000"/>
            </w:tcBorders>
            <w:shd w:val="clear" w:color="auto" w:fill="D4D4D4"/>
          </w:tcPr>
          <w:p>
            <w:pPr/>
          </w:p>
        </w:tc>
        <w:tc>
          <w:tcPr>
            <w:tcW w:w="728" w:type="dxa"/>
            <w:vMerge w:val="restart"/>
            <w:tcBorders>
              <w:top w:val="single" w:sz="4" w:space="0" w:color="000000"/>
              <w:left w:val="single" w:sz="10" w:space="0" w:color="D4D4D4"/>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2,438.05</w:t>
            </w:r>
          </w:p>
        </w:tc>
        <w:tc>
          <w:tcPr>
            <w:tcW w:w="732" w:type="dxa"/>
            <w:vMerge w:val="restart"/>
            <w:tcBorders>
              <w:top w:val="single" w:sz="4" w:space="0" w:color="000000"/>
              <w:left w:val="single" w:sz="4" w:space="0" w:color="000000"/>
              <w:right w:val="single" w:sz="10" w:space="0" w:color="D4D4D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4,911.15</w:t>
            </w:r>
          </w:p>
        </w:tc>
        <w:tc>
          <w:tcPr>
            <w:tcW w:w="706" w:type="dxa"/>
            <w:tcBorders>
              <w:top w:val="single" w:sz="4" w:space="0" w:color="000000"/>
              <w:left w:val="single" w:sz="4" w:space="0" w:color="000000"/>
              <w:bottom w:val="nil" w:sz="6" w:space="0" w:color="auto"/>
              <w:right w:val="single" w:sz="4" w:space="0" w:color="000000"/>
            </w:tcBorders>
            <w:shd w:val="clear" w:color="auto" w:fill="D4D4D4"/>
          </w:tcPr>
          <w:p>
            <w:pPr/>
          </w:p>
        </w:tc>
        <w:tc>
          <w:tcPr>
            <w:tcW w:w="713"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4" w:hRule="exact"/>
        </w:trPr>
        <w:tc>
          <w:tcPr>
            <w:tcW w:w="165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731" w:type="dxa"/>
            <w:vMerge/>
            <w:tcBorders>
              <w:left w:val="single" w:sz="9" w:space="0" w:color="D4D4D4"/>
              <w:right w:val="single" w:sz="4" w:space="0" w:color="000000"/>
            </w:tcBorders>
          </w:tcPr>
          <w:p>
            <w:pPr/>
          </w:p>
        </w:tc>
        <w:tc>
          <w:tcPr>
            <w:tcW w:w="715"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680" w:type="dxa"/>
            <w:vMerge/>
            <w:tcBorders>
              <w:left w:val="single" w:sz="4" w:space="0" w:color="000000"/>
              <w:right w:val="single" w:sz="10" w:space="0" w:color="D4D4D4"/>
            </w:tcBorders>
          </w:tcPr>
          <w:p>
            <w:pPr/>
          </w:p>
        </w:tc>
        <w:tc>
          <w:tcPr>
            <w:tcW w:w="75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w:t>
            </w:r>
          </w:p>
        </w:tc>
        <w:tc>
          <w:tcPr>
            <w:tcW w:w="70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728" w:type="dxa"/>
            <w:vMerge/>
            <w:tcBorders>
              <w:left w:val="single" w:sz="10" w:space="0" w:color="D4D4D4"/>
              <w:right w:val="single" w:sz="4" w:space="0" w:color="000000"/>
            </w:tcBorders>
          </w:tcPr>
          <w:p>
            <w:pPr/>
          </w:p>
        </w:tc>
        <w:tc>
          <w:tcPr>
            <w:tcW w:w="732" w:type="dxa"/>
            <w:vMerge/>
            <w:tcBorders>
              <w:left w:val="single" w:sz="4" w:space="0" w:color="000000"/>
              <w:right w:val="single" w:sz="10" w:space="0" w:color="D4D4D4"/>
            </w:tcBorders>
          </w:tcPr>
          <w:p>
            <w:pPr/>
          </w:p>
        </w:tc>
        <w:tc>
          <w:tcPr>
            <w:tcW w:w="70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c>
          <w:tcPr>
            <w:tcW w:w="71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51" w:type="dxa"/>
            <w:tcBorders>
              <w:top w:val="nil" w:sz="6" w:space="0" w:color="auto"/>
              <w:left w:val="single" w:sz="4" w:space="0" w:color="000000"/>
              <w:bottom w:val="single" w:sz="4" w:space="0" w:color="000000"/>
              <w:right w:val="single" w:sz="4" w:space="0" w:color="000000"/>
            </w:tcBorders>
            <w:shd w:val="clear" w:color="auto" w:fill="D4D4D4"/>
          </w:tcPr>
          <w:p>
            <w:pPr/>
          </w:p>
        </w:tc>
        <w:tc>
          <w:tcPr>
            <w:tcW w:w="726" w:type="dxa"/>
            <w:tcBorders>
              <w:top w:val="nil" w:sz="6" w:space="0" w:color="auto"/>
              <w:left w:val="single" w:sz="4" w:space="0" w:color="000000"/>
              <w:bottom w:val="single" w:sz="4" w:space="0" w:color="000000"/>
              <w:right w:val="single" w:sz="4" w:space="0" w:color="000000"/>
            </w:tcBorders>
            <w:shd w:val="clear" w:color="auto" w:fill="D4D4D4"/>
          </w:tcPr>
          <w:p>
            <w:pPr/>
          </w:p>
        </w:tc>
        <w:tc>
          <w:tcPr>
            <w:tcW w:w="731" w:type="dxa"/>
            <w:vMerge/>
            <w:tcBorders>
              <w:left w:val="single" w:sz="9" w:space="0" w:color="D4D4D4"/>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10" w:space="0" w:color="D4D4D4"/>
            </w:tcBorders>
          </w:tcPr>
          <w:p>
            <w:pPr/>
          </w:p>
        </w:tc>
        <w:tc>
          <w:tcPr>
            <w:tcW w:w="7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07" w:type="dxa"/>
            <w:tcBorders>
              <w:top w:val="nil" w:sz="6" w:space="0" w:color="auto"/>
              <w:left w:val="single" w:sz="4" w:space="0" w:color="000000"/>
              <w:bottom w:val="single" w:sz="4" w:space="0" w:color="000000"/>
              <w:right w:val="single" w:sz="4" w:space="0" w:color="000000"/>
            </w:tcBorders>
            <w:shd w:val="clear" w:color="auto" w:fill="D4D4D4"/>
          </w:tcPr>
          <w:p>
            <w:pPr/>
          </w:p>
        </w:tc>
        <w:tc>
          <w:tcPr>
            <w:tcW w:w="728" w:type="dxa"/>
            <w:vMerge/>
            <w:tcBorders>
              <w:left w:val="single" w:sz="10" w:space="0" w:color="D4D4D4"/>
              <w:bottom w:val="single" w:sz="4" w:space="0" w:color="000000"/>
              <w:right w:val="single" w:sz="4" w:space="0" w:color="000000"/>
            </w:tcBorders>
          </w:tcPr>
          <w:p>
            <w:pPr/>
          </w:p>
        </w:tc>
        <w:tc>
          <w:tcPr>
            <w:tcW w:w="732" w:type="dxa"/>
            <w:vMerge/>
            <w:tcBorders>
              <w:left w:val="single" w:sz="4" w:space="0" w:color="000000"/>
              <w:bottom w:val="single" w:sz="4" w:space="0" w:color="000000"/>
              <w:right w:val="single" w:sz="10" w:space="0" w:color="D4D4D4"/>
            </w:tcBorders>
          </w:tcPr>
          <w:p>
            <w:pPr/>
          </w:p>
        </w:tc>
        <w:tc>
          <w:tcPr>
            <w:tcW w:w="706" w:type="dxa"/>
            <w:tcBorders>
              <w:top w:val="nil" w:sz="6" w:space="0" w:color="auto"/>
              <w:left w:val="single" w:sz="4" w:space="0" w:color="000000"/>
              <w:bottom w:val="single" w:sz="4" w:space="0" w:color="000000"/>
              <w:right w:val="single" w:sz="4" w:space="0" w:color="000000"/>
            </w:tcBorders>
            <w:shd w:val="clear" w:color="auto" w:fill="D4D4D4"/>
          </w:tcPr>
          <w:p>
            <w:pPr/>
          </w:p>
        </w:tc>
        <w:tc>
          <w:tcPr>
            <w:tcW w:w="713"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2676" w:hRule="exact"/>
        </w:trPr>
        <w:tc>
          <w:tcPr>
            <w:tcW w:w="1651" w:type="dxa"/>
            <w:tcBorders>
              <w:top w:val="single" w:sz="4" w:space="0" w:color="000000"/>
              <w:left w:val="single" w:sz="4" w:space="0" w:color="000000"/>
              <w:bottom w:val="nil" w:sz="6" w:space="0" w:color="auto"/>
              <w:right w:val="single" w:sz="4" w:space="0" w:color="000000"/>
            </w:tcBorders>
            <w:shd w:val="clear" w:color="auto" w:fill="D4D4D4"/>
          </w:tcPr>
          <w:p>
            <w:pPr/>
          </w:p>
        </w:tc>
        <w:tc>
          <w:tcPr>
            <w:tcW w:w="7910" w:type="dxa"/>
            <w:gridSpan w:val="11"/>
            <w:vMerge w:val="restart"/>
            <w:tcBorders>
              <w:top w:val="single" w:sz="4" w:space="0" w:color="000000"/>
              <w:left w:val="single" w:sz="10" w:space="0" w:color="D4D4D4"/>
              <w:right w:val="single" w:sz="4" w:space="0" w:color="000000"/>
            </w:tcBorders>
          </w:tcPr>
          <w:p>
            <w:pPr>
              <w:pStyle w:val="TableParagraph"/>
              <w:spacing w:line="307" w:lineRule="auto" w:before="49"/>
              <w:ind w:left="16"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管理外包服务项目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天玑科技数据中心创新服务项目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因公司购置青浦土地用于建设天玑科 </w:t>
            </w:r>
            <w:r>
              <w:rPr>
                <w:rFonts w:ascii="宋体" w:hAnsi="宋体" w:cs="宋体" w:eastAsia="宋体" w:hint="default"/>
                <w:spacing w:val="-2"/>
                <w:sz w:val="18"/>
                <w:szCs w:val="18"/>
              </w:rPr>
              <w:t>技青浦综合业务大楼，故募投项目</w:t>
            </w:r>
            <w:r>
              <w:rPr>
                <w:rFonts w:ascii="Times New Roman" w:hAnsi="Times New Roman" w:cs="Times New Roman" w:eastAsia="Times New Roman" w:hint="default"/>
                <w:spacing w:val="-2"/>
                <w:sz w:val="18"/>
                <w:szCs w:val="18"/>
              </w:rPr>
              <w:t>“IT</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管理外包服务项目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数据中心创新服务项目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建设中关于办公</w:t>
            </w:r>
            <w:r>
              <w:rPr>
                <w:rFonts w:ascii="宋体" w:hAnsi="宋体" w:cs="宋体" w:eastAsia="宋体" w:hint="default"/>
                <w:spacing w:val="-58"/>
                <w:sz w:val="18"/>
                <w:szCs w:val="18"/>
              </w:rPr>
              <w:t> </w:t>
            </w:r>
            <w:r>
              <w:rPr>
                <w:rFonts w:ascii="宋体" w:hAnsi="宋体" w:cs="宋体" w:eastAsia="宋体" w:hint="default"/>
                <w:spacing w:val="-2"/>
                <w:sz w:val="18"/>
                <w:szCs w:val="18"/>
              </w:rPr>
              <w:t>场地投入的实施方式从购置办公楼并装修变更为竞拍国有土地使用权并自主建设，因此导致推迟募投</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项目建设周期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日预计可达到使用状态。上述事宜已经第二届董事会第六次会</w:t>
            </w:r>
          </w:p>
          <w:p>
            <w:pPr>
              <w:pStyle w:val="TableParagraph"/>
              <w:spacing w:line="300" w:lineRule="auto" w:before="7"/>
              <w:ind w:left="16" w:right="17"/>
              <w:jc w:val="both"/>
              <w:rPr>
                <w:rFonts w:ascii="宋体" w:hAnsi="宋体" w:cs="宋体" w:eastAsia="宋体" w:hint="default"/>
                <w:sz w:val="18"/>
                <w:szCs w:val="18"/>
              </w:rPr>
            </w:pPr>
            <w:r>
              <w:rPr>
                <w:rFonts w:ascii="宋体" w:hAnsi="宋体" w:cs="宋体" w:eastAsia="宋体" w:hint="default"/>
                <w:sz w:val="18"/>
                <w:szCs w:val="18"/>
              </w:rPr>
              <w:t>议及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年度股东大会审议通过《关于变更部分募投项目实施方式并使用部分超募资金的议案》。同</w:t>
            </w:r>
            <w:r>
              <w:rPr>
                <w:rFonts w:ascii="宋体" w:hAnsi="宋体" w:cs="宋体" w:eastAsia="宋体" w:hint="default"/>
                <w:sz w:val="18"/>
                <w:szCs w:val="18"/>
              </w:rPr>
              <w:t> </w:t>
            </w:r>
            <w:r>
              <w:rPr>
                <w:rFonts w:ascii="宋体" w:hAnsi="宋体" w:cs="宋体" w:eastAsia="宋体" w:hint="default"/>
                <w:spacing w:val="-2"/>
                <w:sz w:val="18"/>
                <w:szCs w:val="18"/>
              </w:rPr>
              <w:t>时公司第二届董事会第十三次临时会议审议通过《终止</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天玑科技青浦综合业务大楼</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建设项目并使用</w:t>
            </w:r>
            <w:r>
              <w:rPr>
                <w:rFonts w:ascii="宋体" w:hAnsi="宋体" w:cs="宋体" w:eastAsia="宋体" w:hint="default"/>
                <w:spacing w:val="-46"/>
                <w:sz w:val="18"/>
                <w:szCs w:val="18"/>
              </w:rPr>
              <w:t> </w:t>
            </w:r>
            <w:r>
              <w:rPr>
                <w:rFonts w:ascii="宋体" w:hAnsi="宋体" w:cs="宋体" w:eastAsia="宋体" w:hint="default"/>
                <w:spacing w:val="-3"/>
                <w:sz w:val="18"/>
                <w:szCs w:val="18"/>
              </w:rPr>
              <w:t>自有资金置换已投入超募资金的议案》及审议通过《关于退回土地使用权的议案》。</w:t>
            </w:r>
          </w:p>
          <w:p>
            <w:pPr>
              <w:pStyle w:val="TableParagraph"/>
              <w:spacing w:line="307" w:lineRule="auto" w:before="70"/>
              <w:ind w:left="16"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、超募资金投向的</w:t>
            </w:r>
            <w:r>
              <w:rPr>
                <w:rFonts w:ascii="Times New Roman" w:hAnsi="Times New Roman" w:cs="Times New Roman" w:eastAsia="Times New Roman" w:hint="default"/>
                <w:sz w:val="18"/>
                <w:szCs w:val="18"/>
              </w:rPr>
              <w:t>“</w:t>
            </w:r>
            <w:r>
              <w:rPr>
                <w:rFonts w:ascii="宋体" w:hAnsi="宋体" w:cs="宋体" w:eastAsia="宋体" w:hint="default"/>
                <w:sz w:val="18"/>
                <w:szCs w:val="18"/>
              </w:rPr>
              <w:t>天玑科技青浦综合业务大楼建设</w:t>
            </w:r>
            <w:r>
              <w:rPr>
                <w:rFonts w:ascii="Times New Roman" w:hAnsi="Times New Roman" w:cs="Times New Roman" w:eastAsia="Times New Roman" w:hint="default"/>
                <w:sz w:val="18"/>
                <w:szCs w:val="18"/>
              </w:rPr>
              <w:t>”</w:t>
            </w:r>
            <w:r>
              <w:rPr>
                <w:rFonts w:ascii="宋体" w:hAnsi="宋体" w:cs="宋体" w:eastAsia="宋体" w:hint="default"/>
                <w:sz w:val="18"/>
                <w:szCs w:val="18"/>
              </w:rPr>
              <w:t>项目及购买青浦土地使用权未达到预期效益的 主要情况为：公司第二届董事会第十三次临时会议审议通过《终止</w:t>
            </w:r>
            <w:r>
              <w:rPr>
                <w:rFonts w:ascii="Times New Roman" w:hAnsi="Times New Roman" w:cs="Times New Roman" w:eastAsia="Times New Roman" w:hint="default"/>
                <w:sz w:val="18"/>
                <w:szCs w:val="18"/>
              </w:rPr>
              <w:t>“</w:t>
            </w:r>
            <w:r>
              <w:rPr>
                <w:rFonts w:ascii="宋体" w:hAnsi="宋体" w:cs="宋体" w:eastAsia="宋体" w:hint="default"/>
                <w:sz w:val="18"/>
                <w:szCs w:val="18"/>
              </w:rPr>
              <w:t>天玑科技青浦综合业务大楼</w:t>
            </w:r>
            <w:r>
              <w:rPr>
                <w:rFonts w:ascii="Times New Roman" w:hAnsi="Times New Roman" w:cs="Times New Roman" w:eastAsia="Times New Roman" w:hint="default"/>
                <w:sz w:val="18"/>
                <w:szCs w:val="18"/>
              </w:rPr>
              <w:t>”</w:t>
            </w:r>
            <w:r>
              <w:rPr>
                <w:rFonts w:ascii="宋体" w:hAnsi="宋体" w:cs="宋体" w:eastAsia="宋体" w:hint="default"/>
                <w:sz w:val="18"/>
                <w:szCs w:val="18"/>
              </w:rPr>
              <w:t>建设 </w:t>
            </w:r>
            <w:r>
              <w:rPr>
                <w:rFonts w:ascii="宋体" w:hAnsi="宋体" w:cs="宋体" w:eastAsia="宋体" w:hint="default"/>
                <w:spacing w:val="-3"/>
                <w:sz w:val="18"/>
                <w:szCs w:val="18"/>
              </w:rPr>
              <w:t>项目并使用自有资金置换已投入超募资金的议案》及审议通过《关于退回土地使用权的议案》。同意</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终止</w:t>
            </w:r>
            <w:r>
              <w:rPr>
                <w:rFonts w:ascii="Times New Roman" w:hAnsi="Times New Roman" w:cs="Times New Roman" w:eastAsia="Times New Roman" w:hint="default"/>
                <w:sz w:val="18"/>
                <w:szCs w:val="18"/>
              </w:rPr>
              <w:t>“</w:t>
            </w:r>
            <w:r>
              <w:rPr>
                <w:rFonts w:ascii="宋体" w:hAnsi="宋体" w:cs="宋体" w:eastAsia="宋体" w:hint="default"/>
                <w:sz w:val="18"/>
                <w:szCs w:val="18"/>
              </w:rPr>
              <w:t>天玑科技青浦综合业务大楼，该项目终止是由于青浦综合业务大楼建设项目所在地位置偏远， 市政轨道交通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号线推迟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年预计至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年通车且相关配套设施无法满足公司要求等原因，公司为</w:t>
            </w:r>
            <w:r>
              <w:rPr>
                <w:rFonts w:ascii="宋体" w:hAnsi="宋体" w:cs="宋体" w:eastAsia="宋体" w:hint="default"/>
                <w:sz w:val="18"/>
                <w:szCs w:val="18"/>
              </w:rPr>
              <w:t> </w:t>
            </w:r>
            <w:r>
              <w:rPr>
                <w:rFonts w:ascii="宋体" w:hAnsi="宋体" w:cs="宋体" w:eastAsia="宋体" w:hint="default"/>
                <w:spacing w:val="-2"/>
                <w:sz w:val="18"/>
                <w:szCs w:val="18"/>
              </w:rPr>
              <w:t>了确保推动主营业务持续健康发展，确保公司整体战略目标的实现，切实保障股东利益，故公司决定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终止青浦综合业务大楼建设项目。并因公司决定终止 </w:t>
            </w:r>
            <w:r>
              <w:rPr>
                <w:rFonts w:ascii="Times New Roman" w:hAnsi="Times New Roman" w:cs="Times New Roman" w:eastAsia="Times New Roman" w:hint="default"/>
                <w:sz w:val="18"/>
                <w:szCs w:val="18"/>
              </w:rPr>
              <w:t>“</w:t>
            </w:r>
            <w:r>
              <w:rPr>
                <w:rFonts w:ascii="宋体" w:hAnsi="宋体" w:cs="宋体" w:eastAsia="宋体" w:hint="default"/>
                <w:sz w:val="18"/>
                <w:szCs w:val="18"/>
              </w:rPr>
              <w:t>天玑科技青浦综合业务大楼</w:t>
            </w:r>
            <w:r>
              <w:rPr>
                <w:rFonts w:ascii="Times New Roman" w:hAnsi="Times New Roman" w:cs="Times New Roman" w:eastAsia="Times New Roman" w:hint="default"/>
                <w:sz w:val="18"/>
                <w:szCs w:val="18"/>
              </w:rPr>
              <w:t>”</w:t>
            </w:r>
            <w:r>
              <w:rPr>
                <w:rFonts w:ascii="宋体" w:hAnsi="宋体" w:cs="宋体" w:eastAsia="宋体" w:hint="default"/>
                <w:sz w:val="18"/>
                <w:szCs w:val="18"/>
              </w:rPr>
              <w:t>建设项目，故经 </w:t>
            </w:r>
            <w:r>
              <w:rPr>
                <w:rFonts w:ascii="宋体" w:hAnsi="宋体" w:cs="宋体" w:eastAsia="宋体" w:hint="default"/>
                <w:spacing w:val="-2"/>
                <w:sz w:val="18"/>
                <w:szCs w:val="18"/>
              </w:rPr>
              <w:t>与上海市青浦区政府及上海市青浦工业园区发展（集团）有限公司沟通协商，同意公司退回该土地使</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用权。回购由具备工业用地前期开发资质的园区公司具体实施即由上海市青浦工业园区发展（集团） </w:t>
            </w:r>
            <w:r>
              <w:rPr>
                <w:rFonts w:ascii="宋体" w:hAnsi="宋体" w:cs="宋体" w:eastAsia="宋体" w:hint="default"/>
                <w:spacing w:val="-2"/>
                <w:sz w:val="18"/>
                <w:szCs w:val="18"/>
              </w:rPr>
              <w:t>有限公司负责操作土地使用权的回购。上海市青浦工业园区发展（集团）有限公司按公司原购买价格</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z w:val="18"/>
                <w:szCs w:val="18"/>
              </w:rPr>
              <w:t>880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万元回购，公司已于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日收到土地回购款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万，退回后的款项已划拨至募集资金 账户统一管理。其中《终止</w:t>
            </w:r>
            <w:r>
              <w:rPr>
                <w:rFonts w:ascii="Times New Roman" w:hAnsi="Times New Roman" w:cs="Times New Roman" w:eastAsia="Times New Roman" w:hint="default"/>
                <w:sz w:val="18"/>
                <w:szCs w:val="18"/>
              </w:rPr>
              <w:t>“</w:t>
            </w:r>
            <w:r>
              <w:rPr>
                <w:rFonts w:ascii="宋体" w:hAnsi="宋体" w:cs="宋体" w:eastAsia="宋体" w:hint="default"/>
                <w:sz w:val="18"/>
                <w:szCs w:val="18"/>
              </w:rPr>
              <w:t>天玑科技青浦综合业务大楼</w:t>
            </w:r>
            <w:r>
              <w:rPr>
                <w:rFonts w:ascii="Times New Roman" w:hAnsi="Times New Roman" w:cs="Times New Roman" w:eastAsia="Times New Roman" w:hint="default"/>
                <w:sz w:val="18"/>
                <w:szCs w:val="18"/>
              </w:rPr>
              <w:t>”</w:t>
            </w:r>
            <w:r>
              <w:rPr>
                <w:rFonts w:ascii="宋体" w:hAnsi="宋体" w:cs="宋体" w:eastAsia="宋体" w:hint="default"/>
                <w:sz w:val="18"/>
                <w:szCs w:val="18"/>
              </w:rPr>
              <w:t>建设项目并使用自有资金置换已投入超募资 金的议案》已经公司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年度股东大会审议通过。</w:t>
            </w:r>
          </w:p>
        </w:tc>
      </w:tr>
      <w:tr>
        <w:trPr>
          <w:trHeight w:val="1018" w:hRule="exact"/>
        </w:trPr>
        <w:tc>
          <w:tcPr>
            <w:tcW w:w="165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24" w:right="-3"/>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10" w:type="dxa"/>
            <w:gridSpan w:val="11"/>
            <w:vMerge/>
            <w:tcBorders>
              <w:left w:val="single" w:sz="10" w:space="0" w:color="D4D4D4"/>
              <w:right w:val="single" w:sz="4" w:space="0" w:color="000000"/>
            </w:tcBorders>
          </w:tcPr>
          <w:p>
            <w:pPr/>
          </w:p>
        </w:tc>
      </w:tr>
      <w:tr>
        <w:trPr>
          <w:trHeight w:val="2676" w:hRule="exact"/>
        </w:trPr>
        <w:tc>
          <w:tcPr>
            <w:tcW w:w="1651" w:type="dxa"/>
            <w:tcBorders>
              <w:top w:val="nil" w:sz="6" w:space="0" w:color="auto"/>
              <w:left w:val="single" w:sz="4" w:space="0" w:color="000000"/>
              <w:bottom w:val="single" w:sz="4" w:space="0" w:color="000000"/>
              <w:right w:val="single" w:sz="4" w:space="0" w:color="000000"/>
            </w:tcBorders>
            <w:shd w:val="clear" w:color="auto" w:fill="D4D4D4"/>
          </w:tcPr>
          <w:p>
            <w:pPr/>
          </w:p>
        </w:tc>
        <w:tc>
          <w:tcPr>
            <w:tcW w:w="7910" w:type="dxa"/>
            <w:gridSpan w:val="11"/>
            <w:vMerge/>
            <w:tcBorders>
              <w:left w:val="single" w:sz="10" w:space="0" w:color="D4D4D4"/>
              <w:bottom w:val="single" w:sz="4" w:space="0" w:color="000000"/>
              <w:right w:val="single" w:sz="4" w:space="0" w:color="000000"/>
            </w:tcBorders>
          </w:tcPr>
          <w:p>
            <w:pPr/>
          </w:p>
        </w:tc>
      </w:tr>
      <w:tr>
        <w:trPr>
          <w:trHeight w:val="317" w:hRule="exact"/>
        </w:trPr>
        <w:tc>
          <w:tcPr>
            <w:tcW w:w="1651" w:type="dxa"/>
            <w:tcBorders>
              <w:top w:val="single" w:sz="4" w:space="0" w:color="000000"/>
              <w:left w:val="single" w:sz="4" w:space="0" w:color="000000"/>
              <w:bottom w:val="nil" w:sz="6" w:space="0" w:color="auto"/>
              <w:right w:val="single" w:sz="4" w:space="0" w:color="000000"/>
            </w:tcBorders>
            <w:shd w:val="clear" w:color="auto" w:fill="D4D4D4"/>
          </w:tcPr>
          <w:p>
            <w:pPr/>
          </w:p>
        </w:tc>
        <w:tc>
          <w:tcPr>
            <w:tcW w:w="7910" w:type="dxa"/>
            <w:gridSpan w:val="11"/>
            <w:vMerge w:val="restart"/>
            <w:tcBorders>
              <w:top w:val="single" w:sz="4" w:space="0" w:color="000000"/>
              <w:left w:val="single" w:sz="10" w:space="0" w:color="D4D4D4"/>
              <w:right w:val="single" w:sz="4" w:space="0" w:color="000000"/>
            </w:tcBorders>
          </w:tcPr>
          <w:p>
            <w:pPr>
              <w:pStyle w:val="TableParagraph"/>
              <w:spacing w:line="300" w:lineRule="auto" w:before="49"/>
              <w:ind w:left="16"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日，公司召开第二届董事会第二十五次会议，审议通过了《关于终止部分募投项目</w:t>
            </w:r>
            <w:r>
              <w:rPr>
                <w:rFonts w:ascii="Times New Roman" w:hAnsi="Times New Roman" w:cs="Times New Roman" w:eastAsia="Times New Roman" w:hint="default"/>
                <w:sz w:val="18"/>
                <w:szCs w:val="18"/>
              </w:rPr>
              <w:t>“IT </w:t>
            </w:r>
            <w:r>
              <w:rPr>
                <w:rFonts w:ascii="宋体" w:hAnsi="宋体" w:cs="宋体" w:eastAsia="宋体" w:hint="default"/>
                <w:spacing w:val="-3"/>
                <w:sz w:val="18"/>
                <w:szCs w:val="18"/>
              </w:rPr>
              <w:t>基础设施支持与维护服务区域扩展项目项目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的议案》，公司决定终止</w:t>
            </w:r>
            <w:r>
              <w:rPr>
                <w:rFonts w:ascii="Times New Roman" w:hAnsi="Times New Roman" w:cs="Times New Roman" w:eastAsia="Times New Roman" w:hint="default"/>
                <w:spacing w:val="-3"/>
                <w:sz w:val="18"/>
                <w:szCs w:val="18"/>
              </w:rPr>
              <w:t>“IT</w:t>
            </w:r>
            <w:r>
              <w:rPr>
                <w:rFonts w:ascii="Times New Roman" w:hAnsi="Times New Roman" w:cs="Times New Roman" w:eastAsia="Times New Roman" w:hint="default"/>
                <w:sz w:val="18"/>
                <w:szCs w:val="18"/>
              </w:rPr>
              <w:t> </w:t>
            </w:r>
            <w:r>
              <w:rPr>
                <w:rFonts w:ascii="宋体" w:hAnsi="宋体" w:cs="宋体" w:eastAsia="宋体" w:hint="default"/>
                <w:sz w:val="18"/>
                <w:szCs w:val="18"/>
              </w:rPr>
              <w:t>基础设施支持与维护服务区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域扩展项目</w:t>
            </w:r>
            <w:r>
              <w:rPr>
                <w:rFonts w:ascii="Times New Roman" w:hAnsi="Times New Roman" w:cs="Times New Roman" w:eastAsia="Times New Roman" w:hint="default"/>
                <w:sz w:val="18"/>
                <w:szCs w:val="18"/>
              </w:rPr>
              <w:t>”</w:t>
            </w:r>
            <w:r>
              <w:rPr>
                <w:rFonts w:ascii="宋体" w:hAnsi="宋体" w:cs="宋体" w:eastAsia="宋体" w:hint="default"/>
                <w:sz w:val="18"/>
                <w:szCs w:val="18"/>
              </w:rPr>
              <w:t>，该项目募集资金使用余额人民币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4,904.70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万元及利息转为超募资金。已经</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年度股 东大会审议通过。</w:t>
            </w:r>
          </w:p>
        </w:tc>
      </w:tr>
      <w:tr>
        <w:trPr>
          <w:trHeight w:val="703" w:hRule="exact"/>
        </w:trPr>
        <w:tc>
          <w:tcPr>
            <w:tcW w:w="165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24" w:right="175"/>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10" w:type="dxa"/>
            <w:gridSpan w:val="11"/>
            <w:vMerge/>
            <w:tcBorders>
              <w:left w:val="single" w:sz="10" w:space="0" w:color="D4D4D4"/>
              <w:right w:val="single" w:sz="4" w:space="0" w:color="000000"/>
            </w:tcBorders>
          </w:tcPr>
          <w:p>
            <w:pPr/>
          </w:p>
        </w:tc>
      </w:tr>
      <w:tr>
        <w:trPr>
          <w:trHeight w:val="317" w:hRule="exact"/>
        </w:trPr>
        <w:tc>
          <w:tcPr>
            <w:tcW w:w="1651" w:type="dxa"/>
            <w:tcBorders>
              <w:top w:val="nil" w:sz="6" w:space="0" w:color="auto"/>
              <w:left w:val="single" w:sz="4" w:space="0" w:color="000000"/>
              <w:bottom w:val="single" w:sz="4" w:space="0" w:color="000000"/>
              <w:right w:val="single" w:sz="4" w:space="0" w:color="000000"/>
            </w:tcBorders>
            <w:shd w:val="clear" w:color="auto" w:fill="D4D4D4"/>
          </w:tcPr>
          <w:p>
            <w:pPr/>
          </w:p>
        </w:tc>
        <w:tc>
          <w:tcPr>
            <w:tcW w:w="7910" w:type="dxa"/>
            <w:gridSpan w:val="11"/>
            <w:vMerge/>
            <w:tcBorders>
              <w:left w:val="single" w:sz="10" w:space="0" w:color="D4D4D4"/>
              <w:bottom w:val="single" w:sz="4" w:space="0" w:color="000000"/>
              <w:right w:val="single" w:sz="4" w:space="0" w:color="000000"/>
            </w:tcBorders>
          </w:tcPr>
          <w:p>
            <w:pPr/>
          </w:p>
        </w:tc>
      </w:tr>
      <w:tr>
        <w:trPr>
          <w:trHeight w:val="403" w:hRule="exact"/>
        </w:trPr>
        <w:tc>
          <w:tcPr>
            <w:tcW w:w="1651" w:type="dxa"/>
            <w:vMerge w:val="restart"/>
            <w:tcBorders>
              <w:top w:val="single" w:sz="4" w:space="0" w:color="000000"/>
              <w:left w:val="single" w:sz="4" w:space="0" w:color="000000"/>
              <w:right w:val="single" w:sz="4" w:space="0" w:color="000000"/>
            </w:tcBorders>
            <w:shd w:val="clear" w:color="auto" w:fill="D4D4D4"/>
          </w:tcPr>
          <w:p>
            <w:pPr/>
          </w:p>
        </w:tc>
        <w:tc>
          <w:tcPr>
            <w:tcW w:w="791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560" w:hRule="exact"/>
        </w:trPr>
        <w:tc>
          <w:tcPr>
            <w:tcW w:w="1651" w:type="dxa"/>
            <w:vMerge/>
            <w:tcBorders>
              <w:left w:val="single" w:sz="4" w:space="0" w:color="000000"/>
              <w:bottom w:val="nil" w:sz="6" w:space="0" w:color="auto"/>
              <w:right w:val="single" w:sz="4" w:space="0" w:color="000000"/>
            </w:tcBorders>
            <w:shd w:val="clear" w:color="auto" w:fill="D4D4D4"/>
          </w:tcPr>
          <w:p>
            <w:pPr/>
          </w:p>
        </w:tc>
        <w:tc>
          <w:tcPr>
            <w:tcW w:w="7910" w:type="dxa"/>
            <w:gridSpan w:val="11"/>
            <w:vMerge w:val="restart"/>
            <w:tcBorders>
              <w:top w:val="single" w:sz="4" w:space="0" w:color="000000"/>
              <w:left w:val="single" w:sz="10" w:space="0" w:color="D4D4D4"/>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公司实际超募资金为人民币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130,019,000.00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日第一届董事会第二十二次会议审议通过了《关于使用部分超募资金购买土地使</w:t>
            </w:r>
          </w:p>
          <w:p>
            <w:pPr>
              <w:pStyle w:val="TableParagraph"/>
              <w:spacing w:line="240" w:lineRule="auto" w:before="62"/>
              <w:ind w:left="16" w:right="0"/>
              <w:jc w:val="left"/>
              <w:rPr>
                <w:rFonts w:ascii="宋体" w:hAnsi="宋体" w:cs="宋体" w:eastAsia="宋体" w:hint="default"/>
                <w:sz w:val="18"/>
                <w:szCs w:val="18"/>
              </w:rPr>
            </w:pPr>
            <w:r>
              <w:rPr>
                <w:rFonts w:ascii="宋体" w:hAnsi="宋体" w:cs="宋体" w:eastAsia="宋体" w:hint="default"/>
                <w:sz w:val="18"/>
                <w:szCs w:val="18"/>
              </w:rPr>
              <w:t>用权</w:t>
            </w:r>
            <w:r>
              <w:rPr>
                <w:rFonts w:ascii="宋体" w:hAnsi="宋体" w:cs="宋体" w:eastAsia="宋体" w:hint="default"/>
                <w:spacing w:val="-92"/>
                <w:sz w:val="18"/>
                <w:szCs w:val="18"/>
              </w:rPr>
              <w:t>》</w:t>
            </w:r>
            <w:r>
              <w:rPr>
                <w:rFonts w:ascii="宋体" w:hAnsi="宋体" w:cs="宋体" w:eastAsia="宋体" w:hint="default"/>
                <w:sz w:val="18"/>
                <w:szCs w:val="18"/>
              </w:rPr>
              <w:t>，同意使用超募资金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88</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万元购买土地使用权；另审议通过了《关于使用部分超募资金收购上</w:t>
            </w:r>
          </w:p>
          <w:p>
            <w:pPr>
              <w:pStyle w:val="TableParagraph"/>
              <w:spacing w:line="300" w:lineRule="auto" w:before="62"/>
              <w:ind w:left="16" w:right="89"/>
              <w:jc w:val="left"/>
              <w:rPr>
                <w:rFonts w:ascii="宋体" w:hAnsi="宋体" w:cs="宋体" w:eastAsia="宋体" w:hint="default"/>
                <w:sz w:val="18"/>
                <w:szCs w:val="18"/>
              </w:rPr>
            </w:pPr>
            <w:r>
              <w:rPr>
                <w:rFonts w:ascii="宋体" w:hAnsi="宋体" w:cs="宋体" w:eastAsia="宋体" w:hint="default"/>
                <w:spacing w:val="-3"/>
                <w:sz w:val="18"/>
                <w:szCs w:val="18"/>
              </w:rPr>
              <w:t>海复深蓝信息技术有限公司部分股权并增资的议案》，同意使用超募资金</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3,640</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万元收购上海复深蓝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信息技术有限公司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w:t>
            </w:r>
          </w:p>
          <w:p>
            <w:pPr>
              <w:pStyle w:val="TableParagraph"/>
              <w:spacing w:line="240" w:lineRule="auto" w:before="53"/>
              <w:ind w:left="16"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2013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日第二届董事会第五次会议审议通过《关于使用部分超募资金永久补充流动资金的</w:t>
            </w:r>
          </w:p>
          <w:p>
            <w:pPr>
              <w:pStyle w:val="TableParagraph"/>
              <w:spacing w:line="240" w:lineRule="auto" w:before="62"/>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议案</w:t>
            </w:r>
            <w:r>
              <w:rPr>
                <w:rFonts w:ascii="宋体" w:hAnsi="宋体" w:cs="宋体" w:eastAsia="宋体" w:hint="default"/>
                <w:spacing w:val="-92"/>
                <w:sz w:val="18"/>
                <w:szCs w:val="18"/>
              </w:rPr>
              <w:t>》</w:t>
            </w:r>
            <w:r>
              <w:rPr>
                <w:rFonts w:ascii="宋体" w:hAnsi="宋体" w:cs="宋体" w:eastAsia="宋体" w:hint="default"/>
                <w:spacing w:val="-32"/>
                <w:sz w:val="18"/>
                <w:szCs w:val="18"/>
              </w:rPr>
              <w:t>，</w:t>
            </w:r>
            <w:r>
              <w:rPr>
                <w:rFonts w:ascii="宋体" w:hAnsi="宋体" w:cs="宋体" w:eastAsia="宋体" w:hint="default"/>
                <w:sz w:val="18"/>
                <w:szCs w:val="18"/>
              </w:rPr>
              <w:t>同意公司使用部分超募资金人民币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w:t>
            </w:r>
            <w:r>
              <w:rPr>
                <w:rFonts w:ascii="宋体" w:hAnsi="宋体" w:cs="宋体" w:eastAsia="宋体" w:hint="default"/>
                <w:spacing w:val="-3"/>
                <w:sz w:val="18"/>
                <w:szCs w:val="18"/>
              </w:rPr>
              <w:t>补</w:t>
            </w:r>
            <w:r>
              <w:rPr>
                <w:rFonts w:ascii="宋体" w:hAnsi="宋体" w:cs="宋体" w:eastAsia="宋体" w:hint="default"/>
                <w:sz w:val="18"/>
                <w:szCs w:val="18"/>
              </w:rPr>
              <w:t>充流动资金</w:t>
            </w:r>
            <w:r>
              <w:rPr>
                <w:rFonts w:ascii="宋体" w:hAnsi="宋体" w:cs="宋体" w:eastAsia="宋体" w:hint="default"/>
                <w:spacing w:val="-32"/>
                <w:sz w:val="18"/>
                <w:szCs w:val="18"/>
              </w:rPr>
              <w:t>。</w:t>
            </w:r>
            <w:r>
              <w:rPr>
                <w:rFonts w:ascii="宋体" w:hAnsi="宋体" w:cs="宋体" w:eastAsia="宋体" w:hint="default"/>
                <w:sz w:val="18"/>
                <w:szCs w:val="18"/>
              </w:rPr>
              <w:t>该议案已经</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26</w:t>
            </w:r>
            <w:r>
              <w:rPr>
                <w:rFonts w:ascii="Times New Roman" w:hAnsi="Times New Roman" w:cs="Times New Roman" w:eastAsia="Times New Roman" w:hint="default"/>
                <w:sz w:val="18"/>
                <w:szCs w:val="18"/>
              </w:rPr>
            </w:r>
          </w:p>
          <w:p>
            <w:pPr>
              <w:pStyle w:val="TableParagraph"/>
              <w:spacing w:line="240" w:lineRule="auto" w:before="62"/>
              <w:ind w:left="16" w:right="0"/>
              <w:jc w:val="left"/>
              <w:rPr>
                <w:rFonts w:ascii="宋体" w:hAnsi="宋体" w:cs="宋体" w:eastAsia="宋体" w:hint="default"/>
                <w:sz w:val="18"/>
                <w:szCs w:val="18"/>
              </w:rPr>
            </w:pPr>
            <w:r>
              <w:rPr>
                <w:rFonts w:ascii="宋体" w:hAnsi="宋体" w:cs="宋体" w:eastAsia="宋体" w:hint="default"/>
                <w:sz w:val="18"/>
                <w:szCs w:val="18"/>
              </w:rPr>
              <w:t>日公司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年度股东大会审议通过。</w:t>
            </w:r>
          </w:p>
          <w:p>
            <w:pPr>
              <w:pStyle w:val="TableParagraph"/>
              <w:spacing w:line="304" w:lineRule="auto" w:before="104"/>
              <w:ind w:left="16"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日第二届董事会第六次会议审议通过《关于变更部分募投项目实施方式并使用部 分超募资金的议案》将募投项目</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管理外包服务项目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数据中心创新服务项目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建设中关于办公场 地投入的实施方式从购置办公楼并装修变更为竞拍国有土地使用权并自主建设，并使用部分超募资 金。预计使用超募资金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2,087.1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万元；该议案经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年度股东大会审议通过。 </w:t>
            </w:r>
            <w:r>
              <w:rPr>
                <w:rFonts w:ascii="Times New Roman" w:hAnsi="Times New Roman" w:cs="Times New Roman" w:eastAsia="Times New Roman" w:hint="default"/>
                <w:sz w:val="18"/>
                <w:szCs w:val="18"/>
              </w:rPr>
              <w:t>4</w:t>
            </w:r>
            <w:r>
              <w:rPr>
                <w:rFonts w:ascii="宋体" w:hAnsi="宋体" w:cs="宋体" w:eastAsia="宋体" w:hint="default"/>
                <w:sz w:val="18"/>
                <w:szCs w:val="18"/>
              </w:rPr>
              <w:t>、公司第二届董事会第十三次临时会议审议通过《终止</w:t>
            </w:r>
            <w:r>
              <w:rPr>
                <w:rFonts w:ascii="Times New Roman" w:hAnsi="Times New Roman" w:cs="Times New Roman" w:eastAsia="Times New Roman" w:hint="default"/>
                <w:sz w:val="18"/>
                <w:szCs w:val="18"/>
              </w:rPr>
              <w:t>“</w:t>
            </w:r>
            <w:r>
              <w:rPr>
                <w:rFonts w:ascii="宋体" w:hAnsi="宋体" w:cs="宋体" w:eastAsia="宋体" w:hint="default"/>
                <w:sz w:val="18"/>
                <w:szCs w:val="18"/>
              </w:rPr>
              <w:t>天玑科技青浦综合业务大楼</w:t>
            </w:r>
            <w:r>
              <w:rPr>
                <w:rFonts w:ascii="Times New Roman" w:hAnsi="Times New Roman" w:cs="Times New Roman" w:eastAsia="Times New Roman" w:hint="default"/>
                <w:sz w:val="18"/>
                <w:szCs w:val="18"/>
              </w:rPr>
              <w:t>”</w:t>
            </w:r>
            <w:r>
              <w:rPr>
                <w:rFonts w:ascii="宋体" w:hAnsi="宋体" w:cs="宋体" w:eastAsia="宋体" w:hint="default"/>
                <w:sz w:val="18"/>
                <w:szCs w:val="18"/>
              </w:rPr>
              <w:t>建设项目并使</w:t>
            </w:r>
          </w:p>
        </w:tc>
      </w:tr>
      <w:tr>
        <w:trPr>
          <w:trHeight w:val="703" w:hRule="exact"/>
        </w:trPr>
        <w:tc>
          <w:tcPr>
            <w:tcW w:w="165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r>
              <w:rPr>
                <w:rFonts w:ascii="宋体" w:hAnsi="宋体" w:cs="宋体" w:eastAsia="宋体" w:hint="default"/>
                <w:sz w:val="18"/>
                <w:szCs w:val="18"/>
              </w:rPr>
              <w:t> 途及使用进展情况</w:t>
            </w:r>
          </w:p>
        </w:tc>
        <w:tc>
          <w:tcPr>
            <w:tcW w:w="7910" w:type="dxa"/>
            <w:gridSpan w:val="11"/>
            <w:vMerge/>
            <w:tcBorders>
              <w:left w:val="single" w:sz="10" w:space="0" w:color="D4D4D4"/>
              <w:right w:val="single" w:sz="4" w:space="0" w:color="000000"/>
            </w:tcBorders>
          </w:tcPr>
          <w:p>
            <w:pPr/>
          </w:p>
        </w:tc>
      </w:tr>
      <w:tr>
        <w:trPr>
          <w:trHeight w:val="1963" w:hRule="exact"/>
        </w:trPr>
        <w:tc>
          <w:tcPr>
            <w:tcW w:w="1651" w:type="dxa"/>
            <w:tcBorders>
              <w:top w:val="nil" w:sz="6" w:space="0" w:color="auto"/>
              <w:left w:val="single" w:sz="4" w:space="0" w:color="000000"/>
              <w:bottom w:val="single" w:sz="4" w:space="0" w:color="000000"/>
              <w:right w:val="single" w:sz="4" w:space="0" w:color="000000"/>
            </w:tcBorders>
            <w:shd w:val="clear" w:color="auto" w:fill="D4D4D4"/>
          </w:tcPr>
          <w:p>
            <w:pPr/>
          </w:p>
        </w:tc>
        <w:tc>
          <w:tcPr>
            <w:tcW w:w="7910" w:type="dxa"/>
            <w:gridSpan w:val="11"/>
            <w:vMerge/>
            <w:tcBorders>
              <w:left w:val="single" w:sz="10" w:space="0" w:color="D4D4D4"/>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8.75pt;height:693.25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0"/>
                    <w:gridCol w:w="7910"/>
                  </w:tblGrid>
                  <w:tr>
                    <w:trPr>
                      <w:trHeight w:val="8009" w:hRule="exact"/>
                    </w:trPr>
                    <w:tc>
                      <w:tcPr>
                        <w:tcW w:w="165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17"/>
                          <w:jc w:val="left"/>
                          <w:rPr>
                            <w:rFonts w:ascii="宋体" w:hAnsi="宋体" w:cs="宋体" w:eastAsia="宋体" w:hint="default"/>
                            <w:sz w:val="18"/>
                            <w:szCs w:val="18"/>
                          </w:rPr>
                        </w:pPr>
                        <w:r>
                          <w:rPr>
                            <w:rFonts w:ascii="宋体" w:hAnsi="宋体" w:cs="宋体" w:eastAsia="宋体" w:hint="default"/>
                            <w:spacing w:val="-4"/>
                            <w:sz w:val="18"/>
                            <w:szCs w:val="18"/>
                          </w:rPr>
                          <w:t>用自有资金置换已投入超募资金的议案》及审议通过《关于退回土地使用权的议案》，其中《终止</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天</w:t>
                        </w:r>
                        <w:r>
                          <w:rPr>
                            <w:rFonts w:ascii="宋体" w:hAnsi="宋体" w:cs="宋体" w:eastAsia="宋体" w:hint="default"/>
                            <w:spacing w:val="-59"/>
                            <w:sz w:val="18"/>
                            <w:szCs w:val="18"/>
                          </w:rPr>
                          <w:t> </w:t>
                        </w:r>
                        <w:r>
                          <w:rPr>
                            <w:rFonts w:ascii="宋体" w:hAnsi="宋体" w:cs="宋体" w:eastAsia="宋体" w:hint="default"/>
                            <w:sz w:val="18"/>
                            <w:szCs w:val="18"/>
                          </w:rPr>
                          <w:t>玑科技青浦综合业务大楼</w:t>
                        </w:r>
                        <w:r>
                          <w:rPr>
                            <w:rFonts w:ascii="Times New Roman" w:hAnsi="Times New Roman" w:cs="Times New Roman" w:eastAsia="Times New Roman" w:hint="default"/>
                            <w:sz w:val="18"/>
                            <w:szCs w:val="18"/>
                          </w:rPr>
                          <w:t>”</w:t>
                        </w:r>
                        <w:r>
                          <w:rPr>
                            <w:rFonts w:ascii="宋体" w:hAnsi="宋体" w:cs="宋体" w:eastAsia="宋体" w:hint="default"/>
                            <w:sz w:val="18"/>
                            <w:szCs w:val="18"/>
                          </w:rPr>
                          <w:t>建设项目并使用自有资金置换已投入超募资金的议案》已经公司</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年度</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股东大会审议通过。公司已于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日收到上海市青浦工业园区发展（集团）有限公司土地</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回购款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880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万元，退回后的款项已划拨至募集资金账户统一管理。公司于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日将自有资</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金人民币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101,604.27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元置换已投入至天玑科技青浦综合大楼建设的超募资金。</w:t>
                        </w:r>
                      </w:p>
                      <w:p>
                        <w:pPr>
                          <w:pStyle w:val="TableParagraph"/>
                          <w:spacing w:line="309" w:lineRule="auto" w:before="103"/>
                          <w:ind w:left="23" w:right="17" w:hanging="1"/>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日召开第二届董事会第十四次临时会议，审议通过了《关于使用超募资金 </w:t>
                        </w:r>
                        <w:r>
                          <w:rPr>
                            <w:rFonts w:ascii="宋体" w:hAnsi="宋体" w:cs="宋体" w:eastAsia="宋体" w:hint="default"/>
                            <w:spacing w:val="-6"/>
                            <w:sz w:val="18"/>
                            <w:szCs w:val="18"/>
                          </w:rPr>
                          <w:t>投资设立合资公司的议案》，同意公司与上海天莺投资管理中心（有限合伙）、自然人许文共同投资人</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万元设立合资公司。其中公司以超募资金出资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万元，占出资比例的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65%</w:t>
                        </w:r>
                        <w:r>
                          <w:rPr>
                            <w:rFonts w:ascii="宋体" w:hAnsi="宋体" w:cs="宋体" w:eastAsia="宋体" w:hint="default"/>
                            <w:sz w:val="18"/>
                            <w:szCs w:val="18"/>
                          </w:rPr>
                          <w:t>。于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p>
                      <w:p>
                        <w:pPr>
                          <w:pStyle w:val="TableParagraph"/>
                          <w:spacing w:line="300" w:lineRule="auto" w:before="5"/>
                          <w:ind w:left="23" w:right="4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日取得了由上海市工商行政管理局自由贸易试验区分局核发的上海天玑数据技术有限公司 </w:t>
                        </w:r>
                        <w:r>
                          <w:rPr>
                            <w:rFonts w:ascii="宋体" w:hAnsi="宋体" w:cs="宋体" w:eastAsia="宋体" w:hint="default"/>
                            <w:spacing w:val="-10"/>
                            <w:sz w:val="18"/>
                            <w:szCs w:val="18"/>
                          </w:rPr>
                          <w:t>的《企业营业执照》。</w:t>
                        </w:r>
                      </w:p>
                      <w:p>
                        <w:pPr>
                          <w:pStyle w:val="TableParagraph"/>
                          <w:spacing w:line="307" w:lineRule="auto" w:before="70"/>
                          <w:ind w:left="23" w:right="19"/>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6</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日公司第二届董事会第二十五次会议审议通过《关于将原使用超募资金投资设立</w:t>
                        </w:r>
                        <w:r>
                          <w:rPr>
                            <w:rFonts w:ascii="Times New Roman" w:hAnsi="Times New Roman" w:cs="Times New Roman" w:eastAsia="Times New Roman" w:hint="default"/>
                            <w:sz w:val="18"/>
                            <w:szCs w:val="18"/>
                          </w:rPr>
                          <w:t>“</w:t>
                        </w:r>
                        <w:r>
                          <w:rPr>
                            <w:rFonts w:ascii="宋体" w:hAnsi="宋体" w:cs="宋体" w:eastAsia="宋体" w:hint="default"/>
                            <w:sz w:val="18"/>
                            <w:szCs w:val="18"/>
                          </w:rPr>
                          <w:t>天 </w:t>
                        </w:r>
                        <w:r>
                          <w:rPr>
                            <w:rFonts w:ascii="宋体" w:hAnsi="宋体" w:cs="宋体" w:eastAsia="宋体" w:hint="default"/>
                            <w:spacing w:val="-3"/>
                            <w:sz w:val="18"/>
                            <w:szCs w:val="18"/>
                          </w:rPr>
                          <w:t>玑数据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变更为使用自有资金投资设立的议案》，考虑到新设合资公司可能存在相关的运营及短期盈</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2"/>
                            <w:sz w:val="18"/>
                            <w:szCs w:val="18"/>
                          </w:rPr>
                          <w:t>利、竞争等风险，公司从未来长远及战略性考虑，同时为加强超募资金管理，进一步提高超募资金的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6"/>
                            <w:sz w:val="18"/>
                            <w:szCs w:val="18"/>
                          </w:rPr>
                          <w:t>使用效率，根据深圳证券交易所《创业板股票上市规则》、《创业板上市公司规范运作指引》的有关规</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定，决定将原使用超募资金投资设立变更为使用自有资金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1,300 </w:t>
                        </w:r>
                        <w:r>
                          <w:rPr>
                            <w:rFonts w:ascii="宋体" w:hAnsi="宋体" w:cs="宋体" w:eastAsia="宋体" w:hint="default"/>
                            <w:sz w:val="18"/>
                            <w:szCs w:val="18"/>
                          </w:rPr>
                          <w:t>万元投资设立。已经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 大会审议通过。</w:t>
                        </w:r>
                      </w:p>
                      <w:p>
                        <w:pPr>
                          <w:pStyle w:val="TableParagraph"/>
                          <w:spacing w:line="304" w:lineRule="auto" w:before="67"/>
                          <w:ind w:left="23" w:right="43"/>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日公司召开第二届董事会第二十八次临时会议，审议通过了《关于使用超募资金 </w:t>
                        </w:r>
                        <w:r>
                          <w:rPr>
                            <w:rFonts w:ascii="宋体" w:hAnsi="宋体" w:cs="宋体" w:eastAsia="宋体" w:hint="default"/>
                            <w:spacing w:val="-3"/>
                            <w:sz w:val="18"/>
                            <w:szCs w:val="18"/>
                          </w:rPr>
                          <w:t>投资设立合资公司的议案》，同意公司与自然人沈星、薛琦共同投资设立上海卓之联信息科技有限公</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3"/>
                            <w:sz w:val="18"/>
                            <w:szCs w:val="18"/>
                          </w:rPr>
                          <w:t>司，其中公司以超募资金出资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万元，占出资比例的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沈星以无形资产出资人民币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占出资比例的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，薛琦以无形资产出资人民币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万元，占出资比例的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。该合资公司已于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日取得营业执照。</w:t>
                        </w:r>
                      </w:p>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日，公司第三届董事会第二次会议，审议通过《关于使用超募资金购买办公房产</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并设立全资子公司的议案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同</w:t>
                        </w:r>
                        <w:r>
                          <w:rPr>
                            <w:rFonts w:ascii="宋体" w:hAnsi="宋体" w:cs="宋体" w:eastAsia="宋体" w:hint="default"/>
                            <w:sz w:val="18"/>
                            <w:szCs w:val="18"/>
                          </w:rPr>
                          <w:t>意公司使用不超过人民币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万元的超募资金用于在杭</w:t>
                        </w:r>
                        <w:r>
                          <w:rPr>
                            <w:rFonts w:ascii="宋体" w:hAnsi="宋体" w:cs="宋体" w:eastAsia="宋体" w:hint="default"/>
                            <w:spacing w:val="-3"/>
                            <w:sz w:val="18"/>
                            <w:szCs w:val="18"/>
                          </w:rPr>
                          <w:t>州</w:t>
                        </w:r>
                        <w:r>
                          <w:rPr>
                            <w:rFonts w:ascii="宋体" w:hAnsi="宋体" w:cs="宋体" w:eastAsia="宋体" w:hint="default"/>
                            <w:sz w:val="18"/>
                            <w:szCs w:val="18"/>
                          </w:rPr>
                          <w:t>购置办公</w:t>
                        </w:r>
                      </w:p>
                      <w:p>
                        <w:pPr>
                          <w:pStyle w:val="TableParagraph"/>
                          <w:spacing w:line="300" w:lineRule="auto" w:before="62"/>
                          <w:ind w:left="23" w:right="43"/>
                          <w:jc w:val="left"/>
                          <w:rPr>
                            <w:rFonts w:ascii="宋体" w:hAnsi="宋体" w:cs="宋体" w:eastAsia="宋体" w:hint="default"/>
                            <w:sz w:val="18"/>
                            <w:szCs w:val="18"/>
                          </w:rPr>
                        </w:pPr>
                        <w:r>
                          <w:rPr>
                            <w:rFonts w:ascii="宋体" w:hAnsi="宋体" w:cs="宋体" w:eastAsia="宋体" w:hint="default"/>
                            <w:sz w:val="18"/>
                            <w:szCs w:val="18"/>
                          </w:rPr>
                          <w:t>房产并设立全资子公司。公司已于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日领取了两家全资子公司即杭州广捷科技有限公 司、杭州鸿昇科技有限公司的营业执照。</w:t>
                        </w:r>
                      </w:p>
                    </w:tc>
                  </w:tr>
                  <w:tr>
                    <w:trPr>
                      <w:trHeight w:val="403" w:hRule="exact"/>
                    </w:trPr>
                    <w:tc>
                      <w:tcPr>
                        <w:tcW w:w="165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316" w:lineRule="auto"/>
                          <w:ind w:left="22" w:right="175"/>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650" w:type="dxa"/>
                        <w:vMerge/>
                        <w:tcBorders>
                          <w:left w:val="single" w:sz="4" w:space="0" w:color="000000"/>
                          <w:right w:val="single" w:sz="4" w:space="0" w:color="000000"/>
                        </w:tcBorders>
                        <w:shd w:val="clear" w:color="auto" w:fill="D4D4D4"/>
                      </w:tcPr>
                      <w:p>
                        <w:pP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1692" w:hRule="exact"/>
                    </w:trPr>
                    <w:tc>
                      <w:tcPr>
                        <w:tcW w:w="1650" w:type="dxa"/>
                        <w:vMerge/>
                        <w:tcBorders>
                          <w:left w:val="single" w:sz="4" w:space="0" w:color="000000"/>
                          <w:bottom w:val="single" w:sz="4" w:space="0" w:color="000000"/>
                          <w:right w:val="single" w:sz="4" w:space="0" w:color="000000"/>
                        </w:tcBorders>
                        <w:shd w:val="clear" w:color="auto" w:fill="D4D4D4"/>
                      </w:tcPr>
                      <w:p>
                        <w:pP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7"/>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日第一届董事会第二十五次会议审议通过了《关于变更</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基础设施支持与维护服 务区域扩展项目</w:t>
                        </w:r>
                        <w:r>
                          <w:rPr>
                            <w:rFonts w:ascii="Times New Roman" w:hAnsi="Times New Roman" w:cs="Times New Roman" w:eastAsia="Times New Roman" w:hint="default"/>
                            <w:sz w:val="18"/>
                            <w:szCs w:val="18"/>
                          </w:rPr>
                          <w:t>”</w:t>
                        </w:r>
                        <w:r>
                          <w:rPr>
                            <w:rFonts w:ascii="宋体" w:hAnsi="宋体" w:cs="宋体" w:eastAsia="宋体" w:hint="default"/>
                            <w:sz w:val="18"/>
                            <w:szCs w:val="18"/>
                          </w:rPr>
                          <w:t>部分募投实施地点的议案》同意将</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基础设施支持与维护区域扩展项目</w:t>
                        </w:r>
                        <w:r>
                          <w:rPr>
                            <w:rFonts w:ascii="Times New Roman" w:hAnsi="Times New Roman" w:cs="Times New Roman" w:eastAsia="Times New Roman" w:hint="default"/>
                            <w:sz w:val="18"/>
                            <w:szCs w:val="18"/>
                          </w:rPr>
                          <w:t>”</w:t>
                        </w:r>
                        <w:r>
                          <w:rPr>
                            <w:rFonts w:ascii="宋体" w:hAnsi="宋体" w:cs="宋体" w:eastAsia="宋体" w:hint="default"/>
                            <w:sz w:val="18"/>
                            <w:szCs w:val="18"/>
                          </w:rPr>
                          <w:t>在成都的 实施地点变更为重庆。</w:t>
                        </w:r>
                      </w:p>
                      <w:p>
                        <w:pPr>
                          <w:pStyle w:val="TableParagraph"/>
                          <w:spacing w:line="300" w:lineRule="auto" w:before="72"/>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日，公司第三届董事会第二次会议，审议通过《关于变更部分募投项目实施地点 </w:t>
                        </w:r>
                        <w:r>
                          <w:rPr>
                            <w:rFonts w:ascii="宋体" w:hAnsi="宋体" w:cs="宋体" w:eastAsia="宋体" w:hint="default"/>
                            <w:spacing w:val="-9"/>
                            <w:sz w:val="18"/>
                            <w:szCs w:val="18"/>
                          </w:rPr>
                          <w:t>的议案》，同意将</w:t>
                        </w:r>
                        <w:r>
                          <w:rPr>
                            <w:rFonts w:ascii="Times New Roman" w:hAnsi="Times New Roman" w:cs="Times New Roman" w:eastAsia="Times New Roman" w:hint="default"/>
                            <w:spacing w:val="-9"/>
                            <w:sz w:val="18"/>
                            <w:szCs w:val="18"/>
                          </w:rPr>
                          <w:t>“IT</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管理外包服务项目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数据中心创新服务项目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的实施地点由上海变更为杭州。</w:t>
                        </w:r>
                      </w:p>
                    </w:tc>
                  </w:tr>
                  <w:tr>
                    <w:trPr>
                      <w:trHeight w:val="401" w:hRule="exact"/>
                    </w:trPr>
                    <w:tc>
                      <w:tcPr>
                        <w:tcW w:w="165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22" w:right="175"/>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650" w:type="dxa"/>
                        <w:vMerge/>
                        <w:tcBorders>
                          <w:left w:val="single" w:sz="4" w:space="0" w:color="000000"/>
                          <w:right w:val="single" w:sz="4" w:space="0" w:color="000000"/>
                        </w:tcBorders>
                        <w:shd w:val="clear" w:color="auto" w:fill="D4D4D4"/>
                      </w:tcPr>
                      <w:p>
                        <w:pP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2546" w:hRule="exact"/>
                    </w:trPr>
                    <w:tc>
                      <w:tcPr>
                        <w:tcW w:w="1650" w:type="dxa"/>
                        <w:vMerge/>
                        <w:tcBorders>
                          <w:left w:val="single" w:sz="4" w:space="0" w:color="000000"/>
                          <w:bottom w:val="single" w:sz="4" w:space="0" w:color="000000"/>
                          <w:right w:val="single" w:sz="4" w:space="0" w:color="000000"/>
                        </w:tcBorders>
                        <w:shd w:val="clear" w:color="auto" w:fill="D4D4D4"/>
                      </w:tcPr>
                      <w:p>
                        <w:pP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日第二届董事会第六次会议审议通过《关于变更部分募投项目实施方式并使用部 分超募资金的议案》将募投项目</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管理外包服务项目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数据中心创新服务项目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建设中关于办公场 地投入的实施方式从购置办公楼并装修变更为竞拍国有土地使用权并自主建设，并使用部分超募资 金。预计使用超募资金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2,087.1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万元；该议案经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年度股东大会审议通过。</w:t>
                        </w:r>
                      </w:p>
                      <w:p>
                        <w:pPr>
                          <w:pStyle w:val="TableParagraph"/>
                          <w:spacing w:line="300" w:lineRule="auto" w:before="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日第二届董事会第十三次临时会议审议通过了《关于变更募投项目实施方式的议 </w:t>
                        </w:r>
                        <w:r>
                          <w:rPr>
                            <w:rFonts w:ascii="宋体" w:hAnsi="宋体" w:cs="宋体" w:eastAsia="宋体" w:hint="default"/>
                            <w:spacing w:val="-11"/>
                            <w:sz w:val="18"/>
                            <w:szCs w:val="18"/>
                          </w:rPr>
                          <w:t>案》，因公司决定终止</w:t>
                        </w:r>
                        <w:r>
                          <w:rPr>
                            <w:rFonts w:ascii="宋体" w:hAnsi="宋体" w:cs="宋体" w:eastAsia="宋体" w:hint="default"/>
                            <w:spacing w:val="6"/>
                            <w:sz w:val="18"/>
                            <w:szCs w:val="18"/>
                          </w:rPr>
                          <w:t> </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天玑科技青浦综合业务大楼</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建设项目，故原第二届董事会第六次会议（公告</w:t>
                        </w:r>
                        <w:r>
                          <w:rPr>
                            <w:rFonts w:ascii="宋体" w:hAnsi="宋体" w:cs="宋体" w:eastAsia="宋体" w:hint="default"/>
                            <w:sz w:val="18"/>
                            <w:szCs w:val="18"/>
                          </w:rPr>
                          <w:t> 编号：</w:t>
                        </w:r>
                        <w:r>
                          <w:rPr>
                            <w:rFonts w:ascii="Times New Roman" w:hAnsi="Times New Roman" w:cs="Times New Roman" w:eastAsia="Times New Roman" w:hint="default"/>
                            <w:sz w:val="18"/>
                            <w:szCs w:val="18"/>
                          </w:rPr>
                          <w:t>2013-012</w:t>
                        </w:r>
                        <w:r>
                          <w:rPr>
                            <w:rFonts w:ascii="宋体" w:hAnsi="宋体" w:cs="宋体" w:eastAsia="宋体" w:hint="default"/>
                            <w:sz w:val="18"/>
                            <w:szCs w:val="18"/>
                          </w:rPr>
                          <w:t>）及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年度股东大会审议通过的《关于变更部分募投项目实施方式并使用部分超 </w:t>
                        </w:r>
                        <w:r>
                          <w:rPr>
                            <w:rFonts w:ascii="宋体" w:hAnsi="宋体" w:cs="宋体" w:eastAsia="宋体" w:hint="default"/>
                            <w:spacing w:val="-8"/>
                            <w:sz w:val="18"/>
                            <w:szCs w:val="18"/>
                          </w:rPr>
                          <w:t>募资金的议案》（公告编号：</w:t>
                        </w:r>
                        <w:r>
                          <w:rPr>
                            <w:rFonts w:ascii="Times New Roman" w:hAnsi="Times New Roman" w:cs="Times New Roman" w:eastAsia="Times New Roman" w:hint="default"/>
                            <w:spacing w:val="-8"/>
                            <w:sz w:val="18"/>
                            <w:szCs w:val="18"/>
                          </w:rPr>
                          <w:t>2013-020</w:t>
                        </w:r>
                        <w:r>
                          <w:rPr>
                            <w:rFonts w:ascii="宋体" w:hAnsi="宋体" w:cs="宋体" w:eastAsia="宋体" w:hint="default"/>
                            <w:spacing w:val="-8"/>
                            <w:sz w:val="18"/>
                            <w:szCs w:val="18"/>
                          </w:rPr>
                          <w:t>），议案中审议通过将募投募投项目</w:t>
                        </w:r>
                        <w:r>
                          <w:rPr>
                            <w:rFonts w:ascii="Times New Roman" w:hAnsi="Times New Roman" w:cs="Times New Roman" w:eastAsia="Times New Roman" w:hint="default"/>
                            <w:spacing w:val="-8"/>
                            <w:sz w:val="18"/>
                            <w:szCs w:val="18"/>
                          </w:rPr>
                          <w:t>“IT</w:t>
                        </w:r>
                        <w:r>
                          <w:rPr>
                            <w:rFonts w:ascii="Times New Roman" w:hAnsi="Times New Roman" w:cs="Times New Roman" w:eastAsia="Times New Roman" w:hint="default"/>
                            <w:spacing w:val="37"/>
                            <w:sz w:val="18"/>
                            <w:szCs w:val="18"/>
                          </w:rPr>
                          <w:t> </w:t>
                        </w:r>
                        <w:r>
                          <w:rPr>
                            <w:rFonts w:ascii="宋体" w:hAnsi="宋体" w:cs="宋体" w:eastAsia="宋体" w:hint="default"/>
                            <w:spacing w:val="-3"/>
                            <w:sz w:val="18"/>
                            <w:szCs w:val="18"/>
                          </w:rPr>
                          <w:t>管理外包服务项目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数</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8"/>
          <w:szCs w:val="28"/>
        </w:rPr>
      </w:pPr>
    </w:p>
    <w:p>
      <w:pPr>
        <w:spacing w:before="44"/>
        <w:ind w:left="0" w:right="16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50"/>
        <w:gridCol w:w="7910"/>
      </w:tblGrid>
      <w:tr>
        <w:trPr>
          <w:trHeight w:val="2897" w:hRule="exact"/>
        </w:trPr>
        <w:tc>
          <w:tcPr>
            <w:tcW w:w="165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55"/>
              <w:jc w:val="left"/>
              <w:rPr>
                <w:rFonts w:ascii="宋体" w:hAnsi="宋体" w:cs="宋体" w:eastAsia="宋体" w:hint="default"/>
                <w:sz w:val="18"/>
                <w:szCs w:val="18"/>
              </w:rPr>
            </w:pPr>
            <w:r>
              <w:rPr>
                <w:rFonts w:ascii="宋体" w:hAnsi="宋体" w:cs="宋体" w:eastAsia="宋体" w:hint="default"/>
                <w:sz w:val="18"/>
                <w:szCs w:val="18"/>
              </w:rPr>
              <w:t>据中心创新服务项目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建设中关于办公场地投入的实施方式由购买变更为自建实施方式。现重新由自 主建设变更回购置方式。该议案已经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年度股东大会审议通过。</w:t>
            </w:r>
          </w:p>
          <w:p>
            <w:pPr>
              <w:pStyle w:val="TableParagraph"/>
              <w:spacing w:line="302" w:lineRule="auto" w:before="53"/>
              <w:ind w:left="23"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日公司第二届董事会第二十五次会议审议通过《关于终止部分募投项目</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基础设 施支持与维护服务区域扩展项目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的议案》考虑到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服务市场格局变化及公司目前发展的实际情况， 公司决定将募投项目</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基础设施支持与维护服务区域扩展项目</w:t>
            </w:r>
            <w:r>
              <w:rPr>
                <w:rFonts w:ascii="Times New Roman" w:hAnsi="Times New Roman" w:cs="Times New Roman" w:eastAsia="Times New Roman" w:hint="default"/>
                <w:sz w:val="18"/>
                <w:szCs w:val="18"/>
              </w:rPr>
              <w:t>”</w:t>
            </w:r>
            <w:r>
              <w:rPr>
                <w:rFonts w:ascii="宋体" w:hAnsi="宋体" w:cs="宋体" w:eastAsia="宋体" w:hint="default"/>
                <w:sz w:val="18"/>
                <w:szCs w:val="18"/>
              </w:rPr>
              <w:t>由原招股说明书计划的该项目拟建 设的四个区域中心减少为</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个区域中心，其中广州、武汉地区不再购置房产建设备件中心，同时鉴于</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目前已基本实现了项目原先的规划，故为提高募集资金使用效率，促进公司经营健康发展及实现股东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利益最大化，公司拟终止</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基础设施支持与维护服务区域扩展项目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。本议案已经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年度股东大 会审议通过。</w:t>
            </w:r>
          </w:p>
        </w:tc>
      </w:tr>
      <w:tr>
        <w:trPr>
          <w:trHeight w:val="403" w:hRule="exact"/>
        </w:trPr>
        <w:tc>
          <w:tcPr>
            <w:tcW w:w="165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1"/>
              <w:ind w:left="22" w:right="175"/>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4D4D4"/>
          </w:tcPr>
          <w:p>
            <w:pPr/>
          </w:p>
        </w:tc>
        <w:tc>
          <w:tcPr>
            <w:tcW w:w="79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5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2" w:right="175"/>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4D4D4"/>
          </w:tcPr>
          <w:p>
            <w:pPr/>
          </w:p>
        </w:tc>
        <w:tc>
          <w:tcPr>
            <w:tcW w:w="79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5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1"/>
              <w:ind w:left="22" w:right="175"/>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4D4D4"/>
          </w:tcPr>
          <w:p>
            <w:pPr/>
          </w:p>
        </w:tc>
        <w:tc>
          <w:tcPr>
            <w:tcW w:w="791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75"/>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公司尚未使用的募集资金，以活期和定期存款形式存放募集专用专户中。</w:t>
            </w:r>
          </w:p>
        </w:tc>
      </w:tr>
      <w:tr>
        <w:trPr>
          <w:trHeight w:val="1027" w:hRule="exact"/>
        </w:trPr>
        <w:tc>
          <w:tcPr>
            <w:tcW w:w="1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175"/>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bookmarkStart w:name="（3）募集资金变更项目情况" w:id="51"/>
      <w:bookmarkEnd w:id="51"/>
      <w:r>
        <w:rPr>
          <w:b w:val="0"/>
          <w:bCs w:val="0"/>
        </w:rPr>
      </w:r>
      <w:bookmarkStart w:name="六、重大资产和股权出售" w:id="52"/>
      <w:bookmarkEnd w:id="52"/>
      <w:r>
        <w:rPr>
          <w:b w:val="0"/>
          <w:bCs w:val="0"/>
        </w:rPr>
      </w:r>
      <w:bookmarkStart w:name="1、出售重大资产情况" w:id="53"/>
      <w:bookmarkEnd w:id="53"/>
      <w:r>
        <w:rPr>
          <w:b w:val="0"/>
          <w:bCs w:val="0"/>
        </w:rPr>
      </w:r>
      <w:bookmarkStart w:name="2、出售重大股权情况" w:id="54"/>
      <w:bookmarkEnd w:id="54"/>
      <w:r>
        <w:rPr>
          <w:b w:val="0"/>
          <w:bCs w:val="0"/>
        </w:rPr>
      </w:r>
      <w:bookmarkStart w:name="七、主要控股参股公司分析" w:id="55"/>
      <w:bookmarkEnd w:id="55"/>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635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公司报告期不存在募集资金变更项目情况。</w:t>
      </w:r>
    </w:p>
    <w:p>
      <w:pPr>
        <w:spacing w:line="240" w:lineRule="auto" w:before="8"/>
        <w:rPr>
          <w:rFonts w:ascii="宋体" w:hAnsi="宋体" w:cs="宋体" w:eastAsia="宋体" w:hint="default"/>
          <w:sz w:val="19"/>
          <w:szCs w:val="19"/>
        </w:rPr>
      </w:pPr>
    </w:p>
    <w:p>
      <w:pPr>
        <w:pStyle w:val="Heading4"/>
        <w:spacing w:line="240" w:lineRule="auto"/>
        <w:ind w:right="0"/>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line="240" w:lineRule="auto" w:before="5"/>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r>
        <w:rPr/>
        <w:t>七、主要控股参股公司分析</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spacing w:before="44"/>
        <w:ind w:left="152" w:right="103" w:firstLine="0"/>
        <w:jc w:val="left"/>
        <w:rPr>
          <w:rFonts w:ascii="宋体" w:hAnsi="宋体" w:cs="宋体" w:eastAsia="宋体" w:hint="default"/>
          <w:sz w:val="18"/>
          <w:szCs w:val="18"/>
        </w:rPr>
      </w:pPr>
      <w:r>
        <w:rPr>
          <w:rFonts w:ascii="宋体" w:hAnsi="宋体" w:cs="宋体" w:eastAsia="宋体" w:hint="default"/>
          <w:sz w:val="18"/>
          <w:szCs w:val="18"/>
        </w:rPr>
        <w:t>公司报告期内无应当披露的重要控股参股公司信息。</w:t>
      </w:r>
    </w:p>
    <w:p>
      <w:pPr>
        <w:spacing w:line="240" w:lineRule="auto" w:before="3"/>
        <w:rPr>
          <w:rFonts w:ascii="宋体" w:hAnsi="宋体" w:cs="宋体" w:eastAsia="宋体" w:hint="default"/>
          <w:sz w:val="25"/>
          <w:szCs w:val="25"/>
        </w:rPr>
      </w:pPr>
    </w:p>
    <w:p>
      <w:pPr>
        <w:pStyle w:val="Heading4"/>
        <w:spacing w:line="240" w:lineRule="auto"/>
        <w:ind w:right="103"/>
        <w:jc w:val="left"/>
        <w:rPr>
          <w:b w:val="0"/>
          <w:bCs w:val="0"/>
        </w:rPr>
      </w:pPr>
      <w:r>
        <w:rPr/>
        <w:t>八</w:t>
      </w:r>
      <w:bookmarkStart w:name="八、公司控制的结构化主体情况" w:id="56"/>
      <w:bookmarkEnd w:id="56"/>
      <w:r>
        <w:rPr/>
        <w:t>、</w:t>
      </w:r>
      <w:r>
        <w:rPr/>
        <w:t>公司控制的结构化主体情况</w:t>
      </w:r>
      <w:r>
        <w:rPr>
          <w:b w:val="0"/>
          <w:bCs w:val="0"/>
        </w:rPr>
      </w:r>
    </w:p>
    <w:p>
      <w:pPr>
        <w:spacing w:line="240" w:lineRule="auto" w:before="6"/>
        <w:rPr>
          <w:rFonts w:ascii="宋体" w:hAnsi="宋体" w:cs="宋体" w:eastAsia="宋体" w:hint="default"/>
          <w:b/>
          <w:bCs/>
          <w:sz w:val="26"/>
          <w:szCs w:val="26"/>
        </w:rPr>
      </w:pPr>
    </w:p>
    <w:p>
      <w:pPr>
        <w:spacing w:before="0"/>
        <w:ind w:left="152" w:right="10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103"/>
        <w:jc w:val="left"/>
        <w:rPr>
          <w:b w:val="0"/>
          <w:bCs w:val="0"/>
        </w:rPr>
      </w:pPr>
      <w:r>
        <w:rPr/>
        <w:t>九、公司未来</w:t>
      </w:r>
      <w:bookmarkStart w:name="九、公司未来发展的展望" w:id="57"/>
      <w:bookmarkEnd w:id="57"/>
      <w:r>
        <w:rPr/>
        <w:t>发</w:t>
      </w:r>
      <w:r>
        <w:rPr/>
        <w:t>展的展望</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right="103"/>
        <w:jc w:val="left"/>
      </w:pPr>
      <w:r>
        <w:rPr/>
        <w:t>（一）行业所处的发展前景</w:t>
      </w:r>
    </w:p>
    <w:p>
      <w:pPr>
        <w:spacing w:line="240" w:lineRule="auto" w:before="10"/>
        <w:rPr>
          <w:rFonts w:ascii="宋体" w:hAnsi="宋体" w:cs="宋体" w:eastAsia="宋体" w:hint="default"/>
          <w:sz w:val="14"/>
          <w:szCs w:val="14"/>
        </w:rPr>
      </w:pPr>
    </w:p>
    <w:p>
      <w:pPr>
        <w:pStyle w:val="BodyText"/>
        <w:spacing w:line="400" w:lineRule="auto"/>
        <w:ind w:right="103" w:firstLine="420"/>
        <w:jc w:val="left"/>
        <w:rPr>
          <w:rFonts w:ascii="Times New Roman" w:hAnsi="Times New Roman" w:cs="Times New Roman" w:eastAsia="Times New Roman" w:hint="default"/>
        </w:rPr>
      </w:pPr>
      <w:r>
        <w:rPr>
          <w:rFonts w:ascii="Times New Roman" w:hAnsi="Times New Roman" w:cs="Times New Roman" w:eastAsia="Times New Roman" w:hint="default"/>
          <w:spacing w:val="-2"/>
        </w:rPr>
        <w:t>2015</w:t>
      </w:r>
      <w:r>
        <w:rPr>
          <w:spacing w:val="-2"/>
        </w:rPr>
        <w:t>年，是互联网创新风起云涌的一年，十三五计划出台了一系列重要政策，这其中就有与互联网创</w:t>
      </w:r>
      <w:r>
        <w:rPr>
          <w:spacing w:val="-3"/>
          <w:w w:val="100"/>
        </w:rPr>
        <w:t> </w:t>
      </w:r>
      <w:r>
        <w:rPr>
          <w:spacing w:val="-2"/>
        </w:rPr>
        <w:t>新息息相关的内容。党的十八届五中全会提出</w:t>
      </w:r>
      <w:r>
        <w:rPr>
          <w:rFonts w:ascii="Times New Roman" w:hAnsi="Times New Roman" w:cs="Times New Roman" w:eastAsia="Times New Roman" w:hint="default"/>
          <w:spacing w:val="-2"/>
        </w:rPr>
        <w:t>“</w:t>
      </w:r>
      <w:r>
        <w:rPr>
          <w:spacing w:val="-2"/>
        </w:rPr>
        <w:t>坚持创新发展，必须把创新摆在国家发展全局的核心位置，</w:t>
      </w:r>
      <w:r>
        <w:rPr>
          <w:spacing w:val="-35"/>
        </w:rPr>
        <w:t> </w:t>
      </w:r>
      <w:r>
        <w:rPr>
          <w:spacing w:val="-35"/>
        </w:rPr>
      </w:r>
      <w:r>
        <w:rPr>
          <w:spacing w:val="-2"/>
        </w:rPr>
        <w:t>不断推进理论创新、制度创新、科技创新、文化创新等各方面创新，让创新贯穿党和国家一切工作，让创</w:t>
      </w:r>
      <w:r>
        <w:rPr>
          <w:spacing w:val="-43"/>
        </w:rPr>
        <w:t> </w:t>
      </w:r>
      <w:r>
        <w:rPr>
          <w:spacing w:val="-43"/>
        </w:rPr>
      </w:r>
      <w:r>
        <w:rPr/>
        <w:t>新在全社会蔚然成风。必须把发展基点放在创新上，形成促进创新的体制架构，塑造更多依靠创新驱动、</w:t>
      </w:r>
      <w:r>
        <w:rPr>
          <w:spacing w:val="-3"/>
          <w:w w:val="100"/>
        </w:rPr>
        <w:t> </w:t>
      </w:r>
      <w:r>
        <w:rPr/>
        <w:t>更多发挥先发优势的引领型发展。培育发展新动力，优化劳动力、资本、土地、技术、管理等要素配置，</w:t>
      </w:r>
      <w:r>
        <w:rPr>
          <w:w w:val="100"/>
        </w:rPr>
        <w:t> </w:t>
      </w:r>
      <w:r>
        <w:rPr>
          <w:spacing w:val="-2"/>
        </w:rPr>
        <w:t>激发创新创业活力，推动大众创业、万众创新，释放新需求，创造新供给，推动新技术、新产业、新业态</w:t>
      </w:r>
      <w:r>
        <w:rPr>
          <w:spacing w:val="-49"/>
        </w:rPr>
        <w:t> </w:t>
      </w:r>
      <w:r>
        <w:rPr>
          <w:spacing w:val="-49"/>
        </w:rPr>
      </w:r>
      <w:r>
        <w:rPr>
          <w:spacing w:val="-2"/>
        </w:rPr>
        <w:t>蓬勃发展。拓展发展新空间，形成沿海沿江沿线经济带为主的纵向横向经济轴带，培育壮大若干重点经济</w:t>
      </w:r>
      <w:r>
        <w:rPr>
          <w:spacing w:val="-44"/>
        </w:rPr>
        <w:t> </w:t>
      </w:r>
      <w:r>
        <w:rPr>
          <w:spacing w:val="-44"/>
        </w:rPr>
      </w:r>
      <w:r>
        <w:rPr/>
        <w:t>区，实施网络强国战略，实施</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行动计划，发展分享经济，实施国家大数据战略。深入实施创新</w:t>
      </w:r>
      <w:r>
        <w:rPr>
          <w:w w:val="100"/>
        </w:rPr>
        <w:t> </w:t>
      </w:r>
      <w:r>
        <w:rPr>
          <w:spacing w:val="-2"/>
        </w:rPr>
        <w:t>驱动发展战略，发挥科技创新在全面创新中的引领作用，实施一批国家重大科技项目，在重大创新领域组</w:t>
      </w:r>
      <w:r>
        <w:rPr>
          <w:spacing w:val="-48"/>
        </w:rPr>
        <w:t> </w:t>
      </w:r>
      <w:r>
        <w:rPr>
          <w:spacing w:val="-48"/>
        </w:rPr>
      </w:r>
      <w:r>
        <w:rPr/>
        <w:t>建一批国家实验室，积极提出并牵头组织国际大科学计划和大科学工程。</w:t>
      </w:r>
      <w:r>
        <w:rPr>
          <w:rFonts w:ascii="Times New Roman" w:hAnsi="Times New Roman" w:cs="Times New Roman" w:eastAsia="Times New Roman" w:hint="default"/>
        </w:rPr>
        <w:t>”</w:t>
      </w:r>
    </w:p>
    <w:p>
      <w:pPr>
        <w:pStyle w:val="BodyText"/>
        <w:spacing w:line="391" w:lineRule="auto" w:before="21"/>
        <w:ind w:left="153" w:right="103" w:firstLine="419"/>
        <w:jc w:val="left"/>
      </w:pPr>
      <w:r>
        <w:rPr>
          <w:spacing w:val="-2"/>
        </w:rPr>
        <w:t>对国内</w:t>
      </w:r>
      <w:r>
        <w:rPr>
          <w:rFonts w:ascii="Times New Roman" w:hAnsi="Times New Roman" w:cs="Times New Roman" w:eastAsia="Times New Roman" w:hint="default"/>
          <w:spacing w:val="-2"/>
        </w:rPr>
        <w:t>IT</w:t>
      </w:r>
      <w:r>
        <w:rPr>
          <w:spacing w:val="-2"/>
        </w:rPr>
        <w:t>行业的企业而言，这是一个千载难逢的机遇。强化，以行业业务为主导，技术为核心，抓住</w:t>
      </w:r>
      <w:r>
        <w:rPr>
          <w:w w:val="100"/>
        </w:rPr>
        <w:t> </w:t>
      </w:r>
      <w:r>
        <w:rPr/>
        <w:t>时代机遇乘风远行是天玑科技的决心。天玑科技理解，</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强调了两个属性，一个是业务的属性：</w:t>
      </w:r>
      <w:r>
        <w:rPr>
          <w:spacing w:val="-3"/>
          <w:w w:val="100"/>
        </w:rPr>
        <w:t> </w:t>
      </w:r>
      <w:r>
        <w:rPr>
          <w:spacing w:val="-2"/>
        </w:rPr>
        <w:t>用户业务将通过互联网实现业务模式的升级，实现用户与企业更紧密的链接，另一个是技术属性：通过互</w:t>
      </w:r>
      <w:r>
        <w:rPr>
          <w:spacing w:val="-43"/>
        </w:rPr>
        <w:t> </w:t>
      </w:r>
      <w:r>
        <w:rPr>
          <w:spacing w:val="-43"/>
        </w:rPr>
      </w:r>
      <w:r>
        <w:rPr>
          <w:spacing w:val="-3"/>
        </w:rPr>
        <w:t>联网的技术实力来支撑企业的运营。这都将催生巨大的</w:t>
      </w:r>
      <w:r>
        <w:rPr>
          <w:rFonts w:ascii="Times New Roman" w:hAnsi="Times New Roman" w:cs="Times New Roman" w:eastAsia="Times New Roman" w:hint="default"/>
          <w:spacing w:val="-3"/>
        </w:rPr>
        <w:t>IT</w:t>
      </w:r>
      <w:r>
        <w:rPr>
          <w:spacing w:val="-3"/>
        </w:rPr>
        <w:t>需求。</w:t>
      </w:r>
      <w:r>
        <w:rPr>
          <w:rFonts w:ascii="Times New Roman" w:hAnsi="Times New Roman" w:cs="Times New Roman" w:eastAsia="Times New Roman" w:hint="default"/>
          <w:spacing w:val="-3"/>
        </w:rPr>
        <w:t>CCW</w:t>
      </w:r>
      <w:r>
        <w:rPr>
          <w:spacing w:val="-3"/>
        </w:rPr>
        <w:t>曾预测</w:t>
      </w:r>
      <w:r>
        <w:rPr>
          <w:rFonts w:ascii="Times New Roman" w:hAnsi="Times New Roman" w:cs="Times New Roman" w:eastAsia="Times New Roman" w:hint="default"/>
          <w:spacing w:val="-3"/>
        </w:rPr>
        <w:t>2016</w:t>
      </w:r>
      <w:r>
        <w:rPr>
          <w:spacing w:val="-3"/>
        </w:rPr>
        <w:t>年中国</w:t>
      </w:r>
      <w:r>
        <w:rPr>
          <w:rFonts w:ascii="Times New Roman" w:hAnsi="Times New Roman" w:cs="Times New Roman" w:eastAsia="Times New Roman" w:hint="default"/>
          <w:spacing w:val="-3"/>
        </w:rPr>
        <w:t>IT</w:t>
      </w:r>
      <w:r>
        <w:rPr>
          <w:spacing w:val="-3"/>
        </w:rPr>
        <w:t>服务市场将达到</w:t>
      </w:r>
      <w:r>
        <w:rPr>
          <w:spacing w:val="-26"/>
        </w:rPr>
        <w:t> </w:t>
      </w:r>
      <w:r>
        <w:rPr>
          <w:spacing w:val="-26"/>
        </w:rPr>
      </w:r>
      <w:r>
        <w:rPr>
          <w:rFonts w:ascii="Times New Roman" w:hAnsi="Times New Roman" w:cs="Times New Roman" w:eastAsia="Times New Roman" w:hint="default"/>
        </w:rPr>
        <w:t>1951</w:t>
      </w:r>
      <w:r>
        <w:rPr/>
        <w:t>亿的规模，而根据</w:t>
      </w:r>
      <w:r>
        <w:rPr>
          <w:rFonts w:ascii="Times New Roman" w:hAnsi="Times New Roman" w:cs="Times New Roman" w:eastAsia="Times New Roman" w:hint="default"/>
        </w:rPr>
        <w:t>IDC</w:t>
      </w:r>
      <w:r>
        <w:rPr/>
        <w:t>预测，</w:t>
      </w:r>
      <w:r>
        <w:rPr>
          <w:rFonts w:ascii="Times New Roman" w:hAnsi="Times New Roman" w:cs="Times New Roman" w:eastAsia="Times New Roman" w:hint="default"/>
        </w:rPr>
        <w:t>2016</w:t>
      </w:r>
      <w:r>
        <w:rPr/>
        <w:t>年云计算基础架构的市场规模将超过</w:t>
      </w:r>
      <w:r>
        <w:rPr>
          <w:rFonts w:ascii="Times New Roman" w:hAnsi="Times New Roman" w:cs="Times New Roman" w:eastAsia="Times New Roman" w:hint="default"/>
        </w:rPr>
        <w:t>10</w:t>
      </w:r>
      <w:r>
        <w:rPr/>
        <w:t>亿美元。</w:t>
      </w:r>
    </w:p>
    <w:p>
      <w:pPr>
        <w:pStyle w:val="BodyText"/>
        <w:spacing w:line="408" w:lineRule="auto" w:before="31"/>
        <w:ind w:left="573" w:right="103" w:hanging="421"/>
        <w:jc w:val="left"/>
      </w:pPr>
      <w:r>
        <w:rPr/>
        <w:t>（二）公司发展战略</w:t>
      </w:r>
      <w:r>
        <w:rPr>
          <w:w w:val="100"/>
        </w:rPr>
        <w:t> </w:t>
      </w:r>
      <w:r>
        <w:rPr>
          <w:spacing w:val="-3"/>
        </w:rPr>
        <w:t>在</w:t>
      </w:r>
      <w:r>
        <w:rPr>
          <w:rFonts w:ascii="Times New Roman" w:hAnsi="Times New Roman" w:cs="Times New Roman" w:eastAsia="Times New Roman" w:hint="default"/>
          <w:spacing w:val="-3"/>
        </w:rPr>
        <w:t>“IT</w:t>
      </w:r>
      <w:r>
        <w:rPr>
          <w:spacing w:val="-3"/>
        </w:rPr>
        <w:t>架构国产化的开路先锋</w:t>
      </w:r>
      <w:r>
        <w:rPr>
          <w:rFonts w:ascii="Times New Roman" w:hAnsi="Times New Roman" w:cs="Times New Roman" w:eastAsia="Times New Roman" w:hint="default"/>
          <w:spacing w:val="-3"/>
        </w:rPr>
        <w:t>”</w:t>
      </w:r>
      <w:r>
        <w:rPr>
          <w:spacing w:val="-3"/>
        </w:rPr>
        <w:t>战略定位的指引下</w:t>
      </w:r>
      <w:r>
        <w:rPr>
          <w:rFonts w:ascii="Times New Roman" w:hAnsi="Times New Roman" w:cs="Times New Roman" w:eastAsia="Times New Roman" w:hint="default"/>
          <w:spacing w:val="-3"/>
        </w:rPr>
        <w:t>,</w:t>
      </w:r>
      <w:r>
        <w:rPr>
          <w:spacing w:val="-3"/>
        </w:rPr>
        <w:t>经过</w:t>
      </w:r>
      <w:r>
        <w:rPr>
          <w:rFonts w:ascii="Times New Roman" w:hAnsi="Times New Roman" w:cs="Times New Roman" w:eastAsia="Times New Roman" w:hint="default"/>
          <w:spacing w:val="-3"/>
        </w:rPr>
        <w:t>2014</w:t>
      </w:r>
      <w:r>
        <w:rPr>
          <w:spacing w:val="-3"/>
        </w:rPr>
        <w:t>和</w:t>
      </w:r>
      <w:r>
        <w:rPr>
          <w:rFonts w:ascii="Times New Roman" w:hAnsi="Times New Roman" w:cs="Times New Roman" w:eastAsia="Times New Roman" w:hint="default"/>
          <w:spacing w:val="-3"/>
        </w:rPr>
        <w:t>2015</w:t>
      </w:r>
      <w:r>
        <w:rPr>
          <w:spacing w:val="-3"/>
        </w:rPr>
        <w:t>两年的努力，公司已成功切入企业云</w:t>
      </w:r>
      <w:r>
        <w:rPr/>
      </w:r>
    </w:p>
    <w:p>
      <w:pPr>
        <w:pStyle w:val="BodyText"/>
        <w:spacing w:line="408" w:lineRule="auto" w:before="14"/>
        <w:ind w:left="153" w:right="103"/>
        <w:jc w:val="left"/>
      </w:pPr>
      <w:r>
        <w:rPr>
          <w:spacing w:val="-2"/>
        </w:rPr>
        <w:t>计算市场，并有能力提供一系列的云计算基础架构解决方案，在基础架构国产化和金融互联网化两大战略</w:t>
      </w:r>
      <w:r>
        <w:rPr>
          <w:spacing w:val="-42"/>
        </w:rPr>
        <w:t> </w:t>
      </w:r>
      <w:r>
        <w:rPr>
          <w:spacing w:val="-42"/>
        </w:rPr>
      </w:r>
      <w:r>
        <w:rPr/>
        <w:t>发展方向上取得了相当的成果。</w:t>
      </w:r>
    </w:p>
    <w:p>
      <w:pPr>
        <w:pStyle w:val="BodyText"/>
        <w:spacing w:line="393" w:lineRule="auto" w:before="46"/>
        <w:ind w:left="153" w:right="103" w:firstLine="420"/>
        <w:jc w:val="left"/>
      </w:pPr>
      <w:r>
        <w:rPr/>
        <w:t>在基础架构领域，天玑的战略落地路径已经确定，即在信息技术升级换代的大潮中，通过云计算、大</w:t>
      </w:r>
      <w:r>
        <w:rPr>
          <w:w w:val="100"/>
        </w:rPr>
        <w:t> </w:t>
      </w:r>
      <w:r>
        <w:rPr/>
        <w:t>数据技术，以高性价比、有前瞻性的产品与服务，推动</w:t>
      </w:r>
      <w:r>
        <w:rPr>
          <w:rFonts w:ascii="Times New Roman" w:hAnsi="Times New Roman" w:cs="Times New Roman" w:eastAsia="Times New Roman" w:hint="default"/>
        </w:rPr>
        <w:t>IT</w:t>
      </w:r>
      <w:r>
        <w:rPr/>
        <w:t>基础架构国产化。在这一领域，天玑大力投资研</w:t>
      </w:r>
      <w:r>
        <w:rPr>
          <w:w w:val="100"/>
        </w:rPr>
        <w:t> </w:t>
      </w:r>
      <w:r>
        <w:rPr>
          <w:spacing w:val="-3"/>
        </w:rPr>
        <w:t>发，并遵循互联网的技术架构模式，推出了数种面向私有云的新产品。公司自行研发的云操作系统</w:t>
      </w:r>
      <w:r>
        <w:rPr>
          <w:rFonts w:ascii="Times New Roman" w:hAnsi="Times New Roman" w:cs="Times New Roman" w:eastAsia="Times New Roman" w:hint="default"/>
          <w:spacing w:val="-3"/>
        </w:rPr>
        <w:t>DCOS</w:t>
      </w:r>
      <w:r>
        <w:rPr>
          <w:spacing w:val="-3"/>
        </w:rPr>
        <w:t>，</w:t>
      </w:r>
      <w:r>
        <w:rPr>
          <w:spacing w:val="-27"/>
        </w:rPr>
        <w:t> </w:t>
      </w:r>
      <w:r>
        <w:rPr>
          <w:spacing w:val="-2"/>
        </w:rPr>
        <w:t>以自动化运维支撑私有云应用的弹性扩展，已在行业标杆客户处得到认可并获取订单，并在实际业务应用</w:t>
      </w:r>
    </w:p>
    <w:p>
      <w:pPr>
        <w:spacing w:after="0" w:line="393" w:lineRule="auto"/>
        <w:jc w:val="left"/>
        <w:sectPr>
          <w:pgSz w:w="11910" w:h="16840"/>
          <w:pgMar w:header="745" w:footer="982" w:top="1060" w:bottom="1180" w:left="980" w:right="920"/>
        </w:sectPr>
      </w:pPr>
    </w:p>
    <w:p>
      <w:pPr>
        <w:spacing w:line="240" w:lineRule="auto" w:before="0"/>
        <w:rPr>
          <w:rFonts w:ascii="宋体" w:hAnsi="宋体" w:cs="宋体" w:eastAsia="宋体" w:hint="default"/>
          <w:sz w:val="20"/>
          <w:szCs w:val="20"/>
        </w:rPr>
      </w:pPr>
    </w:p>
    <w:p>
      <w:pPr>
        <w:pStyle w:val="BodyText"/>
        <w:spacing w:line="386" w:lineRule="auto" w:before="175"/>
        <w:ind w:right="103"/>
        <w:jc w:val="left"/>
      </w:pPr>
      <w:r>
        <w:rPr>
          <w:spacing w:val="-2"/>
        </w:rPr>
        <w:t>中表现出色。控股子公司天玑数据，专攻分布式存储技术，聚焦软件定义存储市场。</w:t>
      </w:r>
      <w:r>
        <w:rPr>
          <w:rFonts w:ascii="Times New Roman" w:hAnsi="Times New Roman" w:cs="Times New Roman" w:eastAsia="Times New Roman" w:hint="default"/>
          <w:spacing w:val="-2"/>
        </w:rPr>
        <w:t>2015</w:t>
      </w:r>
      <w:r>
        <w:rPr>
          <w:spacing w:val="-2"/>
        </w:rPr>
        <w:t>年内，其首个产</w:t>
      </w:r>
      <w:r>
        <w:rPr>
          <w:spacing w:val="-40"/>
        </w:rPr>
        <w:t> </w:t>
      </w:r>
      <w:r>
        <w:rPr>
          <w:spacing w:val="-40"/>
        </w:rPr>
      </w:r>
      <w:r>
        <w:rPr>
          <w:spacing w:val="-2"/>
        </w:rPr>
        <w:t>品</w:t>
      </w:r>
      <w:r>
        <w:rPr>
          <w:rFonts w:ascii="Times New Roman" w:hAnsi="Times New Roman" w:cs="Times New Roman" w:eastAsia="Times New Roman" w:hint="default"/>
          <w:spacing w:val="-2"/>
        </w:rPr>
        <w:t>PBData</w:t>
      </w:r>
      <w:r>
        <w:rPr>
          <w:spacing w:val="-2"/>
        </w:rPr>
        <w:t>已经在国内的数据库一体机细分市场取得了市场领先地位，并同时孵化和对外推出了两款产品，</w:t>
      </w:r>
      <w:r>
        <w:rPr>
          <w:spacing w:val="-17"/>
        </w:rPr>
        <w:t> </w:t>
      </w:r>
      <w:r>
        <w:rPr>
          <w:spacing w:val="-17"/>
        </w:rPr>
      </w:r>
      <w:r>
        <w:rPr>
          <w:spacing w:val="-4"/>
        </w:rPr>
        <w:t>分别面向私有云</w:t>
      </w:r>
      <w:r>
        <w:rPr>
          <w:rFonts w:ascii="Times New Roman" w:hAnsi="Times New Roman" w:cs="Times New Roman" w:eastAsia="Times New Roman" w:hint="default"/>
          <w:spacing w:val="-4"/>
        </w:rPr>
        <w:t>/</w:t>
      </w:r>
      <w:r>
        <w:rPr>
          <w:spacing w:val="-4"/>
        </w:rPr>
        <w:t>虚拟化和通用分布式存储。天玑数据今年将加强市场推广力量，实现业绩的显著增长。控</w:t>
      </w:r>
      <w:r>
        <w:rPr>
          <w:spacing w:val="-8"/>
        </w:rPr>
        <w:t> </w:t>
      </w:r>
      <w:r>
        <w:rPr>
          <w:spacing w:val="-8"/>
        </w:rPr>
      </w:r>
      <w:r>
        <w:rPr/>
        <w:t>股子公司平民软件推出了分布式数据库中间件</w:t>
      </w:r>
      <w:r>
        <w:rPr>
          <w:rFonts w:ascii="Times New Roman" w:hAnsi="Times New Roman" w:cs="Times New Roman" w:eastAsia="Times New Roman" w:hint="default"/>
        </w:rPr>
        <w:t>OneProxy</w:t>
      </w:r>
      <w:r>
        <w:rPr/>
        <w:t>，并已支持</w:t>
      </w:r>
      <w:r>
        <w:rPr>
          <w:rFonts w:ascii="Times New Roman" w:hAnsi="Times New Roman" w:cs="Times New Roman" w:eastAsia="Times New Roman" w:hint="default"/>
        </w:rPr>
        <w:t>MySQL</w:t>
      </w:r>
      <w:r>
        <w:rPr/>
        <w:t>和</w:t>
      </w:r>
      <w:r>
        <w:rPr>
          <w:rFonts w:ascii="Times New Roman" w:hAnsi="Times New Roman" w:cs="Times New Roman" w:eastAsia="Times New Roman" w:hint="default"/>
        </w:rPr>
        <w:t>Postgres</w:t>
      </w:r>
      <w:r>
        <w:rPr/>
        <w:t>两种开源数据库，在</w:t>
      </w:r>
      <w:r>
        <w:rPr>
          <w:spacing w:val="-3"/>
          <w:w w:val="100"/>
        </w:rPr>
        <w:t> </w:t>
      </w:r>
      <w:r>
        <w:rPr>
          <w:spacing w:val="-2"/>
        </w:rPr>
        <w:t>多个互联网客户处投入使用。</w:t>
      </w:r>
      <w:r>
        <w:rPr>
          <w:rFonts w:ascii="Times New Roman" w:hAnsi="Times New Roman" w:cs="Times New Roman" w:eastAsia="Times New Roman" w:hint="default"/>
          <w:spacing w:val="-2"/>
        </w:rPr>
        <w:t>2016</w:t>
      </w:r>
      <w:r>
        <w:rPr>
          <w:spacing w:val="-2"/>
        </w:rPr>
        <w:t>年，天玑将延续对云计算、大数据技术的投入，将现有产品和服务整合</w:t>
      </w:r>
      <w:r>
        <w:rPr>
          <w:spacing w:val="-43"/>
        </w:rPr>
        <w:t> </w:t>
      </w:r>
      <w:r>
        <w:rPr>
          <w:spacing w:val="-43"/>
        </w:rPr>
      </w:r>
      <w:r>
        <w:rPr/>
        <w:t>成为更完整的解决方案，并借助标杆用户的示范效应，在行业市场扩大战果。</w:t>
      </w:r>
    </w:p>
    <w:p>
      <w:pPr>
        <w:pStyle w:val="BodyText"/>
        <w:spacing w:line="398" w:lineRule="auto" w:before="65"/>
        <w:ind w:right="103" w:firstLine="420"/>
        <w:jc w:val="left"/>
      </w:pPr>
      <w:r>
        <w:rPr/>
        <w:t>随着互联网</w:t>
      </w:r>
      <w:r>
        <w:rPr>
          <w:rFonts w:ascii="Times New Roman" w:hAnsi="Times New Roman" w:cs="Times New Roman" w:eastAsia="Times New Roman" w:hint="default"/>
        </w:rPr>
        <w:t>+</w:t>
      </w:r>
      <w:r>
        <w:rPr/>
        <w:t>的模式深入人心，金融企业加速互联网转型，在此过程中既需要基础架构的云化、国产</w:t>
      </w:r>
      <w:r>
        <w:rPr>
          <w:w w:val="100"/>
        </w:rPr>
        <w:t> </w:t>
      </w:r>
      <w:r>
        <w:rPr>
          <w:spacing w:val="-4"/>
        </w:rPr>
        <w:t>化，也需要业务的互联网化，更需要数据驱动的管理精细化。</w:t>
      </w:r>
      <w:r>
        <w:rPr>
          <w:rFonts w:ascii="Times New Roman" w:hAnsi="Times New Roman" w:cs="Times New Roman" w:eastAsia="Times New Roman" w:hint="default"/>
          <w:spacing w:val="-4"/>
        </w:rPr>
        <w:t>2015</w:t>
      </w:r>
      <w:r>
        <w:rPr>
          <w:spacing w:val="-4"/>
        </w:rPr>
        <w:t>年，天玑借助云计算和大数据技术优势，</w:t>
      </w:r>
      <w:r>
        <w:rPr>
          <w:spacing w:val="-49"/>
        </w:rPr>
        <w:t> </w:t>
      </w:r>
      <w:r>
        <w:rPr>
          <w:spacing w:val="-49"/>
        </w:rPr>
      </w:r>
      <w:r>
        <w:rPr>
          <w:spacing w:val="-2"/>
        </w:rPr>
        <w:t>已成功切入部分金融企业的基础架构转型建设，并推出了全渠道客户服务和全生命周期客户关怀两大应用</w:t>
      </w:r>
      <w:r>
        <w:rPr>
          <w:spacing w:val="-43"/>
        </w:rPr>
        <w:t> </w:t>
      </w:r>
      <w:r>
        <w:rPr>
          <w:spacing w:val="-43"/>
        </w:rPr>
      </w:r>
      <w:r>
        <w:rPr>
          <w:spacing w:val="-2"/>
        </w:rPr>
        <w:t>解决方案，以助力金融企业在互联网时代提高客户运营能力，并得到了行业标杆客户的认可。今年，天玑</w:t>
      </w:r>
      <w:r>
        <w:rPr>
          <w:spacing w:val="-47"/>
        </w:rPr>
        <w:t> </w:t>
      </w:r>
      <w:r>
        <w:rPr>
          <w:spacing w:val="-47"/>
        </w:rPr>
      </w:r>
      <w:r>
        <w:rPr/>
        <w:t>将综合应用软件和基础架构的优势技术，并结合云化的部署运营模式，在金融行业推广上述解决方案。</w:t>
      </w:r>
    </w:p>
    <w:p>
      <w:pPr>
        <w:pStyle w:val="BodyText"/>
        <w:spacing w:line="393" w:lineRule="auto" w:before="54"/>
        <w:ind w:right="103" w:firstLine="506"/>
        <w:jc w:val="left"/>
      </w:pPr>
      <w:r>
        <w:rPr>
          <w:rFonts w:ascii="Times New Roman" w:hAnsi="Times New Roman" w:cs="Times New Roman" w:eastAsia="Times New Roman" w:hint="default"/>
        </w:rPr>
        <w:t>2016</w:t>
      </w:r>
      <w:r>
        <w:rPr/>
        <w:t>年公司将围绕上述两个战略方向，更为积极和系统化地寻求外延式发展，而不会盲目追随市场</w:t>
      </w:r>
      <w:r>
        <w:rPr>
          <w:w w:val="100"/>
        </w:rPr>
        <w:t> </w:t>
      </w:r>
      <w:r>
        <w:rPr>
          <w:spacing w:val="-2"/>
        </w:rPr>
        <w:t>热点。信息技术行业发展迅速，新兴技术和商业模式在早期难以赢利，一旦形成市场突破，有可能出现爆</w:t>
      </w:r>
      <w:r>
        <w:rPr>
          <w:spacing w:val="-50"/>
        </w:rPr>
        <w:t> </w:t>
      </w:r>
      <w:r>
        <w:rPr>
          <w:spacing w:val="-50"/>
        </w:rPr>
      </w:r>
      <w:r>
        <w:rPr>
          <w:spacing w:val="-2"/>
        </w:rPr>
        <w:t>炸式增长；从另一个角度看，技术的升级换代又有可能造成企业利润难以持续。因此，早期投资能力对公</w:t>
      </w:r>
      <w:r>
        <w:rPr>
          <w:spacing w:val="-47"/>
        </w:rPr>
        <w:t> </w:t>
      </w:r>
      <w:r>
        <w:rPr>
          <w:spacing w:val="-47"/>
        </w:rPr>
      </w:r>
      <w:r>
        <w:rPr>
          <w:spacing w:val="-3"/>
        </w:rPr>
        <w:t>司的长期竞争优势有着相当重要的作用。</w:t>
      </w:r>
      <w:r>
        <w:rPr>
          <w:rFonts w:ascii="Times New Roman" w:hAnsi="Times New Roman" w:cs="Times New Roman" w:eastAsia="Times New Roman" w:hint="default"/>
          <w:spacing w:val="-3"/>
        </w:rPr>
        <w:t>2015</w:t>
      </w:r>
      <w:r>
        <w:rPr>
          <w:spacing w:val="-3"/>
        </w:rPr>
        <w:t>年年初，公司出资</w:t>
      </w:r>
      <w:r>
        <w:rPr>
          <w:rFonts w:ascii="Times New Roman" w:hAnsi="Times New Roman" w:cs="Times New Roman" w:eastAsia="Times New Roman" w:hint="default"/>
          <w:spacing w:val="-3"/>
        </w:rPr>
        <w:t>2,000</w:t>
      </w:r>
      <w:r>
        <w:rPr>
          <w:spacing w:val="-3"/>
        </w:rPr>
        <w:t>万元参与北极光创投旗下的人民币基</w:t>
      </w:r>
      <w:r>
        <w:rPr>
          <w:spacing w:val="-35"/>
        </w:rPr>
        <w:t> </w:t>
      </w:r>
      <w:r>
        <w:rPr>
          <w:spacing w:val="-35"/>
        </w:rPr>
      </w:r>
      <w:r>
        <w:rPr>
          <w:spacing w:val="-3"/>
        </w:rPr>
        <w:t>金，开启了与聚焦</w:t>
      </w:r>
      <w:r>
        <w:rPr>
          <w:rFonts w:ascii="Times New Roman" w:hAnsi="Times New Roman" w:cs="Times New Roman" w:eastAsia="Times New Roman" w:hint="default"/>
          <w:spacing w:val="-3"/>
        </w:rPr>
        <w:t>TMT</w:t>
      </w:r>
      <w:r>
        <w:rPr>
          <w:spacing w:val="-3"/>
        </w:rPr>
        <w:t>早期投资的专业机构的合作，以便拓展投资渠道，降低投资风险。目前看来，此项</w:t>
      </w:r>
      <w:r>
        <w:rPr>
          <w:spacing w:val="-21"/>
        </w:rPr>
        <w:t> </w:t>
      </w:r>
      <w:r>
        <w:rPr>
          <w:spacing w:val="-21"/>
        </w:rPr>
      </w:r>
      <w:r>
        <w:rPr>
          <w:spacing w:val="-2"/>
        </w:rPr>
        <w:t>合作确实有助于公司拓宽眼界，加强趋势把握能力。</w:t>
      </w:r>
      <w:r>
        <w:rPr>
          <w:rFonts w:ascii="Times New Roman" w:hAnsi="Times New Roman" w:cs="Times New Roman" w:eastAsia="Times New Roman" w:hint="default"/>
          <w:spacing w:val="-2"/>
        </w:rPr>
        <w:t>2015</w:t>
      </w:r>
      <w:r>
        <w:rPr>
          <w:spacing w:val="-2"/>
        </w:rPr>
        <w:t>年控股子公司天玑数据对深圳市杉岩数据技术有</w:t>
      </w:r>
      <w:r>
        <w:rPr>
          <w:spacing w:val="-39"/>
        </w:rPr>
        <w:t> </w:t>
      </w:r>
      <w:r>
        <w:rPr>
          <w:spacing w:val="-39"/>
        </w:rPr>
      </w:r>
      <w:r>
        <w:rPr/>
        <w:t>限公司的投资，是天玑对外进行早期股权投资，布局生态系统的起点。在后续工作中，我们将会</w:t>
      </w:r>
      <w:r>
        <w:rPr>
          <w:rFonts w:ascii="Times New Roman" w:hAnsi="Times New Roman" w:cs="Times New Roman" w:eastAsia="Times New Roman" w:hint="default"/>
        </w:rPr>
        <w:t>“</w:t>
      </w:r>
      <w:r>
        <w:rPr/>
        <w:t>早期股</w:t>
      </w:r>
      <w:r>
        <w:rPr>
          <w:spacing w:val="-3"/>
          <w:w w:val="100"/>
        </w:rPr>
        <w:t> </w:t>
      </w:r>
      <w:r>
        <w:rPr/>
        <w:t>权投资</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并购控股</w:t>
      </w:r>
      <w:r>
        <w:rPr>
          <w:rFonts w:ascii="Times New Roman" w:hAnsi="Times New Roman" w:cs="Times New Roman" w:eastAsia="Times New Roman" w:hint="default"/>
        </w:rPr>
        <w:t>”</w:t>
      </w:r>
      <w:r>
        <w:rPr/>
        <w:t>双管齐下，夯实基础架构技术优势，强化产业链布局。</w:t>
      </w:r>
    </w:p>
    <w:p>
      <w:pPr>
        <w:pStyle w:val="BodyText"/>
        <w:spacing w:line="408" w:lineRule="auto" w:before="28"/>
        <w:ind w:right="185" w:firstLine="420"/>
        <w:jc w:val="both"/>
      </w:pPr>
      <w:r>
        <w:rPr>
          <w:spacing w:val="-3"/>
        </w:rPr>
        <w:t>总而言之，天玑将加强研发投入和市场推广，利用云计算、大数据等源于互联网的先进技术，不断推</w:t>
      </w:r>
      <w:r>
        <w:rPr>
          <w:spacing w:val="-3"/>
          <w:w w:val="100"/>
        </w:rPr>
        <w:t> </w:t>
      </w:r>
      <w:r>
        <w:rPr>
          <w:spacing w:val="-2"/>
        </w:rPr>
        <w:t>出创新产品，积极进行产品和服务的拓展和延伸，提升企业品牌与市场地位，增强企业核心竞争力；同时</w:t>
      </w:r>
      <w:r>
        <w:rPr>
          <w:spacing w:val="-47"/>
        </w:rPr>
        <w:t> </w:t>
      </w:r>
      <w:r>
        <w:rPr>
          <w:spacing w:val="-47"/>
        </w:rPr>
      </w:r>
      <w:r>
        <w:rPr>
          <w:spacing w:val="-2"/>
        </w:rPr>
        <w:t>借助资本力量，围绕着公司既定的两大战略方向，进行投资和并购，以便营造一个良好的企业生态环境，</w:t>
      </w:r>
      <w:r>
        <w:rPr>
          <w:spacing w:val="-21"/>
        </w:rPr>
        <w:t> </w:t>
      </w:r>
      <w:r>
        <w:rPr>
          <w:spacing w:val="-21"/>
        </w:rPr>
      </w:r>
      <w:r>
        <w:rPr/>
        <w:t>寻求新的利润增长点。</w:t>
      </w:r>
    </w:p>
    <w:p>
      <w:pPr>
        <w:pStyle w:val="BodyText"/>
        <w:spacing w:line="240" w:lineRule="auto" w:before="46"/>
        <w:ind w:right="103"/>
        <w:jc w:val="left"/>
      </w:pPr>
      <w:r>
        <w:rPr/>
        <w:t>（三）公司</w:t>
      </w:r>
      <w:r>
        <w:rPr>
          <w:rFonts w:ascii="Times New Roman" w:hAnsi="Times New Roman" w:cs="Times New Roman" w:eastAsia="Times New Roman" w:hint="default"/>
        </w:rPr>
        <w:t>2016</w:t>
      </w:r>
      <w:r>
        <w:rPr/>
        <w:t>年度经营计划</w:t>
      </w:r>
    </w:p>
    <w:p>
      <w:pPr>
        <w:pStyle w:val="BodyText"/>
        <w:spacing w:line="386" w:lineRule="auto" w:before="177"/>
        <w:ind w:left="573" w:right="103" w:hanging="421"/>
        <w:jc w:val="left"/>
      </w:pPr>
      <w:r>
        <w:rPr>
          <w:rFonts w:ascii="Times New Roman" w:hAnsi="Times New Roman" w:cs="Times New Roman" w:eastAsia="Times New Roman" w:hint="default"/>
        </w:rPr>
        <w:t>1</w:t>
      </w:r>
      <w:r>
        <w:rPr/>
        <w:t>、坚定</w:t>
      </w:r>
      <w:r>
        <w:rPr>
          <w:rFonts w:ascii="Times New Roman" w:hAnsi="Times New Roman" w:cs="Times New Roman" w:eastAsia="Times New Roman" w:hint="default"/>
        </w:rPr>
        <w:t>“</w:t>
      </w:r>
      <w:r>
        <w:rPr/>
        <w:t>天玑</w:t>
      </w:r>
      <w:r>
        <w:rPr>
          <w:rFonts w:ascii="Times New Roman" w:hAnsi="Times New Roman" w:cs="Times New Roman" w:eastAsia="Times New Roman" w:hint="default"/>
        </w:rPr>
        <w:t>2.0”</w:t>
      </w:r>
      <w:r>
        <w:rPr>
          <w:rFonts w:ascii="Times New Roman" w:hAnsi="Times New Roman" w:cs="Times New Roman" w:eastAsia="Times New Roman" w:hint="default"/>
          <w:spacing w:val="30"/>
        </w:rPr>
        <w:t> </w:t>
      </w:r>
      <w:r>
        <w:rPr/>
        <w:t>发展战略。</w:t>
      </w:r>
      <w:r>
        <w:rPr>
          <w:w w:val="100"/>
        </w:rPr>
        <w:t> </w:t>
      </w:r>
      <w:r>
        <w:rPr>
          <w:spacing w:val="-2"/>
        </w:rPr>
        <w:t>公司十四年的发展带给天玑科技三个优势：覆盖全国、接近百人的销售平台；覆盖全国的</w:t>
      </w:r>
      <w:r>
        <w:rPr>
          <w:rFonts w:ascii="Times New Roman" w:hAnsi="Times New Roman" w:cs="Times New Roman" w:eastAsia="Times New Roman" w:hint="default"/>
          <w:spacing w:val="-2"/>
        </w:rPr>
        <w:t>27</w:t>
      </w:r>
      <w:r>
        <w:rPr>
          <w:spacing w:val="-2"/>
        </w:rPr>
        <w:t>个分支机</w:t>
      </w:r>
      <w:r>
        <w:rPr/>
      </w:r>
    </w:p>
    <w:p>
      <w:pPr>
        <w:pStyle w:val="BodyText"/>
        <w:spacing w:line="393" w:lineRule="auto" w:before="35"/>
        <w:ind w:left="153" w:right="187"/>
        <w:jc w:val="both"/>
      </w:pPr>
      <w:r>
        <w:rPr>
          <w:spacing w:val="-3"/>
        </w:rPr>
        <w:t>构，</w:t>
      </w:r>
      <w:r>
        <w:rPr>
          <w:rFonts w:ascii="Times New Roman" w:hAnsi="Times New Roman" w:cs="Times New Roman" w:eastAsia="Times New Roman" w:hint="default"/>
          <w:spacing w:val="-3"/>
        </w:rPr>
        <w:t>350+</w:t>
      </w:r>
      <w:r>
        <w:rPr>
          <w:spacing w:val="-3"/>
        </w:rPr>
        <w:t>位技术工程师的服务平台；再加上上市后所拥有的资本平台。我们将依托这三个平台，凭着二次</w:t>
      </w:r>
      <w:r>
        <w:rPr>
          <w:spacing w:val="-8"/>
        </w:rPr>
        <w:t> </w:t>
      </w:r>
      <w:r>
        <w:rPr>
          <w:spacing w:val="-8"/>
        </w:rPr>
      </w:r>
      <w:r>
        <w:rPr>
          <w:spacing w:val="-2"/>
        </w:rPr>
        <w:t>创业的决心和激情，把一个专注于后服务的天玑，升级成一个有能力引领潮流的天玑，成为</w:t>
      </w:r>
      <w:r>
        <w:rPr>
          <w:rFonts w:ascii="Times New Roman" w:hAnsi="Times New Roman" w:cs="Times New Roman" w:eastAsia="Times New Roman" w:hint="default"/>
          <w:spacing w:val="-2"/>
        </w:rPr>
        <w:t>IT</w:t>
      </w:r>
      <w:r>
        <w:rPr>
          <w:spacing w:val="-2"/>
        </w:rPr>
        <w:t>架构国产化</w:t>
      </w:r>
      <w:r>
        <w:rPr>
          <w:spacing w:val="-36"/>
        </w:rPr>
        <w:t> </w:t>
      </w:r>
      <w:r>
        <w:rPr>
          <w:spacing w:val="-36"/>
        </w:rPr>
      </w:r>
      <w:r>
        <w:rPr>
          <w:spacing w:val="-2"/>
        </w:rPr>
        <w:t>的开路先锋。同时将不断孵化一些云计算、大数据方向的小团队，并不断加强金融行业的软件服务能力，</w:t>
      </w:r>
      <w:r>
        <w:rPr>
          <w:spacing w:val="-24"/>
        </w:rPr>
        <w:t> </w:t>
      </w:r>
      <w:r>
        <w:rPr>
          <w:spacing w:val="-24"/>
        </w:rPr>
      </w:r>
      <w:r>
        <w:rPr>
          <w:spacing w:val="-2"/>
        </w:rPr>
        <w:t>在金融互联网方向上为用户提供全渠道的客户解决能力。未来公司将积极推进外延式发展，加强产业链布</w:t>
      </w:r>
    </w:p>
    <w:p>
      <w:pPr>
        <w:spacing w:after="0" w:line="393" w:lineRule="auto"/>
        <w:jc w:val="both"/>
        <w:sectPr>
          <w:pgSz w:w="11910" w:h="16840"/>
          <w:pgMar w:header="745" w:footer="982" w:top="1060" w:bottom="1180" w:left="980" w:right="920"/>
        </w:sectPr>
      </w:pPr>
    </w:p>
    <w:p>
      <w:pPr>
        <w:spacing w:line="240" w:lineRule="auto" w:before="0"/>
        <w:rPr>
          <w:rFonts w:ascii="宋体" w:hAnsi="宋体" w:cs="宋体" w:eastAsia="宋体" w:hint="default"/>
          <w:sz w:val="20"/>
          <w:szCs w:val="20"/>
        </w:rPr>
      </w:pPr>
    </w:p>
    <w:p>
      <w:pPr>
        <w:pStyle w:val="BodyText"/>
        <w:spacing w:line="240" w:lineRule="auto" w:before="175"/>
        <w:ind w:right="103"/>
        <w:jc w:val="left"/>
      </w:pPr>
      <w:r>
        <w:rPr/>
        <w:t>局。</w:t>
      </w:r>
    </w:p>
    <w:p>
      <w:pPr>
        <w:spacing w:line="240" w:lineRule="auto" w:before="10"/>
        <w:rPr>
          <w:rFonts w:ascii="宋体" w:hAnsi="宋体" w:cs="宋体" w:eastAsia="宋体" w:hint="default"/>
          <w:sz w:val="14"/>
          <w:szCs w:val="14"/>
        </w:rPr>
      </w:pPr>
    </w:p>
    <w:p>
      <w:pPr>
        <w:pStyle w:val="BodyText"/>
        <w:spacing w:line="386" w:lineRule="auto"/>
        <w:ind w:left="572" w:right="103" w:hanging="421"/>
        <w:jc w:val="left"/>
      </w:pPr>
      <w:r>
        <w:rPr>
          <w:rFonts w:ascii="Times New Roman" w:hAnsi="Times New Roman" w:cs="Times New Roman" w:eastAsia="Times New Roman" w:hint="default"/>
        </w:rPr>
        <w:t>2</w:t>
      </w:r>
      <w:r>
        <w:rPr/>
        <w:t>、不断加强产品研发投入，加强技术创新。</w:t>
      </w:r>
      <w:r>
        <w:rPr>
          <w:spacing w:val="-3"/>
          <w:w w:val="100"/>
        </w:rPr>
        <w:t> </w:t>
      </w:r>
      <w:r>
        <w:rPr>
          <w:spacing w:val="-2"/>
        </w:rPr>
        <w:t>公司将继续加大研发投入，不断加强技术创新，完善公司产品结构和产品布局；不断健全以市场为导</w:t>
      </w:r>
    </w:p>
    <w:p>
      <w:pPr>
        <w:pStyle w:val="BodyText"/>
        <w:spacing w:line="408" w:lineRule="auto" w:before="65"/>
        <w:ind w:left="153" w:right="207"/>
        <w:jc w:val="both"/>
      </w:pPr>
      <w:r>
        <w:rPr>
          <w:spacing w:val="-2"/>
        </w:rPr>
        <w:t>向的研发体系，使产品研发工作更加符合市场需求，提高研发产品的标准化水平，提升研发团队的整体技</w:t>
      </w:r>
      <w:r>
        <w:rPr>
          <w:spacing w:val="-48"/>
        </w:rPr>
        <w:t> </w:t>
      </w:r>
      <w:r>
        <w:rPr>
          <w:spacing w:val="-48"/>
        </w:rPr>
      </w:r>
      <w:r>
        <w:rPr>
          <w:spacing w:val="-2"/>
        </w:rPr>
        <w:t>术创新能力和水平。</w:t>
      </w:r>
      <w:r>
        <w:rPr>
          <w:rFonts w:ascii="宋体" w:hAnsi="宋体" w:cs="宋体" w:eastAsia="宋体" w:hint="default"/>
          <w:spacing w:val="-2"/>
        </w:rPr>
        <w:t>2016</w:t>
      </w:r>
      <w:r>
        <w:rPr>
          <w:spacing w:val="-2"/>
        </w:rPr>
        <w:t>年公司将持续投资于创新产品、创新服务的开发和推广（产品创新）；采用移动</w:t>
      </w:r>
      <w:r>
        <w:rPr>
          <w:spacing w:val="-39"/>
        </w:rPr>
        <w:t> </w:t>
      </w:r>
      <w:r>
        <w:rPr>
          <w:spacing w:val="-39"/>
        </w:rPr>
      </w:r>
      <w:r>
        <w:rPr>
          <w:spacing w:val="-2"/>
        </w:rPr>
        <w:t>化、数据分析等创新方法提高服务质量与流程（管理创新）；通过多种方式综合提升企业的形象与影响力</w:t>
      </w:r>
    </w:p>
    <w:p>
      <w:pPr>
        <w:pStyle w:val="BodyText"/>
        <w:spacing w:line="240" w:lineRule="auto" w:before="46"/>
        <w:ind w:left="153" w:right="103"/>
        <w:jc w:val="left"/>
      </w:pPr>
      <w:r>
        <w:rPr/>
        <w:t>（营销公关创新），以进一步提高公司核心竞争力。</w:t>
      </w:r>
    </w:p>
    <w:p>
      <w:pPr>
        <w:spacing w:line="240" w:lineRule="auto" w:before="10"/>
        <w:rPr>
          <w:rFonts w:ascii="宋体" w:hAnsi="宋体" w:cs="宋体" w:eastAsia="宋体" w:hint="default"/>
          <w:sz w:val="14"/>
          <w:szCs w:val="14"/>
        </w:rPr>
      </w:pPr>
    </w:p>
    <w:p>
      <w:pPr>
        <w:pStyle w:val="BodyText"/>
        <w:spacing w:line="386" w:lineRule="auto"/>
        <w:ind w:left="573" w:right="103" w:hanging="421"/>
        <w:jc w:val="left"/>
      </w:pPr>
      <w:r>
        <w:rPr>
          <w:rFonts w:ascii="Times New Roman" w:hAnsi="Times New Roman" w:cs="Times New Roman" w:eastAsia="Times New Roman" w:hint="default"/>
        </w:rPr>
        <w:t>3</w:t>
      </w:r>
      <w:r>
        <w:rPr/>
        <w:t>、加强业务质量、不断提升客户满意度。</w:t>
      </w:r>
      <w:r>
        <w:rPr>
          <w:w w:val="100"/>
        </w:rPr>
        <w:t> </w:t>
      </w:r>
      <w:r>
        <w:rPr>
          <w:spacing w:val="-2"/>
        </w:rPr>
        <w:t>公司将不断坚持</w:t>
      </w:r>
      <w:r>
        <w:rPr>
          <w:rFonts w:ascii="Times New Roman" w:hAnsi="Times New Roman" w:cs="Times New Roman" w:eastAsia="Times New Roman" w:hint="default"/>
          <w:spacing w:val="-2"/>
        </w:rPr>
        <w:t>“</w:t>
      </w:r>
      <w:r>
        <w:rPr>
          <w:spacing w:val="-2"/>
        </w:rPr>
        <w:t>加强业务质量、不断提升客户满意度</w:t>
      </w:r>
      <w:r>
        <w:rPr>
          <w:rFonts w:ascii="Times New Roman" w:hAnsi="Times New Roman" w:cs="Times New Roman" w:eastAsia="Times New Roman" w:hint="default"/>
          <w:spacing w:val="-2"/>
        </w:rPr>
        <w:t>”</w:t>
      </w:r>
      <w:r>
        <w:rPr>
          <w:spacing w:val="-2"/>
        </w:rPr>
        <w:t>的原则，更加强调业务的质而非量，在确保公</w:t>
      </w:r>
      <w:r>
        <w:rPr/>
      </w:r>
    </w:p>
    <w:p>
      <w:pPr>
        <w:pStyle w:val="BodyText"/>
        <w:spacing w:line="408" w:lineRule="auto" w:before="35"/>
        <w:ind w:left="153" w:right="209"/>
        <w:jc w:val="both"/>
      </w:pPr>
      <w:r>
        <w:rPr>
          <w:spacing w:val="-2"/>
        </w:rPr>
        <w:t>司一定盈利能力的同时，更看重核心客户群的用户体验。同时围绕</w:t>
      </w:r>
      <w:r>
        <w:rPr>
          <w:rFonts w:ascii="宋体" w:hAnsi="宋体" w:cs="宋体" w:eastAsia="宋体" w:hint="default"/>
          <w:spacing w:val="-2"/>
        </w:rPr>
        <w:t>DCOS</w:t>
      </w:r>
      <w:r>
        <w:rPr>
          <w:spacing w:val="-2"/>
        </w:rPr>
        <w:t>、软件定义存储等新产品，形成新</w:t>
      </w:r>
      <w:r>
        <w:rPr>
          <w:spacing w:val="-44"/>
        </w:rPr>
        <w:t> </w:t>
      </w:r>
      <w:r>
        <w:rPr>
          <w:spacing w:val="-44"/>
        </w:rPr>
      </w:r>
      <w:r>
        <w:rPr>
          <w:spacing w:val="-2"/>
        </w:rPr>
        <w:t>一代数据中心架构的整体解决方案，提高对企业客户的粘性和吸引力，巩固主营业务，巩固核心客户。努</w:t>
      </w:r>
      <w:r>
        <w:rPr>
          <w:spacing w:val="-49"/>
        </w:rPr>
        <w:t> </w:t>
      </w:r>
      <w:r>
        <w:rPr>
          <w:spacing w:val="-49"/>
        </w:rPr>
      </w:r>
      <w:r>
        <w:rPr/>
        <w:t>力提升服务质量及客户满意度，给客户带来更高的价值。</w:t>
      </w:r>
    </w:p>
    <w:p>
      <w:pPr>
        <w:pStyle w:val="BodyText"/>
        <w:spacing w:line="240" w:lineRule="auto" w:before="46"/>
        <w:ind w:left="153" w:right="103"/>
        <w:jc w:val="left"/>
      </w:pPr>
      <w:r>
        <w:rPr>
          <w:rFonts w:ascii="Times New Roman" w:hAnsi="Times New Roman" w:cs="Times New Roman" w:eastAsia="Times New Roman" w:hint="default"/>
        </w:rPr>
        <w:t>4</w:t>
      </w:r>
      <w:r>
        <w:rPr/>
        <w:t>、加强市场开拓，提升市场占有率。</w:t>
      </w:r>
    </w:p>
    <w:p>
      <w:pPr>
        <w:pStyle w:val="BodyText"/>
        <w:spacing w:line="408" w:lineRule="auto" w:before="177"/>
        <w:ind w:left="153" w:right="207" w:firstLine="419"/>
        <w:jc w:val="both"/>
      </w:pPr>
      <w:r>
        <w:rPr>
          <w:rFonts w:ascii="宋体" w:hAnsi="宋体" w:cs="宋体" w:eastAsia="宋体" w:hint="default"/>
          <w:spacing w:val="-2"/>
        </w:rPr>
        <w:t>2016</w:t>
      </w:r>
      <w:r>
        <w:rPr>
          <w:spacing w:val="-2"/>
        </w:rPr>
        <w:t>年将公司将持续加大新产品的拓展力度，积极加强市场开拓，关注和聚焦行业可切入端到端解决</w:t>
      </w:r>
      <w:r>
        <w:rPr>
          <w:w w:val="100"/>
        </w:rPr>
        <w:t> </w:t>
      </w:r>
      <w:r>
        <w:rPr>
          <w:spacing w:val="-3"/>
        </w:rPr>
        <w:t>方案，直接面对企业业务单位求；同时借助标杆客户的影响力，迅速拓展全渠道云客服业务，努力将其打</w:t>
      </w:r>
      <w:r>
        <w:rPr>
          <w:spacing w:val="-5"/>
        </w:rPr>
        <w:t> </w:t>
      </w:r>
      <w:r>
        <w:rPr>
          <w:spacing w:val="-5"/>
        </w:rPr>
      </w:r>
      <w:r>
        <w:rPr>
          <w:spacing w:val="-2"/>
        </w:rPr>
        <w:t>造为公司的一项核心业务。整合天玑控股子公司的产品资源，形成统一的解决方案；借助国际国内</w:t>
      </w:r>
      <w:r>
        <w:rPr>
          <w:rFonts w:ascii="宋体" w:hAnsi="宋体" w:cs="宋体" w:eastAsia="宋体" w:hint="default"/>
          <w:spacing w:val="-2"/>
        </w:rPr>
        <w:t>IT</w:t>
      </w:r>
      <w:r>
        <w:rPr>
          <w:spacing w:val="-2"/>
        </w:rPr>
        <w:t>形式</w:t>
      </w:r>
      <w:r>
        <w:rPr>
          <w:spacing w:val="-46"/>
        </w:rPr>
        <w:t> </w:t>
      </w:r>
      <w:r>
        <w:rPr/>
        <w:t>变化大趋势，积极抢占服务市场，提高市场占有率。</w:t>
      </w:r>
    </w:p>
    <w:p>
      <w:pPr>
        <w:pStyle w:val="BodyText"/>
        <w:spacing w:line="386" w:lineRule="auto" w:before="46"/>
        <w:ind w:left="573" w:right="103" w:hanging="420"/>
        <w:jc w:val="left"/>
      </w:pPr>
      <w:r>
        <w:rPr>
          <w:rFonts w:ascii="Times New Roman" w:hAnsi="Times New Roman" w:cs="Times New Roman" w:eastAsia="Times New Roman" w:hint="default"/>
        </w:rPr>
        <w:t>5</w:t>
      </w:r>
      <w:r>
        <w:rPr/>
        <w:t>、创新管理手段，健全公司体制</w:t>
      </w:r>
      <w:r>
        <w:rPr>
          <w:w w:val="100"/>
        </w:rPr>
        <w:t> </w:t>
      </w:r>
      <w:r>
        <w:rPr>
          <w:spacing w:val="-2"/>
        </w:rPr>
        <w:t>建立规范的管理体系和组织建设，加强公司内部控制，逐步规范和完善公司经营管理体制。进一步优</w:t>
      </w:r>
    </w:p>
    <w:p>
      <w:pPr>
        <w:pStyle w:val="BodyText"/>
        <w:spacing w:line="240" w:lineRule="auto" w:before="65"/>
        <w:ind w:left="153" w:right="103"/>
        <w:jc w:val="left"/>
      </w:pPr>
      <w:r>
        <w:rPr/>
        <w:t>化费用预算管理制度，科学地平衡业务拓展与成本费用控制的关系，提高费用使用的有效性和合理性。</w:t>
      </w:r>
    </w:p>
    <w:p>
      <w:pPr>
        <w:spacing w:line="240" w:lineRule="auto" w:before="10"/>
        <w:rPr>
          <w:rFonts w:ascii="宋体" w:hAnsi="宋体" w:cs="宋体" w:eastAsia="宋体" w:hint="default"/>
          <w:sz w:val="14"/>
          <w:szCs w:val="14"/>
        </w:rPr>
      </w:pPr>
    </w:p>
    <w:p>
      <w:pPr>
        <w:pStyle w:val="BodyText"/>
        <w:spacing w:line="386" w:lineRule="auto"/>
        <w:ind w:left="573" w:right="103" w:hanging="421"/>
        <w:jc w:val="left"/>
      </w:pPr>
      <w:r>
        <w:rPr>
          <w:rFonts w:ascii="Times New Roman" w:hAnsi="Times New Roman" w:cs="Times New Roman" w:eastAsia="Times New Roman" w:hint="default"/>
        </w:rPr>
        <w:t>6</w:t>
      </w:r>
      <w:r>
        <w:rPr/>
        <w:t>、加快外延式发展，强化公司核心竞争力</w:t>
      </w:r>
      <w:r>
        <w:rPr>
          <w:w w:val="100"/>
        </w:rPr>
        <w:t> </w:t>
      </w:r>
      <w:r>
        <w:rPr>
          <w:spacing w:val="-2"/>
        </w:rPr>
        <w:t>紧密围绕公司发展战略，积极寻找和储备适合公司发展战略的目标企业，优化产品结构和产业布局，</w:t>
      </w:r>
    </w:p>
    <w:p>
      <w:pPr>
        <w:pStyle w:val="BodyText"/>
        <w:spacing w:line="240" w:lineRule="auto" w:before="65"/>
        <w:ind w:left="153" w:right="103"/>
        <w:jc w:val="left"/>
      </w:pPr>
      <w:r>
        <w:rPr/>
        <w:t>提升市场地位和核心竞争力。</w:t>
      </w:r>
    </w:p>
    <w:p>
      <w:pPr>
        <w:spacing w:line="240" w:lineRule="auto" w:before="10"/>
        <w:rPr>
          <w:rFonts w:ascii="宋体" w:hAnsi="宋体" w:cs="宋体" w:eastAsia="宋体" w:hint="default"/>
          <w:sz w:val="14"/>
          <w:szCs w:val="14"/>
        </w:rPr>
      </w:pPr>
    </w:p>
    <w:p>
      <w:pPr>
        <w:pStyle w:val="BodyText"/>
        <w:spacing w:line="240" w:lineRule="auto"/>
        <w:ind w:left="153" w:right="103"/>
        <w:jc w:val="left"/>
      </w:pPr>
      <w:r>
        <w:rPr/>
        <w:t>（四）可能面对的风险</w:t>
      </w:r>
    </w:p>
    <w:p>
      <w:pPr>
        <w:spacing w:line="240" w:lineRule="auto" w:before="10"/>
        <w:rPr>
          <w:rFonts w:ascii="宋体" w:hAnsi="宋体" w:cs="宋体" w:eastAsia="宋体" w:hint="default"/>
          <w:sz w:val="14"/>
          <w:szCs w:val="14"/>
        </w:rPr>
      </w:pPr>
    </w:p>
    <w:p>
      <w:pPr>
        <w:pStyle w:val="BodyText"/>
        <w:spacing w:line="240" w:lineRule="auto"/>
        <w:ind w:left="153" w:right="103"/>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IT</w:t>
      </w:r>
      <w:r>
        <w:rPr/>
        <w:t>市场转型导致的竞争加剧风险</w:t>
      </w:r>
    </w:p>
    <w:p>
      <w:pPr>
        <w:pStyle w:val="BodyText"/>
        <w:spacing w:line="386" w:lineRule="auto" w:before="177"/>
        <w:ind w:left="153" w:right="103" w:firstLine="420"/>
        <w:jc w:val="left"/>
      </w:pPr>
      <w:r>
        <w:rPr/>
        <w:t>以</w:t>
      </w:r>
      <w:r>
        <w:rPr>
          <w:rFonts w:ascii="Times New Roman" w:hAnsi="Times New Roman" w:cs="Times New Roman" w:eastAsia="Times New Roman" w:hint="default"/>
        </w:rPr>
        <w:t>Google</w:t>
      </w:r>
      <w:r>
        <w:rPr/>
        <w:t>，</w:t>
      </w:r>
      <w:r>
        <w:rPr>
          <w:rFonts w:ascii="Times New Roman" w:hAnsi="Times New Roman" w:cs="Times New Roman" w:eastAsia="Times New Roman" w:hint="default"/>
        </w:rPr>
        <w:t>Facebook </w:t>
      </w:r>
      <w:r>
        <w:rPr/>
        <w:t>等国外互联网公司提倡的以开源技术为基础的变革，带来了整个</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界的巨大变</w:t>
      </w:r>
      <w:r>
        <w:rPr>
          <w:spacing w:val="-3"/>
          <w:w w:val="100"/>
        </w:rPr>
        <w:t> </w:t>
      </w:r>
      <w:r>
        <w:rPr/>
        <w:t>化。这些分布式、</w:t>
      </w:r>
      <w:r>
        <w:rPr>
          <w:rFonts w:ascii="Times New Roman" w:hAnsi="Times New Roman" w:cs="Times New Roman" w:eastAsia="Times New Roman" w:hint="default"/>
        </w:rPr>
        <w:t>X86 </w:t>
      </w:r>
      <w:r>
        <w:rPr/>
        <w:t>化的革新技术，逐步地被以</w:t>
      </w:r>
      <w:r>
        <w:rPr>
          <w:rFonts w:ascii="Times New Roman" w:hAnsi="Times New Roman" w:cs="Times New Roman" w:eastAsia="Times New Roman" w:hint="default"/>
        </w:rPr>
        <w:t>BAT</w:t>
      </w:r>
      <w:r>
        <w:rPr>
          <w:rFonts w:ascii="Times New Roman" w:hAnsi="Times New Roman" w:cs="Times New Roman" w:eastAsia="Times New Roman" w:hint="default"/>
          <w:spacing w:val="1"/>
        </w:rPr>
        <w:t> </w:t>
      </w:r>
      <w:r>
        <w:rPr/>
        <w:t>为代表的中国互联网公司吸收并掌握，提出一个</w:t>
      </w:r>
      <w:r>
        <w:rPr>
          <w:spacing w:val="-3"/>
          <w:w w:val="100"/>
        </w:rPr>
        <w:t> </w:t>
      </w:r>
      <w:r>
        <w:rPr>
          <w:spacing w:val="-4"/>
        </w:rPr>
        <w:t>全新、开放的</w:t>
      </w:r>
      <w:r>
        <w:rPr>
          <w:rFonts w:ascii="Times New Roman" w:hAnsi="Times New Roman" w:cs="Times New Roman" w:eastAsia="Times New Roman" w:hint="default"/>
          <w:spacing w:val="-4"/>
        </w:rPr>
        <w:t>IT </w:t>
      </w:r>
      <w:r>
        <w:rPr>
          <w:spacing w:val="-3"/>
        </w:rPr>
        <w:t>架构概念，并影响到所有的传统客户，而我们过去所敬仰的</w:t>
      </w:r>
      <w:r>
        <w:rPr>
          <w:rFonts w:ascii="Times New Roman" w:hAnsi="Times New Roman" w:cs="Times New Roman" w:eastAsia="Times New Roman" w:hint="default"/>
          <w:spacing w:val="-3"/>
        </w:rPr>
        <w:t>IT </w:t>
      </w:r>
      <w:r>
        <w:rPr>
          <w:spacing w:val="-4"/>
        </w:rPr>
        <w:t>巨头，如</w:t>
      </w:r>
      <w:r>
        <w:rPr>
          <w:rFonts w:ascii="Times New Roman" w:hAnsi="Times New Roman" w:cs="Times New Roman" w:eastAsia="Times New Roman" w:hint="default"/>
          <w:spacing w:val="-4"/>
        </w:rPr>
        <w:t>IBM </w:t>
      </w:r>
      <w:r>
        <w:rPr>
          <w:spacing w:val="-4"/>
        </w:rPr>
        <w:t>和</w:t>
      </w:r>
      <w:r>
        <w:rPr>
          <w:rFonts w:ascii="Times New Roman" w:hAnsi="Times New Roman" w:cs="Times New Roman" w:eastAsia="Times New Roman" w:hint="default"/>
          <w:spacing w:val="-4"/>
        </w:rPr>
        <w:t>HP</w:t>
      </w:r>
      <w:r>
        <w:rPr>
          <w:spacing w:val="-4"/>
        </w:rPr>
        <w:t>，却出</w:t>
      </w:r>
      <w:r>
        <w:rPr>
          <w:spacing w:val="-74"/>
        </w:rPr>
        <w:t> </w:t>
      </w:r>
      <w:r>
        <w:rPr>
          <w:spacing w:val="-74"/>
        </w:rPr>
      </w:r>
      <w:r>
        <w:rPr>
          <w:spacing w:val="-6"/>
        </w:rPr>
        <w:t>现了大规模裁员的情况。同时，从国内环境来说，自</w:t>
      </w:r>
      <w:r>
        <w:rPr>
          <w:rFonts w:ascii="Times New Roman" w:hAnsi="Times New Roman" w:cs="Times New Roman" w:eastAsia="Times New Roman" w:hint="default"/>
          <w:spacing w:val="-6"/>
        </w:rPr>
        <w:t>“</w:t>
      </w:r>
      <w:r>
        <w:rPr>
          <w:spacing w:val="-6"/>
        </w:rPr>
        <w:t>棱镜门</w:t>
      </w:r>
      <w:r>
        <w:rPr>
          <w:rFonts w:ascii="Times New Roman" w:hAnsi="Times New Roman" w:cs="Times New Roman" w:eastAsia="Times New Roman" w:hint="default"/>
          <w:spacing w:val="-6"/>
        </w:rPr>
        <w:t>”</w:t>
      </w:r>
      <w:r>
        <w:rPr>
          <w:spacing w:val="-6"/>
        </w:rPr>
        <w:t>事件以来，国内各级政府都逐步落实</w:t>
      </w:r>
      <w:r>
        <w:rPr>
          <w:rFonts w:ascii="Times New Roman" w:hAnsi="Times New Roman" w:cs="Times New Roman" w:eastAsia="Times New Roman" w:hint="default"/>
          <w:spacing w:val="-6"/>
        </w:rPr>
        <w:t>“</w:t>
      </w:r>
      <w:r>
        <w:rPr>
          <w:spacing w:val="-6"/>
        </w:rPr>
        <w:t>去</w:t>
      </w:r>
      <w:r>
        <w:rPr>
          <w:rFonts w:ascii="Times New Roman" w:hAnsi="Times New Roman" w:cs="Times New Roman" w:eastAsia="Times New Roman" w:hint="default"/>
          <w:spacing w:val="-6"/>
        </w:rPr>
        <w:t>IOE”</w:t>
      </w:r>
      <w:r>
        <w:rPr>
          <w:spacing w:val="-6"/>
        </w:rPr>
        <w:t>，</w:t>
      </w:r>
      <w:r>
        <w:rPr>
          <w:spacing w:val="-34"/>
        </w:rPr>
        <w:t> </w:t>
      </w:r>
      <w:r>
        <w:rPr/>
        <w:t>以安全自主可控为先，再加上本届政府提倡互联网</w:t>
      </w:r>
      <w:r>
        <w:rPr>
          <w:rFonts w:ascii="Times New Roman" w:hAnsi="Times New Roman" w:cs="Times New Roman" w:eastAsia="Times New Roman" w:hint="default"/>
        </w:rPr>
        <w:t>+</w:t>
      </w:r>
      <w:r>
        <w:rPr/>
        <w:t>，使得国内一些以新技术和新商业模式为核心的公司</w:t>
      </w:r>
    </w:p>
    <w:p>
      <w:pPr>
        <w:spacing w:after="0" w:line="386" w:lineRule="auto"/>
        <w:jc w:val="left"/>
        <w:sectPr>
          <w:footerReference w:type="default" r:id="rId13"/>
          <w:pgSz w:w="11910" w:h="16840"/>
          <w:pgMar w:footer="982" w:header="745" w:top="1060" w:bottom="1180" w:left="980" w:right="920"/>
          <w:pgNumType w:start="32"/>
        </w:sectPr>
      </w:pPr>
    </w:p>
    <w:p>
      <w:pPr>
        <w:spacing w:line="240" w:lineRule="auto" w:before="0"/>
        <w:rPr>
          <w:rFonts w:ascii="宋体" w:hAnsi="宋体" w:cs="宋体" w:eastAsia="宋体" w:hint="default"/>
          <w:sz w:val="20"/>
          <w:szCs w:val="20"/>
        </w:rPr>
      </w:pPr>
    </w:p>
    <w:p>
      <w:pPr>
        <w:pStyle w:val="BodyText"/>
        <w:spacing w:line="386" w:lineRule="auto" w:before="175"/>
        <w:ind w:right="148"/>
        <w:jc w:val="both"/>
      </w:pPr>
      <w:bookmarkStart w:name="十、接待调研、沟通、采访等活动情况" w:id="58"/>
      <w:bookmarkEnd w:id="58"/>
      <w:r>
        <w:rPr/>
      </w:r>
      <w:bookmarkStart w:name="1、报告期内接待调研、沟通、采访等活动登记表" w:id="59"/>
      <w:bookmarkEnd w:id="59"/>
      <w:r>
        <w:rPr/>
      </w:r>
      <w:r>
        <w:rPr>
          <w:spacing w:val="-2"/>
        </w:rPr>
        <w:t>迅速成长起来。</w:t>
      </w:r>
      <w:r>
        <w:rPr>
          <w:rFonts w:ascii="Times New Roman" w:hAnsi="Times New Roman" w:cs="Times New Roman" w:eastAsia="Times New Roman" w:hint="default"/>
          <w:spacing w:val="-2"/>
        </w:rPr>
        <w:t>IT</w:t>
      </w:r>
      <w:r>
        <w:rPr>
          <w:spacing w:val="-2"/>
        </w:rPr>
        <w:t>技术的发展日新月异，如何能够紧紧跟随甚至创造潮流成为</w:t>
      </w:r>
      <w:r>
        <w:rPr>
          <w:rFonts w:ascii="Times New Roman" w:hAnsi="Times New Roman" w:cs="Times New Roman" w:eastAsia="Times New Roman" w:hint="default"/>
          <w:spacing w:val="-2"/>
        </w:rPr>
        <w:t>IT</w:t>
      </w:r>
      <w:r>
        <w:rPr>
          <w:spacing w:val="-2"/>
        </w:rPr>
        <w:t>公司永恒的课题，不能赶</w:t>
      </w:r>
      <w:r>
        <w:rPr>
          <w:spacing w:val="-17"/>
        </w:rPr>
        <w:t> </w:t>
      </w:r>
      <w:r>
        <w:rPr>
          <w:spacing w:val="-17"/>
        </w:rPr>
      </w:r>
      <w:r>
        <w:rPr>
          <w:spacing w:val="-2"/>
        </w:rPr>
        <w:t>上潮流就会陷于被动甚至被淘汰。天玑科技作为数据中心</w:t>
      </w:r>
      <w:r>
        <w:rPr>
          <w:rFonts w:ascii="Times New Roman" w:hAnsi="Times New Roman" w:cs="Times New Roman" w:eastAsia="Times New Roman" w:hint="default"/>
          <w:spacing w:val="-2"/>
        </w:rPr>
        <w:t>IT</w:t>
      </w:r>
      <w:r>
        <w:rPr>
          <w:spacing w:val="-2"/>
        </w:rPr>
        <w:t>基础设施服务行业中的知名企业，将面临市场</w:t>
      </w:r>
      <w:r>
        <w:rPr>
          <w:spacing w:val="-34"/>
        </w:rPr>
        <w:t> </w:t>
      </w:r>
      <w:r>
        <w:rPr>
          <w:spacing w:val="-34"/>
        </w:rPr>
      </w:r>
      <w:r>
        <w:rPr/>
        <w:t>转型所带来的竞争和巨大挑战。</w:t>
      </w:r>
    </w:p>
    <w:p>
      <w:pPr>
        <w:pStyle w:val="BodyText"/>
        <w:spacing w:line="386" w:lineRule="auto" w:before="65"/>
        <w:ind w:left="572" w:right="0" w:hanging="421"/>
        <w:jc w:val="left"/>
      </w:pPr>
      <w:r>
        <w:rPr>
          <w:rFonts w:ascii="Times New Roman" w:hAnsi="Times New Roman" w:cs="Times New Roman" w:eastAsia="Times New Roman" w:hint="default"/>
        </w:rPr>
        <w:t>2</w:t>
      </w:r>
      <w:r>
        <w:rPr/>
        <w:t>、毛利率波动的风险</w:t>
      </w:r>
      <w:r>
        <w:rPr>
          <w:spacing w:val="-3"/>
          <w:w w:val="100"/>
        </w:rPr>
        <w:t> </w:t>
      </w:r>
      <w:r>
        <w:rPr>
          <w:spacing w:val="-2"/>
        </w:rPr>
        <w:t>由于天玑科技为技术和人员密集型企业，劳动力成本的不断上升，导致毛利率下降。同时，随着市场</w:t>
      </w:r>
    </w:p>
    <w:p>
      <w:pPr>
        <w:pStyle w:val="BodyText"/>
        <w:spacing w:line="408" w:lineRule="auto" w:before="65"/>
        <w:ind w:right="147"/>
        <w:jc w:val="both"/>
      </w:pPr>
      <w:r>
        <w:rPr>
          <w:spacing w:val="-2"/>
        </w:rPr>
        <w:t>环境的影响，公司备品备件成本出现波动，亦导致毛利率的波动。此外，公司创新型业务的拓展，也将导</w:t>
      </w:r>
      <w:r>
        <w:rPr>
          <w:spacing w:val="-43"/>
        </w:rPr>
        <w:t> </w:t>
      </w:r>
      <w:r>
        <w:rPr>
          <w:spacing w:val="-43"/>
        </w:rPr>
      </w:r>
      <w:r>
        <w:rPr>
          <w:spacing w:val="-2"/>
        </w:rPr>
        <w:t>致毛利率的变化。其他方面，诸如客户结构、公司经营的地区范围、竞争态势的变化，亦将导致毛利率产</w:t>
      </w:r>
      <w:r>
        <w:rPr>
          <w:spacing w:val="-43"/>
        </w:rPr>
        <w:t> </w:t>
      </w:r>
      <w:r>
        <w:rPr>
          <w:spacing w:val="-43"/>
        </w:rPr>
      </w:r>
      <w:r>
        <w:rPr/>
        <w:t>生波动。</w:t>
      </w:r>
    </w:p>
    <w:p>
      <w:pPr>
        <w:pStyle w:val="BodyText"/>
        <w:spacing w:line="386" w:lineRule="auto" w:before="46"/>
        <w:ind w:left="572" w:right="0" w:hanging="421"/>
        <w:jc w:val="left"/>
      </w:pPr>
      <w:r>
        <w:rPr>
          <w:rFonts w:ascii="Times New Roman" w:hAnsi="Times New Roman" w:cs="Times New Roman" w:eastAsia="Times New Roman" w:hint="default"/>
        </w:rPr>
        <w:t>3</w:t>
      </w:r>
      <w:r>
        <w:rPr/>
        <w:t>、战略转型的管理风险</w:t>
      </w:r>
      <w:r>
        <w:rPr>
          <w:w w:val="100"/>
        </w:rPr>
        <w:t> </w:t>
      </w:r>
      <w:r>
        <w:rPr>
          <w:spacing w:val="-2"/>
        </w:rPr>
        <w:t>公司自成立以来一直保持着较快的发展速度，近年来为适应市场的发展变化公司进行了战略转型，战</w:t>
      </w:r>
    </w:p>
    <w:p>
      <w:pPr>
        <w:pStyle w:val="BodyText"/>
        <w:spacing w:line="408" w:lineRule="auto" w:before="65"/>
        <w:ind w:right="147"/>
        <w:jc w:val="both"/>
      </w:pPr>
      <w:r>
        <w:rPr>
          <w:spacing w:val="-2"/>
        </w:rPr>
        <w:t>略转型过程中随着公司经营规模和业务范围不断扩大，公司产品线的延伸，组织结构日益复杂，对公司管</w:t>
      </w:r>
      <w:r>
        <w:rPr>
          <w:spacing w:val="-42"/>
        </w:rPr>
        <w:t> </w:t>
      </w:r>
      <w:r>
        <w:rPr>
          <w:spacing w:val="-42"/>
        </w:rPr>
      </w:r>
      <w:r>
        <w:rPr>
          <w:spacing w:val="-2"/>
        </w:rPr>
        <w:t>理的要求越来越高，公司的人员也有较大规模的扩充。这些变化对公司的管理提出更新、更高的要求。虽</w:t>
      </w:r>
      <w:r>
        <w:rPr>
          <w:spacing w:val="-48"/>
        </w:rPr>
        <w:t> </w:t>
      </w:r>
      <w:r>
        <w:rPr>
          <w:spacing w:val="-48"/>
        </w:rPr>
      </w:r>
      <w:r>
        <w:rPr>
          <w:spacing w:val="-2"/>
        </w:rPr>
        <w:t>然公司的管理层在经营和管理快速成长的企业方面有着丰富的经验，但仍需不断调整以适应资本市场要求</w:t>
      </w:r>
      <w:r>
        <w:rPr>
          <w:spacing w:val="-43"/>
        </w:rPr>
        <w:t> </w:t>
      </w:r>
      <w:r>
        <w:rPr>
          <w:spacing w:val="-43"/>
        </w:rPr>
      </w:r>
      <w:r>
        <w:rPr/>
        <w:t>和公司业务发展需要。</w:t>
      </w:r>
    </w:p>
    <w:p>
      <w:pPr>
        <w:pStyle w:val="BodyText"/>
        <w:spacing w:line="386" w:lineRule="auto" w:before="46"/>
        <w:ind w:left="572" w:right="0" w:hanging="421"/>
        <w:jc w:val="left"/>
      </w:pPr>
      <w:r>
        <w:rPr>
          <w:rFonts w:ascii="Times New Roman" w:hAnsi="Times New Roman" w:cs="Times New Roman" w:eastAsia="Times New Roman" w:hint="default"/>
        </w:rPr>
        <w:t>4</w:t>
      </w:r>
      <w:r>
        <w:rPr/>
        <w:t>、应收账款增加风险</w:t>
      </w:r>
      <w:r>
        <w:rPr>
          <w:spacing w:val="-3"/>
          <w:w w:val="100"/>
        </w:rPr>
        <w:t> </w:t>
      </w:r>
      <w:r>
        <w:rPr>
          <w:spacing w:val="-2"/>
        </w:rPr>
        <w:t>应收账款较大的原因是公司按照与客户之间的合同确认相应的应收账款，结算与回款存在时间差，导</w:t>
      </w:r>
    </w:p>
    <w:p>
      <w:pPr>
        <w:pStyle w:val="BodyText"/>
        <w:spacing w:line="408" w:lineRule="auto" w:before="65"/>
        <w:ind w:right="147"/>
        <w:jc w:val="both"/>
      </w:pPr>
      <w:r>
        <w:rPr>
          <w:spacing w:val="-2"/>
        </w:rPr>
        <w:t>致公司应收账款金额和占比均较大，公司按照既定会计政策在期末对应收账款计提了相应的坏账准备。虽</w:t>
      </w:r>
      <w:r>
        <w:rPr>
          <w:spacing w:val="-43"/>
        </w:rPr>
        <w:t> </w:t>
      </w:r>
      <w:r>
        <w:rPr>
          <w:spacing w:val="-43"/>
        </w:rPr>
      </w:r>
      <w:r>
        <w:rPr>
          <w:spacing w:val="-2"/>
        </w:rPr>
        <w:t>然应收账款余额较大，但公司客户一般是省级运营商、政府部门、资金实力较好的金融等企业等，资金回</w:t>
      </w:r>
      <w:r>
        <w:rPr>
          <w:spacing w:val="-47"/>
        </w:rPr>
        <w:t> </w:t>
      </w:r>
      <w:r>
        <w:rPr>
          <w:spacing w:val="-47"/>
        </w:rPr>
      </w:r>
      <w:r>
        <w:rPr>
          <w:spacing w:val="-2"/>
        </w:rPr>
        <w:t>收保障较高，应收账款发生坏账的风险较小。但是，随着应收账款余额的增长，并不排除个别项目在未来</w:t>
      </w:r>
      <w:r>
        <w:rPr>
          <w:spacing w:val="-50"/>
        </w:rPr>
        <w:t> </w:t>
      </w:r>
      <w:r>
        <w:rPr>
          <w:spacing w:val="-50"/>
        </w:rPr>
      </w:r>
      <w:r>
        <w:rPr/>
        <w:t>可能出现呆坏账金额大于已计提坏账准备的情况，对公司盈利水平造成不利影响。</w:t>
      </w:r>
    </w:p>
    <w:p>
      <w:pPr>
        <w:spacing w:line="240" w:lineRule="auto" w:before="8"/>
        <w:rPr>
          <w:rFonts w:ascii="宋体" w:hAnsi="宋体" w:cs="宋体" w:eastAsia="宋体" w:hint="default"/>
          <w:sz w:val="18"/>
          <w:szCs w:val="18"/>
        </w:rPr>
      </w:pPr>
    </w:p>
    <w:p>
      <w:pPr>
        <w:pStyle w:val="Heading4"/>
        <w:spacing w:line="240" w:lineRule="auto"/>
        <w:ind w:right="0"/>
        <w:jc w:val="both"/>
        <w:rPr>
          <w:b w:val="0"/>
          <w:bCs w:val="0"/>
        </w:rPr>
      </w:pPr>
      <w:r>
        <w:rPr/>
        <w:t>十、接待调研、沟通、采访等活动情况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79"/>
        <w:gridCol w:w="2177"/>
        <w:gridCol w:w="2177"/>
        <w:gridCol w:w="3036"/>
      </w:tblGrid>
      <w:tr>
        <w:trPr>
          <w:trHeight w:val="401" w:hRule="exact"/>
        </w:trPr>
        <w:tc>
          <w:tcPr>
            <w:tcW w:w="21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2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5"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34"/>
              <w:jc w:val="left"/>
              <w:rPr>
                <w:rFonts w:ascii="Times New Roman" w:hAnsi="Times New Roman" w:cs="Times New Roman" w:eastAsia="Times New Roman" w:hint="default"/>
                <w:sz w:val="18"/>
                <w:szCs w:val="18"/>
              </w:rPr>
            </w:pPr>
            <w:hyperlink r:id="rId14">
              <w:r>
                <w:rPr>
                  <w:rFonts w:ascii="Times New Roman"/>
                  <w:sz w:val="18"/>
                </w:rPr>
                <w:t>http://www.cninfo.com.cn/information/c</w:t>
              </w:r>
            </w:hyperlink>
            <w:r>
              <w:rPr>
                <w:rFonts w:ascii="Times New Roman"/>
                <w:sz w:val="18"/>
              </w:rPr>
              <w:t> ompanyinfo_n.html?fulltext?szcn300245</w:t>
            </w:r>
          </w:p>
        </w:tc>
      </w:tr>
      <w:tr>
        <w:trPr>
          <w:trHeight w:val="7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34"/>
              <w:jc w:val="left"/>
              <w:rPr>
                <w:rFonts w:ascii="Times New Roman" w:hAnsi="Times New Roman" w:cs="Times New Roman" w:eastAsia="Times New Roman" w:hint="default"/>
                <w:sz w:val="18"/>
                <w:szCs w:val="18"/>
              </w:rPr>
            </w:pPr>
            <w:hyperlink r:id="rId14">
              <w:r>
                <w:rPr>
                  <w:rFonts w:ascii="Times New Roman"/>
                  <w:sz w:val="18"/>
                </w:rPr>
                <w:t>http://www.cninfo.com.cn/information/c</w:t>
              </w:r>
            </w:hyperlink>
            <w:r>
              <w:rPr>
                <w:rFonts w:ascii="Times New Roman"/>
                <w:sz w:val="18"/>
              </w:rPr>
              <w:t> ompanyinfo_n.html?fulltext?szcn300245</w:t>
            </w:r>
          </w:p>
        </w:tc>
      </w:tr>
      <w:tr>
        <w:trPr>
          <w:trHeight w:val="715"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34"/>
              <w:jc w:val="left"/>
              <w:rPr>
                <w:rFonts w:ascii="Times New Roman" w:hAnsi="Times New Roman" w:cs="Times New Roman" w:eastAsia="Times New Roman" w:hint="default"/>
                <w:sz w:val="18"/>
                <w:szCs w:val="18"/>
              </w:rPr>
            </w:pPr>
            <w:hyperlink r:id="rId14">
              <w:r>
                <w:rPr>
                  <w:rFonts w:ascii="Times New Roman"/>
                  <w:sz w:val="18"/>
                </w:rPr>
                <w:t>http://www.cninfo.com.cn/information/c</w:t>
              </w:r>
            </w:hyperlink>
            <w:r>
              <w:rPr>
                <w:rFonts w:ascii="Times New Roman"/>
                <w:sz w:val="18"/>
              </w:rPr>
              <w:t> ompanyinfo_n.html?fulltext?szcn300245</w:t>
            </w:r>
          </w:p>
        </w:tc>
      </w:tr>
    </w:tbl>
    <w:p>
      <w:pPr>
        <w:spacing w:after="0" w:line="362"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79"/>
        <w:gridCol w:w="2177"/>
        <w:gridCol w:w="2177"/>
        <w:gridCol w:w="3036"/>
      </w:tblGrid>
      <w:tr>
        <w:trPr>
          <w:trHeight w:val="7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34"/>
              <w:jc w:val="left"/>
              <w:rPr>
                <w:rFonts w:ascii="Times New Roman" w:hAnsi="Times New Roman" w:cs="Times New Roman" w:eastAsia="Times New Roman" w:hint="default"/>
                <w:sz w:val="18"/>
                <w:szCs w:val="18"/>
              </w:rPr>
            </w:pPr>
            <w:hyperlink r:id="rId14">
              <w:r>
                <w:rPr>
                  <w:rFonts w:ascii="Times New Roman"/>
                  <w:sz w:val="18"/>
                </w:rPr>
                <w:t>http://www.cninfo.com.cn/information/c</w:t>
              </w:r>
            </w:hyperlink>
            <w:r>
              <w:rPr>
                <w:rFonts w:ascii="Times New Roman"/>
                <w:sz w:val="18"/>
              </w:rPr>
              <w:t> ompanyinfo_n.html?fulltext?szcn300245</w:t>
            </w:r>
          </w:p>
        </w:tc>
      </w:tr>
      <w:tr>
        <w:trPr>
          <w:trHeight w:val="715"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3" w:right="34"/>
              <w:jc w:val="left"/>
              <w:rPr>
                <w:rFonts w:ascii="Times New Roman" w:hAnsi="Times New Roman" w:cs="Times New Roman" w:eastAsia="Times New Roman" w:hint="default"/>
                <w:sz w:val="18"/>
                <w:szCs w:val="18"/>
              </w:rPr>
            </w:pPr>
            <w:hyperlink r:id="rId14">
              <w:r>
                <w:rPr>
                  <w:rFonts w:ascii="Times New Roman"/>
                  <w:sz w:val="18"/>
                </w:rPr>
                <w:t>http://www.cninfo.com.cn/information/c</w:t>
              </w:r>
            </w:hyperlink>
            <w:r>
              <w:rPr>
                <w:rFonts w:ascii="Times New Roman"/>
                <w:sz w:val="18"/>
              </w:rPr>
              <w:t> ompanyinfo_n.html?fulltext?szcn300245</w:t>
            </w:r>
          </w:p>
        </w:tc>
      </w:tr>
      <w:tr>
        <w:trPr>
          <w:trHeight w:val="715"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34"/>
              <w:jc w:val="left"/>
              <w:rPr>
                <w:rFonts w:ascii="Times New Roman" w:hAnsi="Times New Roman" w:cs="Times New Roman" w:eastAsia="Times New Roman" w:hint="default"/>
                <w:sz w:val="18"/>
                <w:szCs w:val="18"/>
              </w:rPr>
            </w:pPr>
            <w:hyperlink r:id="rId14">
              <w:r>
                <w:rPr>
                  <w:rFonts w:ascii="Times New Roman"/>
                  <w:sz w:val="18"/>
                </w:rPr>
                <w:t>http://www.cninfo.com.cn/information/c</w:t>
              </w:r>
            </w:hyperlink>
            <w:r>
              <w:rPr>
                <w:rFonts w:ascii="Times New Roman"/>
                <w:sz w:val="18"/>
              </w:rPr>
              <w:t> ompanyinfo_n.html?fulltext?szcn300245</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2</w:t>
      </w:r>
      <w:r>
        <w:rPr/>
        <w:t>、报告期末至披露日期间</w:t>
      </w:r>
      <w:bookmarkStart w:name="2、报告期末至披露日期间接待调研、沟通、采访等活动登记表" w:id="60"/>
      <w:bookmarkEnd w:id="60"/>
      <w:r>
        <w:rPr/>
        <w:t>接待调研、沟通、</w:t>
      </w:r>
      <w:r>
        <w:rPr/>
        <w:t>采访等活动登记表</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437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公司报告期期末至披露日期间未发生接待调研、沟通、采访等活动。</w:t>
      </w:r>
    </w:p>
    <w:p>
      <w:pPr>
        <w:spacing w:after="0" w:line="3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488"/>
        <w:jc w:val="center"/>
        <w:rPr>
          <w:b w:val="0"/>
          <w:bCs w:val="0"/>
        </w:rPr>
      </w:pPr>
      <w:bookmarkStart w:name="_TOC_250006" w:id="61"/>
      <w:bookmarkStart w:name="第五节 重要事项" w:id="62"/>
      <w:r>
        <w:rPr>
          <w:b w:val="0"/>
          <w:bCs w:val="0"/>
        </w:rPr>
      </w:r>
      <w:r>
        <w:rPr/>
        <w:t>第五节</w:t>
      </w:r>
      <w:r>
        <w:rPr>
          <w:spacing w:val="-4"/>
        </w:rPr>
        <w:t> </w:t>
      </w:r>
      <w:r>
        <w:rPr/>
        <w:t>重要事项</w:t>
      </w:r>
      <w:bookmarkEnd w:id="61"/>
      <w:r>
        <w:rPr>
          <w:b w:val="0"/>
          <w:bCs w:val="0"/>
        </w:rPr>
      </w:r>
    </w:p>
    <w:p>
      <w:pPr>
        <w:spacing w:line="240" w:lineRule="auto" w:before="2"/>
        <w:rPr>
          <w:rFonts w:ascii="宋体" w:hAnsi="宋体" w:cs="宋体" w:eastAsia="宋体" w:hint="default"/>
          <w:b/>
          <w:bCs/>
          <w:sz w:val="39"/>
          <w:szCs w:val="39"/>
        </w:rPr>
      </w:pPr>
    </w:p>
    <w:p>
      <w:pPr>
        <w:pStyle w:val="Heading4"/>
        <w:spacing w:line="240" w:lineRule="auto"/>
        <w:ind w:right="103"/>
        <w:jc w:val="left"/>
        <w:rPr>
          <w:b w:val="0"/>
          <w:bCs w:val="0"/>
        </w:rPr>
      </w:pPr>
      <w:r>
        <w:rPr/>
        <w:t>一、公司普通</w:t>
      </w:r>
      <w:bookmarkStart w:name="一、公司普通股利润分配及资本公积金转增股本情况" w:id="63"/>
      <w:bookmarkEnd w:id="63"/>
      <w:r>
        <w:rPr/>
        <w:t>股</w:t>
      </w:r>
      <w:r>
        <w:rPr/>
        <w:t>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52" w:right="103"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line="338" w:lineRule="auto" w:before="117"/>
        <w:ind w:left="152" w:right="209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公司报告期利润分配预案及资本公积金转增股本预案与公司章程和分红管理办法等的相关规定一致</w:t>
      </w:r>
    </w:p>
    <w:p>
      <w:pPr>
        <w:spacing w:line="348" w:lineRule="auto" w:before="43"/>
        <w:ind w:left="153" w:right="3353"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本年度利润分配及资本公积金转增股本预案</w:t>
      </w:r>
    </w:p>
    <w:p>
      <w:pPr>
        <w:spacing w:line="240" w:lineRule="auto" w:before="2"/>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707"/>
        <w:gridCol w:w="5862"/>
      </w:tblGrid>
      <w:tr>
        <w:trPr>
          <w:trHeight w:val="403" w:hRule="exact"/>
        </w:trPr>
        <w:tc>
          <w:tcPr>
            <w:tcW w:w="37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0.35</w:t>
            </w:r>
            <w:r>
              <w:rPr>
                <w:rFonts w:ascii="Times New Roman"/>
                <w:sz w:val="18"/>
              </w:rPr>
            </w:r>
          </w:p>
        </w:tc>
      </w:tr>
      <w:tr>
        <w:trPr>
          <w:trHeight w:val="403" w:hRule="exact"/>
        </w:trPr>
        <w:tc>
          <w:tcPr>
            <w:tcW w:w="37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255,816,500.95</w:t>
            </w:r>
            <w:r>
              <w:rPr>
                <w:rFonts w:ascii="Times New Roman"/>
                <w:sz w:val="18"/>
              </w:rPr>
            </w:r>
          </w:p>
        </w:tc>
      </w:tr>
      <w:tr>
        <w:trPr>
          <w:trHeight w:val="403" w:hRule="exact"/>
        </w:trPr>
        <w:tc>
          <w:tcPr>
            <w:tcW w:w="37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89"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339"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日第三届董事</w:t>
            </w:r>
            <w:r>
              <w:rPr>
                <w:rFonts w:ascii="宋体" w:hAnsi="宋体" w:cs="宋体" w:eastAsia="宋体" w:hint="default"/>
                <w:spacing w:val="-3"/>
                <w:sz w:val="18"/>
                <w:szCs w:val="18"/>
              </w:rPr>
              <w:t>会</w:t>
            </w:r>
            <w:r>
              <w:rPr>
                <w:rFonts w:ascii="宋体" w:hAnsi="宋体" w:cs="宋体" w:eastAsia="宋体" w:hint="default"/>
                <w:sz w:val="18"/>
                <w:szCs w:val="18"/>
              </w:rPr>
              <w:t>第三次会议审议通过了《</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年度公司利润分配预案</w:t>
            </w:r>
            <w:r>
              <w:rPr>
                <w:rFonts w:ascii="宋体" w:hAnsi="宋体" w:cs="宋体" w:eastAsia="宋体" w:hint="default"/>
                <w:spacing w:val="-92"/>
                <w:sz w:val="18"/>
                <w:szCs w:val="18"/>
              </w:rPr>
              <w:t>》</w:t>
            </w:r>
            <w:r>
              <w:rPr>
                <w:rFonts w:ascii="宋体" w:hAnsi="宋体" w:cs="宋体" w:eastAsia="宋体" w:hint="default"/>
                <w:sz w:val="18"/>
                <w:szCs w:val="18"/>
              </w:rPr>
              <w:t>，拟</w:t>
            </w:r>
            <w:r>
              <w:rPr>
                <w:rFonts w:ascii="宋体" w:hAnsi="宋体" w:cs="宋体" w:eastAsia="宋体" w:hint="default"/>
                <w:spacing w:val="2"/>
                <w:sz w:val="18"/>
                <w:szCs w:val="18"/>
              </w:rPr>
              <w:t>以</w:t>
            </w: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日总股本</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272,216,295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股扣除经</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日召开的第三届董事会第三董事会审议通过的拟回购注销的限制性股票</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4,270,500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股后</w:t>
            </w:r>
          </w:p>
          <w:p>
            <w:pPr>
              <w:pStyle w:val="TableParagraph"/>
              <w:spacing w:line="300" w:lineRule="auto" w:before="63"/>
              <w:ind w:left="24" w:right="79"/>
              <w:jc w:val="left"/>
              <w:rPr>
                <w:rFonts w:ascii="宋体" w:hAnsi="宋体" w:cs="宋体" w:eastAsia="宋体" w:hint="default"/>
                <w:sz w:val="18"/>
                <w:szCs w:val="18"/>
              </w:rPr>
            </w:pPr>
            <w:r>
              <w:rPr>
                <w:rFonts w:ascii="宋体" w:hAnsi="宋体" w:cs="宋体" w:eastAsia="宋体" w:hint="default"/>
                <w:sz w:val="18"/>
                <w:szCs w:val="18"/>
              </w:rPr>
              <w:t>的股本</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267,945,795</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股为基数，向全体股东每</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股派发现金股利人民币</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0.35</w:t>
            </w:r>
            <w:r>
              <w:rPr>
                <w:rFonts w:ascii="Times New Roman" w:hAnsi="Times New Roman" w:cs="Times New Roman" w:eastAsia="Times New Roman" w:hint="default"/>
                <w:spacing w:val="4"/>
                <w:sz w:val="18"/>
                <w:szCs w:val="18"/>
              </w:rPr>
              <w:t> </w:t>
            </w:r>
            <w:r>
              <w:rPr>
                <w:rFonts w:ascii="宋体" w:hAnsi="宋体" w:cs="宋体" w:eastAsia="宋体" w:hint="default"/>
                <w:spacing w:val="-8"/>
                <w:sz w:val="18"/>
                <w:szCs w:val="18"/>
              </w:rPr>
              <w:t>元（含税），合计派发现金</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9,378,102.83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宋体" w:hAnsi="宋体" w:cs="宋体" w:eastAsia="宋体" w:hint="default"/>
                <w:spacing w:val="-88"/>
                <w:sz w:val="18"/>
                <w:szCs w:val="18"/>
              </w:rPr>
              <w:t> </w:t>
            </w:r>
            <w:r>
              <w:rPr>
                <w:rFonts w:ascii="宋体" w:hAnsi="宋体" w:cs="宋体" w:eastAsia="宋体" w:hint="default"/>
                <w:sz w:val="18"/>
                <w:szCs w:val="18"/>
              </w:rPr>
              <w:t>本年度，不转增不送股。</w:t>
            </w:r>
          </w:p>
        </w:tc>
      </w:tr>
    </w:tbl>
    <w:p>
      <w:pPr>
        <w:spacing w:before="49"/>
        <w:ind w:left="152" w:right="103"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w:t>
      </w:r>
      <w:r>
        <w:rPr>
          <w:rFonts w:ascii="宋体" w:hAnsi="宋体" w:cs="宋体" w:eastAsia="宋体" w:hint="default"/>
          <w:spacing w:val="-3"/>
          <w:sz w:val="18"/>
          <w:szCs w:val="18"/>
        </w:rPr>
        <w:t>）</w:t>
      </w:r>
      <w:r>
        <w:rPr>
          <w:rFonts w:ascii="宋体" w:hAnsi="宋体" w:cs="宋体" w:eastAsia="宋体" w:hint="default"/>
          <w:sz w:val="18"/>
          <w:szCs w:val="18"/>
        </w:rPr>
        <w:t>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pStyle w:val="BodyText"/>
        <w:spacing w:line="240" w:lineRule="auto" w:before="157"/>
        <w:ind w:right="103"/>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2013</w:t>
      </w:r>
      <w:r>
        <w:rPr/>
        <w:t>年度的利润分配情况</w:t>
      </w:r>
    </w:p>
    <w:p>
      <w:pPr>
        <w:spacing w:line="240" w:lineRule="auto" w:before="9"/>
        <w:rPr>
          <w:rFonts w:ascii="宋体" w:hAnsi="宋体" w:cs="宋体" w:eastAsia="宋体" w:hint="default"/>
          <w:sz w:val="16"/>
          <w:szCs w:val="16"/>
        </w:rPr>
      </w:pPr>
    </w:p>
    <w:p>
      <w:pPr>
        <w:pStyle w:val="BodyText"/>
        <w:spacing w:line="240" w:lineRule="auto"/>
        <w:ind w:left="489" w:right="103"/>
        <w:jc w:val="left"/>
      </w:pPr>
      <w:r>
        <w:rPr>
          <w:rFonts w:ascii="Times New Roman" w:hAnsi="Times New Roman" w:cs="Times New Roman" w:eastAsia="Times New Roman" w:hint="default"/>
          <w:spacing w:val="10"/>
        </w:rPr>
        <w:t>2013</w:t>
      </w:r>
      <w:r>
        <w:rPr>
          <w:spacing w:val="10"/>
        </w:rPr>
        <w:t>年年度股东大会审议通过了《公司</w:t>
      </w:r>
      <w:r>
        <w:rPr>
          <w:rFonts w:ascii="Times New Roman" w:hAnsi="Times New Roman" w:cs="Times New Roman" w:eastAsia="Times New Roman" w:hint="default"/>
          <w:spacing w:val="10"/>
        </w:rPr>
        <w:t>2013</w:t>
      </w:r>
      <w:r>
        <w:rPr>
          <w:spacing w:val="10"/>
        </w:rPr>
        <w:t>年度利润分配预案》</w:t>
      </w:r>
      <w:r>
        <w:rPr>
          <w:rFonts w:ascii="Times New Roman" w:hAnsi="Times New Roman" w:cs="Times New Roman" w:eastAsia="Times New Roman" w:hint="default"/>
          <w:spacing w:val="10"/>
        </w:rPr>
        <w:t>,</w:t>
      </w:r>
      <w:r>
        <w:rPr>
          <w:spacing w:val="10"/>
        </w:rPr>
        <w:t>以公司</w:t>
      </w:r>
      <w:r>
        <w:rPr>
          <w:rFonts w:ascii="Times New Roman" w:hAnsi="Times New Roman" w:cs="Times New Roman" w:eastAsia="Times New Roman" w:hint="default"/>
          <w:spacing w:val="10"/>
        </w:rPr>
        <w:t>2013</w:t>
      </w:r>
      <w:r>
        <w:rPr>
          <w:spacing w:val="10"/>
        </w:rPr>
        <w:t>年</w:t>
      </w:r>
      <w:r>
        <w:rPr>
          <w:rFonts w:ascii="Times New Roman" w:hAnsi="Times New Roman" w:cs="Times New Roman" w:eastAsia="Times New Roman" w:hint="default"/>
          <w:spacing w:val="10"/>
        </w:rPr>
        <w:t>12</w:t>
      </w:r>
      <w:r>
        <w:rPr>
          <w:spacing w:val="10"/>
        </w:rPr>
        <w:t>月</w:t>
      </w:r>
      <w:r>
        <w:rPr>
          <w:rFonts w:ascii="Times New Roman" w:hAnsi="Times New Roman" w:cs="Times New Roman" w:eastAsia="Times New Roman" w:hint="default"/>
          <w:spacing w:val="10"/>
        </w:rPr>
        <w:t>31</w:t>
      </w:r>
      <w:r>
        <w:rPr>
          <w:spacing w:val="10"/>
        </w:rPr>
        <w:t>日总股本</w:t>
      </w:r>
    </w:p>
    <w:p>
      <w:pPr>
        <w:pStyle w:val="BodyText"/>
        <w:spacing w:line="386" w:lineRule="auto" w:before="177"/>
        <w:ind w:right="103"/>
        <w:jc w:val="left"/>
      </w:pPr>
      <w:r>
        <w:rPr>
          <w:rFonts w:ascii="Times New Roman" w:hAnsi="Times New Roman" w:cs="Times New Roman" w:eastAsia="Times New Roman" w:hint="default"/>
        </w:rPr>
        <w:t>139,530,000</w:t>
      </w:r>
      <w:r>
        <w:rPr/>
        <w:t>股扣除经</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日召开的第二届董事会第十三次临时董事会审议通过的拟回购注销的限</w:t>
      </w:r>
      <w:r>
        <w:rPr>
          <w:spacing w:val="-28"/>
        </w:rPr>
        <w:t> </w:t>
      </w:r>
      <w:r>
        <w:rPr>
          <w:spacing w:val="-28"/>
        </w:rPr>
      </w:r>
      <w:r>
        <w:rPr>
          <w:spacing w:val="-6"/>
          <w:w w:val="100"/>
        </w:rPr>
        <w:t>制性股票</w:t>
      </w:r>
      <w:r>
        <w:rPr>
          <w:rFonts w:ascii="Times New Roman" w:hAnsi="Times New Roman" w:cs="Times New Roman" w:eastAsia="Times New Roman" w:hint="default"/>
          <w:spacing w:val="-6"/>
          <w:w w:val="100"/>
        </w:rPr>
        <w:t>135,000</w:t>
      </w:r>
      <w:r>
        <w:rPr>
          <w:spacing w:val="-6"/>
          <w:w w:val="100"/>
        </w:rPr>
        <w:t>股后的现有股本</w:t>
      </w:r>
      <w:r>
        <w:rPr>
          <w:rFonts w:ascii="Times New Roman" w:hAnsi="Times New Roman" w:cs="Times New Roman" w:eastAsia="Times New Roman" w:hint="default"/>
          <w:spacing w:val="-6"/>
          <w:w w:val="100"/>
        </w:rPr>
        <w:t>139,395,000</w:t>
      </w:r>
      <w:r>
        <w:rPr>
          <w:spacing w:val="-6"/>
          <w:w w:val="100"/>
        </w:rPr>
        <w:t>股为基数，向全体股东每</w:t>
      </w:r>
      <w:r>
        <w:rPr>
          <w:rFonts w:ascii="Times New Roman" w:hAnsi="Times New Roman" w:cs="Times New Roman" w:eastAsia="Times New Roman" w:hint="default"/>
          <w:spacing w:val="-6"/>
          <w:w w:val="100"/>
        </w:rPr>
        <w:t>10</w:t>
      </w:r>
      <w:r>
        <w:rPr>
          <w:spacing w:val="-6"/>
          <w:w w:val="100"/>
        </w:rPr>
        <w:t>股派发现金股利人民币</w:t>
      </w:r>
      <w:r>
        <w:rPr>
          <w:rFonts w:ascii="Times New Roman" w:hAnsi="Times New Roman" w:cs="Times New Roman" w:eastAsia="Times New Roman" w:hint="default"/>
          <w:spacing w:val="-6"/>
          <w:w w:val="100"/>
        </w:rPr>
        <w:t>1</w:t>
      </w:r>
      <w:r>
        <w:rPr>
          <w:spacing w:val="-6"/>
          <w:w w:val="100"/>
        </w:rPr>
        <w:t>元（含税），</w:t>
      </w:r>
      <w:r>
        <w:rPr>
          <w:w w:val="100"/>
        </w:rPr>
        <w:t> </w:t>
      </w:r>
      <w:r>
        <w:rPr/>
        <w:t>合计派发现金</w:t>
      </w:r>
      <w:r>
        <w:rPr>
          <w:rFonts w:ascii="Times New Roman" w:hAnsi="Times New Roman" w:cs="Times New Roman" w:eastAsia="Times New Roman" w:hint="default"/>
        </w:rPr>
        <w:t>13,939,500.00</w:t>
      </w:r>
      <w:r>
        <w:rPr/>
        <w:t>元；同时进行资本公积金转增股本，以</w:t>
      </w:r>
      <w:r>
        <w:rPr>
          <w:rFonts w:ascii="Times New Roman" w:hAnsi="Times New Roman" w:cs="Times New Roman" w:eastAsia="Times New Roman" w:hint="default"/>
        </w:rPr>
        <w:t>139,395,000</w:t>
      </w:r>
      <w:r>
        <w:rPr/>
        <w:t>股为基数向全体股东每</w:t>
      </w:r>
      <w:r>
        <w:rPr>
          <w:rFonts w:ascii="Times New Roman" w:hAnsi="Times New Roman" w:cs="Times New Roman" w:eastAsia="Times New Roman" w:hint="default"/>
        </w:rPr>
        <w:t>10</w:t>
      </w:r>
      <w:r>
        <w:rPr/>
        <w:t>股</w:t>
      </w:r>
      <w:r>
        <w:rPr>
          <w:spacing w:val="-77"/>
        </w:rPr>
        <w:t> </w:t>
      </w:r>
      <w:r>
        <w:rPr/>
        <w:t>转增</w:t>
      </w:r>
      <w:r>
        <w:rPr>
          <w:rFonts w:ascii="Times New Roman" w:hAnsi="Times New Roman" w:cs="Times New Roman" w:eastAsia="Times New Roman" w:hint="default"/>
        </w:rPr>
        <w:t>3</w:t>
      </w:r>
      <w:r>
        <w:rPr/>
        <w:t>股，共计转增</w:t>
      </w:r>
      <w:r>
        <w:rPr>
          <w:rFonts w:ascii="Times New Roman" w:hAnsi="Times New Roman" w:cs="Times New Roman" w:eastAsia="Times New Roman" w:hint="default"/>
        </w:rPr>
        <w:t>41,818,500</w:t>
      </w:r>
      <w:r>
        <w:rPr/>
        <w:t>股，转增后公司总股本增加至</w:t>
      </w:r>
      <w:r>
        <w:rPr>
          <w:rFonts w:ascii="Times New Roman" w:hAnsi="Times New Roman" w:cs="Times New Roman" w:eastAsia="Times New Roman" w:hint="default"/>
        </w:rPr>
        <w:t>181,213,500</w:t>
      </w:r>
      <w:r>
        <w:rPr/>
        <w:t>股。并于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日实施完成</w:t>
      </w:r>
      <w:r>
        <w:rPr>
          <w:spacing w:val="-29"/>
        </w:rPr>
        <w:t> </w:t>
      </w:r>
      <w:r>
        <w:rPr>
          <w:spacing w:val="-29"/>
        </w:rPr>
      </w:r>
      <w:r>
        <w:rPr/>
        <w:t>权益分派。</w:t>
      </w:r>
    </w:p>
    <w:p>
      <w:pPr>
        <w:pStyle w:val="BodyText"/>
        <w:spacing w:line="240" w:lineRule="auto" w:before="103"/>
        <w:ind w:right="10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年度的利润分配情况</w:t>
      </w:r>
    </w:p>
    <w:p>
      <w:pPr>
        <w:spacing w:after="0" w:line="240" w:lineRule="auto"/>
        <w:jc w:val="left"/>
        <w:sectPr>
          <w:pgSz w:w="11910" w:h="16840"/>
          <w:pgMar w:header="745" w:footer="982" w:top="1060" w:bottom="1180" w:left="980" w:right="920"/>
        </w:sectPr>
      </w:pPr>
    </w:p>
    <w:p>
      <w:pPr>
        <w:spacing w:line="240" w:lineRule="auto" w:before="0"/>
        <w:rPr>
          <w:rFonts w:ascii="宋体" w:hAnsi="宋体" w:cs="宋体" w:eastAsia="宋体" w:hint="default"/>
          <w:sz w:val="20"/>
          <w:szCs w:val="20"/>
        </w:rPr>
      </w:pPr>
    </w:p>
    <w:p>
      <w:pPr>
        <w:pStyle w:val="BodyText"/>
        <w:spacing w:line="386" w:lineRule="auto" w:before="175"/>
        <w:ind w:left="153" w:right="150" w:firstLine="336"/>
        <w:jc w:val="both"/>
      </w:pPr>
      <w:bookmarkStart w:name="二、承诺事项履行情况" w:id="64"/>
      <w:bookmarkEnd w:id="64"/>
      <w:r>
        <w:rPr/>
      </w:r>
      <w:bookmarkStart w:name="1、公司、股东、实际控制人、收购人、董事、监事、高级管理人员或其他关联方在报告期" w:id="65"/>
      <w:bookmarkEnd w:id="65"/>
      <w:r>
        <w:rPr/>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8</w:t>
      </w:r>
      <w:r>
        <w:rPr>
          <w:spacing w:val="-5"/>
        </w:rPr>
        <w:t>日第二届董事会第二十五次会议审议通过了《</w:t>
      </w:r>
      <w:r>
        <w:rPr>
          <w:rFonts w:ascii="Times New Roman" w:hAnsi="Times New Roman" w:cs="Times New Roman" w:eastAsia="Times New Roman" w:hint="default"/>
          <w:spacing w:val="-5"/>
        </w:rPr>
        <w:t>2014</w:t>
      </w:r>
      <w:r>
        <w:rPr>
          <w:spacing w:val="-5"/>
        </w:rPr>
        <w:t>年度公司利润分配预案》，拟以公司</w:t>
      </w:r>
      <w:r>
        <w:rPr>
          <w:rFonts w:ascii="Times New Roman" w:hAnsi="Times New Roman" w:cs="Times New Roman" w:eastAsia="Times New Roman" w:hint="default"/>
          <w:spacing w:val="-5"/>
        </w:rPr>
        <w:t>2014</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181,966,460</w:t>
      </w:r>
      <w:r>
        <w:rPr/>
        <w:t>股扣除经</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日召开的第二届董事会第二十四次临时董事会审议通</w:t>
      </w:r>
      <w:r>
        <w:rPr>
          <w:spacing w:val="-33"/>
        </w:rPr>
        <w:t> </w:t>
      </w:r>
      <w:r>
        <w:rPr>
          <w:spacing w:val="-33"/>
        </w:rPr>
      </w:r>
      <w:r>
        <w:rPr>
          <w:spacing w:val="-3"/>
        </w:rPr>
        <w:t>过的拟回购注销的限制性股票</w:t>
      </w:r>
      <w:r>
        <w:rPr>
          <w:rFonts w:ascii="Times New Roman" w:hAnsi="Times New Roman" w:cs="Times New Roman" w:eastAsia="Times New Roman" w:hint="default"/>
          <w:spacing w:val="-3"/>
        </w:rPr>
        <w:t>133,250</w:t>
      </w:r>
      <w:r>
        <w:rPr>
          <w:spacing w:val="-3"/>
        </w:rPr>
        <w:t>股后的股本</w:t>
      </w:r>
      <w:r>
        <w:rPr>
          <w:rFonts w:ascii="Times New Roman" w:hAnsi="Times New Roman" w:cs="Times New Roman" w:eastAsia="Times New Roman" w:hint="default"/>
          <w:spacing w:val="-3"/>
        </w:rPr>
        <w:t>181,833,210</w:t>
      </w:r>
      <w:r>
        <w:rPr>
          <w:spacing w:val="-3"/>
        </w:rPr>
        <w:t>股为基数，向全体股东每</w:t>
      </w:r>
      <w:r>
        <w:rPr>
          <w:rFonts w:ascii="Times New Roman" w:hAnsi="Times New Roman" w:cs="Times New Roman" w:eastAsia="Times New Roman" w:hint="default"/>
          <w:spacing w:val="-3"/>
        </w:rPr>
        <w:t>10</w:t>
      </w:r>
      <w:r>
        <w:rPr>
          <w:spacing w:val="-3"/>
        </w:rPr>
        <w:t>股派发现金股利人</w:t>
      </w:r>
      <w:r>
        <w:rPr>
          <w:spacing w:val="-23"/>
        </w:rPr>
        <w:t> </w:t>
      </w:r>
      <w:r>
        <w:rPr>
          <w:spacing w:val="-23"/>
        </w:rPr>
      </w:r>
      <w:r>
        <w:rPr>
          <w:spacing w:val="-3"/>
        </w:rPr>
        <w:t>民币</w:t>
      </w:r>
      <w:r>
        <w:rPr>
          <w:rFonts w:ascii="Times New Roman" w:hAnsi="Times New Roman" w:cs="Times New Roman" w:eastAsia="Times New Roman" w:hint="default"/>
          <w:spacing w:val="-3"/>
        </w:rPr>
        <w:t>1</w:t>
      </w:r>
      <w:r>
        <w:rPr>
          <w:spacing w:val="-3"/>
        </w:rPr>
        <w:t>元（含税），合计派发现金</w:t>
      </w:r>
      <w:r>
        <w:rPr>
          <w:rFonts w:ascii="Times New Roman" w:hAnsi="Times New Roman" w:cs="Times New Roman" w:eastAsia="Times New Roman" w:hint="default"/>
          <w:spacing w:val="-3"/>
        </w:rPr>
        <w:t>18,183,321.00</w:t>
      </w:r>
      <w:r>
        <w:rPr>
          <w:spacing w:val="-3"/>
        </w:rPr>
        <w:t>元；同时进行资本公积金转增股本，以</w:t>
      </w:r>
      <w:r>
        <w:rPr>
          <w:rFonts w:ascii="Times New Roman" w:hAnsi="Times New Roman" w:cs="Times New Roman" w:eastAsia="Times New Roman" w:hint="default"/>
          <w:spacing w:val="-3"/>
        </w:rPr>
        <w:t>181,833,210</w:t>
      </w:r>
      <w:r>
        <w:rPr>
          <w:spacing w:val="-3"/>
        </w:rPr>
        <w:t>股为基数</w:t>
      </w:r>
      <w:r>
        <w:rPr>
          <w:spacing w:val="-16"/>
        </w:rPr>
        <w:t> </w:t>
      </w:r>
      <w:r>
        <w:rPr>
          <w:spacing w:val="-16"/>
        </w:rPr>
      </w:r>
      <w:r>
        <w:rPr>
          <w:spacing w:val="-2"/>
        </w:rPr>
        <w:t>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5</w:t>
      </w:r>
      <w:r>
        <w:rPr>
          <w:spacing w:val="-2"/>
        </w:rPr>
        <w:t>股，共计转增</w:t>
      </w:r>
      <w:r>
        <w:rPr>
          <w:rFonts w:ascii="Times New Roman" w:hAnsi="Times New Roman" w:cs="Times New Roman" w:eastAsia="Times New Roman" w:hint="default"/>
          <w:spacing w:val="-2"/>
        </w:rPr>
        <w:t>90,916,605</w:t>
      </w:r>
      <w:r>
        <w:rPr>
          <w:spacing w:val="-2"/>
        </w:rPr>
        <w:t>股，转增后公司总股本将增加至</w:t>
      </w:r>
      <w:r>
        <w:rPr>
          <w:rFonts w:ascii="Times New Roman" w:hAnsi="Times New Roman" w:cs="Times New Roman" w:eastAsia="Times New Roman" w:hint="default"/>
          <w:spacing w:val="-2"/>
        </w:rPr>
        <w:t>272,749,815</w:t>
      </w:r>
      <w:r>
        <w:rPr>
          <w:spacing w:val="-2"/>
        </w:rPr>
        <w:t>股。并于</w:t>
      </w:r>
      <w:r>
        <w:rPr>
          <w:rFonts w:ascii="宋体" w:hAnsi="宋体" w:cs="宋体" w:eastAsia="宋体" w:hint="default"/>
          <w:spacing w:val="-2"/>
        </w:rPr>
        <w:t>2015</w:t>
      </w:r>
      <w:r>
        <w:rPr>
          <w:rFonts w:ascii="宋体" w:hAnsi="宋体" w:cs="宋体" w:eastAsia="宋体" w:hint="default"/>
          <w:spacing w:val="-25"/>
        </w:rPr>
        <w:t> </w:t>
      </w:r>
      <w:r>
        <w:rPr>
          <w:rFonts w:ascii="宋体" w:hAnsi="宋体" w:cs="宋体" w:eastAsia="宋体" w:hint="default"/>
          <w:spacing w:val="-25"/>
        </w:rPr>
      </w:r>
      <w:r>
        <w:rPr/>
        <w:t>年</w:t>
      </w:r>
      <w:r>
        <w:rPr>
          <w:rFonts w:ascii="宋体" w:hAnsi="宋体" w:cs="宋体" w:eastAsia="宋体" w:hint="default"/>
        </w:rPr>
        <w:t>5</w:t>
      </w:r>
      <w:r>
        <w:rPr/>
        <w:t>月</w:t>
      </w:r>
      <w:r>
        <w:rPr>
          <w:rFonts w:ascii="宋体" w:hAnsi="宋体" w:cs="宋体" w:eastAsia="宋体" w:hint="default"/>
        </w:rPr>
        <w:t>28</w:t>
      </w:r>
      <w:r>
        <w:rPr/>
        <w:t>日实施完毕。</w:t>
      </w:r>
    </w:p>
    <w:p>
      <w:pPr>
        <w:pStyle w:val="BodyText"/>
        <w:spacing w:line="240" w:lineRule="auto" w:before="106"/>
        <w:ind w:left="153"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年利润分配情况</w:t>
      </w:r>
    </w:p>
    <w:p>
      <w:pPr>
        <w:spacing w:line="240" w:lineRule="auto" w:before="6"/>
        <w:rPr>
          <w:rFonts w:ascii="宋体" w:hAnsi="宋体" w:cs="宋体" w:eastAsia="宋体" w:hint="default"/>
          <w:sz w:val="16"/>
          <w:szCs w:val="16"/>
        </w:rPr>
      </w:pPr>
    </w:p>
    <w:p>
      <w:pPr>
        <w:pStyle w:val="BodyText"/>
        <w:spacing w:line="386" w:lineRule="auto"/>
        <w:ind w:left="154" w:right="150" w:firstLine="335"/>
        <w:jc w:val="both"/>
      </w:pP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9</w:t>
      </w:r>
      <w:r>
        <w:rPr>
          <w:spacing w:val="-3"/>
        </w:rPr>
        <w:t>日第三届董事会第三次会议审议通过了《</w:t>
      </w:r>
      <w:r>
        <w:rPr>
          <w:rFonts w:ascii="Times New Roman" w:hAnsi="Times New Roman" w:cs="Times New Roman" w:eastAsia="Times New Roman" w:hint="default"/>
          <w:spacing w:val="-3"/>
        </w:rPr>
        <w:t>2015</w:t>
      </w:r>
      <w:r>
        <w:rPr>
          <w:spacing w:val="-3"/>
        </w:rPr>
        <w:t>年度公司利润分配预案》，拟以公司</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3</w:t>
      </w:r>
      <w:r>
        <w:rPr>
          <w:rFonts w:ascii="Times New Roman" w:hAnsi="Times New Roman" w:cs="Times New Roman" w:eastAsia="Times New Roman" w:hint="default"/>
          <w:w w:val="100"/>
        </w:rPr>
        <w:t> </w:t>
      </w:r>
      <w:r>
        <w:rPr/>
        <w:t>月</w:t>
      </w:r>
      <w:r>
        <w:rPr>
          <w:rFonts w:ascii="Times New Roman" w:hAnsi="Times New Roman" w:cs="Times New Roman" w:eastAsia="Times New Roman" w:hint="default"/>
        </w:rPr>
        <w:t>9</w:t>
      </w:r>
      <w:r>
        <w:rPr/>
        <w:t>日总股本</w:t>
      </w:r>
      <w:r>
        <w:rPr>
          <w:rFonts w:ascii="Times New Roman" w:hAnsi="Times New Roman" w:cs="Times New Roman" w:eastAsia="Times New Roman" w:hint="default"/>
        </w:rPr>
        <w:t>272,216,295</w:t>
      </w:r>
      <w:r>
        <w:rPr/>
        <w:t>股扣除经</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日召开的第三届董事会第三董事会审议通过的拟回购注销的</w:t>
      </w:r>
      <w:r>
        <w:rPr>
          <w:spacing w:val="-28"/>
        </w:rPr>
        <w:t> </w:t>
      </w:r>
      <w:r>
        <w:rPr>
          <w:spacing w:val="-28"/>
        </w:rPr>
      </w:r>
      <w:r>
        <w:rPr>
          <w:spacing w:val="-1"/>
        </w:rPr>
        <w:t>限制性股票</w:t>
      </w:r>
      <w:r>
        <w:rPr>
          <w:rFonts w:ascii="Times New Roman" w:hAnsi="Times New Roman" w:cs="Times New Roman" w:eastAsia="Times New Roman" w:hint="default"/>
          <w:spacing w:val="-1"/>
        </w:rPr>
        <w:t>4,270,500</w:t>
      </w:r>
      <w:r>
        <w:rPr>
          <w:spacing w:val="-1"/>
        </w:rPr>
        <w:t>股后的股本</w:t>
      </w:r>
      <w:r>
        <w:rPr>
          <w:rFonts w:ascii="Times New Roman" w:hAnsi="Times New Roman" w:cs="Times New Roman" w:eastAsia="Times New Roman" w:hint="default"/>
          <w:spacing w:val="-1"/>
        </w:rPr>
        <w:t>267,945,795</w:t>
      </w:r>
      <w:r>
        <w:rPr>
          <w:spacing w:val="-1"/>
        </w:rPr>
        <w:t>股为基数，向全体股东每</w:t>
      </w:r>
      <w:r>
        <w:rPr>
          <w:rFonts w:ascii="Times New Roman" w:hAnsi="Times New Roman" w:cs="Times New Roman" w:eastAsia="Times New Roman" w:hint="default"/>
          <w:spacing w:val="-1"/>
        </w:rPr>
        <w:t>10</w:t>
      </w:r>
      <w:r>
        <w:rPr>
          <w:spacing w:val="-1"/>
        </w:rPr>
        <w:t>股派发现金股利人民币</w:t>
      </w:r>
      <w:r>
        <w:rPr>
          <w:rFonts w:ascii="Times New Roman" w:hAnsi="Times New Roman" w:cs="Times New Roman" w:eastAsia="Times New Roman" w:hint="default"/>
          <w:spacing w:val="-1"/>
        </w:rPr>
        <w:t>0.35</w:t>
      </w:r>
      <w:r>
        <w:rPr>
          <w:spacing w:val="-1"/>
        </w:rPr>
        <w:t>元（含</w:t>
      </w:r>
      <w:r>
        <w:rPr>
          <w:spacing w:val="-20"/>
        </w:rPr>
        <w:t> </w:t>
      </w:r>
      <w:r>
        <w:rPr>
          <w:spacing w:val="-20"/>
        </w:rPr>
      </w:r>
      <w:r>
        <w:rPr/>
        <w:t>税），合计派发现金</w:t>
      </w:r>
      <w:r>
        <w:rPr>
          <w:rFonts w:ascii="Times New Roman" w:hAnsi="Times New Roman" w:cs="Times New Roman" w:eastAsia="Times New Roman" w:hint="default"/>
        </w:rPr>
        <w:t>9,378,102.83</w:t>
      </w:r>
      <w:r>
        <w:rPr/>
        <w:t>元；本年度，不转增不送股。该议案尚需提交</w:t>
      </w:r>
      <w:r>
        <w:rPr>
          <w:rFonts w:ascii="Times New Roman" w:hAnsi="Times New Roman" w:cs="Times New Roman" w:eastAsia="Times New Roman" w:hint="default"/>
        </w:rPr>
        <w:t>2015</w:t>
      </w:r>
      <w:r>
        <w:rPr/>
        <w:t>年度股东大会审议。</w:t>
      </w:r>
    </w:p>
    <w:p>
      <w:pPr>
        <w:spacing w:line="240" w:lineRule="auto" w:before="1"/>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5"/>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4"/>
        <w:gridCol w:w="1594"/>
        <w:gridCol w:w="1594"/>
        <w:gridCol w:w="1596"/>
        <w:gridCol w:w="1594"/>
        <w:gridCol w:w="1594"/>
      </w:tblGrid>
      <w:tr>
        <w:trPr>
          <w:trHeight w:val="317" w:hRule="exact"/>
        </w:trPr>
        <w:tc>
          <w:tcPr>
            <w:tcW w:w="1584" w:type="dxa"/>
            <w:vMerge w:val="restart"/>
            <w:tcBorders>
              <w:top w:val="single" w:sz="4" w:space="0" w:color="000000"/>
              <w:left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72"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6" w:hRule="exact"/>
        </w:trPr>
        <w:tc>
          <w:tcPr>
            <w:tcW w:w="1584" w:type="dxa"/>
            <w:vMerge/>
            <w:tcBorders>
              <w:left w:val="single" w:sz="4" w:space="0" w:color="000000"/>
              <w:bottom w:val="nil" w:sz="6" w:space="0" w:color="auto"/>
              <w:right w:val="single" w:sz="4" w:space="0" w:color="000000"/>
            </w:tcBorders>
            <w:shd w:val="clear" w:color="auto" w:fill="D4D4D4"/>
          </w:tcPr>
          <w:p>
            <w:pPr/>
          </w:p>
        </w:tc>
        <w:tc>
          <w:tcPr>
            <w:tcW w:w="1594"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611"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4D4D4"/>
          </w:tcPr>
          <w:p>
            <w:pPr/>
          </w:p>
        </w:tc>
        <w:tc>
          <w:tcPr>
            <w:tcW w:w="1596" w:type="dxa"/>
            <w:vMerge/>
            <w:tcBorders>
              <w:left w:val="single" w:sz="4" w:space="0" w:color="000000"/>
              <w:right w:val="single" w:sz="4" w:space="0" w:color="000000"/>
            </w:tcBorders>
            <w:shd w:val="clear" w:color="auto" w:fill="D4D4D4"/>
          </w:tcPr>
          <w:p>
            <w:pPr/>
          </w:p>
        </w:tc>
        <w:tc>
          <w:tcPr>
            <w:tcW w:w="1594"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431"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431"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1" w:hRule="exact"/>
        </w:trPr>
        <w:tc>
          <w:tcPr>
            <w:tcW w:w="158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4D4D4"/>
          </w:tcPr>
          <w:p>
            <w:pPr/>
          </w:p>
        </w:tc>
        <w:tc>
          <w:tcPr>
            <w:tcW w:w="1594" w:type="dxa"/>
            <w:vMerge/>
            <w:tcBorders>
              <w:left w:val="single" w:sz="4" w:space="0" w:color="000000"/>
              <w:right w:val="single" w:sz="4" w:space="0" w:color="000000"/>
            </w:tcBorders>
            <w:shd w:val="clear" w:color="auto" w:fill="D4D4D4"/>
          </w:tcPr>
          <w:p>
            <w:pPr/>
          </w:p>
        </w:tc>
        <w:tc>
          <w:tcPr>
            <w:tcW w:w="1596" w:type="dxa"/>
            <w:vMerge/>
            <w:tcBorders>
              <w:left w:val="single" w:sz="4" w:space="0" w:color="000000"/>
              <w:right w:val="single" w:sz="4" w:space="0" w:color="000000"/>
            </w:tcBorders>
            <w:shd w:val="clear" w:color="auto" w:fill="D4D4D4"/>
          </w:tcPr>
          <w:p>
            <w:pPr/>
          </w:p>
        </w:tc>
        <w:tc>
          <w:tcPr>
            <w:tcW w:w="1594" w:type="dxa"/>
            <w:vMerge/>
            <w:tcBorders>
              <w:left w:val="single" w:sz="4" w:space="0" w:color="000000"/>
              <w:right w:val="single" w:sz="4" w:space="0" w:color="000000"/>
            </w:tcBorders>
            <w:shd w:val="clear" w:color="auto" w:fill="D4D4D4"/>
          </w:tcPr>
          <w:p>
            <w:pPr/>
          </w:p>
        </w:tc>
        <w:tc>
          <w:tcPr>
            <w:tcW w:w="1594" w:type="dxa"/>
            <w:vMerge/>
            <w:tcBorders>
              <w:left w:val="single" w:sz="4" w:space="0" w:color="000000"/>
              <w:right w:val="single" w:sz="4" w:space="0" w:color="000000"/>
            </w:tcBorders>
            <w:shd w:val="clear" w:color="auto" w:fill="D4D4D4"/>
          </w:tcPr>
          <w:p>
            <w:pPr/>
          </w:p>
        </w:tc>
      </w:tr>
      <w:tr>
        <w:trPr>
          <w:trHeight w:val="156" w:hRule="exact"/>
        </w:trPr>
        <w:tc>
          <w:tcPr>
            <w:tcW w:w="1584" w:type="dxa"/>
            <w:vMerge w:val="restart"/>
            <w:tcBorders>
              <w:top w:val="nil" w:sz="6" w:space="0" w:color="auto"/>
              <w:left w:val="single" w:sz="4" w:space="0" w:color="000000"/>
              <w:right w:val="single" w:sz="4" w:space="0" w:color="000000"/>
            </w:tcBorders>
            <w:shd w:val="clear" w:color="auto" w:fill="D4D4D4"/>
          </w:tcPr>
          <w:p>
            <w:pPr/>
          </w:p>
        </w:tc>
        <w:tc>
          <w:tcPr>
            <w:tcW w:w="1594" w:type="dxa"/>
            <w:vMerge/>
            <w:tcBorders>
              <w:left w:val="single" w:sz="4" w:space="0" w:color="000000"/>
              <w:bottom w:val="nil" w:sz="6" w:space="0" w:color="auto"/>
              <w:right w:val="single" w:sz="4" w:space="0" w:color="000000"/>
            </w:tcBorders>
            <w:shd w:val="clear" w:color="auto" w:fill="D4D4D4"/>
          </w:tcPr>
          <w:p>
            <w:pPr/>
          </w:p>
        </w:tc>
        <w:tc>
          <w:tcPr>
            <w:tcW w:w="1594" w:type="dxa"/>
            <w:vMerge/>
            <w:tcBorders>
              <w:left w:val="single" w:sz="4" w:space="0" w:color="000000"/>
              <w:right w:val="single" w:sz="4" w:space="0" w:color="000000"/>
            </w:tcBorders>
            <w:shd w:val="clear" w:color="auto" w:fill="D4D4D4"/>
          </w:tcPr>
          <w:p>
            <w:pPr/>
          </w:p>
        </w:tc>
        <w:tc>
          <w:tcPr>
            <w:tcW w:w="1596" w:type="dxa"/>
            <w:vMerge/>
            <w:tcBorders>
              <w:left w:val="single" w:sz="4" w:space="0" w:color="000000"/>
              <w:right w:val="single" w:sz="4" w:space="0" w:color="000000"/>
            </w:tcBorders>
            <w:shd w:val="clear" w:color="auto" w:fill="D4D4D4"/>
          </w:tcPr>
          <w:p>
            <w:pPr/>
          </w:p>
        </w:tc>
        <w:tc>
          <w:tcPr>
            <w:tcW w:w="1594" w:type="dxa"/>
            <w:vMerge/>
            <w:tcBorders>
              <w:left w:val="single" w:sz="4" w:space="0" w:color="000000"/>
              <w:bottom w:val="nil" w:sz="6" w:space="0" w:color="auto"/>
              <w:right w:val="single" w:sz="4" w:space="0" w:color="000000"/>
            </w:tcBorders>
            <w:shd w:val="clear" w:color="auto" w:fill="D4D4D4"/>
          </w:tcPr>
          <w:p>
            <w:pPr/>
          </w:p>
        </w:tc>
        <w:tc>
          <w:tcPr>
            <w:tcW w:w="1594" w:type="dxa"/>
            <w:vMerge/>
            <w:tcBorders>
              <w:left w:val="single" w:sz="4" w:space="0" w:color="000000"/>
              <w:bottom w:val="nil" w:sz="6" w:space="0" w:color="auto"/>
              <w:right w:val="single" w:sz="4" w:space="0" w:color="000000"/>
            </w:tcBorders>
            <w:shd w:val="clear" w:color="auto" w:fill="D4D4D4"/>
          </w:tcPr>
          <w:p>
            <w:pPr/>
          </w:p>
        </w:tc>
      </w:tr>
      <w:tr>
        <w:trPr>
          <w:trHeight w:val="317" w:hRule="exact"/>
        </w:trPr>
        <w:tc>
          <w:tcPr>
            <w:tcW w:w="1584"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15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9,378,102.83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45,310,236.37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5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18,183,321.00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72,347,373.04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13,939,500.00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60,842,729.05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4"/>
        <w:spacing w:line="240" w:lineRule="auto"/>
        <w:ind w:right="0"/>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6"/>
        <w:spacing w:line="259" w:lineRule="auto"/>
        <w:ind w:right="0"/>
        <w:jc w:val="left"/>
        <w:rPr>
          <w:b w:val="0"/>
          <w:bCs w:val="0"/>
        </w:rPr>
      </w:pP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65"/>
        </w:rPr>
        <w:t> </w:t>
      </w:r>
      <w:r>
        <w:rPr>
          <w:spacing w:val="-65"/>
        </w:rPr>
      </w:r>
      <w:r>
        <w:rPr/>
        <w:t>截至报告期末尚未履行完毕的承诺事项</w:t>
      </w:r>
      <w:r>
        <w:rPr>
          <w:b w:val="0"/>
          <w:bCs w:val="0"/>
        </w:rPr>
      </w:r>
    </w:p>
    <w:p>
      <w:pPr>
        <w:spacing w:line="240" w:lineRule="auto" w:before="1"/>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04"/>
        <w:gridCol w:w="1004"/>
        <w:gridCol w:w="1274"/>
        <w:gridCol w:w="1985"/>
        <w:gridCol w:w="1133"/>
        <w:gridCol w:w="1135"/>
        <w:gridCol w:w="919"/>
      </w:tblGrid>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0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9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1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99"/>
              <w:jc w:val="right"/>
              <w:rPr>
                <w:rFonts w:ascii="宋体" w:hAnsi="宋体" w:cs="宋体" w:eastAsia="宋体" w:hint="default"/>
                <w:sz w:val="18"/>
                <w:szCs w:val="18"/>
              </w:rPr>
            </w:pPr>
            <w:r>
              <w:rPr>
                <w:rFonts w:ascii="宋体" w:hAnsi="宋体" w:cs="宋体" w:eastAsia="宋体" w:hint="default"/>
                <w:sz w:val="18"/>
                <w:szCs w:val="18"/>
              </w:rPr>
              <w:t>承诺期限</w:t>
            </w:r>
          </w:p>
        </w:tc>
        <w:tc>
          <w:tcPr>
            <w:tcW w:w="9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6"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5" w:hRule="exact"/>
        </w:trPr>
        <w:tc>
          <w:tcPr>
            <w:tcW w:w="21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 告书中所作承诺</w:t>
            </w:r>
          </w:p>
        </w:tc>
        <w:tc>
          <w:tcPr>
            <w:tcW w:w="1004" w:type="dxa"/>
            <w:tcBorders>
              <w:top w:val="single" w:sz="4" w:space="0" w:color="000000"/>
              <w:left w:val="single" w:sz="10" w:space="0" w:color="D4D4D4"/>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004" w:type="dxa"/>
            <w:tcBorders>
              <w:top w:val="single" w:sz="4" w:space="0" w:color="000000"/>
              <w:left w:val="single" w:sz="10" w:space="0" w:color="D4D4D4"/>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w:t>
            </w:r>
          </w:p>
        </w:tc>
        <w:tc>
          <w:tcPr>
            <w:tcW w:w="100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陆文雄</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首发上市承诺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25"/>
              <w:jc w:val="center"/>
              <w:rPr>
                <w:rFonts w:ascii="宋体" w:hAnsi="宋体" w:cs="宋体" w:eastAsia="宋体" w:hint="default"/>
                <w:sz w:val="18"/>
                <w:szCs w:val="18"/>
              </w:rPr>
            </w:pPr>
            <w:r>
              <w:rPr>
                <w:rFonts w:ascii="宋体" w:hAnsi="宋体" w:cs="宋体" w:eastAsia="宋体" w:hint="default"/>
                <w:sz w:val="18"/>
                <w:szCs w:val="18"/>
              </w:rPr>
              <w:t>公司控股股东陆文雄承</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50"/>
              <w:jc w:val="righ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88.637009pt;margin-top:548.159973pt;width:87.65pt;height:195pt;mso-position-horizontal-relative:page;mso-position-vertical-relative:page;z-index:-9062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监事、</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25"/>
        <w:gridCol w:w="994"/>
        <w:gridCol w:w="1274"/>
        <w:gridCol w:w="1985"/>
        <w:gridCol w:w="1133"/>
        <w:gridCol w:w="1135"/>
        <w:gridCol w:w="919"/>
      </w:tblGrid>
      <w:tr>
        <w:trPr>
          <w:trHeight w:val="1610" w:hRule="exact"/>
        </w:trPr>
        <w:tc>
          <w:tcPr>
            <w:tcW w:w="212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所作承诺</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21"/>
              <w:jc w:val="left"/>
              <w:rPr>
                <w:rFonts w:ascii="宋体" w:hAnsi="宋体" w:cs="宋体" w:eastAsia="宋体" w:hint="default"/>
                <w:sz w:val="18"/>
                <w:szCs w:val="18"/>
              </w:rPr>
            </w:pPr>
            <w:r>
              <w:rPr>
                <w:rFonts w:ascii="宋体" w:hAnsi="宋体" w:cs="宋体" w:eastAsia="宋体" w:hint="default"/>
                <w:spacing w:val="-5"/>
                <w:sz w:val="18"/>
                <w:szCs w:val="18"/>
              </w:rPr>
              <w:t>诺：自公司股票上市之日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个月内，不转让或 者委托他人管理其现持 </w:t>
            </w:r>
            <w:r>
              <w:rPr>
                <w:rFonts w:ascii="宋体" w:hAnsi="宋体" w:cs="宋体" w:eastAsia="宋体" w:hint="default"/>
                <w:spacing w:val="-5"/>
                <w:sz w:val="18"/>
                <w:szCs w:val="18"/>
              </w:rPr>
              <w:t>有的公司股份，也不由公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司回购该部分股份。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6" w:right="10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日解禁 并上市流通</w:t>
            </w: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2125" w:type="dxa"/>
            <w:vMerge/>
            <w:tcBorders>
              <w:left w:val="single" w:sz="4" w:space="0" w:color="000000"/>
              <w:right w:val="single" w:sz="4" w:space="0" w:color="000000"/>
            </w:tcBorders>
            <w:shd w:val="clear" w:color="auto" w:fill="D4D4D4"/>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陈宏科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首发上市承诺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1"/>
              <w:jc w:val="left"/>
              <w:rPr>
                <w:rFonts w:ascii="宋体" w:hAnsi="宋体" w:cs="宋体" w:eastAsia="宋体" w:hint="default"/>
                <w:sz w:val="18"/>
                <w:szCs w:val="18"/>
              </w:rPr>
            </w:pPr>
            <w:r>
              <w:rPr>
                <w:rFonts w:ascii="宋体" w:hAnsi="宋体" w:cs="宋体" w:eastAsia="宋体" w:hint="default"/>
                <w:spacing w:val="-5"/>
                <w:sz w:val="18"/>
                <w:szCs w:val="18"/>
              </w:rPr>
              <w:t>公司股东陈宏科承诺：自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公司股票上市之日起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个月内，不转让或者委托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他人管理其现持有的公 </w:t>
            </w:r>
            <w:r>
              <w:rPr>
                <w:rFonts w:ascii="宋体" w:hAnsi="宋体" w:cs="宋体" w:eastAsia="宋体" w:hint="default"/>
                <w:spacing w:val="-5"/>
                <w:sz w:val="18"/>
                <w:szCs w:val="18"/>
              </w:rPr>
              <w:t>司股份，也不由公司回购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该部分股份。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300" w:lineRule="auto" w:before="63"/>
              <w:ind w:left="26" w:right="10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日解禁 并上市流通</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63"/>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1651" w:hRule="exact"/>
        </w:trPr>
        <w:tc>
          <w:tcPr>
            <w:tcW w:w="2125" w:type="dxa"/>
            <w:vMerge/>
            <w:tcBorders>
              <w:left w:val="single" w:sz="4" w:space="0" w:color="000000"/>
              <w:right w:val="single" w:sz="4" w:space="0" w:color="000000"/>
            </w:tcBorders>
            <w:shd w:val="clear" w:color="auto" w:fill="D4D4D4"/>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杜力耘</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首发上市承诺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自公司股票上市之日起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个月内，不转让或者 委托他人管理其现持有 </w:t>
            </w:r>
            <w:r>
              <w:rPr>
                <w:rFonts w:ascii="宋体" w:hAnsi="宋体" w:cs="宋体" w:eastAsia="宋体" w:hint="default"/>
                <w:spacing w:val="-5"/>
                <w:sz w:val="18"/>
                <w:szCs w:val="18"/>
              </w:rPr>
              <w:t>的公司股份，也不由公司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回购该部分股份。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300" w:lineRule="auto" w:before="63"/>
              <w:ind w:left="26" w:right="10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日解禁 并上市流通</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3"/>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8201" w:hRule="exact"/>
        </w:trPr>
        <w:tc>
          <w:tcPr>
            <w:tcW w:w="2125" w:type="dxa"/>
            <w:vMerge/>
            <w:tcBorders>
              <w:left w:val="single" w:sz="4" w:space="0" w:color="000000"/>
              <w:right w:val="single" w:sz="4" w:space="0" w:color="000000"/>
            </w:tcBorders>
            <w:shd w:val="clear" w:color="auto" w:fill="D4D4D4"/>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4" w:right="-34"/>
              <w:jc w:val="left"/>
              <w:rPr>
                <w:rFonts w:ascii="宋体" w:hAnsi="宋体" w:cs="宋体" w:eastAsia="宋体" w:hint="default"/>
                <w:sz w:val="18"/>
                <w:szCs w:val="18"/>
              </w:rPr>
            </w:pPr>
            <w:r>
              <w:rPr>
                <w:rFonts w:ascii="宋体" w:hAnsi="宋体" w:cs="宋体" w:eastAsia="宋体" w:hint="default"/>
                <w:sz w:val="18"/>
                <w:szCs w:val="18"/>
              </w:rPr>
              <w:t>公司实际控 制人、控股 股东陆文 </w:t>
            </w:r>
            <w:r>
              <w:rPr>
                <w:rFonts w:ascii="宋体" w:hAnsi="宋体" w:cs="宋体" w:eastAsia="宋体" w:hint="default"/>
                <w:spacing w:val="-18"/>
                <w:sz w:val="18"/>
                <w:szCs w:val="18"/>
              </w:rPr>
              <w:t>雄、持有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以上股份的 股东陈宏 </w:t>
            </w:r>
            <w:r>
              <w:rPr>
                <w:rFonts w:ascii="宋体" w:hAnsi="宋体" w:cs="宋体" w:eastAsia="宋体" w:hint="default"/>
                <w:spacing w:val="-15"/>
                <w:sz w:val="18"/>
                <w:szCs w:val="18"/>
              </w:rPr>
              <w:t>科、杜力耘、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楼晔、姜蓓</w:t>
            </w:r>
            <w:r>
              <w:rPr>
                <w:rFonts w:ascii="宋体" w:hAnsi="宋体" w:cs="宋体" w:eastAsia="宋体" w:hint="default"/>
                <w:sz w:val="18"/>
                <w:szCs w:val="18"/>
              </w:rPr>
              <w:t> 蓓以及全体 董事、 高级管理人 员、核心人 员</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首发上市承诺</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4303" w:lineRule="exact"/>
              <w:ind w:right="-4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5"/>
                <w:sz w:val="20"/>
                <w:szCs w:val="20"/>
              </w:rPr>
              <w:pict>
                <v:group style="width:63.4pt;height:215.2pt;mso-position-horizontal-relative:char;mso-position-vertical-relative:line" coordorigin="0,0" coordsize="1268,4304">
                  <v:group style="position:absolute;left:12;top:12;width:2;height:392" coordorigin="12,12" coordsize="2,392">
                    <v:shape style="position:absolute;left:12;top:12;width:2;height:392" coordorigin="12,12" coordsize="0,392" path="m12,12l12,403e" filled="false" stroked="true" strokeweight="1.2pt" strokecolor="#ffffff">
                      <v:path arrowok="t"/>
                    </v:shape>
                  </v:group>
                  <v:group style="position:absolute;left:0;top:403;width:1268;height:3900" coordorigin="0,403" coordsize="1268,3900">
                    <v:shape style="position:absolute;left:0;top:403;width:1268;height:3900" coordorigin="0,403" coordsize="1268,3900" path="m0,4303l1267,4303,1267,403,0,403,0,4303xe" filled="true" fillcolor="#ffffff" stroked="false">
                      <v:path arrowok="t"/>
                      <v:fill type="solid"/>
                    </v:shape>
                  </v:group>
                  <v:group style="position:absolute;left:24;top:12;width:1220;height:392" coordorigin="24,12" coordsize="1220,392">
                    <v:shape style="position:absolute;left:24;top:12;width:1220;height:392" coordorigin="24,12" coordsize="1220,392" path="m24,403l1243,403,1243,12,24,12,24,403xe" filled="true" fillcolor="#ffffff" stroked="false">
                      <v:path arrowok="t"/>
                      <v:fill type="solid"/>
                    </v:shape>
                  </v:group>
                </v:group>
              </w:pict>
            </w:r>
            <w:r>
              <w:rPr>
                <w:rFonts w:ascii="Times New Roman" w:hAnsi="Times New Roman" w:cs="Times New Roman" w:eastAsia="Times New Roman" w:hint="default"/>
                <w:position w:val="-85"/>
                <w:sz w:val="20"/>
                <w:szCs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关于避免同业竞争的承 诺 为避免同业竞争损害公 </w:t>
            </w:r>
            <w:r>
              <w:rPr>
                <w:rFonts w:ascii="宋体" w:hAnsi="宋体" w:cs="宋体" w:eastAsia="宋体" w:hint="default"/>
                <w:spacing w:val="-5"/>
                <w:sz w:val="18"/>
                <w:szCs w:val="18"/>
              </w:rPr>
              <w:t>司及其他股东的利益，公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司实际控制人、控股股东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陆文雄、持有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 份的股东陈宏科、杜力 </w:t>
            </w:r>
            <w:r>
              <w:rPr>
                <w:rFonts w:ascii="宋体" w:hAnsi="宋体" w:cs="宋体" w:eastAsia="宋体" w:hint="default"/>
                <w:spacing w:val="-5"/>
                <w:sz w:val="18"/>
                <w:szCs w:val="18"/>
              </w:rPr>
              <w:t>耘、楼晔、姜蓓蓓以及全</w:t>
            </w:r>
            <w:r>
              <w:rPr>
                <w:rFonts w:ascii="宋体" w:hAnsi="宋体" w:cs="宋体" w:eastAsia="宋体" w:hint="default"/>
                <w:sz w:val="18"/>
                <w:szCs w:val="18"/>
              </w:rPr>
              <w:t> </w:t>
            </w:r>
            <w:r>
              <w:rPr>
                <w:rFonts w:ascii="宋体" w:hAnsi="宋体" w:cs="宋体" w:eastAsia="宋体" w:hint="default"/>
                <w:spacing w:val="-5"/>
                <w:sz w:val="18"/>
                <w:szCs w:val="18"/>
              </w:rPr>
              <w:t>体董事、监事、高级管理</w:t>
            </w:r>
            <w:r>
              <w:rPr>
                <w:rFonts w:ascii="宋体" w:hAnsi="宋体" w:cs="宋体" w:eastAsia="宋体" w:hint="default"/>
                <w:sz w:val="18"/>
                <w:szCs w:val="18"/>
              </w:rPr>
              <w:t> </w:t>
            </w:r>
            <w:r>
              <w:rPr>
                <w:rFonts w:ascii="宋体" w:hAnsi="宋体" w:cs="宋体" w:eastAsia="宋体" w:hint="default"/>
                <w:spacing w:val="-11"/>
                <w:sz w:val="18"/>
                <w:szCs w:val="18"/>
              </w:rPr>
              <w:t>人员、核心人员均于</w:t>
            </w:r>
            <w:r>
              <w:rPr>
                <w:rFonts w:ascii="宋体" w:hAnsi="宋体" w:cs="宋体" w:eastAsia="宋体" w:hint="default"/>
                <w:spacing w:val="-37"/>
                <w:sz w:val="18"/>
                <w:szCs w:val="18"/>
              </w:rPr>
              <w:t> </w:t>
            </w:r>
            <w:r>
              <w:rPr>
                <w:rFonts w:ascii="Times New Roman" w:hAnsi="Times New Roman" w:cs="Times New Roman" w:eastAsia="Times New Roman" w:hint="default"/>
                <w:spacing w:val="-2"/>
                <w:sz w:val="18"/>
                <w:szCs w:val="18"/>
              </w:rPr>
              <w:t>2011</w:t>
            </w:r>
          </w:p>
          <w:p>
            <w:pPr>
              <w:pStyle w:val="TableParagraph"/>
              <w:spacing w:line="314" w:lineRule="auto"/>
              <w:ind w:left="23" w:right="19"/>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月出具了《避免同业</w:t>
            </w:r>
            <w:r>
              <w:rPr>
                <w:rFonts w:ascii="宋体" w:hAnsi="宋体" w:cs="宋体" w:eastAsia="宋体" w:hint="default"/>
                <w:sz w:val="18"/>
                <w:szCs w:val="18"/>
              </w:rPr>
              <w:t> </w:t>
            </w:r>
            <w:r>
              <w:rPr>
                <w:rFonts w:ascii="宋体" w:hAnsi="宋体" w:cs="宋体" w:eastAsia="宋体" w:hint="default"/>
                <w:spacing w:val="-12"/>
                <w:sz w:val="18"/>
                <w:szCs w:val="18"/>
              </w:rPr>
              <w:t>竞争承诺函》，承诺：</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本</w:t>
            </w:r>
            <w:r>
              <w:rPr>
                <w:rFonts w:ascii="宋体" w:hAnsi="宋体" w:cs="宋体" w:eastAsia="宋体" w:hint="default"/>
                <w:spacing w:val="-83"/>
                <w:sz w:val="18"/>
                <w:szCs w:val="18"/>
              </w:rPr>
              <w:t> </w:t>
            </w:r>
            <w:r>
              <w:rPr>
                <w:rFonts w:ascii="宋体" w:hAnsi="宋体" w:cs="宋体" w:eastAsia="宋体" w:hint="default"/>
                <w:sz w:val="18"/>
                <w:szCs w:val="18"/>
              </w:rPr>
              <w:t>人和本人的近亲属目前 </w:t>
            </w:r>
            <w:r>
              <w:rPr>
                <w:rFonts w:ascii="宋体" w:hAnsi="宋体" w:cs="宋体" w:eastAsia="宋体" w:hint="default"/>
                <w:spacing w:val="-5"/>
                <w:sz w:val="18"/>
                <w:szCs w:val="18"/>
              </w:rPr>
              <w:t>没有、并且今后也不会在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与天玑科技及其控股子 公司从事相同或相近似 </w:t>
            </w:r>
            <w:r>
              <w:rPr>
                <w:rFonts w:ascii="宋体" w:hAnsi="宋体" w:cs="宋体" w:eastAsia="宋体" w:hint="default"/>
                <w:spacing w:val="-5"/>
                <w:sz w:val="18"/>
                <w:szCs w:val="18"/>
              </w:rPr>
              <w:t>业务的企业、单位进行投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资或任职；本人和本人的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近亲属目前没有、并且今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后也不会直接或通过其 他任何方式间接从事与 天玑科技及其控股子公 司业务相同或相近似的 </w:t>
            </w:r>
            <w:r>
              <w:rPr>
                <w:rFonts w:ascii="宋体" w:hAnsi="宋体" w:cs="宋体" w:eastAsia="宋体" w:hint="default"/>
                <w:spacing w:val="-5"/>
                <w:sz w:val="18"/>
                <w:szCs w:val="18"/>
              </w:rPr>
              <w:t>经营活动。若违背上述承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诺，本人愿承担相应的法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律责任。</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6" w:right="197"/>
              <w:jc w:val="both"/>
              <w:rPr>
                <w:rFonts w:ascii="宋体" w:hAnsi="宋体" w:cs="宋体" w:eastAsia="宋体" w:hint="default"/>
                <w:sz w:val="18"/>
                <w:szCs w:val="18"/>
              </w:rPr>
            </w:pPr>
            <w:r>
              <w:rPr>
                <w:rFonts w:ascii="宋体" w:hAnsi="宋体" w:cs="宋体" w:eastAsia="宋体" w:hint="default"/>
                <w:sz w:val="18"/>
                <w:szCs w:val="18"/>
              </w:rPr>
              <w:t>作出承诺时 至承诺履行 完毕</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截止到报 </w:t>
            </w:r>
            <w:r>
              <w:rPr>
                <w:rFonts w:ascii="宋体" w:hAnsi="宋体" w:cs="宋体" w:eastAsia="宋体" w:hint="default"/>
                <w:spacing w:val="-8"/>
                <w:sz w:val="18"/>
                <w:szCs w:val="18"/>
              </w:rPr>
              <w:t>告期末，上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述承诺人 严格信守 </w:t>
            </w:r>
            <w:r>
              <w:rPr>
                <w:rFonts w:ascii="宋体" w:hAnsi="宋体" w:cs="宋体" w:eastAsia="宋体" w:hint="default"/>
                <w:spacing w:val="-8"/>
                <w:sz w:val="18"/>
                <w:szCs w:val="18"/>
              </w:rPr>
              <w:t>承诺，未出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现违反承 诺的情况 发生。</w:t>
            </w:r>
          </w:p>
        </w:tc>
      </w:tr>
      <w:tr>
        <w:trPr>
          <w:trHeight w:val="403" w:hRule="exact"/>
        </w:trPr>
        <w:tc>
          <w:tcPr>
            <w:tcW w:w="2125" w:type="dxa"/>
            <w:vMerge/>
            <w:tcBorders>
              <w:left w:val="single" w:sz="4" w:space="0" w:color="000000"/>
              <w:bottom w:val="single" w:sz="4" w:space="0" w:color="000000"/>
              <w:right w:val="single" w:sz="4" w:space="0" w:color="000000"/>
            </w:tcBorders>
            <w:shd w:val="clear" w:color="auto" w:fill="D4D4D4"/>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公司实际控</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首发上市承诺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关于关联交易问题的承</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作出承诺时</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截止到报</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25"/>
        <w:gridCol w:w="994"/>
        <w:gridCol w:w="1274"/>
        <w:gridCol w:w="1985"/>
        <w:gridCol w:w="1133"/>
        <w:gridCol w:w="1135"/>
        <w:gridCol w:w="922"/>
      </w:tblGrid>
      <w:tr>
        <w:trPr>
          <w:trHeight w:val="13738" w:hRule="exact"/>
        </w:trPr>
        <w:tc>
          <w:tcPr>
            <w:tcW w:w="212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4" w:right="19"/>
              <w:jc w:val="left"/>
              <w:rPr>
                <w:rFonts w:ascii="宋体" w:hAnsi="宋体" w:cs="宋体" w:eastAsia="宋体" w:hint="default"/>
                <w:sz w:val="18"/>
                <w:szCs w:val="18"/>
              </w:rPr>
            </w:pPr>
            <w:r>
              <w:rPr>
                <w:rFonts w:ascii="宋体" w:hAnsi="宋体" w:cs="宋体" w:eastAsia="宋体" w:hint="default"/>
                <w:sz w:val="18"/>
                <w:szCs w:val="18"/>
              </w:rPr>
              <w:t>制人、控股 股东陆文 </w:t>
            </w:r>
            <w:r>
              <w:rPr>
                <w:rFonts w:ascii="宋体" w:hAnsi="宋体" w:cs="宋体" w:eastAsia="宋体" w:hint="default"/>
                <w:spacing w:val="-18"/>
                <w:sz w:val="18"/>
                <w:szCs w:val="18"/>
              </w:rPr>
              <w:t>雄、持有</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以上股份的 股东以及全 体董事、监 事、高级管 理人员</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1"/>
              <w:jc w:val="left"/>
              <w:rPr>
                <w:rFonts w:ascii="宋体" w:hAnsi="宋体" w:cs="宋体" w:eastAsia="宋体" w:hint="default"/>
                <w:sz w:val="18"/>
                <w:szCs w:val="18"/>
              </w:rPr>
            </w:pPr>
            <w:r>
              <w:rPr>
                <w:rFonts w:ascii="宋体" w:hAnsi="宋体" w:cs="宋体" w:eastAsia="宋体" w:hint="default"/>
                <w:sz w:val="18"/>
                <w:szCs w:val="18"/>
              </w:rPr>
              <w:t>诺函 </w:t>
            </w:r>
            <w:r>
              <w:rPr>
                <w:rFonts w:ascii="宋体" w:hAnsi="宋体" w:cs="宋体" w:eastAsia="宋体" w:hint="default"/>
                <w:spacing w:val="-5"/>
                <w:sz w:val="18"/>
                <w:szCs w:val="18"/>
              </w:rPr>
              <w:t>公司实际控制人、控股股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东陆文雄、持有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股份的股东以及全体董 </w:t>
            </w:r>
            <w:r>
              <w:rPr>
                <w:rFonts w:ascii="宋体" w:hAnsi="宋体" w:cs="宋体" w:eastAsia="宋体" w:hint="default"/>
                <w:spacing w:val="-5"/>
                <w:sz w:val="18"/>
                <w:szCs w:val="18"/>
              </w:rPr>
              <w:t>事、监事、高级管理人员</w:t>
            </w:r>
            <w:r>
              <w:rPr>
                <w:rFonts w:ascii="宋体" w:hAnsi="宋体" w:cs="宋体" w:eastAsia="宋体" w:hint="default"/>
                <w:sz w:val="18"/>
                <w:szCs w:val="18"/>
              </w:rPr>
              <w:t> 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月签署了关 于关联交易问题的承诺 函，承诺： </w:t>
            </w:r>
            <w:r>
              <w:rPr>
                <w:rFonts w:ascii="Times New Roman" w:hAnsi="Times New Roman" w:cs="Times New Roman" w:eastAsia="Times New Roman" w:hint="default"/>
                <w:sz w:val="18"/>
                <w:szCs w:val="18"/>
              </w:rPr>
              <w:t>1</w:t>
            </w:r>
            <w:r>
              <w:rPr>
                <w:rFonts w:ascii="宋体" w:hAnsi="宋体" w:cs="宋体" w:eastAsia="宋体" w:hint="default"/>
                <w:sz w:val="18"/>
                <w:szCs w:val="18"/>
              </w:rPr>
              <w:t>、本人及本人近亲属将 尽量避免和减少与天玑 </w:t>
            </w:r>
            <w:r>
              <w:rPr>
                <w:rFonts w:ascii="宋体" w:hAnsi="宋体" w:cs="宋体" w:eastAsia="宋体" w:hint="default"/>
                <w:spacing w:val="-5"/>
                <w:sz w:val="18"/>
                <w:szCs w:val="18"/>
              </w:rPr>
              <w:t>科技之间的关联交易，对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于天玑科技能够通过市 场与独立第三方之间发 </w:t>
            </w:r>
            <w:r>
              <w:rPr>
                <w:rFonts w:ascii="宋体" w:hAnsi="宋体" w:cs="宋体" w:eastAsia="宋体" w:hint="default"/>
                <w:spacing w:val="-5"/>
                <w:sz w:val="18"/>
                <w:szCs w:val="18"/>
              </w:rPr>
              <w:t>生的交易，将由天玑科技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与独立第三方进行。本人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及本人近亲属将严格避 </w:t>
            </w:r>
            <w:r>
              <w:rPr>
                <w:rFonts w:ascii="宋体" w:hAnsi="宋体" w:cs="宋体" w:eastAsia="宋体" w:hint="default"/>
                <w:spacing w:val="-5"/>
                <w:sz w:val="18"/>
                <w:szCs w:val="18"/>
              </w:rPr>
              <w:t>免向天玑科技拆借、占用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天玑科技资金或采取由 </w:t>
            </w:r>
            <w:r>
              <w:rPr>
                <w:rFonts w:ascii="宋体" w:hAnsi="宋体" w:cs="宋体" w:eastAsia="宋体" w:hint="default"/>
                <w:spacing w:val="-5"/>
                <w:sz w:val="18"/>
                <w:szCs w:val="18"/>
              </w:rPr>
              <w:t>天玑科技代垫款、代偿债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务等方式侵占天玑科技 资金。 </w:t>
            </w:r>
            <w:r>
              <w:rPr>
                <w:rFonts w:ascii="Times New Roman" w:hAnsi="Times New Roman" w:cs="Times New Roman" w:eastAsia="Times New Roman" w:hint="default"/>
                <w:sz w:val="18"/>
                <w:szCs w:val="18"/>
              </w:rPr>
              <w:t>2</w:t>
            </w:r>
            <w:r>
              <w:rPr>
                <w:rFonts w:ascii="宋体" w:hAnsi="宋体" w:cs="宋体" w:eastAsia="宋体" w:hint="default"/>
                <w:sz w:val="18"/>
                <w:szCs w:val="18"/>
              </w:rPr>
              <w:t>、对于本人及本人近亲 属与天玑科技及其子公 司之间必需的一切交易 </w:t>
            </w:r>
            <w:r>
              <w:rPr>
                <w:rFonts w:ascii="宋体" w:hAnsi="宋体" w:cs="宋体" w:eastAsia="宋体" w:hint="default"/>
                <w:spacing w:val="-5"/>
                <w:sz w:val="18"/>
                <w:szCs w:val="18"/>
              </w:rPr>
              <w:t>行为，均将严格遵守市场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原则，本着平等互利、等</w:t>
            </w:r>
            <w:r>
              <w:rPr>
                <w:rFonts w:ascii="宋体" w:hAnsi="宋体" w:cs="宋体" w:eastAsia="宋体" w:hint="default"/>
                <w:sz w:val="18"/>
                <w:szCs w:val="18"/>
              </w:rPr>
              <w:t> </w:t>
            </w:r>
            <w:r>
              <w:rPr>
                <w:rFonts w:ascii="宋体" w:hAnsi="宋体" w:cs="宋体" w:eastAsia="宋体" w:hint="default"/>
                <w:spacing w:val="-5"/>
                <w:sz w:val="18"/>
                <w:szCs w:val="18"/>
              </w:rPr>
              <w:t>价有偿的一般原则，公平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合理地进行。交易定价有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政府定价的，执行政府定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价；没有政府定价的，执</w:t>
            </w:r>
            <w:r>
              <w:rPr>
                <w:rFonts w:ascii="宋体" w:hAnsi="宋体" w:cs="宋体" w:eastAsia="宋体" w:hint="default"/>
                <w:sz w:val="18"/>
                <w:szCs w:val="18"/>
              </w:rPr>
              <w:t> </w:t>
            </w:r>
            <w:r>
              <w:rPr>
                <w:rFonts w:ascii="宋体" w:hAnsi="宋体" w:cs="宋体" w:eastAsia="宋体" w:hint="default"/>
                <w:spacing w:val="-5"/>
                <w:sz w:val="18"/>
                <w:szCs w:val="18"/>
              </w:rPr>
              <w:t>行市场公允价格；没有政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府定价且无可参考市场 </w:t>
            </w:r>
            <w:r>
              <w:rPr>
                <w:rFonts w:ascii="宋体" w:hAnsi="宋体" w:cs="宋体" w:eastAsia="宋体" w:hint="default"/>
                <w:spacing w:val="-5"/>
                <w:sz w:val="18"/>
                <w:szCs w:val="18"/>
              </w:rPr>
              <w:t>价格的，按照成本加可比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较的合理利润水平确定 成本价执行。 </w:t>
            </w:r>
            <w:r>
              <w:rPr>
                <w:rFonts w:ascii="Times New Roman" w:hAnsi="Times New Roman" w:cs="Times New Roman" w:eastAsia="Times New Roman" w:hint="default"/>
                <w:sz w:val="18"/>
                <w:szCs w:val="18"/>
              </w:rPr>
              <w:t>3</w:t>
            </w:r>
            <w:r>
              <w:rPr>
                <w:rFonts w:ascii="宋体" w:hAnsi="宋体" w:cs="宋体" w:eastAsia="宋体" w:hint="default"/>
                <w:sz w:val="18"/>
                <w:szCs w:val="18"/>
              </w:rPr>
              <w:t>、与天玑科技及其子公 司之间的关联交易均以 签订书面合同或协议形 </w:t>
            </w:r>
            <w:r>
              <w:rPr>
                <w:rFonts w:ascii="宋体" w:hAnsi="宋体" w:cs="宋体" w:eastAsia="宋体" w:hint="default"/>
                <w:spacing w:val="-5"/>
                <w:sz w:val="18"/>
                <w:szCs w:val="18"/>
              </w:rPr>
              <w:t>式明确规定，并将严格遵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守天玑科技公司章程、关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联交易管理制度等规定 </w:t>
            </w:r>
            <w:r>
              <w:rPr>
                <w:rFonts w:ascii="宋体" w:hAnsi="宋体" w:cs="宋体" w:eastAsia="宋体" w:hint="default"/>
                <w:spacing w:val="-5"/>
                <w:sz w:val="18"/>
                <w:szCs w:val="18"/>
              </w:rPr>
              <w:t>履行必要的法定程序，在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公司权力机构审议有关 关联交易事项时主动依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97"/>
              <w:jc w:val="left"/>
              <w:rPr>
                <w:rFonts w:ascii="宋体" w:hAnsi="宋体" w:cs="宋体" w:eastAsia="宋体" w:hint="default"/>
                <w:sz w:val="18"/>
                <w:szCs w:val="18"/>
              </w:rPr>
            </w:pPr>
            <w:r>
              <w:rPr>
                <w:rFonts w:ascii="宋体" w:hAnsi="宋体" w:cs="宋体" w:eastAsia="宋体" w:hint="default"/>
                <w:sz w:val="18"/>
                <w:szCs w:val="18"/>
              </w:rPr>
              <w:t>至承诺履行 完毕</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3"/>
              <w:jc w:val="left"/>
              <w:rPr>
                <w:rFonts w:ascii="宋体" w:hAnsi="宋体" w:cs="宋体" w:eastAsia="宋体" w:hint="default"/>
                <w:sz w:val="18"/>
                <w:szCs w:val="18"/>
              </w:rPr>
            </w:pPr>
            <w:r>
              <w:rPr>
                <w:rFonts w:ascii="宋体" w:hAnsi="宋体" w:cs="宋体" w:eastAsia="宋体" w:hint="default"/>
                <w:spacing w:val="-8"/>
                <w:sz w:val="18"/>
                <w:szCs w:val="18"/>
              </w:rPr>
              <w:t>告期末，上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述承诺人 严格信守 </w:t>
            </w:r>
            <w:r>
              <w:rPr>
                <w:rFonts w:ascii="宋体" w:hAnsi="宋体" w:cs="宋体" w:eastAsia="宋体" w:hint="default"/>
                <w:spacing w:val="-8"/>
                <w:sz w:val="18"/>
                <w:szCs w:val="18"/>
              </w:rPr>
              <w:t>承诺，未出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现违反承 诺的情况 发生。</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25"/>
        <w:gridCol w:w="994"/>
        <w:gridCol w:w="1274"/>
        <w:gridCol w:w="1985"/>
        <w:gridCol w:w="1133"/>
        <w:gridCol w:w="1135"/>
        <w:gridCol w:w="922"/>
      </w:tblGrid>
      <w:tr>
        <w:trPr>
          <w:trHeight w:val="4106" w:hRule="exact"/>
        </w:trPr>
        <w:tc>
          <w:tcPr>
            <w:tcW w:w="2125" w:type="dxa"/>
            <w:vMerge w:val="restart"/>
            <w:tcBorders>
              <w:top w:val="single" w:sz="4" w:space="0" w:color="000000"/>
              <w:left w:val="single" w:sz="4" w:space="0" w:color="000000"/>
              <w:right w:val="single" w:sz="4" w:space="0" w:color="000000"/>
            </w:tcBorders>
            <w:shd w:val="clear" w:color="auto" w:fill="D4D4D4"/>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1"/>
              <w:jc w:val="left"/>
              <w:rPr>
                <w:rFonts w:ascii="宋体" w:hAnsi="宋体" w:cs="宋体" w:eastAsia="宋体" w:hint="default"/>
                <w:sz w:val="18"/>
                <w:szCs w:val="18"/>
              </w:rPr>
            </w:pPr>
            <w:r>
              <w:rPr>
                <w:rFonts w:ascii="宋体" w:hAnsi="宋体" w:cs="宋体" w:eastAsia="宋体" w:hint="default"/>
                <w:spacing w:val="-5"/>
                <w:sz w:val="18"/>
                <w:szCs w:val="18"/>
              </w:rPr>
              <w:t>法履行回避义务；对须报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经有权机构审议的关联 </w:t>
            </w:r>
            <w:r>
              <w:rPr>
                <w:rFonts w:ascii="宋体" w:hAnsi="宋体" w:cs="宋体" w:eastAsia="宋体" w:hint="default"/>
                <w:spacing w:val="-5"/>
                <w:sz w:val="18"/>
                <w:szCs w:val="18"/>
              </w:rPr>
              <w:t>交易事项，在有权机构审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议通过后方可执行。 </w:t>
            </w:r>
            <w:r>
              <w:rPr>
                <w:rFonts w:ascii="Times New Roman" w:hAnsi="Times New Roman" w:cs="Times New Roman" w:eastAsia="Times New Roman" w:hint="default"/>
                <w:sz w:val="18"/>
                <w:szCs w:val="18"/>
              </w:rPr>
              <w:t>4</w:t>
            </w:r>
            <w:r>
              <w:rPr>
                <w:rFonts w:ascii="宋体" w:hAnsi="宋体" w:cs="宋体" w:eastAsia="宋体" w:hint="default"/>
                <w:sz w:val="18"/>
                <w:szCs w:val="18"/>
              </w:rPr>
              <w:t>、保证不通过关联交易 取得任何不正当的利益 或使天玑科技及其子公 司承担任何不正当的义 </w:t>
            </w:r>
            <w:r>
              <w:rPr>
                <w:rFonts w:ascii="宋体" w:hAnsi="宋体" w:cs="宋体" w:eastAsia="宋体" w:hint="default"/>
                <w:spacing w:val="-5"/>
                <w:sz w:val="18"/>
                <w:szCs w:val="18"/>
              </w:rPr>
              <w:t>务。如果因违反上述承诺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导致天玑科技损失或利 用关联交易侵占天玑科 </w:t>
            </w:r>
            <w:r>
              <w:rPr>
                <w:rFonts w:ascii="宋体" w:hAnsi="宋体" w:cs="宋体" w:eastAsia="宋体" w:hint="default"/>
                <w:spacing w:val="-5"/>
                <w:sz w:val="18"/>
                <w:szCs w:val="18"/>
              </w:rPr>
              <w:t>技利益的，天玑科技的损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失由本人承担。</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6017" w:hRule="exact"/>
        </w:trPr>
        <w:tc>
          <w:tcPr>
            <w:tcW w:w="2125" w:type="dxa"/>
            <w:vMerge/>
            <w:tcBorders>
              <w:left w:val="single" w:sz="4" w:space="0" w:color="000000"/>
              <w:right w:val="single" w:sz="4" w:space="0" w:color="000000"/>
            </w:tcBorders>
            <w:shd w:val="clear" w:color="auto" w:fill="D4D4D4"/>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实际控制 人、控股股 东陆文雄以 及陈宏科、 杜力耘、滕 长春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首发上市承诺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9"/>
              <w:jc w:val="left"/>
              <w:rPr>
                <w:rFonts w:ascii="宋体" w:hAnsi="宋体" w:cs="宋体" w:eastAsia="宋体" w:hint="default"/>
                <w:sz w:val="18"/>
                <w:szCs w:val="18"/>
              </w:rPr>
            </w:pPr>
            <w:r>
              <w:rPr>
                <w:rFonts w:ascii="宋体" w:hAnsi="宋体" w:cs="宋体" w:eastAsia="宋体" w:hint="default"/>
                <w:sz w:val="18"/>
                <w:szCs w:val="18"/>
              </w:rPr>
              <w:t>资金占用情况的说明及 承诺</w:t>
            </w:r>
          </w:p>
          <w:p>
            <w:pPr>
              <w:pStyle w:val="TableParagraph"/>
              <w:spacing w:line="312" w:lineRule="auto" w:before="19"/>
              <w:ind w:left="23"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月，实际控制 </w:t>
            </w:r>
            <w:r>
              <w:rPr>
                <w:rFonts w:ascii="宋体" w:hAnsi="宋体" w:cs="宋体" w:eastAsia="宋体" w:hint="default"/>
                <w:spacing w:val="-5"/>
                <w:sz w:val="18"/>
                <w:szCs w:val="18"/>
              </w:rPr>
              <w:t>人、控股股东陆文雄以及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陈宏科、杜力耘、滕长春</w:t>
            </w:r>
            <w:r>
              <w:rPr>
                <w:rFonts w:ascii="宋体" w:hAnsi="宋体" w:cs="宋体" w:eastAsia="宋体" w:hint="default"/>
                <w:sz w:val="18"/>
                <w:szCs w:val="18"/>
              </w:rPr>
              <w:t> 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人分别签署了《关于</w:t>
            </w:r>
            <w:r>
              <w:rPr>
                <w:rFonts w:ascii="宋体" w:hAnsi="宋体" w:cs="宋体" w:eastAsia="宋体" w:hint="default"/>
                <w:sz w:val="18"/>
                <w:szCs w:val="18"/>
              </w:rPr>
              <w:t> 资金占用情况的说明及 </w:t>
            </w:r>
            <w:r>
              <w:rPr>
                <w:rFonts w:ascii="宋体" w:hAnsi="宋体" w:cs="宋体" w:eastAsia="宋体" w:hint="default"/>
                <w:spacing w:val="-11"/>
                <w:sz w:val="18"/>
                <w:szCs w:val="18"/>
              </w:rPr>
              <w:t>承诺》，承诺：</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自</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2008</w:t>
            </w:r>
            <w:r>
              <w:rPr>
                <w:rFonts w:ascii="Times New Roman" w:hAnsi="Times New Roman" w:cs="Times New Roman" w:eastAsia="Times New Roman" w:hint="default"/>
                <w:sz w:val="18"/>
                <w:szCs w:val="18"/>
              </w:rPr>
            </w:r>
          </w:p>
          <w:p>
            <w:pPr>
              <w:pStyle w:val="TableParagraph"/>
              <w:spacing w:line="316" w:lineRule="auto" w:before="3"/>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月起，本人已不存在</w:t>
            </w:r>
            <w:r>
              <w:rPr>
                <w:rFonts w:ascii="宋体" w:hAnsi="宋体" w:cs="宋体" w:eastAsia="宋体" w:hint="default"/>
                <w:sz w:val="18"/>
                <w:szCs w:val="18"/>
              </w:rPr>
              <w:t> </w:t>
            </w:r>
            <w:r>
              <w:rPr>
                <w:rFonts w:ascii="宋体" w:hAnsi="宋体" w:cs="宋体" w:eastAsia="宋体" w:hint="default"/>
                <w:spacing w:val="-5"/>
                <w:sz w:val="18"/>
                <w:szCs w:val="18"/>
              </w:rPr>
              <w:t>以借款、代偿债务、代垫</w:t>
            </w:r>
            <w:r>
              <w:rPr>
                <w:rFonts w:ascii="宋体" w:hAnsi="宋体" w:cs="宋体" w:eastAsia="宋体" w:hint="default"/>
                <w:sz w:val="18"/>
                <w:szCs w:val="18"/>
              </w:rPr>
              <w:t> 款项或者其他方式违规 </w:t>
            </w:r>
            <w:r>
              <w:rPr>
                <w:rFonts w:ascii="宋体" w:hAnsi="宋体" w:cs="宋体" w:eastAsia="宋体" w:hint="default"/>
                <w:spacing w:val="-5"/>
                <w:sz w:val="18"/>
                <w:szCs w:val="18"/>
              </w:rPr>
              <w:t>占用天玑科技、天玑有限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资金的情形。并且，本人</w:t>
            </w:r>
            <w:r>
              <w:rPr>
                <w:rFonts w:ascii="宋体" w:hAnsi="宋体" w:cs="宋体" w:eastAsia="宋体" w:hint="default"/>
                <w:sz w:val="18"/>
                <w:szCs w:val="18"/>
              </w:rPr>
              <w:t> 承诺将加强相关法律法 </w:t>
            </w:r>
            <w:r>
              <w:rPr>
                <w:rFonts w:ascii="宋体" w:hAnsi="宋体" w:cs="宋体" w:eastAsia="宋体" w:hint="default"/>
                <w:spacing w:val="-5"/>
                <w:sz w:val="18"/>
                <w:szCs w:val="18"/>
              </w:rPr>
              <w:t>规学习，未来不再发生类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似违规资金占用行为，若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违背承诺，本人将承担由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此导致的一切法律后果 及相应责任。</w:t>
            </w:r>
            <w:r>
              <w:rPr>
                <w:rFonts w:ascii="Times New Roman" w:hAnsi="Times New Roman" w:cs="Times New Roman" w:eastAsia="Times New Roman"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6" w:right="197"/>
              <w:jc w:val="both"/>
              <w:rPr>
                <w:rFonts w:ascii="宋体" w:hAnsi="宋体" w:cs="宋体" w:eastAsia="宋体" w:hint="default"/>
                <w:sz w:val="18"/>
                <w:szCs w:val="18"/>
              </w:rPr>
            </w:pPr>
            <w:r>
              <w:rPr>
                <w:rFonts w:ascii="宋体" w:hAnsi="宋体" w:cs="宋体" w:eastAsia="宋体" w:hint="default"/>
                <w:sz w:val="18"/>
                <w:szCs w:val="18"/>
              </w:rPr>
              <w:t>作出承诺时 至承诺履行 完毕</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23"/>
              <w:jc w:val="left"/>
              <w:rPr>
                <w:rFonts w:ascii="宋体" w:hAnsi="宋体" w:cs="宋体" w:eastAsia="宋体" w:hint="default"/>
                <w:sz w:val="18"/>
                <w:szCs w:val="18"/>
              </w:rPr>
            </w:pPr>
            <w:r>
              <w:rPr>
                <w:rFonts w:ascii="宋体" w:hAnsi="宋体" w:cs="宋体" w:eastAsia="宋体" w:hint="default"/>
                <w:sz w:val="18"/>
                <w:szCs w:val="18"/>
              </w:rPr>
              <w:t>截止到报 </w:t>
            </w:r>
            <w:r>
              <w:rPr>
                <w:rFonts w:ascii="宋体" w:hAnsi="宋体" w:cs="宋体" w:eastAsia="宋体" w:hint="default"/>
                <w:spacing w:val="-8"/>
                <w:sz w:val="18"/>
                <w:szCs w:val="18"/>
              </w:rPr>
              <w:t>告期末，上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述承诺人 严格信守 </w:t>
            </w:r>
            <w:r>
              <w:rPr>
                <w:rFonts w:ascii="宋体" w:hAnsi="宋体" w:cs="宋体" w:eastAsia="宋体" w:hint="default"/>
                <w:spacing w:val="-8"/>
                <w:sz w:val="18"/>
                <w:szCs w:val="18"/>
              </w:rPr>
              <w:t>承诺，未出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现违反承 诺的情况 发生。</w:t>
            </w:r>
          </w:p>
        </w:tc>
      </w:tr>
      <w:tr>
        <w:trPr>
          <w:trHeight w:val="3794" w:hRule="exact"/>
        </w:trPr>
        <w:tc>
          <w:tcPr>
            <w:tcW w:w="2125" w:type="dxa"/>
            <w:vMerge/>
            <w:tcBorders>
              <w:left w:val="single" w:sz="4" w:space="0" w:color="000000"/>
              <w:bottom w:val="single" w:sz="4" w:space="0" w:color="000000"/>
              <w:right w:val="single" w:sz="4" w:space="0" w:color="000000"/>
            </w:tcBorders>
            <w:shd w:val="clear" w:color="auto" w:fill="D4D4D4"/>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实际控制 人、控股股 东陆文雄</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首发上市承诺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5"/>
                <w:sz w:val="18"/>
                <w:szCs w:val="18"/>
              </w:rPr>
              <w:t>首次公开发行股票前，控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股股东就上市前已注销 的控股子公司若发生税 收补缴作出的承诺 控股股东陆文雄先生出 </w:t>
            </w:r>
            <w:r>
              <w:rPr>
                <w:rFonts w:ascii="宋体" w:hAnsi="宋体" w:cs="宋体" w:eastAsia="宋体" w:hint="default"/>
                <w:spacing w:val="-5"/>
                <w:sz w:val="18"/>
                <w:szCs w:val="18"/>
              </w:rPr>
              <w:t>具承诺函，承诺一旦发行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人因上市前已注销控股 子公司存在税收被追缴 </w:t>
            </w:r>
            <w:r>
              <w:rPr>
                <w:rFonts w:ascii="宋体" w:hAnsi="宋体" w:cs="宋体" w:eastAsia="宋体" w:hint="default"/>
                <w:spacing w:val="-5"/>
                <w:sz w:val="18"/>
                <w:szCs w:val="18"/>
              </w:rPr>
              <w:t>的风险，而需由发行人承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担相应法律责任，且导致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发行人遭受经济损失及 </w:t>
            </w:r>
            <w:r>
              <w:rPr>
                <w:rFonts w:ascii="宋体" w:hAnsi="宋体" w:cs="宋体" w:eastAsia="宋体" w:hint="default"/>
                <w:spacing w:val="-5"/>
                <w:sz w:val="18"/>
                <w:szCs w:val="18"/>
              </w:rPr>
              <w:t>其他重大风险的，则发行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26" w:right="197"/>
              <w:jc w:val="both"/>
              <w:rPr>
                <w:rFonts w:ascii="宋体" w:hAnsi="宋体" w:cs="宋体" w:eastAsia="宋体" w:hint="default"/>
                <w:sz w:val="18"/>
                <w:szCs w:val="18"/>
              </w:rPr>
            </w:pPr>
            <w:r>
              <w:rPr>
                <w:rFonts w:ascii="宋体" w:hAnsi="宋体" w:cs="宋体" w:eastAsia="宋体" w:hint="default"/>
                <w:sz w:val="18"/>
                <w:szCs w:val="18"/>
              </w:rPr>
              <w:t>作出承诺时 至承诺履行 完毕</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截止到报 </w:t>
            </w:r>
            <w:r>
              <w:rPr>
                <w:rFonts w:ascii="宋体" w:hAnsi="宋体" w:cs="宋体" w:eastAsia="宋体" w:hint="default"/>
                <w:spacing w:val="-8"/>
                <w:sz w:val="18"/>
                <w:szCs w:val="18"/>
              </w:rPr>
              <w:t>告期末，上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述承诺人 严格信守 </w:t>
            </w:r>
            <w:r>
              <w:rPr>
                <w:rFonts w:ascii="宋体" w:hAnsi="宋体" w:cs="宋体" w:eastAsia="宋体" w:hint="default"/>
                <w:spacing w:val="-8"/>
                <w:sz w:val="18"/>
                <w:szCs w:val="18"/>
              </w:rPr>
              <w:t>承诺，未出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现违反承 诺的情况 发生。</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25"/>
        <w:gridCol w:w="994"/>
        <w:gridCol w:w="1274"/>
        <w:gridCol w:w="1985"/>
        <w:gridCol w:w="1133"/>
        <w:gridCol w:w="1135"/>
        <w:gridCol w:w="919"/>
      </w:tblGrid>
      <w:tr>
        <w:trPr>
          <w:trHeight w:val="1922" w:hRule="exact"/>
        </w:trPr>
        <w:tc>
          <w:tcPr>
            <w:tcW w:w="2125" w:type="dxa"/>
            <w:vMerge w:val="restart"/>
            <w:tcBorders>
              <w:top w:val="single" w:sz="4" w:space="0" w:color="000000"/>
              <w:left w:val="single" w:sz="4" w:space="0" w:color="000000"/>
              <w:right w:val="single" w:sz="4" w:space="0" w:color="000000"/>
            </w:tcBorders>
            <w:shd w:val="clear" w:color="auto" w:fill="D4D4D4"/>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1"/>
              <w:jc w:val="left"/>
              <w:rPr>
                <w:rFonts w:ascii="宋体" w:hAnsi="宋体" w:cs="宋体" w:eastAsia="宋体" w:hint="default"/>
                <w:sz w:val="18"/>
                <w:szCs w:val="18"/>
              </w:rPr>
            </w:pPr>
            <w:r>
              <w:rPr>
                <w:rFonts w:ascii="宋体" w:hAnsi="宋体" w:cs="宋体" w:eastAsia="宋体" w:hint="default"/>
                <w:sz w:val="18"/>
                <w:szCs w:val="18"/>
              </w:rPr>
              <w:t>人控股股东陆文雄先生 </w:t>
            </w:r>
            <w:r>
              <w:rPr>
                <w:rFonts w:ascii="宋体" w:hAnsi="宋体" w:cs="宋体" w:eastAsia="宋体" w:hint="default"/>
                <w:spacing w:val="-5"/>
                <w:sz w:val="18"/>
                <w:szCs w:val="18"/>
              </w:rPr>
              <w:t>将予以全额承担，并根据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发行人的要求，对发行人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由此遭受的直接和间接 损失无条件给予足额现 金补偿。</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5393" w:hRule="exact"/>
        </w:trPr>
        <w:tc>
          <w:tcPr>
            <w:tcW w:w="2125" w:type="dxa"/>
            <w:vMerge/>
            <w:tcBorders>
              <w:left w:val="single" w:sz="4" w:space="0" w:color="000000"/>
              <w:bottom w:val="single" w:sz="4" w:space="0" w:color="000000"/>
              <w:right w:val="single" w:sz="4" w:space="0" w:color="000000"/>
            </w:tcBorders>
            <w:shd w:val="clear" w:color="auto" w:fill="D4D4D4"/>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实际控制 人、控股股 东陆文雄</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首发上市承诺</w:t>
            </w:r>
          </w:p>
        </w:tc>
        <w:tc>
          <w:tcPr>
            <w:tcW w:w="1985"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49"/>
              <w:ind w:left="23" w:right="-37"/>
              <w:jc w:val="left"/>
              <w:rPr>
                <w:rFonts w:ascii="宋体" w:hAnsi="宋体" w:cs="宋体" w:eastAsia="宋体" w:hint="default"/>
                <w:sz w:val="18"/>
                <w:szCs w:val="18"/>
              </w:rPr>
            </w:pPr>
            <w:r>
              <w:rPr>
                <w:rFonts w:ascii="宋体" w:hAnsi="宋体" w:cs="宋体" w:eastAsia="宋体" w:hint="default"/>
                <w:spacing w:val="-5"/>
                <w:sz w:val="18"/>
                <w:szCs w:val="18"/>
              </w:rPr>
              <w:t>首次公开发行股票前，补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缴社会保险或住房公积 金的承诺控股股东陆文 </w:t>
            </w:r>
            <w:r>
              <w:rPr>
                <w:rFonts w:ascii="宋体" w:hAnsi="宋体" w:cs="宋体" w:eastAsia="宋体" w:hint="default"/>
                <w:spacing w:val="-5"/>
                <w:sz w:val="18"/>
                <w:szCs w:val="18"/>
              </w:rPr>
              <w:t>雄出具书面承诺函，承诺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在任何期间，若由于发行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人及其控股子公司、分公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司的各项社会保险和住 房公积金缴纳事宜存在 或可能存在的瑕疵问题， 而给发行人及其控股子 </w:t>
            </w:r>
            <w:r>
              <w:rPr>
                <w:rFonts w:ascii="宋体" w:hAnsi="宋体" w:cs="宋体" w:eastAsia="宋体" w:hint="default"/>
                <w:spacing w:val="-5"/>
                <w:sz w:val="18"/>
                <w:szCs w:val="18"/>
              </w:rPr>
              <w:t>公司、分公司造成直接和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间接损失及</w:t>
            </w:r>
            <w:r>
              <w:rPr>
                <w:rFonts w:ascii="Times New Roman" w:hAnsi="Times New Roman" w:cs="Times New Roman" w:eastAsia="Times New Roman" w:hint="default"/>
                <w:sz w:val="18"/>
                <w:szCs w:val="18"/>
              </w:rPr>
              <w:t>/</w:t>
            </w:r>
            <w:r>
              <w:rPr>
                <w:rFonts w:ascii="宋体" w:hAnsi="宋体" w:cs="宋体" w:eastAsia="宋体" w:hint="default"/>
                <w:sz w:val="18"/>
                <w:szCs w:val="18"/>
              </w:rPr>
              <w:t>或因此产生 </w:t>
            </w:r>
            <w:r>
              <w:rPr>
                <w:rFonts w:ascii="宋体" w:hAnsi="宋体" w:cs="宋体" w:eastAsia="宋体" w:hint="default"/>
                <w:spacing w:val="-5"/>
                <w:sz w:val="18"/>
                <w:szCs w:val="18"/>
              </w:rPr>
              <w:t>相关费用（包括但不限于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被有权部门要求补缴、被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处罚）的，陆文雄本人将</w:t>
            </w:r>
            <w:r>
              <w:rPr>
                <w:rFonts w:ascii="宋体" w:hAnsi="宋体" w:cs="宋体" w:eastAsia="宋体" w:hint="default"/>
                <w:sz w:val="18"/>
                <w:szCs w:val="18"/>
              </w:rPr>
              <w:t> 无条件地予以全额承担 和补偿。</w:t>
            </w:r>
          </w:p>
        </w:tc>
        <w:tc>
          <w:tcPr>
            <w:tcW w:w="113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6" w:right="197"/>
              <w:jc w:val="both"/>
              <w:rPr>
                <w:rFonts w:ascii="宋体" w:hAnsi="宋体" w:cs="宋体" w:eastAsia="宋体" w:hint="default"/>
                <w:sz w:val="18"/>
                <w:szCs w:val="18"/>
              </w:rPr>
            </w:pPr>
            <w:r>
              <w:rPr>
                <w:rFonts w:ascii="宋体" w:hAnsi="宋体" w:cs="宋体" w:eastAsia="宋体" w:hint="default"/>
                <w:sz w:val="18"/>
                <w:szCs w:val="18"/>
              </w:rPr>
              <w:t>作出承诺时 至承诺履行 完毕</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截止到报 </w:t>
            </w:r>
            <w:r>
              <w:rPr>
                <w:rFonts w:ascii="宋体" w:hAnsi="宋体" w:cs="宋体" w:eastAsia="宋体" w:hint="default"/>
                <w:spacing w:val="-8"/>
                <w:sz w:val="18"/>
                <w:szCs w:val="18"/>
              </w:rPr>
              <w:t>告期末，上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述承诺人 严格信守 </w:t>
            </w:r>
            <w:r>
              <w:rPr>
                <w:rFonts w:ascii="宋体" w:hAnsi="宋体" w:cs="宋体" w:eastAsia="宋体" w:hint="default"/>
                <w:spacing w:val="-8"/>
                <w:sz w:val="18"/>
                <w:szCs w:val="18"/>
              </w:rPr>
              <w:t>承诺，未出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现违反承 诺的情况 发生。</w:t>
            </w:r>
          </w:p>
        </w:tc>
      </w:tr>
      <w:tr>
        <w:trPr>
          <w:trHeight w:val="1651" w:hRule="exact"/>
        </w:trPr>
        <w:tc>
          <w:tcPr>
            <w:tcW w:w="212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9"/>
              <w:jc w:val="both"/>
              <w:rPr>
                <w:rFonts w:ascii="宋体" w:hAnsi="宋体" w:cs="宋体" w:eastAsia="宋体" w:hint="default"/>
                <w:sz w:val="18"/>
                <w:szCs w:val="18"/>
              </w:rPr>
            </w:pPr>
            <w:r>
              <w:rPr>
                <w:rFonts w:ascii="宋体" w:hAnsi="宋体" w:cs="宋体" w:eastAsia="宋体" w:hint="default"/>
                <w:sz w:val="18"/>
                <w:szCs w:val="18"/>
              </w:rPr>
              <w:t>上海天玑科 技股份有限 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985"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2" w:lineRule="auto"/>
              <w:ind w:left="23" w:right="-37"/>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以上的主要股东 或实际控制人及其配偶、 直系近亲属未参与本激 励计划。</w:t>
            </w:r>
          </w:p>
        </w:tc>
        <w:tc>
          <w:tcPr>
            <w:tcW w:w="113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auto" w:before="63"/>
              <w:ind w:left="26" w:right="149"/>
              <w:jc w:val="both"/>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日至本次 股权激励计 划终止或有 效期结束</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截止到报 </w:t>
            </w:r>
            <w:r>
              <w:rPr>
                <w:rFonts w:ascii="宋体" w:hAnsi="宋体" w:cs="宋体" w:eastAsia="宋体" w:hint="default"/>
                <w:spacing w:val="-8"/>
                <w:sz w:val="18"/>
                <w:szCs w:val="18"/>
              </w:rPr>
              <w:t>告期末，完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全履行上 述承诺。</w:t>
            </w:r>
          </w:p>
        </w:tc>
      </w:tr>
      <w:tr>
        <w:trPr>
          <w:trHeight w:val="1649" w:hRule="exact"/>
        </w:trPr>
        <w:tc>
          <w:tcPr>
            <w:tcW w:w="2125" w:type="dxa"/>
            <w:vMerge/>
            <w:tcBorders>
              <w:left w:val="single" w:sz="4" w:space="0" w:color="000000"/>
              <w:bottom w:val="single" w:sz="4" w:space="0" w:color="000000"/>
              <w:right w:val="single" w:sz="4" w:space="0" w:color="000000"/>
            </w:tcBorders>
            <w:shd w:val="clear" w:color="auto" w:fill="D4D4D4"/>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9"/>
              <w:jc w:val="both"/>
              <w:rPr>
                <w:rFonts w:ascii="宋体" w:hAnsi="宋体" w:cs="宋体" w:eastAsia="宋体" w:hint="default"/>
                <w:sz w:val="18"/>
                <w:szCs w:val="18"/>
              </w:rPr>
            </w:pPr>
            <w:r>
              <w:rPr>
                <w:rFonts w:ascii="宋体" w:hAnsi="宋体" w:cs="宋体" w:eastAsia="宋体" w:hint="default"/>
                <w:sz w:val="18"/>
                <w:szCs w:val="18"/>
              </w:rPr>
              <w:t>上海天玑科 技股份有限 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不为激励对象依本激励 计划获取有关限制性股 票提供贷款以及其他任 </w:t>
            </w:r>
            <w:r>
              <w:rPr>
                <w:rFonts w:ascii="宋体" w:hAnsi="宋体" w:cs="宋体" w:eastAsia="宋体" w:hint="default"/>
                <w:spacing w:val="-5"/>
                <w:sz w:val="18"/>
                <w:szCs w:val="18"/>
              </w:rPr>
              <w:t>何形式的财务资助，包括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为其贷款提供担保。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auto" w:before="63"/>
              <w:ind w:left="26" w:right="149"/>
              <w:jc w:val="both"/>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日至本次 股权激励计 划终止或有 效期结束</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截止到报 </w:t>
            </w:r>
            <w:r>
              <w:rPr>
                <w:rFonts w:ascii="宋体" w:hAnsi="宋体" w:cs="宋体" w:eastAsia="宋体" w:hint="default"/>
                <w:spacing w:val="-8"/>
                <w:sz w:val="18"/>
                <w:szCs w:val="18"/>
              </w:rPr>
              <w:t>告期末，完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全履行上 述承诺。</w:t>
            </w:r>
          </w:p>
        </w:tc>
      </w:tr>
      <w:tr>
        <w:trPr>
          <w:trHeight w:val="3170" w:hRule="exact"/>
        </w:trPr>
        <w:tc>
          <w:tcPr>
            <w:tcW w:w="21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其他对公司中小股东所作 承诺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4" w:right="59"/>
              <w:jc w:val="both"/>
              <w:rPr>
                <w:rFonts w:ascii="宋体" w:hAnsi="宋体" w:cs="宋体" w:eastAsia="宋体" w:hint="default"/>
                <w:sz w:val="18"/>
                <w:szCs w:val="18"/>
              </w:rPr>
            </w:pPr>
            <w:r>
              <w:rPr>
                <w:rFonts w:ascii="宋体" w:hAnsi="宋体" w:cs="宋体" w:eastAsia="宋体" w:hint="default"/>
                <w:sz w:val="18"/>
                <w:szCs w:val="18"/>
              </w:rPr>
              <w:t>陆文雄、杜 力耘、陈宏 科、楼晔、 姜蓓蓓、武 雪松、陆廷 洁</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股份增持承诺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一、为维护公司股价稳 </w:t>
            </w:r>
            <w:r>
              <w:rPr>
                <w:rFonts w:ascii="宋体" w:hAnsi="宋体" w:cs="宋体" w:eastAsia="宋体" w:hint="default"/>
                <w:spacing w:val="-5"/>
                <w:sz w:val="18"/>
                <w:szCs w:val="18"/>
              </w:rPr>
              <w:t>定，切实维护广大投资者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权益，同时基于对公司未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来发展和长期投资价值 </w:t>
            </w:r>
            <w:r>
              <w:rPr>
                <w:rFonts w:ascii="宋体" w:hAnsi="宋体" w:cs="宋体" w:eastAsia="宋体" w:hint="default"/>
                <w:spacing w:val="-5"/>
                <w:sz w:val="18"/>
                <w:szCs w:val="18"/>
              </w:rPr>
              <w:t>的信心，公司控股股东及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部分董事、高级管理人员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计划自公司复牌之日起 </w:t>
            </w:r>
            <w:r>
              <w:rPr>
                <w:rFonts w:ascii="宋体" w:hAnsi="宋体" w:cs="宋体" w:eastAsia="宋体" w:hint="default"/>
                <w:spacing w:val="-5"/>
                <w:sz w:val="18"/>
                <w:szCs w:val="18"/>
              </w:rPr>
              <w:t>六个月内，根据中国证监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会和深圳证券交易所的 </w:t>
            </w:r>
            <w:r>
              <w:rPr>
                <w:rFonts w:ascii="宋体" w:hAnsi="宋体" w:cs="宋体" w:eastAsia="宋体" w:hint="default"/>
                <w:spacing w:val="-5"/>
                <w:sz w:val="18"/>
                <w:szCs w:val="18"/>
              </w:rPr>
              <w:t>有关规定，通过在二级市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已增持完毕</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3" w:right="19"/>
              <w:jc w:val="left"/>
              <w:rPr>
                <w:rFonts w:ascii="宋体" w:hAnsi="宋体" w:cs="宋体" w:eastAsia="宋体" w:hint="default"/>
                <w:sz w:val="18"/>
                <w:szCs w:val="18"/>
              </w:rPr>
            </w:pPr>
            <w:r>
              <w:rPr>
                <w:rFonts w:ascii="宋体" w:hAnsi="宋体" w:cs="宋体" w:eastAsia="宋体" w:hint="default"/>
                <w:sz w:val="18"/>
                <w:szCs w:val="18"/>
              </w:rPr>
              <w:t>截止到报 </w:t>
            </w:r>
            <w:r>
              <w:rPr>
                <w:rFonts w:ascii="宋体" w:hAnsi="宋体" w:cs="宋体" w:eastAsia="宋体" w:hint="default"/>
                <w:spacing w:val="-8"/>
                <w:sz w:val="18"/>
                <w:szCs w:val="18"/>
              </w:rPr>
              <w:t>告期末，上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述承诺人 严格信守 </w:t>
            </w:r>
            <w:r>
              <w:rPr>
                <w:rFonts w:ascii="宋体" w:hAnsi="宋体" w:cs="宋体" w:eastAsia="宋体" w:hint="default"/>
                <w:spacing w:val="-8"/>
                <w:sz w:val="18"/>
                <w:szCs w:val="18"/>
              </w:rPr>
              <w:t>承诺，未出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现违反承 诺的情况 发生。</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97.722992pt;margin-top:72.47998pt;width:134.4pt;height:686.4pt;mso-position-horizontal-relative:page;mso-position-vertical-relative:page;z-index:-9061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陆廷洁董事会秘书、</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25"/>
        <w:gridCol w:w="994"/>
        <w:gridCol w:w="1274"/>
        <w:gridCol w:w="1985"/>
        <w:gridCol w:w="1133"/>
        <w:gridCol w:w="1135"/>
        <w:gridCol w:w="919"/>
      </w:tblGrid>
      <w:tr>
        <w:trPr>
          <w:trHeight w:val="315" w:hRule="exact"/>
        </w:trPr>
        <w:tc>
          <w:tcPr>
            <w:tcW w:w="2125" w:type="dxa"/>
            <w:vMerge w:val="restart"/>
            <w:tcBorders>
              <w:top w:val="single" w:sz="4" w:space="0" w:color="000000"/>
              <w:left w:val="single" w:sz="4" w:space="0" w:color="000000"/>
              <w:right w:val="single" w:sz="4" w:space="0" w:color="000000"/>
            </w:tcBorders>
            <w:shd w:val="clear" w:color="auto" w:fill="D4D4D4"/>
          </w:tcPr>
          <w:p>
            <w:pPr/>
          </w:p>
        </w:tc>
        <w:tc>
          <w:tcPr>
            <w:tcW w:w="994" w:type="dxa"/>
            <w:vMerge w:val="restart"/>
            <w:tcBorders>
              <w:top w:val="single" w:sz="4" w:space="0" w:color="000000"/>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
        </w:tc>
        <w:tc>
          <w:tcPr>
            <w:tcW w:w="19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pacing w:val="-5"/>
                <w:sz w:val="18"/>
                <w:szCs w:val="18"/>
              </w:rPr>
              <w:t>场或者证券公司、基金管</w:t>
            </w:r>
          </w:p>
        </w:tc>
        <w:tc>
          <w:tcPr>
            <w:tcW w:w="1133" w:type="dxa"/>
            <w:vMerge w:val="restart"/>
            <w:tcBorders>
              <w:top w:val="single" w:sz="4" w:space="0" w:color="000000"/>
              <w:left w:val="single" w:sz="4" w:space="0" w:color="000000"/>
              <w:right w:val="single" w:sz="4" w:space="0" w:color="000000"/>
            </w:tcBorders>
          </w:tcPr>
          <w:p>
            <w:pPr>
              <w:pStyle w:val="TableParagraph"/>
              <w:spacing w:line="13728"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6.3pt;height:686.4pt;mso-position-horizontal-relative:char;mso-position-vertical-relative:line" coordorigin="0,0" coordsize="1126,13728">
                  <v:group style="position:absolute;left:0;top:0;width:1126;height:13728" coordorigin="0,0" coordsize="1126,13728">
                    <v:shape style="position:absolute;left:0;top:0;width:1126;height:13728" coordorigin="0,0" coordsize="1126,13728" path="m0,13728l1126,13728,1126,0,0,0,0,13728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35"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r>
      <w:tr>
        <w:trPr>
          <w:trHeight w:val="312" w:hRule="exact"/>
        </w:trPr>
        <w:tc>
          <w:tcPr>
            <w:tcW w:w="2125"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理公司定向资产管理等</w:t>
            </w: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125"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方式购买本公司股票，具</w:t>
            </w: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125"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体增持计划如下。</w:t>
            </w: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7" w:hRule="exact"/>
        </w:trPr>
        <w:tc>
          <w:tcPr>
            <w:tcW w:w="2125"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）杜力耘董事、总经</w:t>
            </w: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07" w:hRule="exact"/>
        </w:trPr>
        <w:tc>
          <w:tcPr>
            <w:tcW w:w="2125"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理增持金额不低于人民</w:t>
            </w: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7" w:hRule="exact"/>
        </w:trPr>
        <w:tc>
          <w:tcPr>
            <w:tcW w:w="2125"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125"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）陈宏科董事、副总</w:t>
            </w: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07" w:hRule="exact"/>
        </w:trPr>
        <w:tc>
          <w:tcPr>
            <w:tcW w:w="2125"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经理增持金额不低于人</w:t>
            </w: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7" w:hRule="exact"/>
        </w:trPr>
        <w:tc>
          <w:tcPr>
            <w:tcW w:w="2125"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125"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）楼晔董事增持金额</w:t>
            </w: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125"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不低于人民币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8,000,000</w:t>
            </w: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07" w:hRule="exact"/>
        </w:trPr>
        <w:tc>
          <w:tcPr>
            <w:tcW w:w="2125"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7" w:hRule="exact"/>
        </w:trPr>
        <w:tc>
          <w:tcPr>
            <w:tcW w:w="2125"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）武雪松董事</w:t>
            </w: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07" w:hRule="exact"/>
        </w:trPr>
        <w:tc>
          <w:tcPr>
            <w:tcW w:w="2125"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增持金额不低于人民币</w:t>
            </w: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7" w:hRule="exact"/>
        </w:trPr>
        <w:tc>
          <w:tcPr>
            <w:tcW w:w="2125"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180,000 </w:t>
            </w:r>
            <w:r>
              <w:rPr>
                <w:rFonts w:ascii="宋体" w:hAnsi="宋体" w:cs="宋体" w:eastAsia="宋体" w:hint="default"/>
                <w:sz w:val="18"/>
                <w:szCs w:val="18"/>
              </w:rPr>
              <w:t>元。</w:t>
            </w: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125"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07" w:hRule="exact"/>
        </w:trPr>
        <w:tc>
          <w:tcPr>
            <w:tcW w:w="2125"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副总经理</w:t>
            </w:r>
            <w:r>
              <w:rPr>
                <w:rFonts w:ascii="宋体" w:hAnsi="宋体" w:cs="宋体" w:eastAsia="宋体" w:hint="default"/>
                <w:spacing w:val="1"/>
                <w:sz w:val="18"/>
                <w:szCs w:val="18"/>
              </w:rPr>
              <w:t> </w:t>
            </w:r>
            <w:r>
              <w:rPr>
                <w:rFonts w:ascii="宋体" w:hAnsi="宋体" w:cs="宋体" w:eastAsia="宋体" w:hint="default"/>
                <w:sz w:val="18"/>
                <w:szCs w:val="18"/>
              </w:rPr>
              <w:t>增持金额不低</w:t>
            </w: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7" w:hRule="exact"/>
        </w:trPr>
        <w:tc>
          <w:tcPr>
            <w:tcW w:w="2125"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125"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、公司控股股东、董事</w:t>
            </w: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07" w:hRule="exact"/>
        </w:trPr>
        <w:tc>
          <w:tcPr>
            <w:tcW w:w="2125"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5"/>
                <w:sz w:val="18"/>
                <w:szCs w:val="18"/>
              </w:rPr>
              <w:t>长陆文雄及董事、副总经</w:t>
            </w: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125"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理姜蓓蓓虽未在过去六</w:t>
            </w: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125"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个月内减持过本公司股</w:t>
            </w: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125"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票，但基于对公司未来发</w:t>
            </w: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125"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展和长期投资价值的信</w:t>
            </w: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125"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心，同时为维护公司股价</w:t>
            </w: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125"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稳定，切实维护广大投资</w:t>
            </w: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125"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者权益，承诺自公司复牌</w:t>
            </w: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125"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之日起六个月内，根据中</w:t>
            </w: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125"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国证监会和深圳证券交</w:t>
            </w: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125"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易所的有关规定，通过在</w:t>
            </w: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125"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29"/>
              <w:jc w:val="left"/>
              <w:rPr>
                <w:rFonts w:ascii="宋体" w:hAnsi="宋体" w:cs="宋体" w:eastAsia="宋体" w:hint="default"/>
                <w:sz w:val="18"/>
                <w:szCs w:val="18"/>
              </w:rPr>
            </w:pPr>
            <w:r>
              <w:rPr>
                <w:rFonts w:ascii="宋体" w:hAnsi="宋体" w:cs="宋体" w:eastAsia="宋体" w:hint="default"/>
                <w:sz w:val="18"/>
                <w:szCs w:val="18"/>
              </w:rPr>
              <w:t>二级市场或者证券公司、</w:t>
            </w: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125"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基金管理公司定向资产</w:t>
            </w: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125"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管理等方式购买本公司</w:t>
            </w: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125"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股票，增持金额均不低于</w:t>
            </w: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7" w:hRule="exact"/>
        </w:trPr>
        <w:tc>
          <w:tcPr>
            <w:tcW w:w="2125"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07" w:hRule="exact"/>
        </w:trPr>
        <w:tc>
          <w:tcPr>
            <w:tcW w:w="2125"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5"/>
                <w:sz w:val="18"/>
                <w:szCs w:val="18"/>
              </w:rPr>
              <w:t>二、本次增持属公司控股</w:t>
            </w: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125"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股东及部分董事、高级管</w:t>
            </w: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125"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理人员个人行为，增持所</w:t>
            </w: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125"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需资金由其自筹取得。</w:t>
            </w: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125"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三、参与本次增持的控股</w:t>
            </w: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125"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股东及部分董事、高级管</w:t>
            </w: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2" w:hRule="exact"/>
        </w:trPr>
        <w:tc>
          <w:tcPr>
            <w:tcW w:w="2125" w:type="dxa"/>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理人员承诺：在增持期间</w:t>
            </w: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19" w:hRule="exact"/>
        </w:trPr>
        <w:tc>
          <w:tcPr>
            <w:tcW w:w="2125" w:type="dxa"/>
            <w:vMerge/>
            <w:tcBorders>
              <w:left w:val="single" w:sz="4" w:space="0" w:color="000000"/>
              <w:bottom w:val="single" w:sz="4" w:space="0" w:color="000000"/>
              <w:right w:val="single" w:sz="4" w:space="0" w:color="000000"/>
            </w:tcBorders>
            <w:shd w:val="clear" w:color="auto" w:fill="D4D4D4"/>
          </w:tcPr>
          <w:p>
            <w:pPr/>
          </w:p>
        </w:tc>
        <w:tc>
          <w:tcPr>
            <w:tcW w:w="994"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9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及在增持完成后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33"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25"/>
        <w:gridCol w:w="994"/>
        <w:gridCol w:w="1274"/>
        <w:gridCol w:w="1985"/>
        <w:gridCol w:w="1133"/>
        <w:gridCol w:w="1135"/>
        <w:gridCol w:w="919"/>
      </w:tblGrid>
      <w:tr>
        <w:trPr>
          <w:trHeight w:val="2546" w:hRule="exact"/>
        </w:trPr>
        <w:tc>
          <w:tcPr>
            <w:tcW w:w="212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9"/>
              <w:jc w:val="left"/>
              <w:rPr>
                <w:rFonts w:ascii="宋体" w:hAnsi="宋体" w:cs="宋体" w:eastAsia="宋体" w:hint="default"/>
                <w:sz w:val="18"/>
                <w:szCs w:val="18"/>
              </w:rPr>
            </w:pPr>
            <w:r>
              <w:rPr>
                <w:rFonts w:ascii="宋体" w:hAnsi="宋体" w:cs="宋体" w:eastAsia="宋体" w:hint="default"/>
                <w:sz w:val="18"/>
                <w:szCs w:val="18"/>
              </w:rPr>
              <w:t>内不减持通过上述方式 购买的本公司股票。 </w:t>
            </w:r>
            <w:r>
              <w:rPr>
                <w:rFonts w:ascii="宋体" w:hAnsi="宋体" w:cs="宋体" w:eastAsia="宋体" w:hint="default"/>
                <w:spacing w:val="-5"/>
                <w:sz w:val="18"/>
                <w:szCs w:val="18"/>
              </w:rPr>
              <w:t>四、公司将采取一切可行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措施积极维护股价，充分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保护投资者利益，持续关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注增持事项的进展情况， 并依据相关规定履行信 息披露义务。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36"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0"/>
                <w:sz w:val="20"/>
                <w:szCs w:val="20"/>
              </w:rPr>
              <w:pict>
                <v:group style="width:56.3pt;height:126.85pt;mso-position-horizontal-relative:char;mso-position-vertical-relative:line" coordorigin="0,0" coordsize="1126,2537">
                  <v:group style="position:absolute;left:0;top:0;width:1126;height:2537" coordorigin="0,0" coordsize="1126,2537">
                    <v:shape style="position:absolute;left:0;top:0;width:1126;height:2537" coordorigin="0,0" coordsize="1126,2537" path="m0,2537l1126,2537,1126,0,0,0,0,2537xe" filled="true" fillcolor="#ffffff" stroked="false">
                      <v:path arrowok="t"/>
                      <v:fill type="solid"/>
                    </v:shape>
                  </v:group>
                </v:group>
              </w:pict>
            </w:r>
            <w:r>
              <w:rPr>
                <w:rFonts w:ascii="Times New Roman" w:hAnsi="Times New Roman" w:cs="Times New Roman" w:eastAsia="Times New Roman" w:hint="default"/>
                <w:position w:val="-50"/>
                <w:sz w:val="20"/>
                <w:szCs w:val="20"/>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44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21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110"/>
              <w:jc w:val="both"/>
              <w:rPr>
                <w:rFonts w:ascii="宋体" w:hAnsi="宋体" w:cs="宋体" w:eastAsia="宋体" w:hint="default"/>
                <w:sz w:val="18"/>
                <w:szCs w:val="18"/>
              </w:rPr>
            </w:pPr>
            <w:r>
              <w:rPr>
                <w:rFonts w:ascii="宋体" w:hAnsi="宋体" w:cs="宋体" w:eastAsia="宋体" w:hint="default"/>
                <w:sz w:val="18"/>
                <w:szCs w:val="18"/>
              </w:rPr>
              <w:t>应当详细说明未完成履行 的具体原因及下一步的工 作计划</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4" w:type="dxa"/>
            <w:tcBorders>
              <w:top w:val="single" w:sz="4" w:space="0" w:color="000000"/>
              <w:left w:val="nil" w:sz="6" w:space="0" w:color="auto"/>
              <w:bottom w:val="single" w:sz="4" w:space="0" w:color="000000"/>
              <w:right w:val="nil" w:sz="6" w:space="0" w:color="auto"/>
            </w:tcBorders>
          </w:tcPr>
          <w:p>
            <w:pPr/>
          </w:p>
        </w:tc>
        <w:tc>
          <w:tcPr>
            <w:tcW w:w="1985" w:type="dxa"/>
            <w:tcBorders>
              <w:top w:val="single" w:sz="4" w:space="0" w:color="000000"/>
              <w:left w:val="nil" w:sz="6" w:space="0" w:color="auto"/>
              <w:bottom w:val="single" w:sz="4" w:space="0" w:color="000000"/>
              <w:right w:val="nil" w:sz="6" w:space="0" w:color="auto"/>
            </w:tcBorders>
          </w:tcPr>
          <w:p>
            <w:pPr/>
          </w:p>
        </w:tc>
        <w:tc>
          <w:tcPr>
            <w:tcW w:w="1133" w:type="dxa"/>
            <w:tcBorders>
              <w:top w:val="single" w:sz="4" w:space="0" w:color="000000"/>
              <w:left w:val="nil" w:sz="6" w:space="0" w:color="auto"/>
              <w:bottom w:val="single" w:sz="4" w:space="0" w:color="000000"/>
              <w:right w:val="nil" w:sz="6" w:space="0" w:color="auto"/>
            </w:tcBorders>
          </w:tcPr>
          <w:p>
            <w:pPr/>
          </w:p>
        </w:tc>
        <w:tc>
          <w:tcPr>
            <w:tcW w:w="1135" w:type="dxa"/>
            <w:tcBorders>
              <w:top w:val="single" w:sz="4" w:space="0" w:color="000000"/>
              <w:left w:val="nil" w:sz="6" w:space="0" w:color="auto"/>
              <w:bottom w:val="single" w:sz="4" w:space="0" w:color="000000"/>
              <w:right w:val="nil" w:sz="6" w:space="0" w:color="auto"/>
            </w:tcBorders>
          </w:tcPr>
          <w:p>
            <w:pPr/>
          </w:p>
        </w:tc>
        <w:tc>
          <w:tcPr>
            <w:tcW w:w="919" w:type="dxa"/>
            <w:tcBorders>
              <w:top w:val="single" w:sz="4" w:space="0" w:color="000000"/>
              <w:left w:val="nil" w:sz="6" w:space="0" w:color="auto"/>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6"/>
        <w:spacing w:line="259" w:lineRule="auto" w:before="36"/>
        <w:ind w:right="0"/>
        <w:jc w:val="left"/>
        <w:rPr>
          <w:b w:val="0"/>
          <w:bCs w:val="0"/>
        </w:rPr>
      </w:pPr>
      <w:r>
        <w:rPr/>
        <w:pict>
          <v:shape style="position:absolute;margin-left:58.080002pt;margin-top:-79.536346pt;width:476.8pt;height:23.4pt;mso-position-horizontal-relative:page;mso-position-vertical-relative:paragraph;z-index:-90613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如承诺超期未履行完毕的，</w:t>
                  </w:r>
                </w:p>
              </w:txbxContent>
            </v:textbox>
            <w10:wrap type="none"/>
          </v:shape>
        </w:pict>
      </w:r>
      <w:r>
        <w:rPr/>
        <w:pict>
          <v:group style="position:absolute;margin-left:163.320007pt;margin-top:-79.536346pt;width:371.55pt;height:23.4pt;mso-position-horizontal-relative:page;mso-position-vertical-relative:paragraph;z-index:-906112" coordorigin="3266,-1591" coordsize="7431,468">
            <v:shape style="position:absolute;left:3266;top:-1591;width:7431;height:468" coordorigin="3266,-1591" coordsize="7431,468" path="m3266,-1123l10697,-1123,10697,-1591,3266,-1591,3266,-1123xe" filled="true" fillcolor="#ffffff" stroked="false">
              <v:path arrowok="t"/>
              <v:fill type="solid"/>
            </v:shape>
            <w10:wrap type="none"/>
          </v:group>
        </w:pict>
      </w:r>
      <w:bookmarkStart w:name="六、董事会关于报告期会计政策、会计估计变更或重大会计差错更正的说明" w:id="66"/>
      <w:bookmarkEnd w:id="66"/>
      <w:r>
        <w:rPr>
          <w:b w:val="0"/>
          <w:bCs w:val="0"/>
        </w:rPr>
      </w:r>
      <w:bookmarkStart w:name="七、与上年度财务报告相比，合并报表范围发生变化的情况说明" w:id="67"/>
      <w:bookmarkEnd w:id="67"/>
      <w:r>
        <w:rPr>
          <w:b w:val="0"/>
          <w:bCs w:val="0"/>
        </w:rPr>
      </w:r>
      <w:r>
        <w:rPr>
          <w:rFonts w:ascii="Times New Roman" w:hAnsi="Times New Roman" w:cs="Times New Roman" w:eastAsia="Times New Roman" w:hint="default"/>
        </w:rPr>
        <w:t>2</w:t>
      </w:r>
      <w:r>
        <w:rPr/>
        <w:t>、公司资产或项目存在盈利预测，且报告期仍</w:t>
      </w:r>
      <w:bookmarkStart w:name="2、公司资产或项目存在盈利预测，且报告期仍处在盈利预测期间，公司就资产或项目达到" w:id="68"/>
      <w:bookmarkEnd w:id="68"/>
      <w:r>
        <w:rPr/>
        <w:t>处在</w:t>
      </w:r>
      <w:r>
        <w:rPr/>
        <w:t>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4"/>
        <w:spacing w:line="240" w:lineRule="auto"/>
        <w:ind w:right="0"/>
        <w:jc w:val="left"/>
        <w:rPr>
          <w:b w:val="0"/>
          <w:bCs w:val="0"/>
        </w:rPr>
      </w:pPr>
      <w:r>
        <w:rPr/>
        <w:t>三、控股股东及其关联方对上市公司的非经营性占用</w:t>
      </w:r>
      <w:bookmarkStart w:name="三、控股股东及其关联方对上市公司的非经营性占用资金情况" w:id="69"/>
      <w:bookmarkEnd w:id="69"/>
      <w:r>
        <w:rPr/>
        <w:t>资金</w:t>
      </w:r>
      <w:r>
        <w:rPr/>
        <w:t>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401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4"/>
        <w:spacing w:line="240" w:lineRule="auto"/>
        <w:ind w:right="0"/>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w:t>
      </w:r>
      <w:bookmarkStart w:name="四、董事会对最近一期“非标准审计报告”相关情况的说明" w:id="70"/>
      <w:bookmarkEnd w:id="70"/>
      <w:r>
        <w:rPr/>
        <w:t>标</w:t>
      </w:r>
      <w:r>
        <w:rPr/>
        <w:t>准审计报告</w:t>
      </w:r>
      <w:r>
        <w:rPr>
          <w:rFonts w:ascii="Times New Roman" w:hAnsi="Times New Roman" w:cs="Times New Roman" w:eastAsia="Times New Roman" w:hint="default"/>
        </w:rPr>
        <w:t>”</w:t>
      </w:r>
      <w:bookmarkStart w:name="五、董事会、监事会、独立董事（如有）对会计师事务所本报告期“非标准审计报告”的说" w:id="71"/>
      <w:bookmarkEnd w:id="71"/>
      <w:r>
        <w:rPr>
          <w:rFonts w:ascii="Times New Roman" w:hAnsi="Times New Roman" w:cs="Times New Roman" w:eastAsia="Times New Roman" w:hint="default"/>
        </w:rPr>
      </w:r>
      <w:r>
        <w:rPr/>
        <w:t>的说明</w:t>
      </w:r>
      <w:r>
        <w:rPr>
          <w:b w:val="0"/>
          <w:bCs w:val="0"/>
        </w:rPr>
      </w:r>
    </w:p>
    <w:p>
      <w:pPr>
        <w:spacing w:line="240" w:lineRule="auto" w:before="1"/>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4"/>
        <w:spacing w:line="240" w:lineRule="auto"/>
        <w:ind w:right="0"/>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4"/>
        <w:spacing w:line="240" w:lineRule="auto"/>
        <w:ind w:right="0"/>
        <w:jc w:val="left"/>
        <w:rPr>
          <w:b w:val="0"/>
          <w:bCs w:val="0"/>
        </w:rPr>
      </w:pPr>
      <w:r>
        <w:rPr/>
        <w:t>七、与上年度财务报告相比，合并报表范围发生变化的情况说明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388" w:lineRule="auto"/>
        <w:ind w:right="0"/>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sz w:val="18"/>
          <w:szCs w:val="18"/>
        </w:rPr>
        <w:t>不适用 </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21</w:t>
      </w:r>
      <w:r>
        <w:rPr>
          <w:spacing w:val="-2"/>
        </w:rPr>
        <w:t>日召开第二届董事会第二十二次会议，审议通过了《关于对外投资设立合资公司议案》，</w:t>
      </w:r>
      <w:r>
        <w:rPr>
          <w:spacing w:val="-13"/>
        </w:rPr>
        <w:t> </w:t>
      </w:r>
      <w:r>
        <w:rPr>
          <w:spacing w:val="-13"/>
        </w:rPr>
      </w:r>
      <w:r>
        <w:rPr>
          <w:spacing w:val="-2"/>
        </w:rPr>
        <w:t>同意公司与上海嗣承投资管理中心（有限合伙）共同出资设立</w:t>
      </w:r>
      <w:r>
        <w:rPr>
          <w:rFonts w:ascii="Times New Roman" w:hAnsi="Times New Roman" w:cs="Times New Roman" w:eastAsia="Times New Roman" w:hint="default"/>
          <w:spacing w:val="-2"/>
        </w:rPr>
        <w:t>“</w:t>
      </w:r>
      <w:r>
        <w:rPr>
          <w:spacing w:val="-2"/>
        </w:rPr>
        <w:t>上海缔塔科技有限公司</w:t>
      </w:r>
      <w:r>
        <w:rPr>
          <w:rFonts w:ascii="Times New Roman" w:hAnsi="Times New Roman" w:cs="Times New Roman" w:eastAsia="Times New Roman" w:hint="default"/>
          <w:spacing w:val="-2"/>
        </w:rPr>
        <w:t>”</w:t>
      </w:r>
      <w:r>
        <w:rPr>
          <w:spacing w:val="-2"/>
        </w:rPr>
        <w:t>。其中天玑科技以</w:t>
      </w:r>
      <w:r>
        <w:rPr>
          <w:spacing w:val="-28"/>
        </w:rPr>
        <w:t> </w:t>
      </w:r>
      <w:r>
        <w:rPr>
          <w:spacing w:val="-28"/>
        </w:rPr>
      </w:r>
      <w:r>
        <w:rPr/>
        <w:t>自有资金出资人民币</w:t>
      </w:r>
      <w:r>
        <w:rPr>
          <w:spacing w:val="27"/>
        </w:rPr>
        <w:t> </w:t>
      </w:r>
      <w:r>
        <w:rPr>
          <w:rFonts w:ascii="Times New Roman" w:hAnsi="Times New Roman" w:cs="Times New Roman" w:eastAsia="Times New Roman" w:hint="default"/>
          <w:spacing w:val="-3"/>
        </w:rPr>
        <w:t>600</w:t>
      </w:r>
      <w:r>
        <w:rPr>
          <w:spacing w:val="-3"/>
        </w:rPr>
        <w:t>万元，占出资比例的</w:t>
      </w:r>
      <w:r>
        <w:rPr>
          <w:rFonts w:ascii="Times New Roman" w:hAnsi="Times New Roman" w:cs="Times New Roman" w:eastAsia="Times New Roman" w:hint="default"/>
          <w:spacing w:val="-3"/>
        </w:rPr>
        <w:t>60%</w:t>
      </w:r>
      <w:r>
        <w:rPr>
          <w:spacing w:val="-3"/>
        </w:rPr>
        <w:t>。合资公司于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27</w:t>
      </w:r>
      <w:r>
        <w:rPr>
          <w:spacing w:val="-3"/>
        </w:rPr>
        <w:t>日取得营业执照。本报告期内</w:t>
      </w:r>
    </w:p>
    <w:p>
      <w:pPr>
        <w:spacing w:after="0" w:line="388"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pStyle w:val="BodyText"/>
        <w:spacing w:line="393" w:lineRule="auto" w:before="175"/>
        <w:ind w:right="103"/>
        <w:jc w:val="left"/>
      </w:pPr>
      <w:bookmarkStart w:name="九、年度报告披露后面临暂停上市和终止上市情况" w:id="72"/>
      <w:bookmarkEnd w:id="72"/>
      <w:r>
        <w:rPr/>
      </w:r>
      <w:bookmarkStart w:name="十、破产重整相关事项" w:id="73"/>
      <w:bookmarkEnd w:id="73"/>
      <w:r>
        <w:rPr/>
      </w:r>
      <w:bookmarkStart w:name="十一、重大诉讼、仲裁事项" w:id="74"/>
      <w:bookmarkEnd w:id="74"/>
      <w:r>
        <w:rPr/>
      </w:r>
      <w:r>
        <w:rPr/>
        <w:t>并入公司合并范围。</w:t>
      </w:r>
      <w:r>
        <w:rPr>
          <w:w w:val="100"/>
        </w:rPr>
        <w:t> </w:t>
      </w: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26</w:t>
      </w:r>
      <w:r>
        <w:rPr>
          <w:spacing w:val="-2"/>
        </w:rPr>
        <w:t>日召开第二届董事会第二十八次临时会议审议通过《关于使用超募资金投资设立合</w:t>
      </w:r>
      <w:r>
        <w:rPr>
          <w:spacing w:val="-36"/>
        </w:rPr>
        <w:t> </w:t>
      </w:r>
      <w:r>
        <w:rPr>
          <w:spacing w:val="-36"/>
        </w:rPr>
      </w:r>
      <w:r>
        <w:rPr>
          <w:spacing w:val="-2"/>
        </w:rPr>
        <w:t>资公司的议案》，同意为进一步开拓金融市场，强化公司在新兴技术、尤其是金融互联网渠道方面的新产</w:t>
      </w:r>
      <w:r>
        <w:rPr>
          <w:spacing w:val="-47"/>
        </w:rPr>
        <w:t> </w:t>
      </w:r>
      <w:r>
        <w:rPr>
          <w:spacing w:val="-47"/>
        </w:rPr>
      </w:r>
      <w:r>
        <w:rPr>
          <w:spacing w:val="-2"/>
        </w:rPr>
        <w:t>品研发、销售与服务能力，有效发挥募集资金的效率，上海天玑科技股份有限公司以超募资金</w:t>
      </w:r>
      <w:r>
        <w:rPr>
          <w:rFonts w:ascii="Times New Roman" w:hAnsi="Times New Roman" w:cs="Times New Roman" w:eastAsia="Times New Roman" w:hint="default"/>
          <w:spacing w:val="-2"/>
        </w:rPr>
        <w:t>2500</w:t>
      </w:r>
      <w:r>
        <w:rPr>
          <w:spacing w:val="-2"/>
        </w:rPr>
        <w:t>万元与</w:t>
      </w:r>
      <w:r>
        <w:rPr>
          <w:spacing w:val="-42"/>
        </w:rPr>
        <w:t> </w:t>
      </w:r>
      <w:r>
        <w:rPr>
          <w:spacing w:val="-4"/>
        </w:rPr>
        <w:t>自然人沈星、薛琦共同出资设立</w:t>
      </w:r>
      <w:r>
        <w:rPr>
          <w:rFonts w:ascii="Times New Roman" w:hAnsi="Times New Roman" w:cs="Times New Roman" w:eastAsia="Times New Roman" w:hint="default"/>
          <w:spacing w:val="-4"/>
        </w:rPr>
        <w:t>“</w:t>
      </w:r>
      <w:r>
        <w:rPr>
          <w:spacing w:val="-4"/>
        </w:rPr>
        <w:t>上海卓之联信息技术有限公司</w:t>
      </w:r>
      <w:r>
        <w:rPr>
          <w:rFonts w:ascii="Times New Roman" w:hAnsi="Times New Roman" w:cs="Times New Roman" w:eastAsia="Times New Roman" w:hint="default"/>
          <w:spacing w:val="-4"/>
        </w:rPr>
        <w:t>”</w:t>
      </w:r>
      <w:r>
        <w:rPr>
          <w:spacing w:val="-4"/>
        </w:rPr>
        <w:t>。公司于</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25</w:t>
      </w:r>
      <w:r>
        <w:rPr>
          <w:spacing w:val="-4"/>
        </w:rPr>
        <w:t>日取得了该合资公司</w:t>
      </w:r>
      <w:r>
        <w:rPr>
          <w:spacing w:val="-23"/>
        </w:rPr>
        <w:t> </w:t>
      </w:r>
      <w:r>
        <w:rPr>
          <w:spacing w:val="-23"/>
        </w:rPr>
      </w:r>
      <w:r>
        <w:rPr/>
        <w:t>的营业执照。故报告期内并入公司合并范围。</w:t>
      </w:r>
      <w:r>
        <w:rPr>
          <w:w w:val="100"/>
        </w:rPr>
        <w:t> </w:t>
      </w:r>
      <w:r>
        <w:rPr>
          <w:rFonts w:ascii="Times New Roman" w:hAnsi="Times New Roman" w:cs="Times New Roman" w:eastAsia="Times New Roman" w:hint="default"/>
        </w:rPr>
        <w:t>3</w:t>
      </w: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日召开第三届董事会第二次会议审议通过《关于使用超募资金购买办公房产并设</w:t>
      </w:r>
      <w:r>
        <w:rPr>
          <w:w w:val="100"/>
        </w:rPr>
        <w:t> </w:t>
      </w:r>
      <w:r>
        <w:rPr>
          <w:spacing w:val="-4"/>
        </w:rPr>
        <w:t>立全资子公司的议案》，同意公司使用不超过</w:t>
      </w:r>
      <w:r>
        <w:rPr>
          <w:rFonts w:ascii="Times New Roman" w:hAnsi="Times New Roman" w:cs="Times New Roman" w:eastAsia="Times New Roman" w:hint="default"/>
          <w:spacing w:val="-4"/>
        </w:rPr>
        <w:t>3800</w:t>
      </w:r>
      <w:r>
        <w:rPr>
          <w:spacing w:val="-4"/>
        </w:rPr>
        <w:t>万元的超募资金投资在杭州购买房产并设立全资子公司。</w:t>
      </w:r>
      <w:r>
        <w:rPr>
          <w:spacing w:val="-43"/>
        </w:rPr>
        <w:t> </w:t>
      </w:r>
      <w:r>
        <w:rPr>
          <w:spacing w:val="-43"/>
        </w:rPr>
      </w: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日取得了两家全资子公司的营业执照。分别为：杭州广捷科技有限公司、杭州鸿昇科</w:t>
      </w:r>
      <w:r>
        <w:rPr>
          <w:w w:val="100"/>
        </w:rPr>
        <w:t> </w:t>
      </w:r>
      <w:r>
        <w:rPr/>
        <w:t>技有限公司。故报告期内并入合并范围。</w:t>
      </w:r>
    </w:p>
    <w:p>
      <w:pPr>
        <w:spacing w:line="240" w:lineRule="auto" w:before="8"/>
        <w:rPr>
          <w:rFonts w:ascii="宋体" w:hAnsi="宋体" w:cs="宋体" w:eastAsia="宋体" w:hint="default"/>
          <w:sz w:val="19"/>
          <w:szCs w:val="19"/>
        </w:rPr>
      </w:pPr>
    </w:p>
    <w:p>
      <w:pPr>
        <w:pStyle w:val="Heading4"/>
        <w:spacing w:line="240" w:lineRule="auto"/>
        <w:ind w:right="103"/>
        <w:jc w:val="left"/>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2" w:right="103"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4"/>
        <w:gridCol w:w="5683"/>
      </w:tblGrid>
      <w:tr>
        <w:trPr>
          <w:trHeight w:val="403"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bookmarkStart w:name="八、聘任、解聘会计师事务所情况" w:id="75"/>
            <w:bookmarkEnd w:id="75"/>
            <w:r>
              <w:rPr/>
            </w:r>
            <w:r>
              <w:rPr>
                <w:rFonts w:ascii="宋体" w:hAnsi="宋体" w:cs="宋体" w:eastAsia="宋体" w:hint="default"/>
                <w:sz w:val="18"/>
                <w:szCs w:val="18"/>
              </w:rPr>
              <w:t>立信会计师事务所（特殊普通合伙）</w:t>
            </w:r>
          </w:p>
        </w:tc>
      </w:tr>
      <w:tr>
        <w:trPr>
          <w:trHeight w:val="401"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38</w:t>
            </w:r>
          </w:p>
        </w:tc>
      </w:tr>
      <w:tr>
        <w:trPr>
          <w:trHeight w:val="403"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w:t>
            </w:r>
          </w:p>
        </w:tc>
      </w:tr>
      <w:tr>
        <w:trPr>
          <w:trHeight w:val="401"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朱育勤、张洪</w:t>
            </w:r>
          </w:p>
        </w:tc>
      </w:tr>
    </w:tbl>
    <w:p>
      <w:pPr>
        <w:spacing w:before="49"/>
        <w:ind w:left="152" w:right="103"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38" w:lineRule="auto" w:before="117"/>
        <w:ind w:left="152" w:right="533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before="43"/>
        <w:ind w:left="152" w:right="10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4"/>
        <w:spacing w:line="240" w:lineRule="auto"/>
        <w:ind w:right="103"/>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52" w:right="10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103"/>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677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4"/>
        <w:rPr>
          <w:rFonts w:ascii="宋体" w:hAnsi="宋体" w:cs="宋体" w:eastAsia="宋体" w:hint="default"/>
          <w:sz w:val="19"/>
          <w:szCs w:val="19"/>
        </w:rPr>
      </w:pPr>
    </w:p>
    <w:p>
      <w:pPr>
        <w:pStyle w:val="Heading4"/>
        <w:spacing w:line="240" w:lineRule="auto"/>
        <w:ind w:right="103"/>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677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本报告期公司无重大诉讼、仲裁事项。</w:t>
      </w:r>
    </w:p>
    <w:p>
      <w:pPr>
        <w:spacing w:after="0" w:line="340" w:lineRule="auto"/>
        <w:jc w:val="left"/>
        <w:rPr>
          <w:rFonts w:ascii="宋体" w:hAnsi="宋体" w:cs="宋体" w:eastAsia="宋体" w:hint="default"/>
          <w:sz w:val="18"/>
          <w:szCs w:val="18"/>
        </w:rPr>
        <w:sectPr>
          <w:pgSz w:w="11910" w:h="16840"/>
          <w:pgMar w:header="745" w:footer="982" w:top="1060" w:bottom="1180" w:left="980" w:right="920"/>
        </w:sectPr>
      </w:pPr>
    </w:p>
    <w:p>
      <w:pPr>
        <w:spacing w:line="240" w:lineRule="auto" w:before="8"/>
        <w:rPr>
          <w:rFonts w:ascii="宋体" w:hAnsi="宋体" w:cs="宋体" w:eastAsia="宋体" w:hint="default"/>
          <w:sz w:val="23"/>
          <w:szCs w:val="23"/>
        </w:rPr>
      </w:pPr>
    </w:p>
    <w:p>
      <w:pPr>
        <w:pStyle w:val="Heading4"/>
        <w:spacing w:line="240" w:lineRule="auto" w:before="26"/>
        <w:ind w:right="0"/>
        <w:jc w:val="left"/>
        <w:rPr>
          <w:b w:val="0"/>
          <w:bCs w:val="0"/>
        </w:rPr>
      </w:pPr>
      <w:r>
        <w:rPr/>
        <w:t>十</w:t>
      </w:r>
      <w:bookmarkStart w:name="十二、处罚及整改情况" w:id="76"/>
      <w:bookmarkEnd w:id="76"/>
      <w:r>
        <w:rPr/>
        <w:t>二</w:t>
      </w:r>
      <w:r>
        <w:rPr/>
        <w:t>、处罚及整改情况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689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8"/>
        <w:rPr>
          <w:rFonts w:ascii="宋体" w:hAnsi="宋体" w:cs="宋体" w:eastAsia="宋体" w:hint="default"/>
          <w:sz w:val="19"/>
          <w:szCs w:val="19"/>
        </w:rPr>
      </w:pPr>
    </w:p>
    <w:p>
      <w:pPr>
        <w:pStyle w:val="Heading4"/>
        <w:spacing w:line="240" w:lineRule="auto"/>
        <w:ind w:right="0"/>
        <w:jc w:val="left"/>
        <w:rPr>
          <w:b w:val="0"/>
          <w:bCs w:val="0"/>
        </w:rPr>
      </w:pPr>
      <w:r>
        <w:rPr/>
        <w:t>十三、公司及</w:t>
      </w:r>
      <w:bookmarkStart w:name="十三、公司及其控股股东、实际控制人的诚信状况" w:id="77"/>
      <w:bookmarkEnd w:id="77"/>
      <w:r>
        <w:rPr/>
        <w:t>其</w:t>
      </w:r>
      <w:r>
        <w:rPr/>
        <w:t>控股股东、实际控制人的诚信状况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r>
        <w:rPr/>
        <w:t>十四、公司股权激励计划</w:t>
      </w:r>
      <w:bookmarkStart w:name="十四、公司股权激励计划、员工持股计划或其他员工激励措施的实施情况" w:id="78"/>
      <w:bookmarkEnd w:id="78"/>
      <w:r>
        <w:rPr/>
        <w:t>、</w:t>
      </w:r>
      <w:r>
        <w:rPr/>
        <w:t>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398" w:lineRule="auto" w:before="159"/>
        <w:ind w:left="153" w:right="0" w:hanging="1"/>
        <w:jc w:val="left"/>
      </w:pPr>
      <w:r>
        <w:rPr>
          <w:rFonts w:ascii="Times New Roman" w:hAnsi="Times New Roman" w:cs="Times New Roman" w:eastAsia="Times New Roman" w:hint="default"/>
          <w:spacing w:val="-6"/>
        </w:rPr>
        <w:t>1</w:t>
      </w:r>
      <w:r>
        <w:rPr>
          <w:spacing w:val="-6"/>
        </w:rPr>
        <w:t>、公司于</w:t>
      </w:r>
      <w:r>
        <w:rPr>
          <w:rFonts w:ascii="Times New Roman" w:hAnsi="Times New Roman" w:cs="Times New Roman" w:eastAsia="Times New Roman" w:hint="default"/>
          <w:spacing w:val="-6"/>
        </w:rPr>
        <w:t>2013</w:t>
      </w:r>
      <w:r>
        <w:rPr>
          <w:spacing w:val="-6"/>
        </w:rPr>
        <w:t>年</w:t>
      </w:r>
      <w:r>
        <w:rPr>
          <w:rFonts w:ascii="Times New Roman" w:hAnsi="Times New Roman" w:cs="Times New Roman" w:eastAsia="Times New Roman" w:hint="default"/>
          <w:spacing w:val="-6"/>
        </w:rPr>
        <w:t>4</w:t>
      </w:r>
      <w:r>
        <w:rPr>
          <w:spacing w:val="-6"/>
        </w:rPr>
        <w:t>月</w:t>
      </w:r>
      <w:r>
        <w:rPr>
          <w:rFonts w:ascii="Times New Roman" w:hAnsi="Times New Roman" w:cs="Times New Roman" w:eastAsia="Times New Roman" w:hint="default"/>
          <w:spacing w:val="-6"/>
        </w:rPr>
        <w:t>22</w:t>
      </w:r>
      <w:r>
        <w:rPr>
          <w:spacing w:val="-6"/>
        </w:rPr>
        <w:t>日分别召开了第二届董事会第六次会议和第二届监事会第五次会议，审议通过了《上</w:t>
      </w:r>
      <w:r>
        <w:rPr>
          <w:spacing w:val="-43"/>
        </w:rPr>
        <w:t> </w:t>
      </w:r>
      <w:r>
        <w:rPr>
          <w:spacing w:val="-43"/>
        </w:rPr>
      </w:r>
      <w:r>
        <w:rPr>
          <w:spacing w:val="-2"/>
        </w:rPr>
        <w:t>海天玑科技股份有限公司限制性股票激励计划（草案）》及其摘要，公司独立董事对此发表了独立意见。</w:t>
      </w:r>
      <w:r>
        <w:rPr>
          <w:spacing w:val="-22"/>
        </w:rPr>
        <w:t> </w:t>
      </w:r>
      <w:r>
        <w:rPr>
          <w:spacing w:val="-22"/>
        </w:rPr>
      </w:r>
      <w:r>
        <w:rPr/>
        <w:t>其后公司向中国证监会上报了申请备案材料。</w:t>
      </w:r>
      <w:r>
        <w:rPr>
          <w:w w:val="100"/>
        </w:rPr>
        <w:t> </w:t>
      </w:r>
      <w:r>
        <w:rPr>
          <w:rFonts w:ascii="Times New Roman" w:hAnsi="Times New Roman" w:cs="Times New Roman" w:eastAsia="Times New Roman" w:hint="default"/>
        </w:rPr>
        <w:t>2</w:t>
      </w:r>
      <w:r>
        <w:rPr/>
        <w:t>、根据中国证监会的反馈意见，公司对《上海天玑科技股份有限公司限制性股票激励计划（草案）》进</w:t>
      </w:r>
      <w:r>
        <w:rPr>
          <w:w w:val="100"/>
        </w:rPr>
        <w:t> </w:t>
      </w:r>
      <w:r>
        <w:rPr/>
        <w:t>行了修订，并于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日召开第二届董事会第七次（临时）会议和第二届监事会第六次（临时）会</w:t>
      </w:r>
      <w:r>
        <w:rPr>
          <w:w w:val="100"/>
        </w:rPr>
        <w:t> </w:t>
      </w:r>
      <w:r>
        <w:rPr>
          <w:spacing w:val="-2"/>
        </w:rPr>
        <w:t>议，审议通过了《上海天玑科技股份有限公司限制性股票激励计划（草案修订稿）》及其摘要，公司独立</w:t>
      </w:r>
      <w:r>
        <w:rPr>
          <w:spacing w:val="-43"/>
        </w:rPr>
        <w:t> </w:t>
      </w:r>
      <w:r>
        <w:rPr>
          <w:spacing w:val="-43"/>
        </w:rPr>
      </w:r>
      <w:r>
        <w:rPr/>
        <w:t>董事对激励计划发表了独立意见。</w:t>
      </w:r>
      <w:r>
        <w:rPr>
          <w:w w:val="100"/>
        </w:rPr>
        <w:t> </w:t>
      </w:r>
      <w:r>
        <w:rPr>
          <w:rFonts w:ascii="Times New Roman" w:hAnsi="Times New Roman" w:cs="Times New Roman" w:eastAsia="Times New Roman" w:hint="default"/>
          <w:spacing w:val="-2"/>
        </w:rPr>
        <w:t>3</w:t>
      </w:r>
      <w:r>
        <w:rPr>
          <w:spacing w:val="-2"/>
        </w:rPr>
        <w:t>、限制性股票激励计划经中国证监会备案无异议后，公司于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26</w:t>
      </w:r>
      <w:r>
        <w:rPr>
          <w:spacing w:val="-2"/>
        </w:rPr>
        <w:t>日召开</w:t>
      </w:r>
      <w:r>
        <w:rPr>
          <w:rFonts w:ascii="Times New Roman" w:hAnsi="Times New Roman" w:cs="Times New Roman" w:eastAsia="Times New Roman" w:hint="default"/>
          <w:spacing w:val="-2"/>
        </w:rPr>
        <w:t>2013</w:t>
      </w:r>
      <w:r>
        <w:rPr>
          <w:spacing w:val="-2"/>
        </w:rPr>
        <w:t>年第一次临时股东大</w:t>
      </w:r>
      <w:r>
        <w:rPr>
          <w:spacing w:val="-40"/>
        </w:rPr>
        <w:t> </w:t>
      </w:r>
      <w:r>
        <w:rPr>
          <w:spacing w:val="-40"/>
        </w:rPr>
      </w:r>
      <w:r>
        <w:rPr>
          <w:spacing w:val="-2"/>
        </w:rPr>
        <w:t>会审议通过了激励计划以及《关于提请公司股东大会授权董事会办理公司限制性股票激励计划相关事宜的</w:t>
      </w:r>
      <w:r>
        <w:rPr>
          <w:spacing w:val="-44"/>
        </w:rPr>
        <w:t> </w:t>
      </w:r>
      <w:r>
        <w:rPr>
          <w:spacing w:val="-44"/>
        </w:rPr>
      </w:r>
      <w:r>
        <w:rPr>
          <w:spacing w:val="-2"/>
        </w:rPr>
        <w:t>议案》。授予董事会确认激励对象参与股权激励计划的资格和条件，确定激励对象名单及其授予数量，确</w:t>
      </w:r>
      <w:r>
        <w:rPr>
          <w:spacing w:val="-45"/>
        </w:rPr>
        <w:t> </w:t>
      </w:r>
      <w:r>
        <w:rPr>
          <w:spacing w:val="-45"/>
        </w:rPr>
      </w:r>
      <w:r>
        <w:rPr>
          <w:spacing w:val="-2"/>
        </w:rPr>
        <w:t>定标的股票的授予价格；确定限制性股票激励计划的授予日，在激励对象符合条件时向激励对象授予股票</w:t>
      </w:r>
      <w:r>
        <w:rPr>
          <w:spacing w:val="-43"/>
        </w:rPr>
        <w:t> </w:t>
      </w:r>
      <w:r>
        <w:rPr>
          <w:spacing w:val="-43"/>
        </w:rPr>
      </w:r>
      <w:r>
        <w:rPr/>
        <w:t>并办理授予股票和解锁股票所必需的全部事宜。</w:t>
      </w:r>
      <w:r>
        <w:rPr>
          <w:w w:val="100"/>
        </w:rPr>
        <w:t> </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14</w:t>
      </w:r>
      <w:r>
        <w:rPr>
          <w:spacing w:val="-2"/>
        </w:rPr>
        <w:t>日，公司召开第二届董事会第九次（临时）会议，审议通过了《关于向激励对象授予限制</w:t>
      </w:r>
      <w:r>
        <w:rPr>
          <w:spacing w:val="-35"/>
        </w:rPr>
        <w:t> </w:t>
      </w:r>
      <w:r>
        <w:rPr>
          <w:spacing w:val="-35"/>
        </w:rPr>
      </w:r>
      <w:r>
        <w:rPr>
          <w:spacing w:val="-2"/>
        </w:rPr>
        <w:t>性股票的议案》、《关于对限制性股票激励计划进行调整的议案》、《关于修改公司章程的议案》。公司</w:t>
      </w:r>
      <w:r>
        <w:rPr>
          <w:spacing w:val="-48"/>
        </w:rPr>
        <w:t> </w:t>
      </w:r>
      <w:r>
        <w:rPr>
          <w:spacing w:val="-48"/>
        </w:rPr>
      </w:r>
      <w:r>
        <w:rPr/>
        <w:t>董事会确定本次股权激励计划首期授予激励对象共</w:t>
      </w:r>
      <w:r>
        <w:rPr>
          <w:rFonts w:ascii="Times New Roman" w:hAnsi="Times New Roman" w:cs="Times New Roman" w:eastAsia="Times New Roman" w:hint="default"/>
        </w:rPr>
        <w:t>78</w:t>
      </w:r>
      <w:r>
        <w:rPr/>
        <w:t>人，涉及限制性股票共</w:t>
      </w:r>
      <w:r>
        <w:rPr>
          <w:rFonts w:ascii="Times New Roman" w:hAnsi="Times New Roman" w:cs="Times New Roman" w:eastAsia="Times New Roman" w:hint="default"/>
        </w:rPr>
        <w:t>553</w:t>
      </w:r>
      <w:r>
        <w:rPr/>
        <w:t>万股；本次股权激励计划</w:t>
      </w:r>
      <w:r>
        <w:rPr>
          <w:spacing w:val="-3"/>
          <w:w w:val="100"/>
        </w:rPr>
        <w:t> </w:t>
      </w:r>
      <w:r>
        <w:rPr/>
        <w:t>的首次授予日为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日，授予限制性股票的价格为</w:t>
      </w:r>
      <w:r>
        <w:rPr>
          <w:rFonts w:ascii="Times New Roman" w:hAnsi="Times New Roman" w:cs="Times New Roman" w:eastAsia="Times New Roman" w:hint="default"/>
        </w:rPr>
        <w:t>4.81</w:t>
      </w:r>
      <w:r>
        <w:rPr/>
        <w:t>元</w:t>
      </w:r>
      <w:r>
        <w:rPr>
          <w:rFonts w:ascii="Times New Roman" w:hAnsi="Times New Roman" w:cs="Times New Roman" w:eastAsia="Times New Roman" w:hint="default"/>
        </w:rPr>
        <w:t>/</w:t>
      </w:r>
      <w:r>
        <w:rPr/>
        <w:t>股；本次暂缓授予激励对象陆廷洁女士</w:t>
      </w:r>
      <w:r>
        <w:rPr>
          <w:spacing w:val="-3"/>
          <w:w w:val="100"/>
        </w:rPr>
        <w:t> </w:t>
      </w:r>
      <w:r>
        <w:rPr>
          <w:spacing w:val="-2"/>
        </w:rPr>
        <w:t>的</w:t>
      </w:r>
      <w:r>
        <w:rPr>
          <w:rFonts w:ascii="Times New Roman" w:hAnsi="Times New Roman" w:cs="Times New Roman" w:eastAsia="Times New Roman" w:hint="default"/>
          <w:spacing w:val="-2"/>
        </w:rPr>
        <w:t>20</w:t>
      </w:r>
      <w:r>
        <w:rPr>
          <w:spacing w:val="-2"/>
        </w:rPr>
        <w:t>万股限制性股票及拟授予公司预留激励对象的</w:t>
      </w:r>
      <w:r>
        <w:rPr>
          <w:rFonts w:ascii="Times New Roman" w:hAnsi="Times New Roman" w:cs="Times New Roman" w:eastAsia="Times New Roman" w:hint="default"/>
          <w:spacing w:val="-2"/>
        </w:rPr>
        <w:t>65</w:t>
      </w:r>
      <w:r>
        <w:rPr>
          <w:spacing w:val="-2"/>
        </w:rPr>
        <w:t>万股限制性股票的授予日由董事会另行确定，故本次</w:t>
      </w:r>
      <w:r>
        <w:rPr>
          <w:spacing w:val="-51"/>
        </w:rPr>
        <w:t> </w:t>
      </w:r>
      <w:r>
        <w:rPr>
          <w:spacing w:val="-51"/>
        </w:rPr>
      </w:r>
      <w:r>
        <w:rPr/>
        <w:t>实际授予激励对象共</w:t>
      </w:r>
      <w:r>
        <w:rPr>
          <w:rFonts w:ascii="Times New Roman" w:hAnsi="Times New Roman" w:cs="Times New Roman" w:eastAsia="Times New Roman" w:hint="default"/>
        </w:rPr>
        <w:t>77</w:t>
      </w:r>
      <w:r>
        <w:rPr/>
        <w:t>人，涉及限制性股票共</w:t>
      </w:r>
      <w:r>
        <w:rPr>
          <w:rFonts w:ascii="Times New Roman" w:hAnsi="Times New Roman" w:cs="Times New Roman" w:eastAsia="Times New Roman" w:hint="default"/>
        </w:rPr>
        <w:t>533</w:t>
      </w:r>
      <w:r>
        <w:rPr/>
        <w:t>万股。同日公司召开了第二届监事会第八次（临时）会</w:t>
      </w:r>
      <w:r>
        <w:rPr>
          <w:w w:val="100"/>
        </w:rPr>
        <w:t> </w:t>
      </w:r>
      <w:r>
        <w:rPr>
          <w:spacing w:val="-2"/>
        </w:rPr>
        <w:t>议，对本次激励计划的激励对象名单进行再次核实，并审议通过《关于对公司限制性股票激励计划进行调</w:t>
      </w:r>
      <w:r>
        <w:rPr>
          <w:spacing w:val="-44"/>
        </w:rPr>
        <w:t> </w:t>
      </w:r>
      <w:r>
        <w:rPr>
          <w:spacing w:val="-44"/>
        </w:rPr>
      </w:r>
      <w:r>
        <w:rPr/>
        <w:t>整的议案》、《关于向激励对象授予限制性股票的议案》。</w:t>
      </w:r>
      <w:r>
        <w:rPr>
          <w:w w:val="100"/>
        </w:rPr>
        <w:t> </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日，公司召开第二届董事会第十二次（临时）会议，审议通过了《关于向激励对象授予</w:t>
      </w:r>
    </w:p>
    <w:p>
      <w:pPr>
        <w:spacing w:after="0" w:line="398"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pStyle w:val="BodyText"/>
        <w:spacing w:line="396" w:lineRule="auto" w:before="175"/>
        <w:ind w:right="103"/>
        <w:jc w:val="left"/>
      </w:pPr>
      <w:r>
        <w:rPr>
          <w:spacing w:val="-4"/>
        </w:rPr>
        <w:t>限制性股票》的议案，公司董事会同意于</w:t>
      </w: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15</w:t>
      </w:r>
      <w:r>
        <w:rPr>
          <w:spacing w:val="-4"/>
        </w:rPr>
        <w:t>日向激励对象陆廷洁女士授予</w:t>
      </w:r>
      <w:r>
        <w:rPr>
          <w:rFonts w:ascii="Times New Roman" w:hAnsi="Times New Roman" w:cs="Times New Roman" w:eastAsia="Times New Roman" w:hint="default"/>
          <w:spacing w:val="-4"/>
        </w:rPr>
        <w:t>20</w:t>
      </w:r>
      <w:r>
        <w:rPr>
          <w:spacing w:val="-4"/>
        </w:rPr>
        <w:t>万股的限制性股票，</w:t>
      </w:r>
      <w:r>
        <w:rPr>
          <w:spacing w:val="-43"/>
        </w:rPr>
        <w:t> </w:t>
      </w:r>
      <w:r>
        <w:rPr>
          <w:spacing w:val="-43"/>
        </w:rPr>
      </w:r>
      <w:r>
        <w:rPr>
          <w:spacing w:val="-2"/>
        </w:rPr>
        <w:t>授予限制性股票的价格为</w:t>
      </w:r>
      <w:r>
        <w:rPr>
          <w:rFonts w:ascii="Times New Roman" w:hAnsi="Times New Roman" w:cs="Times New Roman" w:eastAsia="Times New Roman" w:hint="default"/>
          <w:spacing w:val="-2"/>
        </w:rPr>
        <w:t>4.81</w:t>
      </w:r>
      <w:r>
        <w:rPr>
          <w:spacing w:val="-2"/>
        </w:rPr>
        <w:t>元</w:t>
      </w:r>
      <w:r>
        <w:rPr>
          <w:rFonts w:ascii="Times New Roman" w:hAnsi="Times New Roman" w:cs="Times New Roman" w:eastAsia="Times New Roman" w:hint="default"/>
          <w:spacing w:val="-2"/>
        </w:rPr>
        <w:t>/</w:t>
      </w:r>
      <w:r>
        <w:rPr>
          <w:spacing w:val="-2"/>
        </w:rPr>
        <w:t>股。并于当日召开了第二届监事会第十次（临时）会议，对公司确定的激</w:t>
      </w:r>
      <w:r>
        <w:rPr>
          <w:spacing w:val="-47"/>
        </w:rPr>
        <w:t> </w:t>
      </w:r>
      <w:r>
        <w:rPr>
          <w:spacing w:val="-47"/>
        </w:rPr>
      </w:r>
      <w:r>
        <w:rPr>
          <w:spacing w:val="-2"/>
        </w:rPr>
        <w:t>励对象资格及名单进行了核实。公司独立董事对此发表了独立意见，认为激励对象主体资格合法有效，确</w:t>
      </w:r>
      <w:r>
        <w:rPr>
          <w:spacing w:val="-44"/>
        </w:rPr>
        <w:t> </w:t>
      </w:r>
      <w:r>
        <w:rPr>
          <w:spacing w:val="-44"/>
        </w:rPr>
      </w:r>
      <w:r>
        <w:rPr/>
        <w:t>定的授予日符合相关规定。</w:t>
      </w:r>
      <w:r>
        <w:rPr>
          <w:w w:val="100"/>
        </w:rPr>
        <w:t> </w:t>
      </w:r>
      <w:r>
        <w:rPr>
          <w:rFonts w:ascii="Times New Roman" w:hAnsi="Times New Roman" w:cs="Times New Roman" w:eastAsia="Times New Roman" w:hint="default"/>
          <w:spacing w:val="-2"/>
        </w:rPr>
        <w:t>6</w:t>
      </w:r>
      <w:r>
        <w:rPr>
          <w:spacing w:val="-2"/>
        </w:rPr>
        <w:t>、经深圳证券交易所、中国证券登记结算有限责任公司深圳分公司审核确认，公司分别已于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22</w:t>
      </w:r>
      <w:r>
        <w:rPr>
          <w:rFonts w:ascii="Times New Roman" w:hAnsi="Times New Roman" w:cs="Times New Roman" w:eastAsia="Times New Roman" w:hint="default"/>
          <w:spacing w:val="11"/>
        </w:rPr>
        <w:t> </w:t>
      </w:r>
      <w:r>
        <w:rPr>
          <w:spacing w:val="-4"/>
        </w:rPr>
        <w:t>日和</w:t>
      </w: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5</w:t>
      </w:r>
      <w:r>
        <w:rPr>
          <w:spacing w:val="-4"/>
        </w:rPr>
        <w:t>日完成了</w:t>
      </w:r>
      <w:r>
        <w:rPr>
          <w:rFonts w:ascii="Times New Roman" w:hAnsi="Times New Roman" w:cs="Times New Roman" w:eastAsia="Times New Roman" w:hint="default"/>
          <w:spacing w:val="-4"/>
        </w:rPr>
        <w:t>533</w:t>
      </w:r>
      <w:r>
        <w:rPr>
          <w:spacing w:val="-4"/>
        </w:rPr>
        <w:t>万股和</w:t>
      </w:r>
      <w:r>
        <w:rPr>
          <w:rFonts w:ascii="Times New Roman" w:hAnsi="Times New Roman" w:cs="Times New Roman" w:eastAsia="Times New Roman" w:hint="default"/>
          <w:spacing w:val="-4"/>
        </w:rPr>
        <w:t>20</w:t>
      </w:r>
      <w:r>
        <w:rPr>
          <w:spacing w:val="-4"/>
        </w:rPr>
        <w:t>万股的首次限制性股票授予（预留部分除外）的授权、登记等手续。</w:t>
      </w:r>
      <w:r>
        <w:rPr/>
      </w:r>
    </w:p>
    <w:p>
      <w:pPr>
        <w:pStyle w:val="BodyText"/>
        <w:spacing w:line="391" w:lineRule="auto" w:before="26"/>
        <w:ind w:left="153" w:right="103" w:firstLine="458"/>
        <w:jc w:val="left"/>
      </w:pPr>
      <w:r>
        <w:rPr/>
        <w:t>上述事项详细内容中国证监会指定的创业板信息披露网站</w:t>
      </w:r>
      <w:hyperlink r:id="rId15">
        <w:r>
          <w:rPr>
            <w:rFonts w:ascii="Times New Roman" w:hAnsi="Times New Roman" w:cs="Times New Roman" w:eastAsia="Times New Roman" w:hint="default"/>
          </w:rPr>
          <w:t>www.cninfo.com.cn</w:t>
        </w:r>
      </w:hyperlink>
      <w:r>
        <w:rPr/>
        <w:t>。</w:t>
      </w:r>
      <w:r>
        <w:rPr>
          <w:w w:val="100"/>
        </w:rPr>
        <w:t> </w:t>
      </w:r>
      <w:r>
        <w:rPr>
          <w:rFonts w:ascii="Times New Roman" w:hAnsi="Times New Roman" w:cs="Times New Roman" w:eastAsia="Times New Roman" w:hint="default"/>
          <w:spacing w:val="-2"/>
        </w:rPr>
        <w:t>7</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26</w:t>
      </w:r>
      <w:r>
        <w:rPr>
          <w:spacing w:val="-2"/>
        </w:rPr>
        <w:t>日，公司分别召开第二届董事会第十三次临时会议和第二届监事会第十一次临时会议，审</w:t>
      </w:r>
      <w:r>
        <w:rPr>
          <w:spacing w:val="-37"/>
        </w:rPr>
        <w:t> </w:t>
      </w:r>
      <w:r>
        <w:rPr>
          <w:spacing w:val="-37"/>
        </w:rPr>
      </w:r>
      <w:r>
        <w:rPr>
          <w:spacing w:val="-2"/>
        </w:rPr>
        <w:t>议通过了《关于回购注销已不符合激励条件的原激励对象已获授尚未解锁的限制性股票的议案》，同意将</w:t>
      </w:r>
      <w:r>
        <w:rPr>
          <w:spacing w:val="-42"/>
        </w:rPr>
        <w:t> </w:t>
      </w:r>
      <w:r>
        <w:rPr>
          <w:spacing w:val="-42"/>
        </w:rPr>
      </w:r>
      <w:r>
        <w:rPr>
          <w:spacing w:val="-4"/>
        </w:rPr>
        <w:t>离职激励对象涂宇果、鲜宸皓、段荣蓉</w:t>
      </w:r>
      <w:r>
        <w:rPr>
          <w:rFonts w:ascii="Times New Roman" w:hAnsi="Times New Roman" w:cs="Times New Roman" w:eastAsia="Times New Roman" w:hint="default"/>
          <w:spacing w:val="-4"/>
        </w:rPr>
        <w:t>3</w:t>
      </w:r>
      <w:r>
        <w:rPr>
          <w:spacing w:val="-4"/>
        </w:rPr>
        <w:t>人已获授但未解锁的全部限制性股票</w:t>
      </w:r>
      <w:r>
        <w:rPr>
          <w:rFonts w:ascii="Times New Roman" w:hAnsi="Times New Roman" w:cs="Times New Roman" w:eastAsia="Times New Roman" w:hint="default"/>
          <w:spacing w:val="-4"/>
        </w:rPr>
        <w:t>13.5</w:t>
      </w:r>
      <w:r>
        <w:rPr>
          <w:spacing w:val="-4"/>
        </w:rPr>
        <w:t>万股进行回购注销，回购</w:t>
      </w:r>
      <w:r>
        <w:rPr>
          <w:spacing w:val="-3"/>
        </w:rPr>
        <w:t> </w:t>
      </w:r>
      <w:r>
        <w:rPr>
          <w:spacing w:val="-3"/>
        </w:rPr>
      </w:r>
      <w:r>
        <w:rPr/>
        <w:t>价格为授予价格</w:t>
      </w:r>
      <w:r>
        <w:rPr>
          <w:rFonts w:ascii="Times New Roman" w:hAnsi="Times New Roman" w:cs="Times New Roman" w:eastAsia="Times New Roman" w:hint="default"/>
        </w:rPr>
        <w:t>4.81</w:t>
      </w:r>
      <w:r>
        <w:rPr/>
        <w:t>元</w:t>
      </w:r>
      <w:r>
        <w:rPr>
          <w:rFonts w:ascii="Times New Roman" w:hAnsi="Times New Roman" w:cs="Times New Roman" w:eastAsia="Times New Roman" w:hint="default"/>
        </w:rPr>
        <w:t>/</w:t>
      </w:r>
      <w:r>
        <w:rPr/>
        <w:t>股。公司上述限制性股票的注销事宜已经于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日完成。</w:t>
      </w:r>
      <w:r>
        <w:rPr>
          <w:w w:val="100"/>
        </w:rPr>
        <w:t> </w:t>
      </w:r>
      <w:r>
        <w:rPr>
          <w:rFonts w:ascii="Times New Roman" w:hAnsi="Times New Roman" w:cs="Times New Roman" w:eastAsia="Times New Roman" w:hint="default"/>
          <w:spacing w:val="-2"/>
        </w:rPr>
        <w:t>8</w:t>
      </w:r>
      <w:r>
        <w:rPr>
          <w:spacing w:val="-2"/>
        </w:rPr>
        <w:t>、公司于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日分别召开第二届董事会第十七次临时会议和第二届监事会第十五次临时会议，审</w:t>
      </w:r>
      <w:r>
        <w:rPr>
          <w:spacing w:val="-36"/>
        </w:rPr>
        <w:t> </w:t>
      </w:r>
      <w:r>
        <w:rPr>
          <w:spacing w:val="-36"/>
        </w:rPr>
      </w:r>
      <w:r>
        <w:rPr>
          <w:spacing w:val="-3"/>
        </w:rPr>
        <w:t>议通过了《对</w:t>
      </w:r>
      <w:r>
        <w:rPr>
          <w:rFonts w:ascii="Times New Roman" w:hAnsi="Times New Roman" w:cs="Times New Roman" w:eastAsia="Times New Roman" w:hint="default"/>
          <w:spacing w:val="-3"/>
        </w:rPr>
        <w:t>&lt;</w:t>
      </w:r>
      <w:r>
        <w:rPr>
          <w:spacing w:val="-3"/>
        </w:rPr>
        <w:t>限制性股票激励计划</w:t>
      </w:r>
      <w:r>
        <w:rPr>
          <w:rFonts w:ascii="Times New Roman" w:hAnsi="Times New Roman" w:cs="Times New Roman" w:eastAsia="Times New Roman" w:hint="default"/>
          <w:spacing w:val="-3"/>
        </w:rPr>
        <w:t>&gt;</w:t>
      </w:r>
      <w:r>
        <w:rPr>
          <w:spacing w:val="-3"/>
        </w:rPr>
        <w:t>预留限制性股票数量进行调整的议案》、《关于向激励对象授予预留</w:t>
      </w:r>
      <w:r>
        <w:rPr>
          <w:spacing w:val="-32"/>
        </w:rPr>
        <w:t> </w:t>
      </w:r>
      <w:r>
        <w:rPr>
          <w:spacing w:val="-32"/>
        </w:rPr>
      </w:r>
      <w:r>
        <w:rPr/>
        <w:t>限制性股票相关事项的议案》。公司计划将预留限制性股票授出，授权日为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日，其中授予</w:t>
      </w:r>
      <w:r>
        <w:rPr>
          <w:rFonts w:ascii="Times New Roman" w:hAnsi="Times New Roman" w:cs="Times New Roman" w:eastAsia="Times New Roman" w:hint="default"/>
        </w:rPr>
        <w:t>30</w:t>
      </w:r>
      <w:r>
        <w:rPr>
          <w:rFonts w:ascii="Times New Roman" w:hAnsi="Times New Roman" w:cs="Times New Roman" w:eastAsia="Times New Roman" w:hint="default"/>
          <w:spacing w:val="-3"/>
          <w:w w:val="100"/>
        </w:rPr>
        <w:t> </w:t>
      </w:r>
      <w:r>
        <w:rPr>
          <w:spacing w:val="-2"/>
        </w:rPr>
        <w:t>名激励对象</w:t>
      </w:r>
      <w:r>
        <w:rPr>
          <w:rFonts w:ascii="Times New Roman" w:hAnsi="Times New Roman" w:cs="Times New Roman" w:eastAsia="Times New Roman" w:hint="default"/>
          <w:spacing w:val="-2"/>
        </w:rPr>
        <w:t>84.5</w:t>
      </w:r>
      <w:r>
        <w:rPr>
          <w:spacing w:val="-2"/>
        </w:rPr>
        <w:t>万股限制性股票，授予价格为</w:t>
      </w:r>
      <w:r>
        <w:rPr>
          <w:rFonts w:ascii="Times New Roman" w:hAnsi="Times New Roman" w:cs="Times New Roman" w:eastAsia="Times New Roman" w:hint="default"/>
          <w:spacing w:val="-2"/>
        </w:rPr>
        <w:t>10.38</w:t>
      </w:r>
      <w:r>
        <w:rPr>
          <w:spacing w:val="-2"/>
        </w:rPr>
        <w:t>元</w:t>
      </w:r>
      <w:r>
        <w:rPr>
          <w:rFonts w:ascii="Times New Roman" w:hAnsi="Times New Roman" w:cs="Times New Roman" w:eastAsia="Times New Roman" w:hint="default"/>
          <w:spacing w:val="-2"/>
        </w:rPr>
        <w:t>/</w:t>
      </w:r>
      <w:r>
        <w:rPr>
          <w:spacing w:val="-2"/>
        </w:rPr>
        <w:t>股。公司预留部分的限制性股票已于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21</w:t>
      </w:r>
      <w:r>
        <w:rPr>
          <w:spacing w:val="-2"/>
        </w:rPr>
        <w:t>日</w:t>
      </w:r>
      <w:r>
        <w:rPr>
          <w:spacing w:val="-8"/>
        </w:rPr>
        <w:t> </w:t>
      </w:r>
      <w:r>
        <w:rPr/>
        <w:t>完成授予登记手续。</w:t>
      </w:r>
      <w:r>
        <w:rPr>
          <w:w w:val="100"/>
        </w:rPr>
        <w:t> </w:t>
      </w:r>
      <w:r>
        <w:rPr>
          <w:rFonts w:ascii="Times New Roman" w:hAnsi="Times New Roman" w:cs="Times New Roman" w:eastAsia="Times New Roman" w:hint="default"/>
          <w:spacing w:val="-2"/>
        </w:rPr>
        <w:t>9</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14</w:t>
      </w:r>
      <w:r>
        <w:rPr>
          <w:spacing w:val="-2"/>
        </w:rPr>
        <w:t>日，公司召开第二届董事会第十九次会议和第二届监事会第十七次会议，审议通过了《关</w:t>
      </w:r>
      <w:r>
        <w:rPr>
          <w:spacing w:val="-36"/>
        </w:rPr>
        <w:t> </w:t>
      </w:r>
      <w:r>
        <w:rPr>
          <w:spacing w:val="-36"/>
        </w:rPr>
      </w:r>
      <w:r>
        <w:rPr>
          <w:spacing w:val="-2"/>
        </w:rPr>
        <w:t>于限制性股票激励计划首期限制性股票可解锁的议案》、《关于回购注销部分激励对象已获授但尚未解锁</w:t>
      </w:r>
      <w:r>
        <w:rPr>
          <w:spacing w:val="-43"/>
        </w:rPr>
        <w:t> </w:t>
      </w:r>
      <w:r>
        <w:rPr>
          <w:spacing w:val="-43"/>
        </w:rPr>
      </w:r>
      <w:r>
        <w:rPr>
          <w:spacing w:val="-2"/>
        </w:rPr>
        <w:t>的限制性股票的议案》。同意按照《限制性股票激励计划》的相关规定办理首期限制性股票的解锁相关事</w:t>
      </w:r>
      <w:r>
        <w:rPr>
          <w:spacing w:val="-47"/>
        </w:rPr>
        <w:t> </w:t>
      </w:r>
      <w:r>
        <w:rPr>
          <w:spacing w:val="-47"/>
        </w:rPr>
      </w:r>
      <w:r>
        <w:rPr>
          <w:spacing w:val="-3"/>
        </w:rPr>
        <w:t>宜。鉴于公司已实施了</w:t>
      </w:r>
      <w:r>
        <w:rPr>
          <w:rFonts w:ascii="Times New Roman" w:hAnsi="Times New Roman" w:cs="Times New Roman" w:eastAsia="Times New Roman" w:hint="default"/>
          <w:spacing w:val="-3"/>
        </w:rPr>
        <w:t>2013</w:t>
      </w:r>
      <w:r>
        <w:rPr>
          <w:spacing w:val="-3"/>
        </w:rPr>
        <w:t>年度权益分派，调整后本次可申请解锁的限制性股票数量为</w:t>
      </w:r>
      <w:r>
        <w:rPr>
          <w:rFonts w:ascii="Times New Roman" w:hAnsi="Times New Roman" w:cs="Times New Roman" w:eastAsia="Times New Roman" w:hint="default"/>
          <w:spacing w:val="-3"/>
        </w:rPr>
        <w:t>193.401</w:t>
      </w:r>
      <w:r>
        <w:rPr>
          <w:spacing w:val="-3"/>
        </w:rPr>
        <w:t>万股，占公</w:t>
      </w:r>
      <w:r>
        <w:rPr>
          <w:spacing w:val="-38"/>
        </w:rPr>
        <w:t> </w:t>
      </w:r>
      <w:r>
        <w:rPr>
          <w:spacing w:val="-38"/>
        </w:rPr>
      </w:r>
      <w:r>
        <w:rPr>
          <w:spacing w:val="-3"/>
        </w:rPr>
        <w:t>司当期股本总额的</w:t>
      </w:r>
      <w:r>
        <w:rPr>
          <w:rFonts w:ascii="Times New Roman" w:hAnsi="Times New Roman" w:cs="Times New Roman" w:eastAsia="Times New Roman" w:hint="default"/>
          <w:spacing w:val="-3"/>
        </w:rPr>
        <w:t>1.06%</w:t>
      </w:r>
      <w:r>
        <w:rPr>
          <w:spacing w:val="-3"/>
        </w:rPr>
        <w:t>。首期限制性股票于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27</w:t>
      </w:r>
      <w:r>
        <w:rPr>
          <w:spacing w:val="-3"/>
        </w:rPr>
        <w:t>日上市流通。公司激励对象中陶凯、高航、许焕</w:t>
      </w:r>
      <w:r>
        <w:rPr>
          <w:spacing w:val="-10"/>
        </w:rPr>
        <w:t> </w:t>
      </w:r>
      <w:r>
        <w:rPr>
          <w:spacing w:val="-10"/>
        </w:rPr>
      </w:r>
      <w:r>
        <w:rPr>
          <w:spacing w:val="-2"/>
        </w:rPr>
        <w:t>明</w:t>
      </w:r>
      <w:r>
        <w:rPr>
          <w:rFonts w:ascii="Times New Roman" w:hAnsi="Times New Roman" w:cs="Times New Roman" w:eastAsia="Times New Roman" w:hint="default"/>
          <w:spacing w:val="-2"/>
        </w:rPr>
        <w:t>3</w:t>
      </w:r>
      <w:r>
        <w:rPr>
          <w:spacing w:val="-2"/>
        </w:rPr>
        <w:t>人因</w:t>
      </w:r>
      <w:r>
        <w:rPr>
          <w:rFonts w:ascii="Times New Roman" w:hAnsi="Times New Roman" w:cs="Times New Roman" w:eastAsia="Times New Roman" w:hint="default"/>
          <w:spacing w:val="-2"/>
        </w:rPr>
        <w:t>2013</w:t>
      </w:r>
      <w:r>
        <w:rPr>
          <w:spacing w:val="-2"/>
        </w:rPr>
        <w:t>年度个人考核未达标不能解锁第一期限制性股票，陆宝齐、魏涛、李斌</w:t>
      </w:r>
      <w:r>
        <w:rPr>
          <w:rFonts w:ascii="Times New Roman" w:hAnsi="Times New Roman" w:cs="Times New Roman" w:eastAsia="Times New Roman" w:hint="default"/>
          <w:spacing w:val="-2"/>
        </w:rPr>
        <w:t>3</w:t>
      </w:r>
      <w:r>
        <w:rPr>
          <w:spacing w:val="-2"/>
        </w:rPr>
        <w:t>人将根据</w:t>
      </w:r>
      <w:r>
        <w:rPr>
          <w:rFonts w:ascii="Times New Roman" w:hAnsi="Times New Roman" w:cs="Times New Roman" w:eastAsia="Times New Roman" w:hint="default"/>
          <w:spacing w:val="-2"/>
        </w:rPr>
        <w:t>2013</w:t>
      </w:r>
      <w:r>
        <w:rPr>
          <w:spacing w:val="-2"/>
        </w:rPr>
        <w:t>年度个</w:t>
      </w:r>
      <w:r>
        <w:rPr>
          <w:spacing w:val="-47"/>
        </w:rPr>
        <w:t> </w:t>
      </w:r>
      <w:r>
        <w:rPr/>
        <w:t>人对应考核标准系数对本次可解锁数量进行调整，公司对其调整后已获授但未能解锁的限制性股票</w:t>
      </w:r>
      <w:r>
        <w:rPr>
          <w:rFonts w:ascii="Times New Roman" w:hAnsi="Times New Roman" w:cs="Times New Roman" w:eastAsia="Times New Roman" w:hint="default"/>
        </w:rPr>
        <w:t>9.204</w:t>
      </w:r>
      <w:r>
        <w:rPr>
          <w:rFonts w:ascii="Times New Roman" w:hAnsi="Times New Roman" w:cs="Times New Roman" w:eastAsia="Times New Roman" w:hint="default"/>
          <w:w w:val="100"/>
        </w:rPr>
        <w:t> </w:t>
      </w:r>
      <w:r>
        <w:rPr/>
        <w:t>万股进行回购注销。上述限制性股票的回购注销事宜已于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日完成。</w:t>
      </w:r>
      <w:r>
        <w:rPr>
          <w:w w:val="100"/>
        </w:rPr>
        <w:t> </w:t>
      </w:r>
      <w:r>
        <w:rPr>
          <w:rFonts w:ascii="Times New Roman" w:hAnsi="Times New Roman" w:cs="Times New Roman" w:eastAsia="Times New Roman" w:hint="default"/>
          <w:spacing w:val="-2"/>
        </w:rPr>
        <w:t>10</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27</w:t>
      </w:r>
      <w:r>
        <w:rPr>
          <w:spacing w:val="-2"/>
        </w:rPr>
        <w:t>日，公司召开第二届董事会第二十一次会议和第二届监事会第十九次会议，审议通过了</w:t>
      </w:r>
    </w:p>
    <w:p>
      <w:pPr>
        <w:pStyle w:val="BodyText"/>
        <w:spacing w:line="391" w:lineRule="auto" w:before="31"/>
        <w:ind w:left="154" w:right="103"/>
        <w:jc w:val="left"/>
      </w:pPr>
      <w:r>
        <w:rPr>
          <w:spacing w:val="-2"/>
        </w:rPr>
        <w:t>《关于限制性股票激励计划首期限制性股票可解锁的议案》。同意按照《限制性股票激励计划》的相关规</w:t>
      </w:r>
      <w:r>
        <w:rPr>
          <w:spacing w:val="-44"/>
        </w:rPr>
        <w:t> </w:t>
      </w:r>
      <w:r>
        <w:rPr>
          <w:spacing w:val="-44"/>
        </w:rPr>
      </w:r>
      <w:r>
        <w:rPr>
          <w:spacing w:val="-2"/>
        </w:rPr>
        <w:t>定办理激励对象陆廷洁女士首期限制性股票解锁相关事宜。鉴于公司已实施了</w:t>
      </w:r>
      <w:r>
        <w:rPr>
          <w:rFonts w:ascii="Times New Roman" w:hAnsi="Times New Roman" w:cs="Times New Roman" w:eastAsia="Times New Roman" w:hint="default"/>
          <w:spacing w:val="-2"/>
        </w:rPr>
        <w:t>2013</w:t>
      </w:r>
      <w:r>
        <w:rPr>
          <w:spacing w:val="-2"/>
        </w:rPr>
        <w:t>年度权益分派，陆廷洁</w:t>
      </w:r>
      <w:r>
        <w:rPr>
          <w:spacing w:val="-41"/>
        </w:rPr>
        <w:t> </w:t>
      </w:r>
      <w:r>
        <w:rPr>
          <w:spacing w:val="-41"/>
        </w:rPr>
      </w:r>
      <w:r>
        <w:rPr>
          <w:spacing w:val="-3"/>
        </w:rPr>
        <w:t>女士获授的限制性股票份额由</w:t>
      </w:r>
      <w:r>
        <w:rPr>
          <w:rFonts w:ascii="Times New Roman" w:hAnsi="Times New Roman" w:cs="Times New Roman" w:eastAsia="Times New Roman" w:hint="default"/>
          <w:spacing w:val="-3"/>
        </w:rPr>
        <w:t>20</w:t>
      </w:r>
      <w:r>
        <w:rPr>
          <w:spacing w:val="-3"/>
        </w:rPr>
        <w:t>万股调整为</w:t>
      </w:r>
      <w:r>
        <w:rPr>
          <w:rFonts w:ascii="Times New Roman" w:hAnsi="Times New Roman" w:cs="Times New Roman" w:eastAsia="Times New Roman" w:hint="default"/>
          <w:spacing w:val="-3"/>
        </w:rPr>
        <w:t>26</w:t>
      </w:r>
      <w:r>
        <w:rPr>
          <w:spacing w:val="-3"/>
        </w:rPr>
        <w:t>万股，可申请解锁的限制性股票数量为</w:t>
      </w:r>
      <w:r>
        <w:rPr>
          <w:rFonts w:ascii="Times New Roman" w:hAnsi="Times New Roman" w:cs="Times New Roman" w:eastAsia="Times New Roman" w:hint="default"/>
          <w:spacing w:val="-3"/>
        </w:rPr>
        <w:t>7.8</w:t>
      </w:r>
      <w:r>
        <w:rPr>
          <w:spacing w:val="-3"/>
        </w:rPr>
        <w:t>万股，占公司当前</w:t>
      </w:r>
      <w:r>
        <w:rPr>
          <w:spacing w:val="-40"/>
        </w:rPr>
        <w:t> </w:t>
      </w:r>
      <w:r>
        <w:rPr>
          <w:spacing w:val="-40"/>
        </w:rPr>
      </w:r>
      <w:r>
        <w:rPr/>
        <w:t>股本总额的</w:t>
      </w:r>
      <w:r>
        <w:rPr>
          <w:rFonts w:ascii="Times New Roman" w:hAnsi="Times New Roman" w:cs="Times New Roman" w:eastAsia="Times New Roman" w:hint="default"/>
        </w:rPr>
        <w:t>0.04287%</w:t>
      </w:r>
      <w:r>
        <w:rPr/>
        <w:t>。上述限制性股票已于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日解禁上市流通。</w:t>
      </w:r>
      <w:r>
        <w:rPr>
          <w:spacing w:val="-3"/>
          <w:w w:val="100"/>
        </w:rPr>
        <w:t> </w:t>
      </w:r>
      <w:r>
        <w:rPr>
          <w:rFonts w:ascii="Times New Roman" w:hAnsi="Times New Roman" w:cs="Times New Roman" w:eastAsia="Times New Roman" w:hint="default"/>
        </w:rPr>
        <w:t>11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日，公司召开第二届董事会第二十四次临时会议，审议通过了《关于回购注销部分激励</w:t>
      </w:r>
    </w:p>
    <w:p>
      <w:pPr>
        <w:spacing w:after="0" w:line="391" w:lineRule="auto"/>
        <w:jc w:val="left"/>
        <w:sectPr>
          <w:pgSz w:w="11910" w:h="16840"/>
          <w:pgMar w:header="745" w:footer="982" w:top="1060" w:bottom="1180" w:left="980" w:right="920"/>
        </w:sectPr>
      </w:pPr>
    </w:p>
    <w:p>
      <w:pPr>
        <w:spacing w:line="240" w:lineRule="auto" w:before="0"/>
        <w:rPr>
          <w:rFonts w:ascii="宋体" w:hAnsi="宋体" w:cs="宋体" w:eastAsia="宋体" w:hint="default"/>
          <w:sz w:val="20"/>
          <w:szCs w:val="20"/>
        </w:rPr>
      </w:pPr>
    </w:p>
    <w:p>
      <w:pPr>
        <w:pStyle w:val="BodyText"/>
        <w:spacing w:line="396" w:lineRule="auto" w:before="175"/>
        <w:ind w:right="0"/>
        <w:jc w:val="left"/>
      </w:pPr>
      <w:r>
        <w:rPr/>
        <w:t>对象已获授但尚未解锁的限制性股票的议案》，同意将离职激励对象陆宝齐、田毅</w:t>
      </w:r>
      <w:r>
        <w:rPr>
          <w:rFonts w:ascii="Times New Roman" w:hAnsi="Times New Roman" w:cs="Times New Roman" w:eastAsia="Times New Roman" w:hint="default"/>
        </w:rPr>
        <w:t>2</w:t>
      </w:r>
      <w:r>
        <w:rPr/>
        <w:t>人已获授但未解锁的</w:t>
      </w:r>
      <w:r>
        <w:rPr>
          <w:spacing w:val="-3"/>
          <w:w w:val="100"/>
        </w:rPr>
        <w:t> </w:t>
      </w:r>
      <w:r>
        <w:rPr/>
        <w:t>全部限制性股票</w:t>
      </w:r>
      <w:r>
        <w:rPr>
          <w:rFonts w:ascii="Times New Roman" w:hAnsi="Times New Roman" w:cs="Times New Roman" w:eastAsia="Times New Roman" w:hint="default"/>
        </w:rPr>
        <w:t>133,250</w:t>
      </w:r>
      <w:r>
        <w:rPr/>
        <w:t>股进行回购注销。公司上述限制性股票的注销事宜已经于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日完成。</w:t>
      </w:r>
      <w:r>
        <w:rPr>
          <w:spacing w:val="-3"/>
          <w:w w:val="100"/>
        </w:rPr>
        <w:t> </w:t>
      </w:r>
      <w:r>
        <w:rPr>
          <w:rFonts w:ascii="Times New Roman" w:hAnsi="Times New Roman" w:cs="Times New Roman" w:eastAsia="Times New Roman" w:hint="default"/>
        </w:rPr>
        <w:t>12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t>日，公司召开第二届董事会第二十八次临时会议和第二届监事会第二十六次临时会议，</w:t>
      </w:r>
      <w:r>
        <w:rPr>
          <w:w w:val="100"/>
        </w:rPr>
        <w:t> </w:t>
      </w:r>
      <w:r>
        <w:rPr>
          <w:spacing w:val="-2"/>
        </w:rPr>
        <w:t>审议通过了《关于公司股权激励计划预留部分限制性股票第一个解锁期条件成就可解锁的议案》、《关于</w:t>
      </w:r>
      <w:r>
        <w:rPr>
          <w:spacing w:val="-44"/>
        </w:rPr>
        <w:t> </w:t>
      </w:r>
      <w:r>
        <w:rPr>
          <w:spacing w:val="-44"/>
        </w:rPr>
      </w:r>
      <w:r>
        <w:rPr>
          <w:spacing w:val="-2"/>
        </w:rPr>
        <w:t>限制性股票激励计划首次授予的限制性股票第二个解锁期条件成就可解锁的议案》、《关于回购注销部分</w:t>
      </w:r>
      <w:r>
        <w:rPr>
          <w:spacing w:val="-43"/>
        </w:rPr>
        <w:t> </w:t>
      </w:r>
      <w:r>
        <w:rPr>
          <w:spacing w:val="-43"/>
        </w:rPr>
      </w:r>
      <w:r>
        <w:rPr>
          <w:spacing w:val="-2"/>
        </w:rPr>
        <w:t>激励对象已获授但尚未解锁的限制性股票的议案》。同意按照《限制性股票激励计划》的相关规定办理预</w:t>
      </w:r>
      <w:r>
        <w:rPr>
          <w:spacing w:val="-47"/>
        </w:rPr>
        <w:t> </w:t>
      </w:r>
      <w:r>
        <w:rPr>
          <w:spacing w:val="-47"/>
        </w:rPr>
      </w:r>
      <w:r>
        <w:rPr>
          <w:spacing w:val="-2"/>
        </w:rPr>
        <w:t>留部分限制性股票首期解锁及首次授予的限制性股票第二个解锁期限制性股票解锁相关事宜。其中：预留</w:t>
      </w:r>
      <w:r>
        <w:rPr>
          <w:spacing w:val="-43"/>
        </w:rPr>
        <w:t> </w:t>
      </w:r>
      <w:r>
        <w:rPr>
          <w:spacing w:val="-43"/>
        </w:rPr>
      </w:r>
      <w:r>
        <w:rPr>
          <w:spacing w:val="-2"/>
        </w:rPr>
        <w:t>部分首期限制性股票申请解锁</w:t>
      </w:r>
      <w:r>
        <w:rPr>
          <w:rFonts w:ascii="Times New Roman" w:hAnsi="Times New Roman" w:cs="Times New Roman" w:eastAsia="Times New Roman" w:hint="default"/>
          <w:spacing w:val="-2"/>
        </w:rPr>
        <w:t>55.77</w:t>
      </w:r>
      <w:r>
        <w:rPr>
          <w:spacing w:val="-2"/>
        </w:rPr>
        <w:t>万股，占目前股本总额的</w:t>
      </w:r>
      <w:r>
        <w:rPr>
          <w:rFonts w:ascii="Times New Roman" w:hAnsi="Times New Roman" w:cs="Times New Roman" w:eastAsia="Times New Roman" w:hint="default"/>
          <w:spacing w:val="-2"/>
        </w:rPr>
        <w:t>0.20%</w:t>
      </w:r>
      <w:r>
        <w:rPr>
          <w:spacing w:val="-2"/>
        </w:rPr>
        <w:t>；首次授予的限制性股票第二个解锁期</w:t>
      </w:r>
      <w:r>
        <w:rPr>
          <w:spacing w:val="-16"/>
        </w:rPr>
        <w:t> </w:t>
      </w:r>
      <w:r>
        <w:rPr>
          <w:spacing w:val="-16"/>
        </w:rPr>
      </w:r>
      <w:r>
        <w:rPr>
          <w:spacing w:val="-2"/>
        </w:rPr>
        <w:t>的限制性股票申请解锁</w:t>
      </w:r>
      <w:r>
        <w:rPr>
          <w:rFonts w:ascii="Times New Roman" w:hAnsi="Times New Roman" w:cs="Times New Roman" w:eastAsia="Times New Roman" w:hint="default"/>
          <w:spacing w:val="-2"/>
        </w:rPr>
        <w:t>295.308</w:t>
      </w:r>
      <w:r>
        <w:rPr>
          <w:spacing w:val="-2"/>
        </w:rPr>
        <w:t>万股，占公司目前股本总额的</w:t>
      </w:r>
      <w:r>
        <w:rPr>
          <w:rFonts w:ascii="Times New Roman" w:hAnsi="Times New Roman" w:cs="Times New Roman" w:eastAsia="Times New Roman" w:hint="default"/>
          <w:spacing w:val="-2"/>
        </w:rPr>
        <w:t>1.08%</w:t>
      </w:r>
      <w:r>
        <w:rPr>
          <w:spacing w:val="-2"/>
        </w:rPr>
        <w:t>。上述限制性股票已于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9</w:t>
      </w:r>
      <w:r>
        <w:rPr>
          <w:spacing w:val="-2"/>
        </w:rPr>
        <w:t>日解</w:t>
      </w:r>
      <w:r>
        <w:rPr>
          <w:spacing w:val="-8"/>
        </w:rPr>
        <w:t> </w:t>
      </w:r>
      <w:r>
        <w:rPr/>
        <w:t>禁上市流通。</w:t>
      </w:r>
    </w:p>
    <w:p>
      <w:pPr>
        <w:pStyle w:val="BodyText"/>
        <w:spacing w:line="386" w:lineRule="auto" w:before="56"/>
        <w:ind w:left="153" w:right="152" w:firstLine="458"/>
        <w:jc w:val="both"/>
      </w:pPr>
      <w:r>
        <w:rPr>
          <w:spacing w:val="-2"/>
        </w:rPr>
        <w:t>公司激励对象中预留部分限制性股票的激励对象中张家富</w:t>
      </w:r>
      <w:r>
        <w:rPr>
          <w:rFonts w:ascii="Times New Roman" w:hAnsi="Times New Roman" w:cs="Times New Roman" w:eastAsia="Times New Roman" w:hint="default"/>
          <w:spacing w:val="-2"/>
        </w:rPr>
        <w:t>1</w:t>
      </w:r>
      <w:r>
        <w:rPr>
          <w:spacing w:val="-2"/>
        </w:rPr>
        <w:t>人因</w:t>
      </w:r>
      <w:r>
        <w:rPr>
          <w:rFonts w:ascii="Times New Roman" w:hAnsi="Times New Roman" w:cs="Times New Roman" w:eastAsia="Times New Roman" w:hint="default"/>
          <w:spacing w:val="-2"/>
        </w:rPr>
        <w:t>2014</w:t>
      </w:r>
      <w:r>
        <w:rPr>
          <w:spacing w:val="-2"/>
        </w:rPr>
        <w:t>年度个人考核未达标不能解锁首</w:t>
      </w:r>
      <w:r>
        <w:rPr>
          <w:spacing w:val="-3"/>
          <w:w w:val="100"/>
        </w:rPr>
        <w:t> </w:t>
      </w:r>
      <w:r>
        <w:rPr/>
        <w:t>期限制性股票，邱智斌、胡杨</w:t>
      </w:r>
      <w:r>
        <w:rPr>
          <w:rFonts w:ascii="Times New Roman" w:hAnsi="Times New Roman" w:cs="Times New Roman" w:eastAsia="Times New Roman" w:hint="default"/>
        </w:rPr>
        <w:t>2</w:t>
      </w:r>
      <w:r>
        <w:rPr/>
        <w:t>人将根据</w:t>
      </w:r>
      <w:r>
        <w:rPr>
          <w:rFonts w:ascii="Times New Roman" w:hAnsi="Times New Roman" w:cs="Times New Roman" w:eastAsia="Times New Roman" w:hint="default"/>
        </w:rPr>
        <w:t>2014</w:t>
      </w:r>
      <w:r>
        <w:rPr/>
        <w:t>年度个人对应考核标准系数对本次可解锁数量进行调整，对</w:t>
      </w:r>
      <w:r>
        <w:rPr>
          <w:w w:val="100"/>
        </w:rPr>
        <w:t> </w:t>
      </w:r>
      <w:r>
        <w:rPr>
          <w:spacing w:val="-2"/>
        </w:rPr>
        <w:t>于已授予上述对象但未能解锁的限制性股票共</w:t>
      </w:r>
      <w:r>
        <w:rPr>
          <w:rFonts w:ascii="Times New Roman" w:hAnsi="Times New Roman" w:cs="Times New Roman" w:eastAsia="Times New Roman" w:hint="default"/>
          <w:spacing w:val="-2"/>
        </w:rPr>
        <w:t>2.73</w:t>
      </w:r>
      <w:r>
        <w:rPr>
          <w:spacing w:val="-2"/>
        </w:rPr>
        <w:t>万股（已根据</w:t>
      </w:r>
      <w:r>
        <w:rPr>
          <w:rFonts w:ascii="Times New Roman" w:hAnsi="Times New Roman" w:cs="Times New Roman" w:eastAsia="Times New Roman" w:hint="default"/>
          <w:spacing w:val="-2"/>
        </w:rPr>
        <w:t>2014</w:t>
      </w:r>
      <w:r>
        <w:rPr>
          <w:spacing w:val="-2"/>
        </w:rPr>
        <w:t>年度权益分派资本公积金转增股本进</w:t>
      </w:r>
      <w:r>
        <w:rPr>
          <w:spacing w:val="-10"/>
        </w:rPr>
        <w:t> </w:t>
      </w:r>
      <w:r>
        <w:rPr>
          <w:spacing w:val="-10"/>
        </w:rPr>
      </w:r>
      <w:r>
        <w:rPr>
          <w:spacing w:val="-2"/>
        </w:rPr>
        <w:t>行调整后的股数）进行回购注销，回购价格为</w:t>
      </w:r>
      <w:r>
        <w:rPr>
          <w:rFonts w:ascii="Times New Roman" w:hAnsi="Times New Roman" w:cs="Times New Roman" w:eastAsia="Times New Roman" w:hint="default"/>
          <w:spacing w:val="-2"/>
        </w:rPr>
        <w:t>6.8533</w:t>
      </w:r>
      <w:r>
        <w:rPr>
          <w:spacing w:val="-2"/>
        </w:rPr>
        <w:t>元</w:t>
      </w:r>
      <w:r>
        <w:rPr>
          <w:rFonts w:ascii="Times New Roman" w:hAnsi="Times New Roman" w:cs="Times New Roman" w:eastAsia="Times New Roman" w:hint="default"/>
          <w:spacing w:val="-2"/>
        </w:rPr>
        <w:t>/</w:t>
      </w:r>
      <w:r>
        <w:rPr>
          <w:spacing w:val="-2"/>
        </w:rPr>
        <w:t>股（回购价格依据《股权激励计划》及公司</w:t>
      </w:r>
      <w:r>
        <w:rPr>
          <w:rFonts w:ascii="Times New Roman" w:hAnsi="Times New Roman" w:cs="Times New Roman" w:eastAsia="Times New Roman" w:hint="default"/>
          <w:spacing w:val="-2"/>
        </w:rPr>
        <w:t>2014</w:t>
      </w:r>
      <w:r>
        <w:rPr>
          <w:spacing w:val="-2"/>
        </w:rPr>
        <w:t>年</w:t>
      </w:r>
      <w:r>
        <w:rPr>
          <w:spacing w:val="-47"/>
        </w:rPr>
        <w:t> </w:t>
      </w:r>
      <w:r>
        <w:rPr/>
        <w:t>度权益分派方案进行相应调整）。</w:t>
      </w:r>
    </w:p>
    <w:p>
      <w:pPr>
        <w:pStyle w:val="BodyText"/>
        <w:spacing w:line="391" w:lineRule="auto" w:before="65"/>
        <w:ind w:left="153" w:right="0" w:firstLine="458"/>
        <w:jc w:val="left"/>
      </w:pPr>
      <w:r>
        <w:rPr>
          <w:spacing w:val="-2"/>
        </w:rPr>
        <w:t>首次授予的限制性股票的激励对象中胡牡丹、来亮、丁岚、郭立强、陶凯、冯俊雷、宣治</w:t>
      </w:r>
      <w:r>
        <w:rPr>
          <w:rFonts w:ascii="Times New Roman" w:hAnsi="Times New Roman" w:cs="Times New Roman" w:eastAsia="Times New Roman" w:hint="default"/>
          <w:spacing w:val="-2"/>
        </w:rPr>
        <w:t>7</w:t>
      </w:r>
      <w:r>
        <w:rPr>
          <w:spacing w:val="-2"/>
        </w:rPr>
        <w:t>人将根据</w:t>
      </w:r>
      <w:r>
        <w:rPr>
          <w:w w:val="100"/>
        </w:rPr>
        <w:t> </w:t>
      </w:r>
      <w:r>
        <w:rPr>
          <w:rFonts w:ascii="Times New Roman" w:hAnsi="Times New Roman" w:cs="Times New Roman" w:eastAsia="Times New Roman" w:hint="default"/>
          <w:spacing w:val="-2"/>
        </w:rPr>
        <w:t>2014</w:t>
      </w:r>
      <w:r>
        <w:rPr>
          <w:spacing w:val="-2"/>
        </w:rPr>
        <w:t>年度个人对应考核标准系数对本次可解锁数量进行调整，对于已授予上述对象但未能解锁的限制性股</w:t>
      </w:r>
      <w:r>
        <w:rPr>
          <w:spacing w:val="-39"/>
        </w:rPr>
        <w:t> </w:t>
      </w:r>
      <w:r>
        <w:rPr>
          <w:spacing w:val="-39"/>
        </w:rPr>
      </w:r>
      <w:r>
        <w:rPr>
          <w:spacing w:val="-3"/>
        </w:rPr>
        <w:t>票共</w:t>
      </w:r>
      <w:r>
        <w:rPr>
          <w:rFonts w:ascii="Times New Roman" w:hAnsi="Times New Roman" w:cs="Times New Roman" w:eastAsia="Times New Roman" w:hint="default"/>
          <w:spacing w:val="-3"/>
        </w:rPr>
        <w:t>4.212</w:t>
      </w:r>
      <w:r>
        <w:rPr>
          <w:spacing w:val="-3"/>
        </w:rPr>
        <w:t>万股（已根据</w:t>
      </w:r>
      <w:r>
        <w:rPr>
          <w:rFonts w:ascii="Times New Roman" w:hAnsi="Times New Roman" w:cs="Times New Roman" w:eastAsia="Times New Roman" w:hint="default"/>
          <w:spacing w:val="-3"/>
        </w:rPr>
        <w:t>2013</w:t>
      </w:r>
      <w:r>
        <w:rPr>
          <w:spacing w:val="-3"/>
        </w:rPr>
        <w:t>年度、</w:t>
      </w:r>
      <w:r>
        <w:rPr>
          <w:rFonts w:ascii="Times New Roman" w:hAnsi="Times New Roman" w:cs="Times New Roman" w:eastAsia="Times New Roman" w:hint="default"/>
          <w:spacing w:val="-3"/>
        </w:rPr>
        <w:t>2014</w:t>
      </w:r>
      <w:r>
        <w:rPr>
          <w:spacing w:val="-3"/>
        </w:rPr>
        <w:t>年度权益分派资本公积金转增股本进行调整后的股数）进行回购注</w:t>
      </w:r>
      <w:r>
        <w:rPr>
          <w:spacing w:val="-37"/>
        </w:rPr>
        <w:t> </w:t>
      </w:r>
      <w:r>
        <w:rPr>
          <w:spacing w:val="-37"/>
        </w:rPr>
      </w:r>
      <w:r>
        <w:rPr>
          <w:spacing w:val="-2"/>
        </w:rPr>
        <w:t>销，回购价格为</w:t>
      </w:r>
      <w:r>
        <w:rPr>
          <w:rFonts w:ascii="Times New Roman" w:hAnsi="Times New Roman" w:cs="Times New Roman" w:eastAsia="Times New Roman" w:hint="default"/>
          <w:spacing w:val="-2"/>
        </w:rPr>
        <w:t>2.3487</w:t>
      </w:r>
      <w:r>
        <w:rPr>
          <w:spacing w:val="-2"/>
        </w:rPr>
        <w:t>元</w:t>
      </w:r>
      <w:r>
        <w:rPr>
          <w:rFonts w:ascii="Times New Roman" w:hAnsi="Times New Roman" w:cs="Times New Roman" w:eastAsia="Times New Roman" w:hint="default"/>
          <w:spacing w:val="-2"/>
        </w:rPr>
        <w:t>/</w:t>
      </w:r>
      <w:r>
        <w:rPr>
          <w:spacing w:val="-2"/>
        </w:rPr>
        <w:t>股（回购价格依据《股权激励计划》及公司</w:t>
      </w:r>
      <w:r>
        <w:rPr>
          <w:rFonts w:ascii="Times New Roman" w:hAnsi="Times New Roman" w:cs="Times New Roman" w:eastAsia="Times New Roman" w:hint="default"/>
          <w:spacing w:val="-2"/>
        </w:rPr>
        <w:t>2013</w:t>
      </w:r>
      <w:r>
        <w:rPr>
          <w:spacing w:val="-2"/>
        </w:rPr>
        <w:t>年度、</w:t>
      </w:r>
      <w:r>
        <w:rPr>
          <w:rFonts w:ascii="Times New Roman" w:hAnsi="Times New Roman" w:cs="Times New Roman" w:eastAsia="Times New Roman" w:hint="default"/>
          <w:spacing w:val="-2"/>
        </w:rPr>
        <w:t>2014</w:t>
      </w:r>
      <w:r>
        <w:rPr>
          <w:spacing w:val="-2"/>
        </w:rPr>
        <w:t>年度权益分派方案进</w:t>
      </w:r>
      <w:r>
        <w:rPr>
          <w:spacing w:val="-38"/>
        </w:rPr>
        <w:t> </w:t>
      </w:r>
      <w:r>
        <w:rPr>
          <w:spacing w:val="-38"/>
        </w:rPr>
      </w:r>
      <w:r>
        <w:rPr/>
        <w:t>行相应调整）。上述限制性股票已于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日回购注销完成。</w:t>
      </w:r>
      <w:r>
        <w:rPr>
          <w:w w:val="100"/>
        </w:rPr>
        <w:t> </w:t>
      </w:r>
      <w:r>
        <w:rPr>
          <w:rFonts w:ascii="Times New Roman" w:hAnsi="Times New Roman" w:cs="Times New Roman" w:eastAsia="Times New Roman" w:hint="default"/>
          <w:spacing w:val="-2"/>
        </w:rPr>
        <w:t>1</w:t>
      </w:r>
      <w:r>
        <w:rPr>
          <w:rFonts w:ascii="宋体" w:hAnsi="宋体" w:cs="宋体" w:eastAsia="宋体" w:hint="default"/>
          <w:spacing w:val="-2"/>
        </w:rPr>
        <w:t>3</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16</w:t>
      </w:r>
      <w:r>
        <w:rPr>
          <w:spacing w:val="-2"/>
        </w:rPr>
        <w:t>日，公司召开第三届董事会第二次会议和第二届监事会第二次会议，审议通过了《关于</w:t>
      </w:r>
      <w:r>
        <w:rPr>
          <w:spacing w:val="-34"/>
        </w:rPr>
        <w:t> </w:t>
      </w:r>
      <w:r>
        <w:rPr>
          <w:spacing w:val="-34"/>
        </w:rPr>
      </w:r>
      <w:r>
        <w:rPr>
          <w:spacing w:val="-2"/>
        </w:rPr>
        <w:t>限制性股票激励计划首次授予的限制性股票第二个解锁期条件成就可解锁的议案》、《关于回购注销部分</w:t>
      </w:r>
      <w:r>
        <w:rPr>
          <w:spacing w:val="-44"/>
        </w:rPr>
        <w:t> </w:t>
      </w:r>
      <w:r>
        <w:rPr>
          <w:spacing w:val="-44"/>
        </w:rPr>
      </w:r>
      <w:r>
        <w:rPr>
          <w:spacing w:val="-2"/>
        </w:rPr>
        <w:t>激励对象已获授但尚未解锁的限制性股票的议案》。同意按照《限制性股票激励计划》的相关规定办理激</w:t>
      </w:r>
      <w:r>
        <w:rPr>
          <w:spacing w:val="-47"/>
        </w:rPr>
        <w:t> </w:t>
      </w:r>
      <w:r>
        <w:rPr>
          <w:spacing w:val="-47"/>
        </w:rPr>
      </w:r>
      <w:r>
        <w:rPr>
          <w:spacing w:val="-2"/>
        </w:rPr>
        <w:t>励对象陆廷洁女士第二期限制性股票解锁相关事宜。鉴于公司已实施了</w:t>
      </w:r>
      <w:r>
        <w:rPr>
          <w:rFonts w:ascii="Times New Roman" w:hAnsi="Times New Roman" w:cs="Times New Roman" w:eastAsia="Times New Roman" w:hint="default"/>
          <w:spacing w:val="-2"/>
        </w:rPr>
        <w:t>2013</w:t>
      </w:r>
      <w:r>
        <w:rPr>
          <w:spacing w:val="-2"/>
        </w:rPr>
        <w:t>年度权益分派及</w:t>
      </w:r>
      <w:r>
        <w:rPr>
          <w:rFonts w:ascii="Times New Roman" w:hAnsi="Times New Roman" w:cs="Times New Roman" w:eastAsia="Times New Roman" w:hint="default"/>
          <w:spacing w:val="-2"/>
        </w:rPr>
        <w:t>2014</w:t>
      </w:r>
      <w:r>
        <w:rPr>
          <w:spacing w:val="-2"/>
        </w:rPr>
        <w:t>年度权益</w:t>
      </w:r>
      <w:r>
        <w:rPr>
          <w:spacing w:val="-36"/>
        </w:rPr>
        <w:t> </w:t>
      </w:r>
      <w:r>
        <w:rPr>
          <w:spacing w:val="-36"/>
        </w:rPr>
      </w:r>
      <w:r>
        <w:rPr>
          <w:spacing w:val="-2"/>
        </w:rPr>
        <w:t>分派，故将对授予的限制性股票数量进行调整，本次可解锁的限制性股票为</w:t>
      </w:r>
      <w:r>
        <w:rPr>
          <w:rFonts w:ascii="Times New Roman" w:hAnsi="Times New Roman" w:cs="Times New Roman" w:eastAsia="Times New Roman" w:hint="default"/>
          <w:spacing w:val="-2"/>
        </w:rPr>
        <w:t>11.7</w:t>
      </w:r>
      <w:r>
        <w:rPr>
          <w:spacing w:val="-2"/>
        </w:rPr>
        <w:t>万股，占公司目前股本总</w:t>
      </w:r>
      <w:r>
        <w:rPr>
          <w:spacing w:val="-24"/>
        </w:rPr>
        <w:t> </w:t>
      </w:r>
      <w:r>
        <w:rPr>
          <w:spacing w:val="-24"/>
        </w:rPr>
      </w:r>
      <w:r>
        <w:rPr/>
        <w:t>额的</w:t>
      </w:r>
      <w:r>
        <w:rPr>
          <w:rFonts w:ascii="Times New Roman" w:hAnsi="Times New Roman" w:cs="Times New Roman" w:eastAsia="Times New Roman" w:hint="default"/>
        </w:rPr>
        <w:t>0.04%</w:t>
      </w:r>
      <w:r>
        <w:rPr/>
        <w:t>。该限制性股票于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日上市流通。</w:t>
      </w:r>
    </w:p>
    <w:p>
      <w:pPr>
        <w:pStyle w:val="BodyText"/>
        <w:spacing w:line="408" w:lineRule="auto" w:before="31"/>
        <w:ind w:left="154" w:right="145" w:firstLine="458"/>
        <w:jc w:val="both"/>
      </w:pPr>
      <w:r>
        <w:rPr>
          <w:spacing w:val="-3"/>
        </w:rPr>
        <w:t>公司限制性股票原首期授予的激励对象武雪松、邵景洋、来亮、卜怡文、陶凯及原预留部分激励对象</w:t>
      </w:r>
      <w:r>
        <w:rPr>
          <w:w w:val="100"/>
        </w:rPr>
        <w:t> </w:t>
      </w:r>
      <w:r>
        <w:rPr>
          <w:spacing w:val="-2"/>
        </w:rPr>
        <w:t>邱智斌已离职，且已办理完毕离职手续。根据《上市公司股权激励管理办法（试行）》、《上海天玑科技</w:t>
      </w:r>
      <w:r>
        <w:rPr>
          <w:spacing w:val="-49"/>
        </w:rPr>
        <w:t> </w:t>
      </w:r>
      <w:r>
        <w:rPr>
          <w:spacing w:val="-49"/>
        </w:rPr>
      </w:r>
      <w:r>
        <w:rPr>
          <w:spacing w:val="-2"/>
        </w:rPr>
        <w:t>股份有限公司限制性股票激励计划（草案修订稿）》等有关法律、法规和规范性文件以及《公司章程》的</w:t>
      </w:r>
      <w:r>
        <w:rPr>
          <w:spacing w:val="-42"/>
        </w:rPr>
        <w:t> </w:t>
      </w:r>
      <w:r>
        <w:rPr>
          <w:spacing w:val="-42"/>
        </w:rPr>
      </w:r>
      <w:r>
        <w:rPr>
          <w:spacing w:val="-2"/>
        </w:rPr>
        <w:t>规定，上述</w:t>
      </w:r>
      <w:r>
        <w:rPr>
          <w:rFonts w:ascii="Times New Roman" w:hAnsi="Times New Roman" w:cs="Times New Roman" w:eastAsia="Times New Roman" w:hint="default"/>
          <w:spacing w:val="-2"/>
        </w:rPr>
        <w:t>6</w:t>
      </w:r>
      <w:r>
        <w:rPr>
          <w:spacing w:val="-2"/>
        </w:rPr>
        <w:t>人已不符合股权激励对象的条件，现对其持有的已获授但尚未解锁的共计</w:t>
      </w:r>
      <w:r>
        <w:rPr>
          <w:rFonts w:ascii="Times New Roman" w:hAnsi="Times New Roman" w:cs="Times New Roman" w:eastAsia="Times New Roman" w:hint="default"/>
          <w:spacing w:val="-2"/>
        </w:rPr>
        <w:t>464,100</w:t>
      </w:r>
      <w:r>
        <w:rPr>
          <w:spacing w:val="-2"/>
        </w:rPr>
        <w:t>股限制性股</w:t>
      </w:r>
      <w:r>
        <w:rPr/>
      </w:r>
    </w:p>
    <w:p>
      <w:pPr>
        <w:spacing w:after="0" w:line="408" w:lineRule="auto"/>
        <w:jc w:val="both"/>
        <w:sectPr>
          <w:footerReference w:type="default" r:id="rId16"/>
          <w:pgSz w:w="11910" w:h="16840"/>
          <w:pgMar w:footer="982" w:header="745" w:top="1060" w:bottom="1180" w:left="980" w:right="980"/>
          <w:pgNumType w:start="46"/>
        </w:sectPr>
      </w:pPr>
    </w:p>
    <w:p>
      <w:pPr>
        <w:spacing w:line="240" w:lineRule="auto" w:before="0"/>
        <w:rPr>
          <w:rFonts w:ascii="宋体" w:hAnsi="宋体" w:cs="宋体" w:eastAsia="宋体" w:hint="default"/>
          <w:sz w:val="20"/>
          <w:szCs w:val="20"/>
        </w:rPr>
      </w:pPr>
    </w:p>
    <w:p>
      <w:pPr>
        <w:pStyle w:val="BodyText"/>
        <w:spacing w:line="391" w:lineRule="auto" w:before="175"/>
        <w:ind w:right="0"/>
        <w:jc w:val="left"/>
      </w:pPr>
      <w:bookmarkStart w:name="1、与日常经营相关的关联交易" w:id="79"/>
      <w:bookmarkEnd w:id="79"/>
      <w:r>
        <w:rPr/>
      </w:r>
      <w:bookmarkStart w:name="2、资产或股权收购、出售发生的关联交易" w:id="80"/>
      <w:bookmarkEnd w:id="80"/>
      <w:r>
        <w:rPr/>
      </w:r>
      <w:bookmarkStart w:name="3、共同对外投资的关联交易" w:id="81"/>
      <w:bookmarkEnd w:id="81"/>
      <w:r>
        <w:rPr/>
      </w:r>
      <w:bookmarkStart w:name="4、关联债权债务往来" w:id="82"/>
      <w:bookmarkEnd w:id="82"/>
      <w:r>
        <w:rPr/>
      </w:r>
      <w:bookmarkStart w:name="5、其他重大关联交易" w:id="83"/>
      <w:bookmarkEnd w:id="83"/>
      <w:r>
        <w:rPr/>
      </w:r>
      <w:r>
        <w:rPr/>
        <w:t>票进行回购注销。其中原首期授予的激励对象持有已获授尚未解锁的限制性股票数量分别为：武雪松</w:t>
      </w:r>
      <w:r>
        <w:rPr>
          <w:w w:val="100"/>
        </w:rPr>
        <w:t> </w:t>
      </w:r>
      <w:r>
        <w:rPr>
          <w:rFonts w:ascii="Times New Roman" w:hAnsi="Times New Roman" w:cs="Times New Roman" w:eastAsia="Times New Roman" w:hint="default"/>
          <w:spacing w:val="-1"/>
        </w:rPr>
        <w:t>156,000</w:t>
      </w:r>
      <w:r>
        <w:rPr>
          <w:spacing w:val="-1"/>
        </w:rPr>
        <w:t>股、邵景洋</w:t>
      </w:r>
      <w:r>
        <w:rPr>
          <w:rFonts w:ascii="Times New Roman" w:hAnsi="Times New Roman" w:cs="Times New Roman" w:eastAsia="Times New Roman" w:hint="default"/>
          <w:spacing w:val="-1"/>
        </w:rPr>
        <w:t>97,500</w:t>
      </w:r>
      <w:r>
        <w:rPr>
          <w:spacing w:val="-1"/>
        </w:rPr>
        <w:t>股、来亮</w:t>
      </w:r>
      <w:r>
        <w:rPr>
          <w:rFonts w:ascii="Times New Roman" w:hAnsi="Times New Roman" w:cs="Times New Roman" w:eastAsia="Times New Roman" w:hint="default"/>
          <w:spacing w:val="-1"/>
        </w:rPr>
        <w:t>58,500</w:t>
      </w:r>
      <w:r>
        <w:rPr>
          <w:spacing w:val="-1"/>
        </w:rPr>
        <w:t>股、卜怡文</w:t>
      </w:r>
      <w:r>
        <w:rPr>
          <w:rFonts w:ascii="Times New Roman" w:hAnsi="Times New Roman" w:cs="Times New Roman" w:eastAsia="Times New Roman" w:hint="default"/>
          <w:spacing w:val="-1"/>
        </w:rPr>
        <w:t>117,000</w:t>
      </w:r>
      <w:r>
        <w:rPr>
          <w:spacing w:val="-1"/>
        </w:rPr>
        <w:t>股、陶凯</w:t>
      </w:r>
      <w:r>
        <w:rPr>
          <w:rFonts w:ascii="Times New Roman" w:hAnsi="Times New Roman" w:cs="Times New Roman" w:eastAsia="Times New Roman" w:hint="default"/>
          <w:spacing w:val="-1"/>
        </w:rPr>
        <w:t>15,600</w:t>
      </w:r>
      <w:r>
        <w:rPr>
          <w:spacing w:val="-1"/>
        </w:rPr>
        <w:t>股（已根据</w:t>
      </w:r>
      <w:r>
        <w:rPr>
          <w:rFonts w:ascii="Times New Roman" w:hAnsi="Times New Roman" w:cs="Times New Roman" w:eastAsia="Times New Roman" w:hint="default"/>
          <w:spacing w:val="-1"/>
        </w:rPr>
        <w:t>2013</w:t>
      </w:r>
      <w:r>
        <w:rPr>
          <w:spacing w:val="-1"/>
        </w:rPr>
        <w:t>年度、</w:t>
      </w:r>
      <w:r>
        <w:rPr>
          <w:rFonts w:ascii="Times New Roman" w:hAnsi="Times New Roman" w:cs="Times New Roman" w:eastAsia="Times New Roman" w:hint="default"/>
          <w:spacing w:val="-1"/>
        </w:rPr>
        <w:t>2014</w:t>
      </w:r>
      <w:r>
        <w:rPr>
          <w:spacing w:val="-1"/>
        </w:rPr>
        <w:t>年</w:t>
      </w:r>
      <w:r>
        <w:rPr>
          <w:spacing w:val="-49"/>
        </w:rPr>
        <w:t> </w:t>
      </w:r>
      <w:r>
        <w:rPr>
          <w:spacing w:val="-2"/>
        </w:rPr>
        <w:t>度权益分派资本公积金转增股本进行调整后的股数），回购价格为</w:t>
      </w:r>
      <w:r>
        <w:rPr>
          <w:rFonts w:ascii="Times New Roman" w:hAnsi="Times New Roman" w:cs="Times New Roman" w:eastAsia="Times New Roman" w:hint="default"/>
          <w:spacing w:val="-2"/>
        </w:rPr>
        <w:t>2.3487</w:t>
      </w:r>
      <w:r>
        <w:rPr>
          <w:spacing w:val="-2"/>
        </w:rPr>
        <w:t>元</w:t>
      </w:r>
      <w:r>
        <w:rPr>
          <w:rFonts w:ascii="Times New Roman" w:hAnsi="Times New Roman" w:cs="Times New Roman" w:eastAsia="Times New Roman" w:hint="default"/>
          <w:spacing w:val="-2"/>
        </w:rPr>
        <w:t>/</w:t>
      </w:r>
      <w:r>
        <w:rPr>
          <w:spacing w:val="-2"/>
        </w:rPr>
        <w:t>股（回购价格依据《股权激励</w:t>
      </w:r>
      <w:r>
        <w:rPr>
          <w:spacing w:val="-44"/>
        </w:rPr>
        <w:t> </w:t>
      </w:r>
      <w:r>
        <w:rPr>
          <w:spacing w:val="-44"/>
        </w:rPr>
      </w:r>
      <w:r>
        <w:rPr>
          <w:spacing w:val="-2"/>
        </w:rPr>
        <w:t>计划》及公司</w:t>
      </w:r>
      <w:r>
        <w:rPr>
          <w:rFonts w:ascii="Times New Roman" w:hAnsi="Times New Roman" w:cs="Times New Roman" w:eastAsia="Times New Roman" w:hint="default"/>
          <w:spacing w:val="-2"/>
        </w:rPr>
        <w:t>2013</w:t>
      </w:r>
      <w:r>
        <w:rPr>
          <w:spacing w:val="-2"/>
        </w:rPr>
        <w:t>年度、</w:t>
      </w:r>
      <w:r>
        <w:rPr>
          <w:rFonts w:ascii="Times New Roman" w:hAnsi="Times New Roman" w:cs="Times New Roman" w:eastAsia="Times New Roman" w:hint="default"/>
          <w:spacing w:val="-2"/>
        </w:rPr>
        <w:t>2014</w:t>
      </w:r>
      <w:r>
        <w:rPr>
          <w:spacing w:val="-2"/>
        </w:rPr>
        <w:t>年度权益分派方案进行相应调整）。原预留部分激励对象邱智斌所持有的已</w:t>
      </w:r>
      <w:r>
        <w:rPr>
          <w:spacing w:val="-42"/>
        </w:rPr>
        <w:t> </w:t>
      </w:r>
      <w:r>
        <w:rPr>
          <w:spacing w:val="-42"/>
        </w:rPr>
      </w:r>
      <w:r>
        <w:rPr>
          <w:spacing w:val="-2"/>
        </w:rPr>
        <w:t>获授尚未解锁的限制性股票数量为</w:t>
      </w:r>
      <w:r>
        <w:rPr>
          <w:rFonts w:ascii="Times New Roman" w:hAnsi="Times New Roman" w:cs="Times New Roman" w:eastAsia="Times New Roman" w:hint="default"/>
          <w:spacing w:val="-2"/>
        </w:rPr>
        <w:t>19,500</w:t>
      </w:r>
      <w:r>
        <w:rPr>
          <w:spacing w:val="-2"/>
        </w:rPr>
        <w:t>股，回购价格为</w:t>
      </w:r>
      <w:r>
        <w:rPr>
          <w:rFonts w:ascii="Times New Roman" w:hAnsi="Times New Roman" w:cs="Times New Roman" w:eastAsia="Times New Roman" w:hint="default"/>
          <w:spacing w:val="-2"/>
        </w:rPr>
        <w:t>6.8533</w:t>
      </w:r>
      <w:r>
        <w:rPr>
          <w:spacing w:val="-2"/>
        </w:rPr>
        <w:t>元</w:t>
      </w:r>
      <w:r>
        <w:rPr>
          <w:rFonts w:ascii="Times New Roman" w:hAnsi="Times New Roman" w:cs="Times New Roman" w:eastAsia="Times New Roman" w:hint="default"/>
          <w:spacing w:val="-2"/>
        </w:rPr>
        <w:t>/</w:t>
      </w:r>
      <w:r>
        <w:rPr>
          <w:spacing w:val="-2"/>
        </w:rPr>
        <w:t>股（回购价格依据《股权激励计划》及</w:t>
      </w:r>
      <w:r>
        <w:rPr>
          <w:spacing w:val="-5"/>
        </w:rPr>
        <w:t> </w:t>
      </w:r>
      <w:r>
        <w:rPr>
          <w:spacing w:val="-5"/>
        </w:rPr>
      </w:r>
      <w:r>
        <w:rPr/>
        <w:t>公司</w:t>
      </w:r>
      <w:r>
        <w:rPr>
          <w:rFonts w:ascii="Times New Roman" w:hAnsi="Times New Roman" w:cs="Times New Roman" w:eastAsia="Times New Roman" w:hint="default"/>
        </w:rPr>
        <w:t>2014</w:t>
      </w:r>
      <w:r>
        <w:rPr/>
        <w:t>年度权益分派方案进行相应调整）。</w:t>
      </w:r>
    </w:p>
    <w:p>
      <w:pPr>
        <w:pStyle w:val="BodyText"/>
        <w:spacing w:line="386" w:lineRule="auto" w:before="31"/>
        <w:ind w:right="149" w:firstLine="504"/>
        <w:jc w:val="left"/>
      </w:pPr>
      <w:r>
        <w:rPr/>
        <w:t>本报告期股权激励分摊的成本共计</w:t>
      </w:r>
      <w:r>
        <w:rPr>
          <w:rFonts w:ascii="Times New Roman" w:hAnsi="Times New Roman" w:cs="Times New Roman" w:eastAsia="Times New Roman" w:hint="default"/>
        </w:rPr>
        <w:t>-101.34</w:t>
      </w:r>
      <w:r>
        <w:rPr>
          <w:rFonts w:ascii="Times New Roman" w:hAnsi="Times New Roman" w:cs="Times New Roman" w:eastAsia="Times New Roman" w:hint="default"/>
          <w:spacing w:val="26"/>
        </w:rPr>
        <w:t> </w:t>
      </w:r>
      <w:r>
        <w:rPr/>
        <w:t>万元已计入当期管理费用并作为经常性损益列支，同时计</w:t>
      </w:r>
      <w:r>
        <w:rPr>
          <w:w w:val="100"/>
        </w:rPr>
        <w:t> </w:t>
      </w:r>
      <w:r>
        <w:rPr/>
        <w:t>入资本公积</w:t>
      </w:r>
      <w:r>
        <w:rPr>
          <w:rFonts w:ascii="Times New Roman" w:hAnsi="Times New Roman" w:cs="Times New Roman" w:eastAsia="Times New Roman" w:hint="default"/>
        </w:rPr>
        <w:t>-</w:t>
      </w:r>
      <w:r>
        <w:rPr/>
        <w:t>其他资本公积。</w:t>
      </w:r>
    </w:p>
    <w:p>
      <w:pPr>
        <w:spacing w:line="240" w:lineRule="auto" w:before="11"/>
        <w:rPr>
          <w:rFonts w:ascii="宋体" w:hAnsi="宋体" w:cs="宋体" w:eastAsia="宋体" w:hint="default"/>
          <w:sz w:val="17"/>
          <w:szCs w:val="17"/>
        </w:rPr>
      </w:pPr>
    </w:p>
    <w:p>
      <w:pPr>
        <w:pStyle w:val="Heading4"/>
        <w:spacing w:line="240" w:lineRule="auto"/>
        <w:ind w:right="0"/>
        <w:jc w:val="left"/>
        <w:rPr>
          <w:b w:val="0"/>
          <w:bCs w:val="0"/>
        </w:rPr>
      </w:pP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公司报告期未发生与日常经营相关的关联交易。</w:t>
      </w:r>
    </w:p>
    <w:p>
      <w:pPr>
        <w:spacing w:line="240" w:lineRule="auto" w:before="3"/>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5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bookmarkStart w:name="十五、重大关联交易" w:id="84"/>
      <w:bookmarkEnd w:id="84"/>
      <w:r>
        <w:rPr>
          <w:rFonts w:ascii="宋体" w:hAnsi="宋体" w:cs="宋体" w:eastAsia="宋体" w:hint="default"/>
          <w:sz w:val="18"/>
          <w:szCs w:val="18"/>
        </w:rPr>
        <w:t>公司报告期未发生资产或股权收购、出售的关联交易。</w:t>
      </w:r>
    </w:p>
    <w:p>
      <w:pPr>
        <w:spacing w:line="240" w:lineRule="auto" w:before="5"/>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61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line="240" w:lineRule="auto" w:before="5"/>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公司报告期不存在关联债权债务往来。</w:t>
      </w:r>
    </w:p>
    <w:p>
      <w:pPr>
        <w:spacing w:line="240" w:lineRule="auto" w:before="7"/>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07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公司报告期无其他重大关联交易。</w:t>
      </w:r>
    </w:p>
    <w:p>
      <w:pPr>
        <w:spacing w:after="0" w:line="3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4"/>
        <w:spacing w:line="240" w:lineRule="auto" w:before="26"/>
        <w:ind w:right="103"/>
        <w:jc w:val="left"/>
        <w:rPr>
          <w:b w:val="0"/>
          <w:bCs w:val="0"/>
        </w:rPr>
      </w:pPr>
      <w:bookmarkStart w:name="2、重大担保" w:id="85"/>
      <w:bookmarkEnd w:id="85"/>
      <w:r>
        <w:rPr>
          <w:b w:val="0"/>
          <w:bCs w:val="0"/>
        </w:rPr>
      </w:r>
      <w:bookmarkStart w:name="3、委托他人进行现金资产管理情况" w:id="86"/>
      <w:bookmarkEnd w:id="86"/>
      <w:r>
        <w:rPr>
          <w:b w:val="0"/>
          <w:bCs w:val="0"/>
        </w:rPr>
      </w:r>
      <w:bookmarkStart w:name="（1）委托理财情况" w:id="87"/>
      <w:bookmarkEnd w:id="87"/>
      <w:r>
        <w:rPr>
          <w:b w:val="0"/>
          <w:bCs w:val="0"/>
        </w:rPr>
      </w:r>
      <w:r>
        <w:rPr/>
        <w:t>十</w:t>
      </w:r>
      <w:bookmarkStart w:name="十六、重大合同及其履行情况" w:id="88"/>
      <w:bookmarkEnd w:id="88"/>
      <w:r>
        <w:rPr/>
        <w:t>六</w:t>
      </w:r>
      <w:r>
        <w:rPr/>
        <w:t>、重大合同及其履行情况</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03"/>
        <w:jc w:val="left"/>
        <w:rPr>
          <w:b w:val="0"/>
          <w:bCs w:val="0"/>
        </w:rPr>
      </w:pPr>
      <w:r>
        <w:rPr>
          <w:rFonts w:ascii="Times New Roman" w:hAnsi="Times New Roman" w:cs="Times New Roman" w:eastAsia="Times New Roman" w:hint="default"/>
        </w:rPr>
        <w:t>1</w:t>
      </w:r>
      <w:bookmarkStart w:name="1、托管、承包、租赁事项情况" w:id="89"/>
      <w:bookmarkEnd w:id="89"/>
      <w:r>
        <w:rPr>
          <w:rFonts w:ascii="Times New Roman" w:hAnsi="Times New Roman" w:cs="Times New Roman" w:eastAsia="Times New Roman" w:hint="default"/>
        </w:rPr>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103"/>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749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w:t>
      </w:r>
      <w:bookmarkStart w:name="（1）托管情况" w:id="90"/>
      <w:bookmarkEnd w:id="90"/>
      <w:r>
        <w:rPr>
          <w:rFonts w:ascii="宋体" w:hAnsi="宋体" w:cs="宋体" w:eastAsia="宋体" w:hint="default"/>
          <w:sz w:val="18"/>
          <w:szCs w:val="18"/>
        </w:rPr>
        <w:t>托管情况。</w:t>
      </w:r>
    </w:p>
    <w:p>
      <w:pPr>
        <w:spacing w:line="240" w:lineRule="auto" w:before="7"/>
        <w:rPr>
          <w:rFonts w:ascii="宋体" w:hAnsi="宋体" w:cs="宋体" w:eastAsia="宋体" w:hint="default"/>
          <w:sz w:val="21"/>
          <w:szCs w:val="21"/>
        </w:rPr>
      </w:pPr>
    </w:p>
    <w:p>
      <w:pPr>
        <w:pStyle w:val="Heading6"/>
        <w:spacing w:line="240" w:lineRule="auto"/>
        <w:ind w:right="10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749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7"/>
        <w:rPr>
          <w:rFonts w:ascii="宋体" w:hAnsi="宋体" w:cs="宋体" w:eastAsia="宋体" w:hint="default"/>
          <w:sz w:val="21"/>
          <w:szCs w:val="21"/>
        </w:rPr>
      </w:pPr>
    </w:p>
    <w:p>
      <w:pPr>
        <w:pStyle w:val="Heading6"/>
        <w:spacing w:line="240" w:lineRule="auto"/>
        <w:ind w:right="10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506"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租赁情况说明</w:t>
      </w:r>
    </w:p>
    <w:p>
      <w:pPr>
        <w:pStyle w:val="BodyText"/>
        <w:spacing w:line="386" w:lineRule="auto" w:before="95"/>
        <w:ind w:left="153" w:right="107" w:hanging="1"/>
        <w:jc w:val="left"/>
      </w:pPr>
      <w:r>
        <w:rPr>
          <w:rFonts w:ascii="Times New Roman" w:hAnsi="Times New Roman" w:cs="Times New Roman" w:eastAsia="Times New Roman" w:hint="default"/>
          <w:spacing w:val="-8"/>
        </w:rPr>
        <w:t>1</w:t>
      </w:r>
      <w:r>
        <w:rPr>
          <w:spacing w:val="-8"/>
        </w:rPr>
        <w:t>、为改善公司总部的办公环境</w:t>
      </w:r>
      <w:bookmarkStart w:name="（2）承包情况" w:id="91"/>
      <w:bookmarkEnd w:id="91"/>
      <w:r>
        <w:rPr>
          <w:spacing w:val="-8"/>
        </w:rPr>
        <w:t>，</w:t>
      </w:r>
      <w:r>
        <w:rPr>
          <w:spacing w:val="-8"/>
        </w:rPr>
        <w:t>公司于</w:t>
      </w:r>
      <w:r>
        <w:rPr>
          <w:rFonts w:ascii="Times New Roman" w:hAnsi="Times New Roman" w:cs="Times New Roman" w:eastAsia="Times New Roman" w:hint="default"/>
          <w:spacing w:val="-8"/>
        </w:rPr>
        <w:t>2014</w:t>
      </w:r>
      <w:r>
        <w:rPr>
          <w:spacing w:val="-8"/>
        </w:rPr>
        <w:t>年</w:t>
      </w:r>
      <w:r>
        <w:rPr>
          <w:rFonts w:ascii="Times New Roman" w:hAnsi="Times New Roman" w:cs="Times New Roman" w:eastAsia="Times New Roman" w:hint="default"/>
          <w:spacing w:val="-8"/>
        </w:rPr>
        <w:t>7</w:t>
      </w:r>
      <w:bookmarkStart w:name="（3）租赁情况" w:id="92"/>
      <w:bookmarkEnd w:id="92"/>
      <w:r>
        <w:rPr>
          <w:rFonts w:ascii="Times New Roman" w:hAnsi="Times New Roman" w:cs="Times New Roman" w:eastAsia="Times New Roman" w:hint="default"/>
          <w:spacing w:val="-8"/>
        </w:rPr>
      </w:r>
      <w:r>
        <w:rPr>
          <w:spacing w:val="-8"/>
        </w:rPr>
        <w:t>月</w:t>
      </w:r>
      <w:r>
        <w:rPr>
          <w:rFonts w:ascii="Times New Roman" w:hAnsi="Times New Roman" w:cs="Times New Roman" w:eastAsia="Times New Roman" w:hint="default"/>
          <w:spacing w:val="-8"/>
        </w:rPr>
        <w:t>31</w:t>
      </w:r>
      <w:r>
        <w:rPr>
          <w:spacing w:val="-8"/>
        </w:rPr>
        <w:t>日，与上海华鑫资产管理有限公司签署了《租赁合同》，</w:t>
      </w:r>
      <w:r>
        <w:rPr>
          <w:spacing w:val="-42"/>
        </w:rPr>
        <w:t> </w:t>
      </w:r>
      <w:r>
        <w:rPr>
          <w:spacing w:val="-42"/>
        </w:rPr>
      </w:r>
      <w:r>
        <w:rPr>
          <w:spacing w:val="-3"/>
          <w:w w:val="100"/>
        </w:rPr>
        <w:t>由公司向华鑫资产管理有限公司承租位于上海市桂林路</w:t>
      </w:r>
      <w:r>
        <w:rPr>
          <w:rFonts w:ascii="Times New Roman" w:hAnsi="Times New Roman" w:cs="Times New Roman" w:eastAsia="Times New Roman" w:hint="default"/>
          <w:spacing w:val="-3"/>
          <w:w w:val="100"/>
        </w:rPr>
        <w:t>406</w:t>
      </w:r>
      <w:r>
        <w:rPr>
          <w:spacing w:val="-3"/>
          <w:w w:val="100"/>
        </w:rPr>
        <w:t>号</w:t>
      </w:r>
      <w:r>
        <w:rPr>
          <w:rFonts w:ascii="Times New Roman" w:hAnsi="Times New Roman" w:cs="Times New Roman" w:eastAsia="Times New Roman" w:hint="default"/>
          <w:spacing w:val="-3"/>
          <w:w w:val="100"/>
        </w:rPr>
        <w:t>2</w:t>
      </w:r>
      <w:r>
        <w:rPr>
          <w:spacing w:val="-3"/>
          <w:w w:val="100"/>
        </w:rPr>
        <w:t>号楼</w:t>
      </w:r>
      <w:r>
        <w:rPr>
          <w:rFonts w:ascii="Times New Roman" w:hAnsi="Times New Roman" w:cs="Times New Roman" w:eastAsia="Times New Roman" w:hint="default"/>
          <w:spacing w:val="-3"/>
          <w:w w:val="100"/>
        </w:rPr>
        <w:t>11-12</w:t>
      </w:r>
      <w:r>
        <w:rPr>
          <w:spacing w:val="-3"/>
          <w:w w:val="100"/>
        </w:rPr>
        <w:t>楼办公楼，租赁期限为</w:t>
      </w:r>
      <w:r>
        <w:rPr>
          <w:rFonts w:ascii="Times New Roman" w:hAnsi="Times New Roman" w:cs="Times New Roman" w:eastAsia="Times New Roman" w:hint="default"/>
          <w:spacing w:val="-3"/>
          <w:w w:val="100"/>
        </w:rPr>
        <w:t>2014</w:t>
      </w:r>
      <w:r>
        <w:rPr>
          <w:spacing w:val="-3"/>
          <w:w w:val="100"/>
        </w:rPr>
        <w:t>年</w:t>
      </w:r>
      <w:r>
        <w:rPr>
          <w:rFonts w:ascii="Times New Roman" w:hAnsi="Times New Roman" w:cs="Times New Roman" w:eastAsia="Times New Roman" w:hint="default"/>
          <w:spacing w:val="-3"/>
          <w:w w:val="100"/>
        </w:rPr>
        <w:t>9</w:t>
      </w:r>
      <w:r>
        <w:rPr>
          <w:spacing w:val="-3"/>
          <w:w w:val="100"/>
        </w:rPr>
        <w:t>月</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spacing w:val="-49"/>
          <w:w w:val="100"/>
        </w:rPr>
        <w:t> </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日。截止报告期末公司总部已迁入新址办公。</w:t>
      </w:r>
      <w:r>
        <w:rPr>
          <w:w w:val="100"/>
        </w:rPr>
        <w:t> </w:t>
      </w: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月，与上海福欣网络科技有限公司签署《租赁合同》，将公司位于上海市桂平路</w:t>
      </w:r>
      <w:r>
        <w:rPr>
          <w:rFonts w:ascii="Times New Roman" w:hAnsi="Times New Roman" w:cs="Times New Roman" w:eastAsia="Times New Roman" w:hint="default"/>
          <w:spacing w:val="-2"/>
        </w:rPr>
        <w:t>481</w:t>
      </w:r>
      <w:r>
        <w:rPr>
          <w:spacing w:val="-2"/>
        </w:rPr>
        <w:t>号</w:t>
      </w:r>
    </w:p>
    <w:p>
      <w:pPr>
        <w:pStyle w:val="BodyText"/>
        <w:spacing w:line="240" w:lineRule="auto" w:before="35"/>
        <w:ind w:left="153" w:right="103"/>
        <w:jc w:val="left"/>
      </w:pPr>
      <w:r>
        <w:rPr>
          <w:rFonts w:ascii="Times New Roman" w:hAnsi="Times New Roman" w:cs="Times New Roman" w:eastAsia="Times New Roman" w:hint="default"/>
        </w:rPr>
        <w:t>18</w:t>
      </w:r>
      <w:r>
        <w:rPr/>
        <w:t>号楼</w:t>
      </w:r>
      <w:r>
        <w:rPr>
          <w:rFonts w:ascii="Times New Roman" w:hAnsi="Times New Roman" w:cs="Times New Roman" w:eastAsia="Times New Roman" w:hint="default"/>
        </w:rPr>
        <w:t>4</w:t>
      </w:r>
      <w:r>
        <w:rPr/>
        <w:t>楼的房屋出租给上海福欣网络科技有限公司，租赁期为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w:t>
      </w:r>
    </w:p>
    <w:p>
      <w:pPr>
        <w:spacing w:line="240" w:lineRule="auto" w:before="0"/>
        <w:rPr>
          <w:rFonts w:ascii="宋体" w:hAnsi="宋体" w:cs="宋体" w:eastAsia="宋体" w:hint="default"/>
          <w:sz w:val="22"/>
          <w:szCs w:val="22"/>
        </w:rPr>
      </w:pPr>
    </w:p>
    <w:p>
      <w:pPr>
        <w:spacing w:before="186"/>
        <w:ind w:left="152" w:right="103"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3"/>
        <w:ind w:left="152" w:right="10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152" w:right="103"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2"/>
        <w:rPr>
          <w:rFonts w:ascii="宋体" w:hAnsi="宋体" w:cs="宋体" w:eastAsia="宋体" w:hint="default"/>
          <w:sz w:val="26"/>
          <w:szCs w:val="26"/>
        </w:rPr>
      </w:pPr>
    </w:p>
    <w:p>
      <w:pPr>
        <w:pStyle w:val="Heading6"/>
        <w:spacing w:line="240" w:lineRule="auto"/>
        <w:ind w:right="10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6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公司报告期不存在担保情况。</w:t>
      </w:r>
    </w:p>
    <w:p>
      <w:pPr>
        <w:spacing w:line="240" w:lineRule="auto" w:before="3"/>
        <w:rPr>
          <w:rFonts w:ascii="宋体" w:hAnsi="宋体" w:cs="宋体" w:eastAsia="宋体" w:hint="default"/>
          <w:sz w:val="21"/>
          <w:szCs w:val="21"/>
        </w:rPr>
      </w:pPr>
    </w:p>
    <w:p>
      <w:pPr>
        <w:pStyle w:val="Heading6"/>
        <w:spacing w:line="240" w:lineRule="auto"/>
        <w:ind w:right="10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0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749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公司报告期不存在委托理财。</w:t>
      </w:r>
    </w:p>
    <w:p>
      <w:pPr>
        <w:spacing w:after="0" w:line="338" w:lineRule="auto"/>
        <w:jc w:val="left"/>
        <w:rPr>
          <w:rFonts w:ascii="宋体" w:hAnsi="宋体" w:cs="宋体" w:eastAsia="宋体" w:hint="default"/>
          <w:sz w:val="18"/>
          <w:szCs w:val="18"/>
        </w:rPr>
        <w:sectPr>
          <w:pgSz w:w="11910" w:h="16840"/>
          <w:pgMar w:header="745" w:footer="982" w:top="1060" w:bottom="1180" w:left="980" w:right="920"/>
        </w:sectPr>
      </w:pPr>
    </w:p>
    <w:p>
      <w:pPr>
        <w:spacing w:line="240" w:lineRule="auto" w:before="10"/>
        <w:rPr>
          <w:rFonts w:ascii="宋体" w:hAnsi="宋体" w:cs="宋体" w:eastAsia="宋体" w:hint="default"/>
          <w:sz w:val="24"/>
          <w:szCs w:val="24"/>
        </w:rPr>
      </w:pPr>
    </w:p>
    <w:p>
      <w:pPr>
        <w:pStyle w:val="Heading6"/>
        <w:spacing w:line="240" w:lineRule="auto" w:before="36"/>
        <w:ind w:right="0"/>
        <w:jc w:val="left"/>
        <w:rPr>
          <w:b w:val="0"/>
          <w:bCs w:val="0"/>
        </w:rPr>
      </w:pPr>
      <w:bookmarkStart w:name="二十、公司债券相关情况" w:id="93"/>
      <w:bookmarkEnd w:id="93"/>
      <w:r>
        <w:rPr>
          <w:b w:val="0"/>
          <w:bCs w:val="0"/>
        </w:rPr>
      </w:r>
      <w:r>
        <w:rPr/>
        <w:t>（</w:t>
      </w:r>
      <w:r>
        <w:rPr>
          <w:rFonts w:ascii="Times New Roman" w:hAnsi="Times New Roman" w:cs="Times New Roman" w:eastAsia="Times New Roman" w:hint="default"/>
        </w:rPr>
        <w:t>2</w:t>
      </w:r>
      <w:bookmarkStart w:name="（2）委托贷款情况" w:id="94"/>
      <w:bookmarkEnd w:id="94"/>
      <w:r>
        <w:rPr>
          <w:rFonts w:ascii="Times New Roman" w:hAnsi="Times New Roman" w:cs="Times New Roman" w:eastAsia="Times New Roman" w:hint="default"/>
        </w:rPr>
      </w:r>
      <w:r>
        <w:rPr/>
        <w:t>）委托贷款情况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7"/>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707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bookmarkStart w:name="4、其他重大合同" w:id="95"/>
      <w:bookmarkEnd w:id="95"/>
      <w:r>
        <w:rPr>
          <w:rFonts w:ascii="宋体" w:hAnsi="宋体" w:cs="宋体" w:eastAsia="宋体" w:hint="default"/>
          <w:sz w:val="18"/>
          <w:szCs w:val="18"/>
        </w:rPr>
        <w:t>公司报告期不存在其他重大合同。</w:t>
      </w:r>
    </w:p>
    <w:p>
      <w:pPr>
        <w:spacing w:line="240" w:lineRule="auto" w:before="8"/>
        <w:rPr>
          <w:rFonts w:ascii="宋体" w:hAnsi="宋体" w:cs="宋体" w:eastAsia="宋体" w:hint="default"/>
          <w:sz w:val="19"/>
          <w:szCs w:val="19"/>
        </w:rPr>
      </w:pPr>
    </w:p>
    <w:p>
      <w:pPr>
        <w:pStyle w:val="Heading4"/>
        <w:spacing w:line="240" w:lineRule="auto"/>
        <w:ind w:right="0"/>
        <w:jc w:val="left"/>
        <w:rPr>
          <w:b w:val="0"/>
          <w:bCs w:val="0"/>
        </w:rPr>
      </w:pPr>
      <w:r>
        <w:rPr/>
        <w:t>十七、其他重大事项的说明</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617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bookmarkStart w:name="十七、其他重大事项的说明" w:id="96"/>
      <w:bookmarkEnd w:id="96"/>
      <w:r>
        <w:rPr>
          <w:rFonts w:ascii="宋体" w:hAnsi="宋体" w:cs="宋体" w:eastAsia="宋体" w:hint="default"/>
          <w:sz w:val="18"/>
          <w:szCs w:val="18"/>
        </w:rPr>
        <w:t>公司报告期不存在需要说明的其他重大事项。</w:t>
      </w:r>
    </w:p>
    <w:p>
      <w:pPr>
        <w:spacing w:line="240" w:lineRule="auto" w:before="4"/>
        <w:rPr>
          <w:rFonts w:ascii="宋体" w:hAnsi="宋体" w:cs="宋体" w:eastAsia="宋体" w:hint="default"/>
          <w:sz w:val="19"/>
          <w:szCs w:val="19"/>
        </w:rPr>
      </w:pPr>
    </w:p>
    <w:p>
      <w:pPr>
        <w:pStyle w:val="Heading4"/>
        <w:spacing w:line="240" w:lineRule="auto"/>
        <w:ind w:right="0"/>
        <w:jc w:val="left"/>
        <w:rPr>
          <w:b w:val="0"/>
          <w:bCs w:val="0"/>
        </w:rPr>
      </w:pPr>
      <w:r>
        <w:rPr/>
        <w:t>十八、公司子公司重大事项</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Heading5"/>
        <w:spacing w:line="352" w:lineRule="auto" w:before="143"/>
        <w:ind w:right="0"/>
        <w:jc w:val="left"/>
      </w:pPr>
      <w:r>
        <w:rPr>
          <w:spacing w:val="-1"/>
        </w:rPr>
        <w:t>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16</w:t>
      </w:r>
      <w:r>
        <w:rPr>
          <w:spacing w:val="-1"/>
        </w:rPr>
        <w:t>日召开第三届董事会第二</w:t>
      </w:r>
      <w:bookmarkStart w:name="十八、公司子公司重大事项" w:id="97"/>
      <w:bookmarkEnd w:id="97"/>
      <w:r>
        <w:rPr>
          <w:spacing w:val="-1"/>
        </w:rPr>
        <w:t>次会议审议通</w:t>
      </w:r>
      <w:r>
        <w:rPr>
          <w:spacing w:val="-1"/>
        </w:rPr>
        <w:t>过《关于控股子公司增资参股深圳市</w:t>
      </w:r>
      <w:r>
        <w:rPr>
          <w:spacing w:val="-99"/>
        </w:rPr>
        <w:t> </w:t>
      </w:r>
      <w:r>
        <w:rPr>
          <w:spacing w:val="-99"/>
        </w:rPr>
      </w:r>
      <w:r>
        <w:rPr/>
        <w:t>杉岩数据技术有限公司》，同意公司控股子公司上海天玑数据技术有限公司（以下简称</w:t>
      </w:r>
      <w:r>
        <w:rPr>
          <w:rFonts w:ascii="Times New Roman" w:hAnsi="Times New Roman" w:cs="Times New Roman" w:eastAsia="Times New Roman" w:hint="default"/>
        </w:rPr>
        <w:t>“</w:t>
      </w:r>
      <w:r>
        <w:rPr/>
        <w:t>天玑数</w:t>
      </w:r>
      <w:r>
        <w:rPr>
          <w:spacing w:val="-3"/>
          <w:w w:val="100"/>
        </w:rPr>
        <w:t> </w:t>
      </w:r>
      <w:r>
        <w:rPr/>
        <w:t>据</w:t>
      </w:r>
      <w:r>
        <w:rPr>
          <w:rFonts w:ascii="Times New Roman" w:hAnsi="Times New Roman" w:cs="Times New Roman" w:eastAsia="Times New Roman" w:hint="default"/>
        </w:rPr>
        <w:t>”</w:t>
      </w:r>
      <w:r>
        <w:rPr/>
        <w:t>）拟使用自有资金</w:t>
      </w:r>
      <w:r>
        <w:rPr>
          <w:rFonts w:ascii="Times New Roman" w:hAnsi="Times New Roman" w:cs="Times New Roman" w:eastAsia="Times New Roman" w:hint="default"/>
        </w:rPr>
        <w:t>1,000</w:t>
      </w:r>
      <w:r>
        <w:rPr/>
        <w:t>万元认购深圳市杉岩数据技术有限公司（以下简称</w:t>
      </w:r>
      <w:r>
        <w:rPr>
          <w:rFonts w:ascii="Times New Roman" w:hAnsi="Times New Roman" w:cs="Times New Roman" w:eastAsia="Times New Roman" w:hint="default"/>
        </w:rPr>
        <w:t>“</w:t>
      </w:r>
      <w:r>
        <w:rPr/>
        <w:t>杉岩</w:t>
      </w:r>
      <w:r>
        <w:rPr>
          <w:rFonts w:ascii="Times New Roman" w:hAnsi="Times New Roman" w:cs="Times New Roman" w:eastAsia="Times New Roman" w:hint="default"/>
        </w:rPr>
        <w:t>”</w:t>
      </w:r>
      <w:r>
        <w:rPr/>
        <w:t>）新增的注</w:t>
      </w:r>
      <w:r>
        <w:rPr>
          <w:w w:val="100"/>
        </w:rPr>
        <w:t> </w:t>
      </w:r>
      <w:r>
        <w:rPr>
          <w:spacing w:val="-1"/>
        </w:rPr>
        <w:t>册资本，其中人民币</w:t>
      </w:r>
      <w:r>
        <w:rPr>
          <w:rFonts w:ascii="Times New Roman" w:hAnsi="Times New Roman" w:cs="Times New Roman" w:eastAsia="Times New Roman" w:hint="default"/>
          <w:spacing w:val="-1"/>
        </w:rPr>
        <w:t>52.9412</w:t>
      </w:r>
      <w:r>
        <w:rPr>
          <w:spacing w:val="-1"/>
        </w:rPr>
        <w:t>万元作为杉岩新增的注册资本，剩余认购对价</w:t>
      </w:r>
      <w:r>
        <w:rPr>
          <w:rFonts w:ascii="Times New Roman" w:hAnsi="Times New Roman" w:cs="Times New Roman" w:eastAsia="Times New Roman" w:hint="default"/>
          <w:spacing w:val="-1"/>
        </w:rPr>
        <w:t>947.0588</w:t>
      </w:r>
      <w:r>
        <w:rPr>
          <w:spacing w:val="-1"/>
        </w:rPr>
        <w:t>万元计入杉岩</w:t>
      </w:r>
      <w:r>
        <w:rPr>
          <w:spacing w:val="-91"/>
        </w:rPr>
        <w:t> </w:t>
      </w:r>
      <w:r>
        <w:rPr>
          <w:spacing w:val="-91"/>
        </w:rPr>
      </w:r>
      <w:r>
        <w:rPr/>
        <w:t>的资本公积金。本次增资完成后，控股子公司天玑数据持有杉岩</w:t>
      </w:r>
      <w:r>
        <w:rPr>
          <w:rFonts w:ascii="Times New Roman" w:hAnsi="Times New Roman" w:cs="Times New Roman" w:eastAsia="Times New Roman" w:hint="default"/>
        </w:rPr>
        <w:t>15%</w:t>
      </w:r>
      <w:r>
        <w:rPr/>
        <w:t>的股权。</w:t>
      </w:r>
    </w:p>
    <w:p>
      <w:pPr>
        <w:spacing w:line="240" w:lineRule="auto" w:before="9"/>
        <w:rPr>
          <w:rFonts w:ascii="宋体" w:hAnsi="宋体" w:cs="宋体" w:eastAsia="宋体" w:hint="default"/>
          <w:sz w:val="18"/>
          <w:szCs w:val="18"/>
        </w:rPr>
      </w:pPr>
    </w:p>
    <w:p>
      <w:pPr>
        <w:pStyle w:val="Heading4"/>
        <w:spacing w:line="240" w:lineRule="auto"/>
        <w:ind w:right="0"/>
        <w:jc w:val="left"/>
        <w:rPr>
          <w:b w:val="0"/>
          <w:bCs w:val="0"/>
        </w:rPr>
      </w:pPr>
      <w:r>
        <w:rPr/>
        <w:t>十九、社会责任情况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4"/>
        <w:spacing w:line="240" w:lineRule="auto"/>
        <w:ind w:right="0"/>
        <w:jc w:val="left"/>
        <w:rPr>
          <w:b w:val="0"/>
          <w:bCs w:val="0"/>
        </w:rPr>
      </w:pPr>
      <w:r>
        <w:rPr/>
        <w:t>二十、公司债券相关情况</w:t>
      </w:r>
      <w:r>
        <w:rPr>
          <w:b w:val="0"/>
          <w:bCs w:val="0"/>
        </w:rPr>
      </w:r>
    </w:p>
    <w:p>
      <w:pPr>
        <w:spacing w:line="240" w:lineRule="auto" w:before="6"/>
        <w:rPr>
          <w:rFonts w:ascii="宋体" w:hAnsi="宋体" w:cs="宋体" w:eastAsia="宋体" w:hint="default"/>
          <w:b/>
          <w:bCs/>
          <w:sz w:val="26"/>
          <w:szCs w:val="26"/>
        </w:rPr>
      </w:pPr>
    </w:p>
    <w:p>
      <w:pPr>
        <w:spacing w:line="360" w:lineRule="auto" w:before="0"/>
        <w:ind w:left="152" w:right="1134" w:firstLine="0"/>
        <w:jc w:val="left"/>
        <w:rPr>
          <w:rFonts w:ascii="宋体" w:hAnsi="宋体" w:cs="宋体" w:eastAsia="宋体" w:hint="default"/>
          <w:sz w:val="18"/>
          <w:szCs w:val="18"/>
        </w:rPr>
      </w:pPr>
      <w:bookmarkStart w:name="十九、社会责任情况" w:id="98"/>
      <w:bookmarkEnd w:id="98"/>
      <w:r>
        <w:rPr/>
      </w: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6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3" w:right="103"/>
        <w:jc w:val="left"/>
        <w:rPr>
          <w:b w:val="0"/>
          <w:bCs w:val="0"/>
        </w:rPr>
      </w:pPr>
      <w:bookmarkStart w:name="_TOC_250005" w:id="99"/>
      <w:bookmarkStart w:name="第六节 股份变动及股东情况" w:id="100"/>
      <w:r>
        <w:rPr>
          <w:b w:val="0"/>
          <w:bCs w:val="0"/>
        </w:rPr>
      </w:r>
      <w:r>
        <w:rPr/>
        <w:t>第六节</w:t>
      </w:r>
      <w:r>
        <w:rPr>
          <w:spacing w:val="-4"/>
        </w:rPr>
        <w:t> </w:t>
      </w:r>
      <w:r>
        <w:rPr/>
        <w:t>股份变动及股东情况</w:t>
      </w:r>
      <w:bookmarkEnd w:id="9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4"/>
        <w:spacing w:line="240" w:lineRule="auto" w:before="26"/>
        <w:ind w:right="103"/>
        <w:jc w:val="left"/>
        <w:rPr>
          <w:b w:val="0"/>
          <w:bCs w:val="0"/>
        </w:rPr>
      </w:pPr>
      <w:r>
        <w:rPr/>
        <w:t>一、股份变动</w:t>
      </w:r>
      <w:bookmarkStart w:name="一、股份变动情况" w:id="101"/>
      <w:bookmarkEnd w:id="101"/>
      <w:r>
        <w:rPr/>
        <w:t>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0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spacing w:before="44"/>
        <w:ind w:left="0" w:right="213" w:firstLine="0"/>
        <w:jc w:val="right"/>
        <w:rPr>
          <w:rFonts w:ascii="宋体" w:hAnsi="宋体" w:cs="宋体" w:eastAsia="宋体" w:hint="default"/>
          <w:sz w:val="18"/>
          <w:szCs w:val="18"/>
        </w:rPr>
      </w:pPr>
      <w:bookmarkStart w:name="1、股份变动情况" w:id="102"/>
      <w:bookmarkEnd w:id="102"/>
      <w:r>
        <w:rPr/>
      </w: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79"/>
        <w:gridCol w:w="1004"/>
        <w:gridCol w:w="850"/>
        <w:gridCol w:w="566"/>
        <w:gridCol w:w="566"/>
        <w:gridCol w:w="994"/>
        <w:gridCol w:w="991"/>
        <w:gridCol w:w="994"/>
        <w:gridCol w:w="1123"/>
        <w:gridCol w:w="792"/>
      </w:tblGrid>
      <w:tr>
        <w:trPr>
          <w:trHeight w:val="403" w:hRule="exact"/>
        </w:trPr>
        <w:tc>
          <w:tcPr>
            <w:tcW w:w="1679" w:type="dxa"/>
            <w:tcBorders>
              <w:top w:val="single" w:sz="4" w:space="0" w:color="000000"/>
              <w:left w:val="single" w:sz="4" w:space="0" w:color="000000"/>
              <w:bottom w:val="nil" w:sz="6" w:space="0" w:color="auto"/>
              <w:right w:val="single" w:sz="4" w:space="0" w:color="000000"/>
            </w:tcBorders>
            <w:shd w:val="clear" w:color="auto" w:fill="D4D4D4"/>
          </w:tcPr>
          <w:p>
            <w:pPr/>
          </w:p>
        </w:tc>
        <w:tc>
          <w:tcPr>
            <w:tcW w:w="185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1"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1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679" w:type="dxa"/>
            <w:vMerge w:val="restart"/>
            <w:tcBorders>
              <w:top w:val="nil" w:sz="6" w:space="0" w:color="auto"/>
              <w:left w:val="single" w:sz="4" w:space="0" w:color="000000"/>
              <w:right w:val="single" w:sz="4" w:space="0" w:color="000000"/>
            </w:tcBorders>
            <w:shd w:val="clear" w:color="auto" w:fill="D4D4D4"/>
          </w:tcPr>
          <w:p>
            <w:pPr/>
          </w:p>
        </w:tc>
        <w:tc>
          <w:tcPr>
            <w:tcW w:w="1004" w:type="dxa"/>
            <w:tcBorders>
              <w:top w:val="single" w:sz="4" w:space="0" w:color="000000"/>
              <w:left w:val="single" w:sz="4" w:space="0" w:color="000000"/>
              <w:bottom w:val="nil" w:sz="6" w:space="0" w:color="auto"/>
              <w:right w:val="single" w:sz="4" w:space="0" w:color="000000"/>
            </w:tcBorders>
            <w:shd w:val="clear" w:color="auto" w:fill="D4D4D4"/>
          </w:tcPr>
          <w:p>
            <w:pPr/>
          </w:p>
        </w:tc>
        <w:tc>
          <w:tcPr>
            <w:tcW w:w="850" w:type="dxa"/>
            <w:tcBorders>
              <w:top w:val="single" w:sz="4" w:space="0" w:color="000000"/>
              <w:left w:val="single" w:sz="4" w:space="0" w:color="000000"/>
              <w:bottom w:val="nil" w:sz="6" w:space="0" w:color="auto"/>
              <w:right w:val="single" w:sz="4" w:space="0" w:color="000000"/>
            </w:tcBorders>
            <w:shd w:val="clear" w:color="auto" w:fill="D4D4D4"/>
          </w:tcPr>
          <w:p>
            <w:pPr/>
          </w:p>
        </w:tc>
        <w:tc>
          <w:tcPr>
            <w:tcW w:w="56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66" w:type="dxa"/>
            <w:tcBorders>
              <w:top w:val="single" w:sz="4" w:space="0" w:color="000000"/>
              <w:left w:val="single" w:sz="4" w:space="0" w:color="000000"/>
              <w:bottom w:val="nil" w:sz="6" w:space="0" w:color="auto"/>
              <w:right w:val="single" w:sz="4" w:space="0" w:color="000000"/>
            </w:tcBorders>
            <w:shd w:val="clear" w:color="auto" w:fill="D4D4D4"/>
          </w:tcPr>
          <w:p>
            <w:pPr/>
          </w:p>
        </w:tc>
        <w:tc>
          <w:tcPr>
            <w:tcW w:w="994" w:type="dxa"/>
            <w:tcBorders>
              <w:top w:val="single" w:sz="4" w:space="0" w:color="000000"/>
              <w:left w:val="single" w:sz="4" w:space="0" w:color="000000"/>
              <w:bottom w:val="nil" w:sz="6" w:space="0" w:color="auto"/>
              <w:right w:val="single" w:sz="4" w:space="0" w:color="000000"/>
            </w:tcBorders>
            <w:shd w:val="clear" w:color="auto" w:fill="D4D4D4"/>
          </w:tcPr>
          <w:p>
            <w:pPr/>
          </w:p>
        </w:tc>
        <w:tc>
          <w:tcPr>
            <w:tcW w:w="991" w:type="dxa"/>
            <w:tcBorders>
              <w:top w:val="single" w:sz="4" w:space="0" w:color="000000"/>
              <w:left w:val="single" w:sz="4" w:space="0" w:color="000000"/>
              <w:bottom w:val="nil" w:sz="6" w:space="0" w:color="auto"/>
              <w:right w:val="single" w:sz="4" w:space="0" w:color="000000"/>
            </w:tcBorders>
            <w:shd w:val="clear" w:color="auto" w:fill="D4D4D4"/>
          </w:tcPr>
          <w:p>
            <w:pPr/>
          </w:p>
        </w:tc>
        <w:tc>
          <w:tcPr>
            <w:tcW w:w="9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123" w:type="dxa"/>
            <w:tcBorders>
              <w:top w:val="single" w:sz="4" w:space="0" w:color="000000"/>
              <w:left w:val="single" w:sz="4" w:space="0" w:color="000000"/>
              <w:bottom w:val="nil" w:sz="6" w:space="0" w:color="auto"/>
              <w:right w:val="single" w:sz="4" w:space="0" w:color="000000"/>
            </w:tcBorders>
            <w:shd w:val="clear" w:color="auto" w:fill="D4D4D4"/>
          </w:tcPr>
          <w:p>
            <w:pPr/>
          </w:p>
        </w:tc>
        <w:tc>
          <w:tcPr>
            <w:tcW w:w="792"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2" w:hRule="exact"/>
        </w:trPr>
        <w:tc>
          <w:tcPr>
            <w:tcW w:w="1679" w:type="dxa"/>
            <w:vMerge/>
            <w:tcBorders>
              <w:left w:val="single" w:sz="4" w:space="0" w:color="000000"/>
              <w:bottom w:val="nil" w:sz="6" w:space="0" w:color="auto"/>
              <w:right w:val="single" w:sz="4" w:space="0" w:color="000000"/>
            </w:tcBorders>
            <w:shd w:val="clear" w:color="auto" w:fill="D4D4D4"/>
          </w:tcPr>
          <w:p>
            <w:pPr/>
          </w:p>
        </w:tc>
        <w:tc>
          <w:tcPr>
            <w:tcW w:w="100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66" w:type="dxa"/>
            <w:vMerge/>
            <w:tcBorders>
              <w:left w:val="single" w:sz="4" w:space="0" w:color="000000"/>
              <w:right w:val="single" w:sz="4" w:space="0" w:color="000000"/>
            </w:tcBorders>
            <w:shd w:val="clear" w:color="auto" w:fill="D4D4D4"/>
          </w:tcPr>
          <w:p>
            <w:pPr/>
          </w:p>
        </w:tc>
        <w:tc>
          <w:tcPr>
            <w:tcW w:w="56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2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1679" w:type="dxa"/>
            <w:vMerge w:val="restart"/>
            <w:tcBorders>
              <w:top w:val="nil" w:sz="6" w:space="0" w:color="auto"/>
              <w:left w:val="single" w:sz="4" w:space="0" w:color="000000"/>
              <w:right w:val="single" w:sz="4" w:space="0" w:color="000000"/>
            </w:tcBorders>
            <w:shd w:val="clear" w:color="auto" w:fill="D4D4D4"/>
          </w:tcPr>
          <w:p>
            <w:pPr/>
          </w:p>
        </w:tc>
        <w:tc>
          <w:tcPr>
            <w:tcW w:w="1004" w:type="dxa"/>
            <w:vMerge/>
            <w:tcBorders>
              <w:left w:val="single" w:sz="4" w:space="0" w:color="000000"/>
              <w:bottom w:val="nil" w:sz="6" w:space="0" w:color="auto"/>
              <w:right w:val="single" w:sz="4" w:space="0" w:color="000000"/>
            </w:tcBorders>
            <w:shd w:val="clear" w:color="auto" w:fill="D4D4D4"/>
          </w:tcPr>
          <w:p>
            <w:pPr/>
          </w:p>
        </w:tc>
        <w:tc>
          <w:tcPr>
            <w:tcW w:w="850" w:type="dxa"/>
            <w:vMerge/>
            <w:tcBorders>
              <w:left w:val="single" w:sz="4" w:space="0" w:color="000000"/>
              <w:bottom w:val="nil" w:sz="6" w:space="0" w:color="auto"/>
              <w:right w:val="single" w:sz="4" w:space="0" w:color="000000"/>
            </w:tcBorders>
            <w:shd w:val="clear" w:color="auto" w:fill="D4D4D4"/>
          </w:tcPr>
          <w:p>
            <w:pPr/>
          </w:p>
        </w:tc>
        <w:tc>
          <w:tcPr>
            <w:tcW w:w="566" w:type="dxa"/>
            <w:vMerge/>
            <w:tcBorders>
              <w:left w:val="single" w:sz="4" w:space="0" w:color="000000"/>
              <w:right w:val="single" w:sz="4" w:space="0" w:color="000000"/>
            </w:tcBorders>
            <w:shd w:val="clear" w:color="auto" w:fill="D4D4D4"/>
          </w:tcPr>
          <w:p>
            <w:pPr/>
          </w:p>
        </w:tc>
        <w:tc>
          <w:tcPr>
            <w:tcW w:w="566" w:type="dxa"/>
            <w:vMerge/>
            <w:tcBorders>
              <w:left w:val="single" w:sz="4" w:space="0" w:color="000000"/>
              <w:bottom w:val="nil" w:sz="6" w:space="0" w:color="auto"/>
              <w:right w:val="single" w:sz="4" w:space="0" w:color="000000"/>
            </w:tcBorders>
            <w:shd w:val="clear" w:color="auto" w:fill="D4D4D4"/>
          </w:tcPr>
          <w:p>
            <w:pPr/>
          </w:p>
        </w:tc>
        <w:tc>
          <w:tcPr>
            <w:tcW w:w="994" w:type="dxa"/>
            <w:vMerge/>
            <w:tcBorders>
              <w:left w:val="single" w:sz="4" w:space="0" w:color="000000"/>
              <w:bottom w:val="nil" w:sz="6" w:space="0" w:color="auto"/>
              <w:right w:val="single" w:sz="4" w:space="0" w:color="000000"/>
            </w:tcBorders>
            <w:shd w:val="clear" w:color="auto" w:fill="D4D4D4"/>
          </w:tcPr>
          <w:p>
            <w:pPr/>
          </w:p>
        </w:tc>
        <w:tc>
          <w:tcPr>
            <w:tcW w:w="991" w:type="dxa"/>
            <w:vMerge/>
            <w:tcBorders>
              <w:left w:val="single" w:sz="4" w:space="0" w:color="000000"/>
              <w:bottom w:val="nil" w:sz="6" w:space="0" w:color="auto"/>
              <w:right w:val="single" w:sz="4" w:space="0" w:color="000000"/>
            </w:tcBorders>
            <w:shd w:val="clear" w:color="auto" w:fill="D4D4D4"/>
          </w:tcPr>
          <w:p>
            <w:pPr/>
          </w:p>
        </w:tc>
        <w:tc>
          <w:tcPr>
            <w:tcW w:w="994" w:type="dxa"/>
            <w:vMerge/>
            <w:tcBorders>
              <w:left w:val="single" w:sz="4" w:space="0" w:color="000000"/>
              <w:bottom w:val="nil" w:sz="6" w:space="0" w:color="auto"/>
              <w:right w:val="single" w:sz="4" w:space="0" w:color="000000"/>
            </w:tcBorders>
            <w:shd w:val="clear" w:color="auto" w:fill="D4D4D4"/>
          </w:tcPr>
          <w:p>
            <w:pPr/>
          </w:p>
        </w:tc>
        <w:tc>
          <w:tcPr>
            <w:tcW w:w="1123" w:type="dxa"/>
            <w:vMerge/>
            <w:tcBorders>
              <w:left w:val="single" w:sz="4" w:space="0" w:color="000000"/>
              <w:bottom w:val="nil" w:sz="6" w:space="0" w:color="auto"/>
              <w:right w:val="single" w:sz="4" w:space="0" w:color="000000"/>
            </w:tcBorders>
            <w:shd w:val="clear" w:color="auto" w:fill="D4D4D4"/>
          </w:tcPr>
          <w:p>
            <w:pPr/>
          </w:p>
        </w:tc>
        <w:tc>
          <w:tcPr>
            <w:tcW w:w="792" w:type="dxa"/>
            <w:vMerge/>
            <w:tcBorders>
              <w:left w:val="single" w:sz="4" w:space="0" w:color="000000"/>
              <w:bottom w:val="nil" w:sz="6" w:space="0" w:color="auto"/>
              <w:right w:val="single" w:sz="4" w:space="0" w:color="000000"/>
            </w:tcBorders>
            <w:shd w:val="clear" w:color="auto" w:fill="D4D4D4"/>
          </w:tcPr>
          <w:p>
            <w:pPr/>
          </w:p>
        </w:tc>
      </w:tr>
      <w:tr>
        <w:trPr>
          <w:trHeight w:val="161" w:hRule="exact"/>
        </w:trPr>
        <w:tc>
          <w:tcPr>
            <w:tcW w:w="1679" w:type="dxa"/>
            <w:vMerge/>
            <w:tcBorders>
              <w:left w:val="single" w:sz="4" w:space="0" w:color="000000"/>
              <w:bottom w:val="single" w:sz="4" w:space="0" w:color="000000"/>
              <w:right w:val="single" w:sz="4" w:space="0" w:color="000000"/>
            </w:tcBorders>
            <w:shd w:val="clear" w:color="auto" w:fill="D4D4D4"/>
          </w:tcPr>
          <w:p>
            <w:pPr/>
          </w:p>
        </w:tc>
        <w:tc>
          <w:tcPr>
            <w:tcW w:w="1004" w:type="dxa"/>
            <w:tcBorders>
              <w:top w:val="nil" w:sz="6" w:space="0" w:color="auto"/>
              <w:left w:val="single" w:sz="4" w:space="0" w:color="000000"/>
              <w:bottom w:val="single" w:sz="4" w:space="0" w:color="000000"/>
              <w:right w:val="single" w:sz="4" w:space="0" w:color="000000"/>
            </w:tcBorders>
            <w:shd w:val="clear" w:color="auto" w:fill="D4D4D4"/>
          </w:tcPr>
          <w:p>
            <w:pPr/>
          </w:p>
        </w:tc>
        <w:tc>
          <w:tcPr>
            <w:tcW w:w="850" w:type="dxa"/>
            <w:tcBorders>
              <w:top w:val="nil" w:sz="6" w:space="0" w:color="auto"/>
              <w:left w:val="single" w:sz="4" w:space="0" w:color="000000"/>
              <w:bottom w:val="single" w:sz="4" w:space="0" w:color="000000"/>
              <w:right w:val="single" w:sz="4" w:space="0" w:color="000000"/>
            </w:tcBorders>
            <w:shd w:val="clear" w:color="auto" w:fill="D4D4D4"/>
          </w:tcPr>
          <w:p>
            <w:pPr/>
          </w:p>
        </w:tc>
        <w:tc>
          <w:tcPr>
            <w:tcW w:w="566" w:type="dxa"/>
            <w:vMerge/>
            <w:tcBorders>
              <w:left w:val="single" w:sz="4" w:space="0" w:color="000000"/>
              <w:bottom w:val="single" w:sz="4" w:space="0" w:color="000000"/>
              <w:right w:val="single" w:sz="4" w:space="0" w:color="000000"/>
            </w:tcBorders>
            <w:shd w:val="clear" w:color="auto" w:fill="D4D4D4"/>
          </w:tcPr>
          <w:p>
            <w:pPr/>
          </w:p>
        </w:tc>
        <w:tc>
          <w:tcPr>
            <w:tcW w:w="566" w:type="dxa"/>
            <w:tcBorders>
              <w:top w:val="nil" w:sz="6" w:space="0" w:color="auto"/>
              <w:left w:val="single" w:sz="4" w:space="0" w:color="000000"/>
              <w:bottom w:val="single" w:sz="4" w:space="0" w:color="000000"/>
              <w:right w:val="single" w:sz="4" w:space="0" w:color="000000"/>
            </w:tcBorders>
            <w:shd w:val="clear" w:color="auto" w:fill="D4D4D4"/>
          </w:tcPr>
          <w:p>
            <w:pPr/>
          </w:p>
        </w:tc>
        <w:tc>
          <w:tcPr>
            <w:tcW w:w="994" w:type="dxa"/>
            <w:tcBorders>
              <w:top w:val="nil" w:sz="6" w:space="0" w:color="auto"/>
              <w:left w:val="single" w:sz="4" w:space="0" w:color="000000"/>
              <w:bottom w:val="single" w:sz="4" w:space="0" w:color="000000"/>
              <w:right w:val="single" w:sz="4" w:space="0" w:color="000000"/>
            </w:tcBorders>
            <w:shd w:val="clear" w:color="auto" w:fill="D4D4D4"/>
          </w:tcPr>
          <w:p>
            <w:pPr/>
          </w:p>
        </w:tc>
        <w:tc>
          <w:tcPr>
            <w:tcW w:w="991" w:type="dxa"/>
            <w:tcBorders>
              <w:top w:val="nil" w:sz="6" w:space="0" w:color="auto"/>
              <w:left w:val="single" w:sz="4" w:space="0" w:color="000000"/>
              <w:bottom w:val="single" w:sz="4" w:space="0" w:color="000000"/>
              <w:right w:val="single" w:sz="4" w:space="0" w:color="000000"/>
            </w:tcBorders>
            <w:shd w:val="clear" w:color="auto" w:fill="D4D4D4"/>
          </w:tcPr>
          <w:p>
            <w:pPr/>
          </w:p>
        </w:tc>
        <w:tc>
          <w:tcPr>
            <w:tcW w:w="9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single" w:sz="4" w:space="0" w:color="000000"/>
              <w:right w:val="single" w:sz="4" w:space="0" w:color="000000"/>
            </w:tcBorders>
            <w:shd w:val="clear" w:color="auto" w:fill="D4D4D4"/>
          </w:tcPr>
          <w:p>
            <w:pPr/>
          </w:p>
        </w:tc>
        <w:tc>
          <w:tcPr>
            <w:tcW w:w="792"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76,275,532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41.92%</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33,938,076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-6,979,980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26,958,096</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103,233,628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37.86%</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76,275,532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41.92%</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33,938,076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-6,979,980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26,958,096</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103,233,628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37.86%</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76,275,532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41.92%</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33,938,076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-6,979,980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26,958,096</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103,233,628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37.86%</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境外自然人持</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105,690,928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58.08%</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56,978,529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6,777,310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63,755,839</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169,446,767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62.14%</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105,690,928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58.08%</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56,978,529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6,777,310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63,755,839</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169,446,767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62.14%</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、境内上市的外资股</w:t>
            </w:r>
          </w:p>
        </w:tc>
        <w:tc>
          <w:tcPr>
            <w:tcW w:w="10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、境外上市的外资股</w:t>
            </w:r>
          </w:p>
        </w:tc>
        <w:tc>
          <w:tcPr>
            <w:tcW w:w="10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181,966,460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90,916,605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-202,670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90,713,935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272,680,395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r>
    </w:tbl>
    <w:p>
      <w:pPr>
        <w:spacing w:before="49"/>
        <w:ind w:left="152" w:right="103"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pStyle w:val="BodyText"/>
        <w:spacing w:line="391" w:lineRule="auto" w:before="115"/>
        <w:ind w:right="103"/>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sz w:val="18"/>
          <w:szCs w:val="18"/>
        </w:rPr>
        <w:t>不适用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日，中国证券登记结算有限公司深圳分公司根据公司董事、监事和高级管理人员</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21"/>
        </w:rPr>
        <w:t> </w:t>
      </w:r>
      <w:r>
        <w:rPr>
          <w:spacing w:val="-2"/>
        </w:rPr>
        <w:t>月</w:t>
      </w:r>
      <w:r>
        <w:rPr>
          <w:rFonts w:ascii="Times New Roman" w:hAnsi="Times New Roman" w:cs="Times New Roman" w:eastAsia="Times New Roman" w:hint="default"/>
          <w:spacing w:val="-2"/>
        </w:rPr>
        <w:t>31</w:t>
      </w:r>
      <w:r>
        <w:rPr>
          <w:spacing w:val="-2"/>
        </w:rPr>
        <w:t>日所持公司股份重新计算本年度可转让股份法定额度为</w:t>
      </w:r>
      <w:r>
        <w:rPr>
          <w:rFonts w:ascii="Times New Roman" w:hAnsi="Times New Roman" w:cs="Times New Roman" w:eastAsia="Times New Roman" w:hint="default"/>
          <w:spacing w:val="-2"/>
        </w:rPr>
        <w:t>8,266,130</w:t>
      </w:r>
      <w:r>
        <w:rPr>
          <w:spacing w:val="-2"/>
        </w:rPr>
        <w:t>股，其余部分作为高管锁定股份继续</w:t>
      </w:r>
      <w:r>
        <w:rPr>
          <w:spacing w:val="-31"/>
        </w:rPr>
        <w:t> </w:t>
      </w:r>
      <w:r>
        <w:rPr>
          <w:spacing w:val="-31"/>
        </w:rPr>
      </w:r>
      <w:r>
        <w:rPr/>
        <w:t>锁定；</w:t>
      </w:r>
      <w:r>
        <w:rPr>
          <w:spacing w:val="-102"/>
        </w:rPr>
        <w:t> </w:t>
      </w: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20</w:t>
      </w:r>
      <w:r>
        <w:rPr>
          <w:spacing w:val="-4"/>
        </w:rPr>
        <w:t>日，公司分别召开第二届董事会第二十四次临时会议和第二届监事会第二十二次临时会议，</w:t>
      </w:r>
      <w:r>
        <w:rPr>
          <w:spacing w:val="-37"/>
        </w:rPr>
        <w:t> </w:t>
      </w:r>
      <w:r>
        <w:rPr>
          <w:spacing w:val="-37"/>
        </w:rPr>
      </w:r>
      <w:r>
        <w:rPr>
          <w:spacing w:val="-2"/>
        </w:rPr>
        <w:t>审议通过了《关于回购注销已不符合激励条件的原激励对象已获授尚未解锁的限制性股票的议案》，同意</w:t>
      </w:r>
    </w:p>
    <w:p>
      <w:pPr>
        <w:spacing w:after="0" w:line="391" w:lineRule="auto"/>
        <w:jc w:val="left"/>
        <w:sectPr>
          <w:pgSz w:w="11910" w:h="16840"/>
          <w:pgMar w:header="745" w:footer="982" w:top="1060" w:bottom="1180" w:left="980" w:right="920"/>
        </w:sectPr>
      </w:pPr>
    </w:p>
    <w:p>
      <w:pPr>
        <w:spacing w:line="240" w:lineRule="auto" w:before="0"/>
        <w:rPr>
          <w:rFonts w:ascii="宋体" w:hAnsi="宋体" w:cs="宋体" w:eastAsia="宋体" w:hint="default"/>
          <w:sz w:val="20"/>
          <w:szCs w:val="20"/>
        </w:rPr>
      </w:pPr>
    </w:p>
    <w:p>
      <w:pPr>
        <w:pStyle w:val="BodyText"/>
        <w:spacing w:line="391" w:lineRule="auto" w:before="175"/>
        <w:ind w:right="101"/>
        <w:jc w:val="left"/>
      </w:pPr>
      <w:r>
        <w:rPr/>
        <w:t>将离职激励对象陆宝齐、田毅</w:t>
      </w:r>
      <w:r>
        <w:rPr>
          <w:rFonts w:ascii="Times New Roman" w:hAnsi="Times New Roman" w:cs="Times New Roman" w:eastAsia="Times New Roman" w:hint="default"/>
        </w:rPr>
        <w:t>2</w:t>
      </w:r>
      <w:r>
        <w:rPr/>
        <w:t>人已获授但未解锁的全部限制性股票</w:t>
      </w:r>
      <w:r>
        <w:rPr>
          <w:rFonts w:ascii="Times New Roman" w:hAnsi="Times New Roman" w:cs="Times New Roman" w:eastAsia="Times New Roman" w:hint="default"/>
        </w:rPr>
        <w:t>133,250</w:t>
      </w:r>
      <w:r>
        <w:rPr/>
        <w:t>股限制性股票进行回购注销。</w:t>
      </w:r>
      <w:r>
        <w:rPr>
          <w:spacing w:val="-77"/>
        </w:rPr>
        <w:t> </w:t>
      </w:r>
      <w:r>
        <w:rPr>
          <w:spacing w:val="-77"/>
        </w:rPr>
      </w:r>
      <w:r>
        <w:rPr/>
        <w:t>公司上述限制性股票的注销事宜已经于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日完成。</w:t>
      </w:r>
      <w:r>
        <w:rPr>
          <w:w w:val="100"/>
        </w:rPr>
        <w:t> </w:t>
      </w: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2014</w:t>
      </w:r>
      <w:r>
        <w:rPr/>
        <w:t>年年度权益分派方案以公司现有总股本</w:t>
      </w:r>
      <w:r>
        <w:rPr>
          <w:rFonts w:ascii="Times New Roman" w:hAnsi="Times New Roman" w:cs="Times New Roman" w:eastAsia="Times New Roman" w:hint="default"/>
        </w:rPr>
        <w:t>181,833,210</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1.000000</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t>元人民币现金（含税；扣税后，</w:t>
      </w:r>
      <w:r>
        <w:rPr>
          <w:rFonts w:ascii="Times New Roman" w:hAnsi="Times New Roman" w:cs="Times New Roman" w:eastAsia="Times New Roman" w:hint="default"/>
        </w:rPr>
        <w:t>QFII</w:t>
      </w:r>
      <w:r>
        <w:rPr/>
        <w:t>、</w:t>
      </w:r>
      <w:r>
        <w:rPr>
          <w:rFonts w:ascii="Times New Roman" w:hAnsi="Times New Roman" w:cs="Times New Roman" w:eastAsia="Times New Roman" w:hint="default"/>
        </w:rPr>
        <w:t>RQFII</w:t>
      </w:r>
      <w:r>
        <w:rPr/>
        <w:t>以及持有股改限售股、首发限售股的个人和证券投资基金每</w:t>
      </w:r>
      <w:r>
        <w:rPr>
          <w:spacing w:val="-42"/>
        </w:rPr>
        <w:t> </w:t>
      </w:r>
      <w:r>
        <w:rPr>
          <w:spacing w:val="-42"/>
        </w:rPr>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0.900000</w:t>
      </w:r>
      <w:r>
        <w:rPr/>
        <w:t>元；持有非股改、非首发限售股及无限售流通股的个人、证券投资基金股息红利税实行差</w:t>
      </w:r>
      <w:r>
        <w:rPr>
          <w:spacing w:val="-78"/>
        </w:rPr>
        <w:t> </w:t>
      </w:r>
      <w:r>
        <w:rPr>
          <w:spacing w:val="-78"/>
        </w:rPr>
      </w:r>
      <w:r>
        <w:rPr/>
        <w:t>别化税率征收，先按每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0.950000</w:t>
      </w:r>
      <w:r>
        <w:rPr/>
        <w:t>元，权益登记日后根据投资者减持股票情况，再按实际持股期限补</w:t>
      </w:r>
      <w:r>
        <w:rPr>
          <w:spacing w:val="-78"/>
        </w:rPr>
        <w:t> </w:t>
      </w:r>
      <w:r>
        <w:rPr>
          <w:spacing w:val="-78"/>
        </w:rPr>
      </w:r>
      <w:r>
        <w:rPr>
          <w:spacing w:val="-11"/>
          <w:w w:val="100"/>
        </w:rPr>
        <w:t>缴税款</w:t>
      </w:r>
      <w:r>
        <w:rPr>
          <w:rFonts w:ascii="Times New Roman" w:hAnsi="Times New Roman" w:cs="Times New Roman" w:eastAsia="Times New Roman" w:hint="default"/>
          <w:spacing w:val="-11"/>
          <w:w w:val="100"/>
        </w:rPr>
        <w:t>ª</w:t>
      </w:r>
      <w:r>
        <w:rPr>
          <w:spacing w:val="-11"/>
          <w:w w:val="100"/>
        </w:rPr>
        <w:t>；对于</w:t>
      </w:r>
      <w:r>
        <w:rPr>
          <w:rFonts w:ascii="Times New Roman" w:hAnsi="Times New Roman" w:cs="Times New Roman" w:eastAsia="Times New Roman" w:hint="default"/>
          <w:spacing w:val="-11"/>
          <w:w w:val="100"/>
        </w:rPr>
        <w:t>QFII</w:t>
      </w:r>
      <w:r>
        <w:rPr>
          <w:spacing w:val="-11"/>
          <w:w w:val="100"/>
        </w:rPr>
        <w:t>、</w:t>
      </w:r>
      <w:r>
        <w:rPr>
          <w:rFonts w:ascii="Times New Roman" w:hAnsi="Times New Roman" w:cs="Times New Roman" w:eastAsia="Times New Roman" w:hint="default"/>
          <w:spacing w:val="-11"/>
          <w:w w:val="100"/>
        </w:rPr>
        <w:t>RQFII</w:t>
      </w:r>
      <w:r>
        <w:rPr>
          <w:spacing w:val="-11"/>
          <w:w w:val="100"/>
        </w:rPr>
        <w:t>外的其他非居民企业，本公司未代扣代缴所得税，由纳税人在所得发生地缴纳。）；</w:t>
      </w:r>
      <w:r>
        <w:rPr>
          <w:spacing w:val="-91"/>
          <w:w w:val="100"/>
        </w:rPr>
        <w:t> </w:t>
      </w:r>
      <w:r>
        <w:rPr>
          <w:spacing w:val="-91"/>
          <w:w w:val="100"/>
        </w:rPr>
      </w:r>
      <w:r>
        <w:rPr/>
        <w:t>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5.000000</w:t>
      </w:r>
      <w:r>
        <w:rPr/>
        <w:t>股。该权益分派于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日实施完毕。</w:t>
      </w:r>
      <w:r>
        <w:rPr>
          <w:w w:val="100"/>
        </w:rPr>
        <w:t> </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26</w:t>
      </w:r>
      <w:r>
        <w:rPr>
          <w:spacing w:val="-2"/>
        </w:rPr>
        <w:t>日，公司召开第二届董事会第二十八次临时会议和第二届监事会第二十六次临时会议，审</w:t>
      </w:r>
      <w:r>
        <w:rPr>
          <w:spacing w:val="-37"/>
        </w:rPr>
        <w:t> </w:t>
      </w:r>
      <w:r>
        <w:rPr>
          <w:spacing w:val="-37"/>
        </w:rPr>
      </w:r>
      <w:r>
        <w:rPr>
          <w:spacing w:val="-2"/>
        </w:rPr>
        <w:t>议通过了《关于公司股权激励计划预留部分限制性股票第一个解锁期条件成就可解锁的议案》、《关于限</w:t>
      </w:r>
      <w:r>
        <w:rPr>
          <w:spacing w:val="-44"/>
        </w:rPr>
        <w:t> </w:t>
      </w:r>
      <w:r>
        <w:rPr>
          <w:spacing w:val="-44"/>
        </w:rPr>
      </w:r>
      <w:r>
        <w:rPr>
          <w:spacing w:val="-2"/>
        </w:rPr>
        <w:t>制性股票激励计划首次授予的限制性股票第二个解锁期条件成就可解锁的议案》、《关于回购注销部分激</w:t>
      </w:r>
      <w:r>
        <w:rPr>
          <w:spacing w:val="-43"/>
        </w:rPr>
        <w:t> </w:t>
      </w:r>
      <w:r>
        <w:rPr>
          <w:spacing w:val="-43"/>
        </w:rPr>
      </w:r>
      <w:r>
        <w:rPr>
          <w:spacing w:val="-2"/>
        </w:rPr>
        <w:t>励对象已获授但尚未解锁的限制性股票的议案》。同意按照《限制性股票激励计划》的相关规定办理预留</w:t>
      </w:r>
      <w:r>
        <w:rPr>
          <w:spacing w:val="-47"/>
        </w:rPr>
        <w:t> </w:t>
      </w:r>
      <w:r>
        <w:rPr>
          <w:spacing w:val="-47"/>
        </w:rPr>
      </w:r>
      <w:r>
        <w:rPr/>
        <w:t>部分限制性股票首期解锁及首次授予的限制性股票第二个解锁期限制性股票解锁相关事宜。其中：预留部</w:t>
      </w:r>
      <w:r>
        <w:rPr>
          <w:w w:val="100"/>
        </w:rPr>
        <w:t> </w:t>
      </w:r>
      <w:r>
        <w:rPr/>
        <w:t>分首期限制性股票申请解锁</w:t>
      </w:r>
      <w:r>
        <w:rPr>
          <w:rFonts w:ascii="Times New Roman" w:hAnsi="Times New Roman" w:cs="Times New Roman" w:eastAsia="Times New Roman" w:hint="default"/>
        </w:rPr>
        <w:t>55.77</w:t>
      </w:r>
      <w:r>
        <w:rPr/>
        <w:t>万股，占目前股本总额的</w:t>
      </w:r>
      <w:r>
        <w:rPr>
          <w:rFonts w:ascii="Times New Roman" w:hAnsi="Times New Roman" w:cs="Times New Roman" w:eastAsia="Times New Roman" w:hint="default"/>
        </w:rPr>
        <w:t>0.20%</w:t>
      </w:r>
      <w:r>
        <w:rPr/>
        <w:t>；首次授予的限制性股票第二个解锁期的</w:t>
      </w:r>
      <w:r>
        <w:rPr>
          <w:spacing w:val="-101"/>
        </w:rPr>
        <w:t> </w:t>
      </w:r>
      <w:r>
        <w:rPr>
          <w:spacing w:val="-101"/>
        </w:rPr>
      </w:r>
      <w:r>
        <w:rPr/>
        <w:t>限制性股票申请解锁</w:t>
      </w:r>
      <w:r>
        <w:rPr>
          <w:rFonts w:ascii="Times New Roman" w:hAnsi="Times New Roman" w:cs="Times New Roman" w:eastAsia="Times New Roman" w:hint="default"/>
        </w:rPr>
        <w:t>295.308</w:t>
      </w:r>
      <w:r>
        <w:rPr/>
        <w:t>万股，占公司目前股本总额的</w:t>
      </w:r>
      <w:r>
        <w:rPr>
          <w:rFonts w:ascii="Times New Roman" w:hAnsi="Times New Roman" w:cs="Times New Roman" w:eastAsia="Times New Roman" w:hint="default"/>
        </w:rPr>
        <w:t>1.08%</w:t>
      </w:r>
      <w:r>
        <w:rPr/>
        <w:t>。上述限制性股票已于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9</w:t>
      </w:r>
      <w:r>
        <w:rPr/>
        <w:t>日解禁</w:t>
      </w:r>
      <w:r>
        <w:rPr>
          <w:spacing w:val="-3"/>
          <w:w w:val="100"/>
        </w:rPr>
        <w:t> </w:t>
      </w:r>
      <w:r>
        <w:rPr/>
        <w:t>上市流通。公司激励对象中预留部分限制性股票的激励对象中张家富</w:t>
      </w:r>
      <w:r>
        <w:rPr>
          <w:rFonts w:ascii="Times New Roman" w:hAnsi="Times New Roman" w:cs="Times New Roman" w:eastAsia="Times New Roman" w:hint="default"/>
        </w:rPr>
        <w:t>1</w:t>
      </w:r>
      <w:r>
        <w:rPr/>
        <w:t>人因</w:t>
      </w:r>
      <w:r>
        <w:rPr>
          <w:rFonts w:ascii="Times New Roman" w:hAnsi="Times New Roman" w:cs="Times New Roman" w:eastAsia="Times New Roman" w:hint="default"/>
        </w:rPr>
        <w:t>2014</w:t>
      </w:r>
      <w:r>
        <w:rPr/>
        <w:t>年度个人考核未达标不能</w:t>
      </w:r>
      <w:r>
        <w:rPr>
          <w:spacing w:val="-28"/>
        </w:rPr>
        <w:t> </w:t>
      </w:r>
      <w:r>
        <w:rPr>
          <w:spacing w:val="-28"/>
        </w:rPr>
      </w:r>
      <w:r>
        <w:rPr/>
        <w:t>解锁首期限制性股票，邱智斌、胡杨</w:t>
      </w:r>
      <w:r>
        <w:rPr>
          <w:rFonts w:ascii="Times New Roman" w:hAnsi="Times New Roman" w:cs="Times New Roman" w:eastAsia="Times New Roman" w:hint="default"/>
        </w:rPr>
        <w:t>2</w:t>
      </w:r>
      <w:r>
        <w:rPr/>
        <w:t>人将根据</w:t>
      </w:r>
      <w:r>
        <w:rPr>
          <w:rFonts w:ascii="Times New Roman" w:hAnsi="Times New Roman" w:cs="Times New Roman" w:eastAsia="Times New Roman" w:hint="default"/>
        </w:rPr>
        <w:t>2014</w:t>
      </w:r>
      <w:r>
        <w:rPr/>
        <w:t>年度个人对应考核标准系数对本次可解锁数量进行调</w:t>
      </w:r>
      <w:r>
        <w:rPr>
          <w:spacing w:val="-28"/>
        </w:rPr>
        <w:t> </w:t>
      </w:r>
      <w:r>
        <w:rPr>
          <w:spacing w:val="-28"/>
        </w:rPr>
      </w:r>
      <w:r>
        <w:rPr/>
        <w:t>整，对于已授予上述对象但未能解锁的限制性股票共</w:t>
      </w:r>
      <w:r>
        <w:rPr>
          <w:rFonts w:ascii="Times New Roman" w:hAnsi="Times New Roman" w:cs="Times New Roman" w:eastAsia="Times New Roman" w:hint="default"/>
        </w:rPr>
        <w:t>2.73</w:t>
      </w:r>
      <w:r>
        <w:rPr/>
        <w:t>万股（已根据</w:t>
      </w:r>
      <w:r>
        <w:rPr>
          <w:rFonts w:ascii="Times New Roman" w:hAnsi="Times New Roman" w:cs="Times New Roman" w:eastAsia="Times New Roman" w:hint="default"/>
        </w:rPr>
        <w:t>2014</w:t>
      </w:r>
      <w:r>
        <w:rPr/>
        <w:t>年度权益分派资本公积金转增</w:t>
      </w:r>
      <w:r>
        <w:rPr>
          <w:spacing w:val="-78"/>
        </w:rPr>
        <w:t> </w:t>
      </w:r>
      <w:r>
        <w:rPr>
          <w:spacing w:val="-78"/>
        </w:rPr>
      </w:r>
      <w:r>
        <w:rPr>
          <w:spacing w:val="-2"/>
        </w:rPr>
        <w:t>股本进行调整后的股数）进行回购注销，回购价格为</w:t>
      </w:r>
      <w:r>
        <w:rPr>
          <w:rFonts w:ascii="Times New Roman" w:hAnsi="Times New Roman" w:cs="Times New Roman" w:eastAsia="Times New Roman" w:hint="default"/>
          <w:spacing w:val="-2"/>
        </w:rPr>
        <w:t>6.8533</w:t>
      </w:r>
      <w:r>
        <w:rPr>
          <w:spacing w:val="-2"/>
        </w:rPr>
        <w:t>元</w:t>
      </w:r>
      <w:r>
        <w:rPr>
          <w:rFonts w:ascii="Times New Roman" w:hAnsi="Times New Roman" w:cs="Times New Roman" w:eastAsia="Times New Roman" w:hint="default"/>
          <w:spacing w:val="-2"/>
        </w:rPr>
        <w:t>/</w:t>
      </w:r>
      <w:r>
        <w:rPr>
          <w:spacing w:val="-2"/>
        </w:rPr>
        <w:t>股（回购价格依据《股权激励计划》及公司</w:t>
      </w:r>
      <w:r>
        <w:rPr>
          <w:spacing w:val="-46"/>
        </w:rPr>
        <w:t> </w:t>
      </w:r>
      <w:r>
        <w:rPr>
          <w:spacing w:val="-46"/>
        </w:rPr>
      </w:r>
      <w:r>
        <w:rPr>
          <w:rFonts w:ascii="Times New Roman" w:hAnsi="Times New Roman" w:cs="Times New Roman" w:eastAsia="Times New Roman" w:hint="default"/>
        </w:rPr>
        <w:t>2014</w:t>
      </w:r>
      <w:r>
        <w:rPr/>
        <w:t>年度权益分派方案进行相应调整）。</w:t>
      </w:r>
    </w:p>
    <w:p>
      <w:pPr>
        <w:pStyle w:val="BodyText"/>
        <w:spacing w:line="388" w:lineRule="auto" w:before="31"/>
        <w:ind w:left="153" w:right="103" w:firstLine="420"/>
        <w:jc w:val="left"/>
      </w:pPr>
      <w:r>
        <w:rPr/>
        <w:t>首次授予的限制性股票的激励对象中胡牡丹、来亮、丁岚、郭立强、陶凯、冯俊雷、宣治</w:t>
      </w:r>
      <w:r>
        <w:rPr>
          <w:rFonts w:ascii="Times New Roman" w:hAnsi="Times New Roman" w:cs="Times New Roman" w:eastAsia="Times New Roman" w:hint="default"/>
        </w:rPr>
        <w:t>7</w:t>
      </w:r>
      <w:r>
        <w:rPr/>
        <w:t>人将根据</w:t>
      </w:r>
      <w:r>
        <w:rPr>
          <w:w w:val="100"/>
        </w:rPr>
        <w:t> </w:t>
      </w:r>
      <w:r>
        <w:rPr>
          <w:rFonts w:ascii="Times New Roman" w:hAnsi="Times New Roman" w:cs="Times New Roman" w:eastAsia="Times New Roman" w:hint="default"/>
          <w:spacing w:val="-2"/>
        </w:rPr>
        <w:t>2014</w:t>
      </w:r>
      <w:r>
        <w:rPr>
          <w:spacing w:val="-2"/>
        </w:rPr>
        <w:t>年度个人对应考核标准系数对本次可解锁数量进行调整，对于已授予上述对象但未能解锁的限制性股</w:t>
      </w:r>
      <w:r>
        <w:rPr>
          <w:spacing w:val="-39"/>
        </w:rPr>
        <w:t> </w:t>
      </w:r>
      <w:r>
        <w:rPr>
          <w:spacing w:val="-39"/>
        </w:rPr>
      </w:r>
      <w:r>
        <w:rPr>
          <w:spacing w:val="-3"/>
        </w:rPr>
        <w:t>票共</w:t>
      </w:r>
      <w:r>
        <w:rPr>
          <w:rFonts w:ascii="Times New Roman" w:hAnsi="Times New Roman" w:cs="Times New Roman" w:eastAsia="Times New Roman" w:hint="default"/>
          <w:spacing w:val="-3"/>
        </w:rPr>
        <w:t>4.212</w:t>
      </w:r>
      <w:r>
        <w:rPr>
          <w:spacing w:val="-3"/>
        </w:rPr>
        <w:t>万股（已根据</w:t>
      </w:r>
      <w:r>
        <w:rPr>
          <w:rFonts w:ascii="Times New Roman" w:hAnsi="Times New Roman" w:cs="Times New Roman" w:eastAsia="Times New Roman" w:hint="default"/>
          <w:spacing w:val="-3"/>
        </w:rPr>
        <w:t>2013</w:t>
      </w:r>
      <w:r>
        <w:rPr>
          <w:spacing w:val="-3"/>
        </w:rPr>
        <w:t>年度、</w:t>
      </w:r>
      <w:r>
        <w:rPr>
          <w:rFonts w:ascii="Times New Roman" w:hAnsi="Times New Roman" w:cs="Times New Roman" w:eastAsia="Times New Roman" w:hint="default"/>
          <w:spacing w:val="-3"/>
        </w:rPr>
        <w:t>2014</w:t>
      </w:r>
      <w:r>
        <w:rPr>
          <w:spacing w:val="-3"/>
        </w:rPr>
        <w:t>年度权益分派资本公积金转增股本进行调整后的股数）进行回购注</w:t>
      </w:r>
      <w:r>
        <w:rPr>
          <w:spacing w:val="-37"/>
        </w:rPr>
        <w:t> </w:t>
      </w:r>
      <w:r>
        <w:rPr>
          <w:spacing w:val="-37"/>
        </w:rPr>
      </w:r>
      <w:r>
        <w:rPr>
          <w:spacing w:val="-2"/>
        </w:rPr>
        <w:t>销，回购价格为</w:t>
      </w:r>
      <w:r>
        <w:rPr>
          <w:rFonts w:ascii="Times New Roman" w:hAnsi="Times New Roman" w:cs="Times New Roman" w:eastAsia="Times New Roman" w:hint="default"/>
          <w:spacing w:val="-2"/>
        </w:rPr>
        <w:t>2.3487</w:t>
      </w:r>
      <w:r>
        <w:rPr>
          <w:spacing w:val="-2"/>
        </w:rPr>
        <w:t>元</w:t>
      </w:r>
      <w:r>
        <w:rPr>
          <w:rFonts w:ascii="Times New Roman" w:hAnsi="Times New Roman" w:cs="Times New Roman" w:eastAsia="Times New Roman" w:hint="default"/>
          <w:spacing w:val="-2"/>
        </w:rPr>
        <w:t>/</w:t>
      </w:r>
      <w:r>
        <w:rPr>
          <w:spacing w:val="-2"/>
        </w:rPr>
        <w:t>股（回购价格依据《股权激励计划》及公司</w:t>
      </w:r>
      <w:r>
        <w:rPr>
          <w:rFonts w:ascii="Times New Roman" w:hAnsi="Times New Roman" w:cs="Times New Roman" w:eastAsia="Times New Roman" w:hint="default"/>
          <w:spacing w:val="-2"/>
        </w:rPr>
        <w:t>2013</w:t>
      </w:r>
      <w:r>
        <w:rPr>
          <w:spacing w:val="-2"/>
        </w:rPr>
        <w:t>年度、</w:t>
      </w:r>
      <w:r>
        <w:rPr>
          <w:rFonts w:ascii="Times New Roman" w:hAnsi="Times New Roman" w:cs="Times New Roman" w:eastAsia="Times New Roman" w:hint="default"/>
          <w:spacing w:val="-2"/>
        </w:rPr>
        <w:t>2014</w:t>
      </w:r>
      <w:r>
        <w:rPr>
          <w:spacing w:val="-2"/>
        </w:rPr>
        <w:t>年度权益分派方案进</w:t>
      </w:r>
      <w:r>
        <w:rPr>
          <w:spacing w:val="-38"/>
        </w:rPr>
        <w:t> </w:t>
      </w:r>
      <w:r>
        <w:rPr>
          <w:spacing w:val="-38"/>
        </w:rPr>
      </w:r>
      <w:r>
        <w:rPr/>
        <w:t>行相应调整）。上述限制性股票已于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日回购注销完成。</w:t>
      </w:r>
      <w:r>
        <w:rPr>
          <w:w w:val="100"/>
        </w:rPr>
        <w:t> </w:t>
      </w:r>
      <w:r>
        <w:rPr>
          <w:rFonts w:ascii="Times New Roman" w:hAnsi="Times New Roman" w:cs="Times New Roman" w:eastAsia="Times New Roman" w:hint="default"/>
          <w:spacing w:val="-4"/>
        </w:rPr>
        <w:t>5</w:t>
      </w:r>
      <w:r>
        <w:rPr>
          <w:spacing w:val="-4"/>
        </w:rPr>
        <w:t>、</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15</w:t>
      </w:r>
      <w:r>
        <w:rPr>
          <w:spacing w:val="-4"/>
        </w:rPr>
        <w:t>日召开</w:t>
      </w:r>
      <w:r>
        <w:rPr>
          <w:rFonts w:ascii="Times New Roman" w:hAnsi="Times New Roman" w:cs="Times New Roman" w:eastAsia="Times New Roman" w:hint="default"/>
          <w:spacing w:val="-4"/>
        </w:rPr>
        <w:t>2015</w:t>
      </w:r>
      <w:r>
        <w:rPr>
          <w:spacing w:val="-4"/>
        </w:rPr>
        <w:t>年第一次临时股东大会选举产生了第三届董事及第三届监事，董事陈宏科先生、</w:t>
      </w:r>
      <w:r>
        <w:rPr>
          <w:spacing w:val="-33"/>
        </w:rPr>
        <w:t> </w:t>
      </w:r>
      <w:r>
        <w:rPr>
          <w:spacing w:val="-33"/>
        </w:rPr>
      </w:r>
      <w:r>
        <w:rPr>
          <w:spacing w:val="-2"/>
        </w:rPr>
        <w:t>武雪松先生、监事周全先生届满离任。</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spacing w:val="-2"/>
        </w:rPr>
        <w:t>日召开第三届董事会第一次会议陈宏科先生不再担任</w:t>
      </w:r>
      <w:r>
        <w:rPr>
          <w:spacing w:val="-43"/>
        </w:rPr>
        <w:t> </w:t>
      </w:r>
      <w:r>
        <w:rPr>
          <w:spacing w:val="-43"/>
        </w:rPr>
      </w:r>
      <w:r>
        <w:rPr>
          <w:spacing w:val="-2"/>
        </w:rPr>
        <w:t>公司副总经理，其股份自</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29</w:t>
      </w:r>
      <w:r>
        <w:rPr>
          <w:spacing w:val="-2"/>
        </w:rPr>
        <w:t>日起全部锁定六个月。董事武雪松先生、监事周全先生其股份自离任之日</w:t>
      </w:r>
      <w:r>
        <w:rPr>
          <w:spacing w:val="-50"/>
        </w:rPr>
        <w:t> </w:t>
      </w:r>
      <w:r>
        <w:rPr>
          <w:spacing w:val="-50"/>
        </w:rPr>
      </w:r>
      <w:r>
        <w:rPr/>
        <w:t>起全部锁定六个月。</w:t>
      </w:r>
      <w:r>
        <w:rPr>
          <w:w w:val="100"/>
        </w:rPr>
        <w:t> </w:t>
      </w: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月董事陆文雄、杜力耘、姜蓓蓓、楼晔分别按照</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10</w:t>
      </w:r>
      <w:r>
        <w:rPr>
          <w:spacing w:val="-2"/>
        </w:rPr>
        <w:t>日在巨潮资讯网披露</w:t>
      </w:r>
      <w:r>
        <w:rPr/>
      </w:r>
    </w:p>
    <w:p>
      <w:pPr>
        <w:spacing w:after="0" w:line="388" w:lineRule="auto"/>
        <w:jc w:val="left"/>
        <w:sectPr>
          <w:pgSz w:w="11910" w:h="16840"/>
          <w:pgMar w:header="745" w:footer="982" w:top="1060" w:bottom="1180" w:left="980" w:right="9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3"/>
          <w:szCs w:val="13"/>
        </w:rPr>
      </w:pPr>
    </w:p>
    <w:p>
      <w:pPr>
        <w:pStyle w:val="BodyText"/>
        <w:spacing w:line="379" w:lineRule="auto"/>
        <w:ind w:right="103"/>
        <w:jc w:val="left"/>
        <w:rPr>
          <w:sz w:val="18"/>
          <w:szCs w:val="18"/>
        </w:rPr>
      </w:pPr>
      <w:r>
        <w:rPr>
          <w:spacing w:val="-1"/>
        </w:rPr>
        <w:t>了《关于公司控股股东及部分董事、高级管理人员增持公司股票计划的公告》（公告编号：</w:t>
      </w:r>
      <w:r>
        <w:rPr>
          <w:rFonts w:ascii="Times New Roman" w:hAnsi="Times New Roman" w:cs="Times New Roman" w:eastAsia="Times New Roman" w:hint="default"/>
          <w:spacing w:val="-1"/>
        </w:rPr>
        <w:t>2015-045</w:t>
      </w:r>
      <w:r>
        <w:rPr>
          <w:spacing w:val="-1"/>
        </w:rPr>
        <w:t>）的</w:t>
      </w:r>
      <w:r>
        <w:rPr>
          <w:spacing w:val="-50"/>
        </w:rPr>
        <w:t> </w:t>
      </w:r>
      <w:r>
        <w:rPr/>
        <w:t>增持承诺进行增持，其增持后的股份按照高管锁定股的原则其所持股份的</w:t>
      </w:r>
      <w:r>
        <w:rPr>
          <w:rFonts w:ascii="Times New Roman" w:hAnsi="Times New Roman" w:cs="Times New Roman" w:eastAsia="Times New Roman" w:hint="default"/>
        </w:rPr>
        <w:t>75%</w:t>
      </w:r>
      <w:r>
        <w:rPr/>
        <w:t>为锁定股。</w:t>
      </w:r>
      <w:r>
        <w:rPr>
          <w:spacing w:val="-3"/>
          <w:w w:val="100"/>
        </w:rPr>
        <w:t> </w:t>
      </w:r>
      <w:r>
        <w:rPr>
          <w:sz w:val="18"/>
          <w:szCs w:val="18"/>
        </w:rPr>
        <w:t>股份变动的批准情况</w:t>
      </w:r>
    </w:p>
    <w:p>
      <w:pPr>
        <w:pStyle w:val="BodyText"/>
        <w:spacing w:line="393" w:lineRule="auto" w:before="10"/>
        <w:ind w:right="101"/>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sz w:val="18"/>
          <w:szCs w:val="18"/>
        </w:rPr>
        <w:t>不适用 </w:t>
      </w: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20</w:t>
      </w:r>
      <w:r>
        <w:rPr>
          <w:spacing w:val="-4"/>
        </w:rPr>
        <w:t>日，公司分别召开第二届董事会第二十四次临时会议和第二届监事会第二十二次临时会议，</w:t>
      </w:r>
      <w:r>
        <w:rPr>
          <w:spacing w:val="-36"/>
        </w:rPr>
        <w:t> </w:t>
      </w:r>
      <w:r>
        <w:rPr>
          <w:spacing w:val="-36"/>
        </w:rPr>
      </w:r>
      <w:r>
        <w:rPr>
          <w:spacing w:val="-2"/>
        </w:rPr>
        <w:t>审议通过了《关于回购注销已不符合激励条件的原激励对象已获授尚未解锁的限制性股票的议案》，同意</w:t>
      </w:r>
      <w:r>
        <w:rPr>
          <w:spacing w:val="-42"/>
        </w:rPr>
        <w:t> </w:t>
      </w:r>
      <w:r>
        <w:rPr>
          <w:spacing w:val="-42"/>
        </w:rPr>
      </w:r>
      <w:r>
        <w:rPr/>
        <w:t>将离职激励对象陆宝齐、田毅</w:t>
      </w:r>
      <w:r>
        <w:rPr>
          <w:rFonts w:ascii="Times New Roman" w:hAnsi="Times New Roman" w:cs="Times New Roman" w:eastAsia="Times New Roman" w:hint="default"/>
        </w:rPr>
        <w:t>2</w:t>
      </w:r>
      <w:r>
        <w:rPr/>
        <w:t>人已获授但未解锁的全部限制性股票</w:t>
      </w:r>
      <w:r>
        <w:rPr>
          <w:rFonts w:ascii="Times New Roman" w:hAnsi="Times New Roman" w:cs="Times New Roman" w:eastAsia="Times New Roman" w:hint="default"/>
        </w:rPr>
        <w:t>133,250</w:t>
      </w:r>
      <w:r>
        <w:rPr/>
        <w:t>股限制性股票进行回购注销。</w:t>
      </w:r>
      <w:r>
        <w:rPr>
          <w:spacing w:val="-3"/>
          <w:w w:val="100"/>
        </w:rPr>
        <w:t> </w:t>
      </w: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2014</w:t>
      </w:r>
      <w:r>
        <w:rPr/>
        <w:t>年年度权益分派方案以公司现有总股本</w:t>
      </w:r>
      <w:r>
        <w:rPr>
          <w:rFonts w:ascii="Times New Roman" w:hAnsi="Times New Roman" w:cs="Times New Roman" w:eastAsia="Times New Roman" w:hint="default"/>
        </w:rPr>
        <w:t>181,833,210</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1.000000</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t>元人民币现金（含税；扣税后，</w:t>
      </w:r>
      <w:r>
        <w:rPr>
          <w:rFonts w:ascii="Times New Roman" w:hAnsi="Times New Roman" w:cs="Times New Roman" w:eastAsia="Times New Roman" w:hint="default"/>
        </w:rPr>
        <w:t>QFII</w:t>
      </w:r>
      <w:r>
        <w:rPr/>
        <w:t>、</w:t>
      </w:r>
      <w:r>
        <w:rPr>
          <w:rFonts w:ascii="Times New Roman" w:hAnsi="Times New Roman" w:cs="Times New Roman" w:eastAsia="Times New Roman" w:hint="default"/>
        </w:rPr>
        <w:t>RQFII</w:t>
      </w:r>
      <w:r>
        <w:rPr/>
        <w:t>以及持有股改限售股、首发限售股的个人和证券投资基金每</w:t>
      </w:r>
      <w:r>
        <w:rPr>
          <w:spacing w:val="-42"/>
        </w:rPr>
        <w:t> </w:t>
      </w:r>
      <w:r>
        <w:rPr>
          <w:spacing w:val="-42"/>
        </w:rPr>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0.900000</w:t>
      </w:r>
      <w:r>
        <w:rPr/>
        <w:t>元；持有非股改、非首发限售股及无限售流通股的个人、证券投资基金股息红利税实行差</w:t>
      </w:r>
      <w:r>
        <w:rPr>
          <w:spacing w:val="-78"/>
        </w:rPr>
        <w:t> </w:t>
      </w:r>
      <w:r>
        <w:rPr>
          <w:spacing w:val="-78"/>
        </w:rPr>
      </w:r>
      <w:r>
        <w:rPr/>
        <w:t>别化税率征收，先按每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0.950000</w:t>
      </w:r>
      <w:r>
        <w:rPr/>
        <w:t>元，权益登记日后根据投资者减持股票情况，再按实际持股期限补</w:t>
      </w:r>
      <w:r>
        <w:rPr>
          <w:spacing w:val="-78"/>
        </w:rPr>
        <w:t> </w:t>
      </w:r>
      <w:r>
        <w:rPr>
          <w:spacing w:val="-78"/>
        </w:rPr>
      </w:r>
      <w:r>
        <w:rPr>
          <w:spacing w:val="-11"/>
          <w:w w:val="100"/>
        </w:rPr>
        <w:t>缴税款</w:t>
      </w:r>
      <w:r>
        <w:rPr>
          <w:rFonts w:ascii="Times New Roman" w:hAnsi="Times New Roman" w:cs="Times New Roman" w:eastAsia="Times New Roman" w:hint="default"/>
          <w:spacing w:val="-11"/>
          <w:w w:val="100"/>
        </w:rPr>
        <w:t>ª</w:t>
      </w:r>
      <w:r>
        <w:rPr>
          <w:spacing w:val="-11"/>
          <w:w w:val="100"/>
        </w:rPr>
        <w:t>；对于</w:t>
      </w:r>
      <w:r>
        <w:rPr>
          <w:rFonts w:ascii="Times New Roman" w:hAnsi="Times New Roman" w:cs="Times New Roman" w:eastAsia="Times New Roman" w:hint="default"/>
          <w:spacing w:val="-11"/>
          <w:w w:val="100"/>
        </w:rPr>
        <w:t>QFII</w:t>
      </w:r>
      <w:r>
        <w:rPr>
          <w:spacing w:val="-11"/>
          <w:w w:val="100"/>
        </w:rPr>
        <w:t>、</w:t>
      </w:r>
      <w:r>
        <w:rPr>
          <w:rFonts w:ascii="Times New Roman" w:hAnsi="Times New Roman" w:cs="Times New Roman" w:eastAsia="Times New Roman" w:hint="default"/>
          <w:spacing w:val="-11"/>
          <w:w w:val="100"/>
        </w:rPr>
        <w:t>RQFII</w:t>
      </w:r>
      <w:r>
        <w:rPr>
          <w:spacing w:val="-11"/>
          <w:w w:val="100"/>
        </w:rPr>
        <w:t>外的其他非居民企业，本公司未代扣代缴所得税，由纳税人在所得发生地缴纳。）；</w:t>
      </w:r>
      <w:r>
        <w:rPr>
          <w:spacing w:val="-91"/>
          <w:w w:val="100"/>
        </w:rPr>
        <w:t> </w:t>
      </w:r>
      <w:r>
        <w:rPr>
          <w:spacing w:val="-91"/>
          <w:w w:val="100"/>
        </w:rPr>
      </w:r>
      <w:r>
        <w:rPr/>
        <w:t>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5.000000</w:t>
      </w:r>
      <w:r>
        <w:rPr/>
        <w:t>股。</w:t>
      </w:r>
      <w:r>
        <w:rPr>
          <w:w w:val="100"/>
        </w:rPr>
        <w:t> </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26</w:t>
      </w:r>
      <w:r>
        <w:rPr>
          <w:spacing w:val="-2"/>
        </w:rPr>
        <w:t>日，公司召开第二届董事会第二十八次临时会议和第二届监事会第二十六次临时会议，审</w:t>
      </w:r>
      <w:r>
        <w:rPr>
          <w:spacing w:val="-37"/>
        </w:rPr>
        <w:t> </w:t>
      </w:r>
      <w:r>
        <w:rPr>
          <w:spacing w:val="-37"/>
        </w:rPr>
      </w:r>
      <w:r>
        <w:rPr>
          <w:spacing w:val="-2"/>
        </w:rPr>
        <w:t>议通过了《关于公司股权激励计划预留部分限制性股票第一个解锁期条件成就可解锁的议案》、《关于限</w:t>
      </w:r>
      <w:r>
        <w:rPr>
          <w:spacing w:val="-44"/>
        </w:rPr>
        <w:t> </w:t>
      </w:r>
      <w:r>
        <w:rPr>
          <w:spacing w:val="-44"/>
        </w:rPr>
      </w:r>
      <w:r>
        <w:rPr>
          <w:spacing w:val="-2"/>
        </w:rPr>
        <w:t>制性股票激励计划首次授予的限制性股票第二个解锁期条件成就可解锁的议案》、《关于回购注销部分激</w:t>
      </w:r>
      <w:r>
        <w:rPr>
          <w:spacing w:val="-43"/>
        </w:rPr>
        <w:t> </w:t>
      </w:r>
      <w:r>
        <w:rPr>
          <w:spacing w:val="-43"/>
        </w:rPr>
      </w:r>
      <w:r>
        <w:rPr>
          <w:spacing w:val="-2"/>
        </w:rPr>
        <w:t>励对象已获授但尚未解锁的限制性股票的议案》。同意按照《限制性股票激励计划》的相关规定办理预留</w:t>
      </w:r>
      <w:r>
        <w:rPr>
          <w:spacing w:val="-47"/>
        </w:rPr>
        <w:t> </w:t>
      </w:r>
      <w:r>
        <w:rPr>
          <w:spacing w:val="-47"/>
        </w:rPr>
      </w:r>
      <w:r>
        <w:rPr/>
        <w:t>部分限制性股票首期解锁及首次授予的限制性股票第二个解锁期限制性股票解锁相关事宜。其中：预留部</w:t>
      </w:r>
      <w:r>
        <w:rPr>
          <w:w w:val="100"/>
        </w:rPr>
        <w:t> </w:t>
      </w:r>
      <w:r>
        <w:rPr/>
        <w:t>分首期限制性股票申请解锁</w:t>
      </w:r>
      <w:r>
        <w:rPr>
          <w:rFonts w:ascii="Times New Roman" w:hAnsi="Times New Roman" w:cs="Times New Roman" w:eastAsia="Times New Roman" w:hint="default"/>
        </w:rPr>
        <w:t>55.77</w:t>
      </w:r>
      <w:r>
        <w:rPr/>
        <w:t>万股，占目前股本总额的</w:t>
      </w:r>
      <w:r>
        <w:rPr>
          <w:rFonts w:ascii="Times New Roman" w:hAnsi="Times New Roman" w:cs="Times New Roman" w:eastAsia="Times New Roman" w:hint="default"/>
        </w:rPr>
        <w:t>0.20%</w:t>
      </w:r>
      <w:r>
        <w:rPr/>
        <w:t>；首次授予的限制性股票第二个解锁期的</w:t>
      </w:r>
      <w:r>
        <w:rPr>
          <w:spacing w:val="-3"/>
          <w:w w:val="100"/>
        </w:rPr>
        <w:t> </w:t>
      </w:r>
      <w:r>
        <w:rPr>
          <w:spacing w:val="-3"/>
        </w:rPr>
        <w:t>限制性股票申请解锁</w:t>
      </w:r>
      <w:r>
        <w:rPr>
          <w:rFonts w:ascii="Times New Roman" w:hAnsi="Times New Roman" w:cs="Times New Roman" w:eastAsia="Times New Roman" w:hint="default"/>
          <w:spacing w:val="-3"/>
        </w:rPr>
        <w:t>295.308</w:t>
      </w:r>
      <w:r>
        <w:rPr>
          <w:spacing w:val="-3"/>
        </w:rPr>
        <w:t>万股，占公司目前股本总额的</w:t>
      </w:r>
      <w:r>
        <w:rPr>
          <w:rFonts w:ascii="Times New Roman" w:hAnsi="Times New Roman" w:cs="Times New Roman" w:eastAsia="Times New Roman" w:hint="default"/>
          <w:spacing w:val="-3"/>
        </w:rPr>
        <w:t>1.08%</w:t>
      </w:r>
      <w:r>
        <w:rPr>
          <w:spacing w:val="-3"/>
        </w:rPr>
        <w:t>。</w:t>
      </w:r>
      <w:r>
        <w:rPr>
          <w:spacing w:val="-42"/>
        </w:rPr>
        <w:t> </w:t>
      </w:r>
      <w:r>
        <w:rPr/>
        <w:t>公司激励对象中预留部分限制性股票的</w:t>
      </w:r>
      <w:r>
        <w:rPr>
          <w:spacing w:val="-62"/>
        </w:rPr>
        <w:t> </w:t>
      </w:r>
      <w:r>
        <w:rPr>
          <w:spacing w:val="-62"/>
        </w:rPr>
      </w:r>
      <w:r>
        <w:rPr>
          <w:spacing w:val="-2"/>
        </w:rPr>
        <w:t>激励对象中张家富</w:t>
      </w:r>
      <w:r>
        <w:rPr>
          <w:rFonts w:ascii="Times New Roman" w:hAnsi="Times New Roman" w:cs="Times New Roman" w:eastAsia="Times New Roman" w:hint="default"/>
          <w:spacing w:val="-2"/>
        </w:rPr>
        <w:t>1</w:t>
      </w:r>
      <w:r>
        <w:rPr>
          <w:spacing w:val="-2"/>
        </w:rPr>
        <w:t>人因</w:t>
      </w:r>
      <w:r>
        <w:rPr>
          <w:rFonts w:ascii="Times New Roman" w:hAnsi="Times New Roman" w:cs="Times New Roman" w:eastAsia="Times New Roman" w:hint="default"/>
          <w:spacing w:val="-2"/>
        </w:rPr>
        <w:t>2014</w:t>
      </w:r>
      <w:r>
        <w:rPr>
          <w:spacing w:val="-2"/>
        </w:rPr>
        <w:t>年度个人考核未达标不能解锁首期限制性股票，邱智斌、胡杨</w:t>
      </w:r>
      <w:r>
        <w:rPr>
          <w:rFonts w:ascii="Times New Roman" w:hAnsi="Times New Roman" w:cs="Times New Roman" w:eastAsia="Times New Roman" w:hint="default"/>
          <w:spacing w:val="-2"/>
        </w:rPr>
        <w:t>2</w:t>
      </w:r>
      <w:r>
        <w:rPr>
          <w:spacing w:val="-2"/>
        </w:rPr>
        <w:t>人将根据</w:t>
      </w:r>
      <w:r>
        <w:rPr>
          <w:rFonts w:ascii="Times New Roman" w:hAnsi="Times New Roman" w:cs="Times New Roman" w:eastAsia="Times New Roman" w:hint="default"/>
          <w:spacing w:val="-2"/>
        </w:rPr>
        <w:t>2014</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spacing w:val="-2"/>
        </w:rPr>
        <w:t>年度个人对应考核标准系数对本次可解锁数量进行调整，对于已授予上述对象但未能解锁的限制性股票共</w:t>
      </w:r>
      <w:r>
        <w:rPr>
          <w:spacing w:val="-43"/>
        </w:rPr>
        <w:t> </w:t>
      </w:r>
      <w:r>
        <w:rPr>
          <w:spacing w:val="-43"/>
        </w:rPr>
      </w:r>
      <w:r>
        <w:rPr>
          <w:rFonts w:ascii="Times New Roman" w:hAnsi="Times New Roman" w:cs="Times New Roman" w:eastAsia="Times New Roman" w:hint="default"/>
        </w:rPr>
        <w:t>2.73</w:t>
      </w:r>
      <w:r>
        <w:rPr/>
        <w:t>万股（已根据</w:t>
      </w:r>
      <w:r>
        <w:rPr>
          <w:rFonts w:ascii="Times New Roman" w:hAnsi="Times New Roman" w:cs="Times New Roman" w:eastAsia="Times New Roman" w:hint="default"/>
        </w:rPr>
        <w:t>2014</w:t>
      </w:r>
      <w:r>
        <w:rPr/>
        <w:t>年度权益分派资本公积金转增股本进行调整后的股数）进行回购注销，回购价格为</w:t>
      </w:r>
    </w:p>
    <w:p>
      <w:pPr>
        <w:pStyle w:val="BodyText"/>
        <w:spacing w:line="386" w:lineRule="auto" w:before="28"/>
        <w:ind w:left="489" w:right="103" w:hanging="337"/>
        <w:jc w:val="left"/>
        <w:rPr>
          <w:rFonts w:ascii="Times New Roman" w:hAnsi="Times New Roman" w:cs="Times New Roman" w:eastAsia="Times New Roman" w:hint="default"/>
        </w:rPr>
      </w:pPr>
      <w:r>
        <w:rPr>
          <w:rFonts w:ascii="Times New Roman" w:hAnsi="Times New Roman" w:cs="Times New Roman" w:eastAsia="Times New Roman" w:hint="default"/>
        </w:rPr>
        <w:t>6.8533</w:t>
      </w:r>
      <w:r>
        <w:rPr/>
        <w:t>元</w:t>
      </w:r>
      <w:r>
        <w:rPr>
          <w:rFonts w:ascii="Times New Roman" w:hAnsi="Times New Roman" w:cs="Times New Roman" w:eastAsia="Times New Roman" w:hint="default"/>
        </w:rPr>
        <w:t>/</w:t>
      </w:r>
      <w:r>
        <w:rPr/>
        <w:t>股（回购价格依据《股权激励计划》及公司</w:t>
      </w:r>
      <w:r>
        <w:rPr>
          <w:rFonts w:ascii="Times New Roman" w:hAnsi="Times New Roman" w:cs="Times New Roman" w:eastAsia="Times New Roman" w:hint="default"/>
        </w:rPr>
        <w:t>2014</w:t>
      </w:r>
      <w:r>
        <w:rPr/>
        <w:t>年度权益分派方案进行相应调整）。</w:t>
      </w:r>
      <w:r>
        <w:rPr>
          <w:w w:val="100"/>
        </w:rPr>
        <w:t> </w:t>
      </w:r>
      <w:r>
        <w:rPr>
          <w:spacing w:val="-7"/>
        </w:rPr>
        <w:t>首次授予的限制性股票的激励对象中胡牡丹、来亮、丁岚、郭立强、陶凯、冯俊雷、宣治</w:t>
      </w:r>
      <w:r>
        <w:rPr>
          <w:rFonts w:ascii="Times New Roman" w:hAnsi="Times New Roman" w:cs="Times New Roman" w:eastAsia="Times New Roman" w:hint="default"/>
          <w:spacing w:val="-7"/>
        </w:rPr>
        <w:t>7</w:t>
      </w:r>
      <w:r>
        <w:rPr>
          <w:spacing w:val="-7"/>
        </w:rPr>
        <w:t>人将根据</w:t>
      </w:r>
      <w:r>
        <w:rPr>
          <w:rFonts w:ascii="Times New Roman" w:hAnsi="Times New Roman" w:cs="Times New Roman" w:eastAsia="Times New Roman" w:hint="default"/>
          <w:spacing w:val="-7"/>
        </w:rPr>
        <w:t>2014</w:t>
      </w:r>
    </w:p>
    <w:p>
      <w:pPr>
        <w:pStyle w:val="BodyText"/>
        <w:spacing w:line="393" w:lineRule="auto" w:before="35"/>
        <w:ind w:left="153" w:right="103"/>
        <w:jc w:val="left"/>
      </w:pPr>
      <w:r>
        <w:rPr>
          <w:spacing w:val="-2"/>
        </w:rPr>
        <w:t>年度个人对应考核标准系数对本次可解锁数量进行调整，对于已授予上述对象但未能解锁的限制性股票共</w:t>
      </w:r>
      <w:r>
        <w:rPr>
          <w:spacing w:val="-43"/>
        </w:rPr>
        <w:t> </w:t>
      </w:r>
      <w:r>
        <w:rPr>
          <w:spacing w:val="-43"/>
        </w:rPr>
      </w:r>
      <w:r>
        <w:rPr>
          <w:rFonts w:ascii="Times New Roman" w:hAnsi="Times New Roman" w:cs="Times New Roman" w:eastAsia="Times New Roman" w:hint="default"/>
          <w:spacing w:val="-2"/>
        </w:rPr>
        <w:t>4.212</w:t>
      </w:r>
      <w:r>
        <w:rPr>
          <w:spacing w:val="-2"/>
        </w:rPr>
        <w:t>万股（已根据</w:t>
      </w:r>
      <w:r>
        <w:rPr>
          <w:rFonts w:ascii="Times New Roman" w:hAnsi="Times New Roman" w:cs="Times New Roman" w:eastAsia="Times New Roman" w:hint="default"/>
          <w:spacing w:val="-2"/>
        </w:rPr>
        <w:t>2013</w:t>
      </w:r>
      <w:r>
        <w:rPr>
          <w:spacing w:val="-2"/>
        </w:rPr>
        <w:t>年度、</w:t>
      </w:r>
      <w:r>
        <w:rPr>
          <w:rFonts w:ascii="Times New Roman" w:hAnsi="Times New Roman" w:cs="Times New Roman" w:eastAsia="Times New Roman" w:hint="default"/>
          <w:spacing w:val="-2"/>
        </w:rPr>
        <w:t>2014</w:t>
      </w:r>
      <w:r>
        <w:rPr>
          <w:spacing w:val="-2"/>
        </w:rPr>
        <w:t>年度权益分派资本公积金转增股本进行调整后的股数）进行回购注销，</w:t>
      </w:r>
      <w:r>
        <w:rPr>
          <w:spacing w:val="-7"/>
        </w:rPr>
        <w:t> </w:t>
      </w:r>
      <w:r>
        <w:rPr>
          <w:spacing w:val="-7"/>
        </w:rPr>
      </w:r>
      <w:r>
        <w:rPr>
          <w:spacing w:val="-2"/>
        </w:rPr>
        <w:t>回购价格为</w:t>
      </w:r>
      <w:r>
        <w:rPr>
          <w:rFonts w:ascii="Times New Roman" w:hAnsi="Times New Roman" w:cs="Times New Roman" w:eastAsia="Times New Roman" w:hint="default"/>
          <w:spacing w:val="-2"/>
        </w:rPr>
        <w:t>2.3487</w:t>
      </w:r>
      <w:r>
        <w:rPr>
          <w:spacing w:val="-2"/>
        </w:rPr>
        <w:t>元</w:t>
      </w:r>
      <w:r>
        <w:rPr>
          <w:rFonts w:ascii="Times New Roman" w:hAnsi="Times New Roman" w:cs="Times New Roman" w:eastAsia="Times New Roman" w:hint="default"/>
          <w:spacing w:val="-2"/>
        </w:rPr>
        <w:t>/</w:t>
      </w:r>
      <w:r>
        <w:rPr>
          <w:spacing w:val="-2"/>
        </w:rPr>
        <w:t>股（回购价格依据《股权激励计划》及公司</w:t>
      </w:r>
      <w:r>
        <w:rPr>
          <w:rFonts w:ascii="Times New Roman" w:hAnsi="Times New Roman" w:cs="Times New Roman" w:eastAsia="Times New Roman" w:hint="default"/>
          <w:spacing w:val="-2"/>
        </w:rPr>
        <w:t>2013</w:t>
      </w:r>
      <w:r>
        <w:rPr>
          <w:spacing w:val="-2"/>
        </w:rPr>
        <w:t>年度、</w:t>
      </w:r>
      <w:r>
        <w:rPr>
          <w:rFonts w:ascii="Times New Roman" w:hAnsi="Times New Roman" w:cs="Times New Roman" w:eastAsia="Times New Roman" w:hint="default"/>
          <w:spacing w:val="-2"/>
        </w:rPr>
        <w:t>2014</w:t>
      </w:r>
      <w:r>
        <w:rPr>
          <w:spacing w:val="-2"/>
        </w:rPr>
        <w:t>年度权益分派方案进行相</w:t>
      </w:r>
      <w:r>
        <w:rPr>
          <w:spacing w:val="-40"/>
        </w:rPr>
        <w:t> </w:t>
      </w:r>
      <w:r>
        <w:rPr>
          <w:spacing w:val="-40"/>
        </w:rPr>
      </w:r>
      <w:r>
        <w:rPr/>
        <w:t>应调整）。</w:t>
      </w:r>
    </w:p>
    <w:p>
      <w:pPr>
        <w:spacing w:before="43"/>
        <w:ind w:left="152" w:right="103"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after="0"/>
        <w:jc w:val="left"/>
        <w:rPr>
          <w:rFonts w:ascii="宋体" w:hAnsi="宋体" w:cs="宋体" w:eastAsia="宋体" w:hint="default"/>
          <w:sz w:val="18"/>
          <w:szCs w:val="18"/>
        </w:rPr>
        <w:sectPr>
          <w:pgSz w:w="11910" w:h="16840"/>
          <w:pgMar w:header="745" w:footer="982" w:top="1060" w:bottom="1180" w:left="980" w:right="920"/>
        </w:sectPr>
      </w:pPr>
    </w:p>
    <w:p>
      <w:pPr>
        <w:spacing w:line="240" w:lineRule="auto" w:before="9"/>
        <w:rPr>
          <w:rFonts w:ascii="宋体" w:hAnsi="宋体" w:cs="宋体" w:eastAsia="宋体" w:hint="default"/>
          <w:sz w:val="25"/>
          <w:szCs w:val="25"/>
        </w:rPr>
      </w:pPr>
    </w:p>
    <w:p>
      <w:pPr>
        <w:pStyle w:val="BodyText"/>
        <w:spacing w:line="391" w:lineRule="auto" w:before="44"/>
        <w:ind w:right="101" w:hanging="1"/>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sz w:val="18"/>
          <w:szCs w:val="18"/>
        </w:rPr>
        <w:t>不适用 </w:t>
      </w: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20</w:t>
      </w:r>
      <w:r>
        <w:rPr>
          <w:spacing w:val="-4"/>
        </w:rPr>
        <w:t>日，公司分别召开第二届董事会第二十四次临时会议和第二届监事会第二十二次临时会议，</w:t>
      </w:r>
      <w:r>
        <w:rPr>
          <w:spacing w:val="-37"/>
        </w:rPr>
        <w:t> </w:t>
      </w:r>
      <w:r>
        <w:rPr>
          <w:spacing w:val="-37"/>
        </w:rPr>
      </w:r>
      <w:r>
        <w:rPr>
          <w:spacing w:val="-2"/>
        </w:rPr>
        <w:t>审议通过了《关于回购注销已不符合激励条件的原激励对象已获授尚未解锁的限制性股票的议案》，同意</w:t>
      </w:r>
      <w:r>
        <w:rPr>
          <w:spacing w:val="-43"/>
        </w:rPr>
        <w:t> </w:t>
      </w:r>
      <w:r>
        <w:rPr>
          <w:spacing w:val="-43"/>
        </w:rPr>
      </w:r>
      <w:r>
        <w:rPr/>
        <w:t>将离职激励对象陆宝齐、田毅</w:t>
      </w:r>
      <w:r>
        <w:rPr>
          <w:rFonts w:ascii="Times New Roman" w:hAnsi="Times New Roman" w:cs="Times New Roman" w:eastAsia="Times New Roman" w:hint="default"/>
        </w:rPr>
        <w:t>2</w:t>
      </w:r>
      <w:r>
        <w:rPr/>
        <w:t>人已获授但未解锁的全部限制性股票</w:t>
      </w:r>
      <w:r>
        <w:rPr>
          <w:rFonts w:ascii="Times New Roman" w:hAnsi="Times New Roman" w:cs="Times New Roman" w:eastAsia="Times New Roman" w:hint="default"/>
        </w:rPr>
        <w:t>133,250</w:t>
      </w:r>
      <w:r>
        <w:rPr/>
        <w:t>股限制性股票进行回购注销。</w:t>
      </w:r>
      <w:r>
        <w:rPr>
          <w:spacing w:val="-78"/>
        </w:rPr>
        <w:t> </w:t>
      </w:r>
      <w:r>
        <w:rPr>
          <w:spacing w:val="-78"/>
        </w:rPr>
      </w:r>
      <w:r>
        <w:rPr/>
        <w:t>公司上述限制性股票的注销事宜已经于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日完成。</w:t>
      </w:r>
      <w:r>
        <w:rPr>
          <w:w w:val="100"/>
        </w:rPr>
        <w:t> </w:t>
      </w: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2014</w:t>
      </w:r>
      <w:r>
        <w:rPr/>
        <w:t>年年度权益分派方案以公司现有总股本</w:t>
      </w:r>
      <w:r>
        <w:rPr>
          <w:rFonts w:ascii="Times New Roman" w:hAnsi="Times New Roman" w:cs="Times New Roman" w:eastAsia="Times New Roman" w:hint="default"/>
        </w:rPr>
        <w:t>181,833,210</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1.000000</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t>元人民币现金（含税；扣税后，</w:t>
      </w:r>
      <w:r>
        <w:rPr>
          <w:rFonts w:ascii="Times New Roman" w:hAnsi="Times New Roman" w:cs="Times New Roman" w:eastAsia="Times New Roman" w:hint="default"/>
        </w:rPr>
        <w:t>QFII</w:t>
      </w:r>
      <w:r>
        <w:rPr/>
        <w:t>、</w:t>
      </w:r>
      <w:r>
        <w:rPr>
          <w:rFonts w:ascii="Times New Roman" w:hAnsi="Times New Roman" w:cs="Times New Roman" w:eastAsia="Times New Roman" w:hint="default"/>
        </w:rPr>
        <w:t>RQFII</w:t>
      </w:r>
      <w:r>
        <w:rPr/>
        <w:t>以及持有股改限售股、首发限售股的个人和证券投资基金每</w:t>
      </w:r>
      <w:r>
        <w:rPr>
          <w:spacing w:val="-43"/>
        </w:rPr>
        <w:t> </w:t>
      </w:r>
      <w:r>
        <w:rPr>
          <w:spacing w:val="-43"/>
        </w:rPr>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0.900000</w:t>
      </w:r>
      <w:r>
        <w:rPr/>
        <w:t>元；持有非股改、非首发限售股及无限售流通股的个人、证券投资基金股息红利税实行差</w:t>
      </w:r>
      <w:r>
        <w:rPr>
          <w:spacing w:val="-79"/>
        </w:rPr>
        <w:t> </w:t>
      </w:r>
      <w:r>
        <w:rPr>
          <w:spacing w:val="-79"/>
        </w:rPr>
      </w:r>
      <w:r>
        <w:rPr/>
        <w:t>别化税率征收，先按每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0.950000</w:t>
      </w:r>
      <w:r>
        <w:rPr/>
        <w:t>元，权益登记日后根据投资者减持股票情况，再按实际持股期限补</w:t>
      </w:r>
      <w:r>
        <w:rPr>
          <w:spacing w:val="-79"/>
        </w:rPr>
        <w:t> </w:t>
      </w:r>
      <w:r>
        <w:rPr>
          <w:spacing w:val="-79"/>
        </w:rPr>
      </w:r>
      <w:r>
        <w:rPr>
          <w:spacing w:val="-11"/>
          <w:w w:val="100"/>
        </w:rPr>
        <w:t>缴税款</w:t>
      </w:r>
      <w:r>
        <w:rPr>
          <w:rFonts w:ascii="Times New Roman" w:hAnsi="Times New Roman" w:cs="Times New Roman" w:eastAsia="Times New Roman" w:hint="default"/>
          <w:spacing w:val="-11"/>
          <w:w w:val="100"/>
        </w:rPr>
        <w:t>ª</w:t>
      </w:r>
      <w:r>
        <w:rPr>
          <w:spacing w:val="-11"/>
          <w:w w:val="100"/>
        </w:rPr>
        <w:t>；对于</w:t>
      </w:r>
      <w:r>
        <w:rPr>
          <w:rFonts w:ascii="Times New Roman" w:hAnsi="Times New Roman" w:cs="Times New Roman" w:eastAsia="Times New Roman" w:hint="default"/>
          <w:spacing w:val="-11"/>
          <w:w w:val="100"/>
        </w:rPr>
        <w:t>QFII</w:t>
      </w:r>
      <w:r>
        <w:rPr>
          <w:spacing w:val="-11"/>
          <w:w w:val="100"/>
        </w:rPr>
        <w:t>、</w:t>
      </w:r>
      <w:r>
        <w:rPr>
          <w:rFonts w:ascii="Times New Roman" w:hAnsi="Times New Roman" w:cs="Times New Roman" w:eastAsia="Times New Roman" w:hint="default"/>
          <w:spacing w:val="-11"/>
          <w:w w:val="100"/>
        </w:rPr>
        <w:t>RQFII</w:t>
      </w:r>
      <w:r>
        <w:rPr>
          <w:spacing w:val="-11"/>
          <w:w w:val="100"/>
        </w:rPr>
        <w:t>外的其他非居民企业，本公司未代扣代缴所得税，由纳税人在所得发生地缴纳。）；</w:t>
      </w:r>
      <w:r>
        <w:rPr>
          <w:spacing w:val="-92"/>
          <w:w w:val="100"/>
        </w:rPr>
        <w:t> </w:t>
      </w:r>
      <w:r>
        <w:rPr>
          <w:spacing w:val="-92"/>
          <w:w w:val="100"/>
        </w:rPr>
      </w:r>
      <w:r>
        <w:rPr/>
        <w:t>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5.000000</w:t>
      </w:r>
      <w:r>
        <w:rPr/>
        <w:t>股。该权益分派于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日实施完毕。</w:t>
      </w:r>
      <w:r>
        <w:rPr>
          <w:w w:val="100"/>
        </w:rPr>
        <w:t> </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26</w:t>
      </w:r>
      <w:r>
        <w:rPr>
          <w:spacing w:val="-2"/>
        </w:rPr>
        <w:t>日，公司召开第二届董事会第二十八次临时会议和第二届监事会第二十六次临时会议，审</w:t>
      </w:r>
      <w:r>
        <w:rPr>
          <w:spacing w:val="-40"/>
        </w:rPr>
        <w:t> </w:t>
      </w:r>
      <w:r>
        <w:rPr>
          <w:spacing w:val="-40"/>
        </w:rPr>
      </w:r>
      <w:r>
        <w:rPr>
          <w:spacing w:val="-2"/>
        </w:rPr>
        <w:t>议通过了《关于公司股权激励计划预留部分限制性股票第一个解锁期条件成就可解锁的议案》、《关于限</w:t>
      </w:r>
      <w:r>
        <w:rPr>
          <w:spacing w:val="-45"/>
        </w:rPr>
        <w:t> </w:t>
      </w:r>
      <w:r>
        <w:rPr>
          <w:spacing w:val="-45"/>
        </w:rPr>
      </w:r>
      <w:r>
        <w:rPr>
          <w:spacing w:val="-2"/>
        </w:rPr>
        <w:t>制性股票激励计划首次授予的限制性股票第二个解锁期条件成就可解锁的议案》、《关于回购注销部分激</w:t>
      </w:r>
      <w:r>
        <w:rPr>
          <w:spacing w:val="-44"/>
        </w:rPr>
        <w:t> </w:t>
      </w:r>
      <w:r>
        <w:rPr>
          <w:spacing w:val="-44"/>
        </w:rPr>
      </w:r>
      <w:r>
        <w:rPr>
          <w:spacing w:val="-2"/>
        </w:rPr>
        <w:t>励对象已获授但尚未解锁的限制性股票的议案》。同意按照《限制性股票激励计划》的相关规定办理预留</w:t>
      </w:r>
      <w:r>
        <w:rPr>
          <w:spacing w:val="-48"/>
        </w:rPr>
        <w:t> </w:t>
      </w:r>
      <w:r>
        <w:rPr>
          <w:spacing w:val="-48"/>
        </w:rPr>
      </w:r>
      <w:r>
        <w:rPr/>
        <w:t>部分限制性股票首期解锁及首次授予的限制性股票第二个解锁期限制性股票解锁相关事宜。其中：预留部</w:t>
      </w:r>
      <w:r>
        <w:rPr>
          <w:w w:val="100"/>
        </w:rPr>
        <w:t> </w:t>
      </w:r>
      <w:r>
        <w:rPr/>
        <w:t>分首期限制性股票申请解锁</w:t>
      </w:r>
      <w:r>
        <w:rPr>
          <w:rFonts w:ascii="Times New Roman" w:hAnsi="Times New Roman" w:cs="Times New Roman" w:eastAsia="Times New Roman" w:hint="default"/>
        </w:rPr>
        <w:t>55.77</w:t>
      </w:r>
      <w:r>
        <w:rPr/>
        <w:t>万股，占目前股本总额的</w:t>
      </w:r>
      <w:r>
        <w:rPr>
          <w:rFonts w:ascii="Times New Roman" w:hAnsi="Times New Roman" w:cs="Times New Roman" w:eastAsia="Times New Roman" w:hint="default"/>
        </w:rPr>
        <w:t>0.20%</w:t>
      </w:r>
      <w:r>
        <w:rPr/>
        <w:t>；首次授予的限制性股票第二个解锁期的</w:t>
      </w:r>
      <w:r>
        <w:rPr>
          <w:spacing w:val="-102"/>
        </w:rPr>
        <w:t> </w:t>
      </w:r>
      <w:r>
        <w:rPr>
          <w:spacing w:val="-102"/>
        </w:rPr>
      </w:r>
      <w:r>
        <w:rPr/>
        <w:t>限制性股票申请解锁</w:t>
      </w:r>
      <w:r>
        <w:rPr>
          <w:rFonts w:ascii="Times New Roman" w:hAnsi="Times New Roman" w:cs="Times New Roman" w:eastAsia="Times New Roman" w:hint="default"/>
        </w:rPr>
        <w:t>295.308</w:t>
      </w:r>
      <w:r>
        <w:rPr/>
        <w:t>万股，占公司目前股本总额的</w:t>
      </w:r>
      <w:r>
        <w:rPr>
          <w:rFonts w:ascii="Times New Roman" w:hAnsi="Times New Roman" w:cs="Times New Roman" w:eastAsia="Times New Roman" w:hint="default"/>
        </w:rPr>
        <w:t>1.08%</w:t>
      </w:r>
      <w:r>
        <w:rPr/>
        <w:t>。上述限制性股票已于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9</w:t>
      </w:r>
      <w:r>
        <w:rPr/>
        <w:t>日解禁</w:t>
      </w:r>
      <w:r>
        <w:rPr>
          <w:spacing w:val="-3"/>
          <w:w w:val="100"/>
        </w:rPr>
        <w:t> </w:t>
      </w:r>
      <w:r>
        <w:rPr/>
        <w:t>上市流通。公司激励对象中预留部分限制性股票的激励对象中张家富</w:t>
      </w:r>
      <w:r>
        <w:rPr>
          <w:rFonts w:ascii="Times New Roman" w:hAnsi="Times New Roman" w:cs="Times New Roman" w:eastAsia="Times New Roman" w:hint="default"/>
        </w:rPr>
        <w:t>1</w:t>
      </w:r>
      <w:r>
        <w:rPr/>
        <w:t>人因</w:t>
      </w:r>
      <w:r>
        <w:rPr>
          <w:rFonts w:ascii="Times New Roman" w:hAnsi="Times New Roman" w:cs="Times New Roman" w:eastAsia="Times New Roman" w:hint="default"/>
        </w:rPr>
        <w:t>2014</w:t>
      </w:r>
      <w:r>
        <w:rPr/>
        <w:t>年度个人考核未达标不能</w:t>
      </w:r>
      <w:r>
        <w:rPr>
          <w:spacing w:val="-29"/>
        </w:rPr>
        <w:t> </w:t>
      </w:r>
      <w:r>
        <w:rPr>
          <w:spacing w:val="-29"/>
        </w:rPr>
      </w:r>
      <w:r>
        <w:rPr/>
        <w:t>解锁首期限制性股票，邱智斌、胡杨</w:t>
      </w:r>
      <w:r>
        <w:rPr>
          <w:rFonts w:ascii="Times New Roman" w:hAnsi="Times New Roman" w:cs="Times New Roman" w:eastAsia="Times New Roman" w:hint="default"/>
        </w:rPr>
        <w:t>2</w:t>
      </w:r>
      <w:r>
        <w:rPr/>
        <w:t>人将根据</w:t>
      </w:r>
      <w:r>
        <w:rPr>
          <w:rFonts w:ascii="Times New Roman" w:hAnsi="Times New Roman" w:cs="Times New Roman" w:eastAsia="Times New Roman" w:hint="default"/>
        </w:rPr>
        <w:t>2014</w:t>
      </w:r>
      <w:r>
        <w:rPr/>
        <w:t>年度个人对应考核标准系数对本次可解锁数量进行调</w:t>
      </w:r>
      <w:r>
        <w:rPr>
          <w:spacing w:val="-29"/>
        </w:rPr>
        <w:t> </w:t>
      </w:r>
      <w:r>
        <w:rPr>
          <w:spacing w:val="-29"/>
        </w:rPr>
      </w:r>
      <w:r>
        <w:rPr/>
        <w:t>整，对于已授予上述对象但未能解锁的限制性股票共</w:t>
      </w:r>
      <w:r>
        <w:rPr>
          <w:rFonts w:ascii="Times New Roman" w:hAnsi="Times New Roman" w:cs="Times New Roman" w:eastAsia="Times New Roman" w:hint="default"/>
        </w:rPr>
        <w:t>2.73</w:t>
      </w:r>
      <w:r>
        <w:rPr/>
        <w:t>万股（已根据</w:t>
      </w:r>
      <w:r>
        <w:rPr>
          <w:rFonts w:ascii="Times New Roman" w:hAnsi="Times New Roman" w:cs="Times New Roman" w:eastAsia="Times New Roman" w:hint="default"/>
        </w:rPr>
        <w:t>2014</w:t>
      </w:r>
      <w:r>
        <w:rPr/>
        <w:t>年度权益分派资本公积金转增</w:t>
      </w:r>
      <w:r>
        <w:rPr>
          <w:spacing w:val="-79"/>
        </w:rPr>
        <w:t> </w:t>
      </w:r>
      <w:r>
        <w:rPr>
          <w:spacing w:val="-79"/>
        </w:rPr>
      </w:r>
      <w:r>
        <w:rPr>
          <w:spacing w:val="-2"/>
        </w:rPr>
        <w:t>股本进行调整后的股数）进行回购注销，回购价格为</w:t>
      </w:r>
      <w:r>
        <w:rPr>
          <w:rFonts w:ascii="Times New Roman" w:hAnsi="Times New Roman" w:cs="Times New Roman" w:eastAsia="Times New Roman" w:hint="default"/>
          <w:spacing w:val="-2"/>
        </w:rPr>
        <w:t>6.8533</w:t>
      </w:r>
      <w:r>
        <w:rPr>
          <w:spacing w:val="-2"/>
        </w:rPr>
        <w:t>元</w:t>
      </w:r>
      <w:r>
        <w:rPr>
          <w:rFonts w:ascii="Times New Roman" w:hAnsi="Times New Roman" w:cs="Times New Roman" w:eastAsia="Times New Roman" w:hint="default"/>
          <w:spacing w:val="-2"/>
        </w:rPr>
        <w:t>/</w:t>
      </w:r>
      <w:r>
        <w:rPr>
          <w:spacing w:val="-2"/>
        </w:rPr>
        <w:t>股（回购价格依据《股权激励计划》及公司</w:t>
      </w:r>
      <w:r>
        <w:rPr>
          <w:spacing w:val="-47"/>
        </w:rPr>
        <w:t> </w:t>
      </w:r>
      <w:r>
        <w:rPr>
          <w:spacing w:val="-47"/>
        </w:rPr>
      </w:r>
      <w:r>
        <w:rPr>
          <w:rFonts w:ascii="Times New Roman" w:hAnsi="Times New Roman" w:cs="Times New Roman" w:eastAsia="Times New Roman" w:hint="default"/>
        </w:rPr>
        <w:t>2014</w:t>
      </w:r>
      <w:r>
        <w:rPr/>
        <w:t>年度权益分派方案进行相应调整）。</w:t>
      </w:r>
    </w:p>
    <w:p>
      <w:pPr>
        <w:pStyle w:val="BodyText"/>
        <w:spacing w:line="388" w:lineRule="auto" w:before="31"/>
        <w:ind w:right="103" w:firstLine="336"/>
        <w:jc w:val="left"/>
        <w:rPr>
          <w:sz w:val="18"/>
          <w:szCs w:val="18"/>
        </w:rPr>
      </w:pPr>
      <w:r>
        <w:rPr>
          <w:spacing w:val="-7"/>
        </w:rPr>
        <w:t>首次授予的限制性股票的激励对象中胡牡丹、来亮、丁岚、郭立强、陶凯、冯俊雷、宣治</w:t>
      </w:r>
      <w:r>
        <w:rPr>
          <w:rFonts w:ascii="Times New Roman" w:hAnsi="Times New Roman" w:cs="Times New Roman" w:eastAsia="Times New Roman" w:hint="default"/>
          <w:spacing w:val="-7"/>
        </w:rPr>
        <w:t>7</w:t>
      </w:r>
      <w:r>
        <w:rPr>
          <w:spacing w:val="-7"/>
        </w:rPr>
        <w:t>人将根据</w:t>
      </w:r>
      <w:r>
        <w:rPr>
          <w:rFonts w:ascii="Times New Roman" w:hAnsi="Times New Roman" w:cs="Times New Roman" w:eastAsia="Times New Roman" w:hint="default"/>
          <w:spacing w:val="-7"/>
        </w:rPr>
        <w:t>2014</w:t>
      </w:r>
      <w:r>
        <w:rPr>
          <w:rFonts w:ascii="Times New Roman" w:hAnsi="Times New Roman" w:cs="Times New Roman" w:eastAsia="Times New Roman" w:hint="default"/>
          <w:w w:val="100"/>
        </w:rPr>
        <w:t> </w:t>
      </w:r>
      <w:r>
        <w:rPr>
          <w:spacing w:val="-2"/>
        </w:rPr>
        <w:t>年度个人对应考核标准系数对本次可解锁数量进行调整，对于已授予上述对象但未能解锁的限制性股票共</w:t>
      </w:r>
      <w:r>
        <w:rPr>
          <w:spacing w:val="-43"/>
        </w:rPr>
        <w:t> </w:t>
      </w:r>
      <w:r>
        <w:rPr>
          <w:spacing w:val="-43"/>
        </w:rPr>
      </w:r>
      <w:r>
        <w:rPr>
          <w:rFonts w:ascii="Times New Roman" w:hAnsi="Times New Roman" w:cs="Times New Roman" w:eastAsia="Times New Roman" w:hint="default"/>
          <w:spacing w:val="-2"/>
        </w:rPr>
        <w:t>4.212</w:t>
      </w:r>
      <w:r>
        <w:rPr>
          <w:spacing w:val="-2"/>
        </w:rPr>
        <w:t>万股（已根据</w:t>
      </w:r>
      <w:r>
        <w:rPr>
          <w:rFonts w:ascii="Times New Roman" w:hAnsi="Times New Roman" w:cs="Times New Roman" w:eastAsia="Times New Roman" w:hint="default"/>
          <w:spacing w:val="-2"/>
        </w:rPr>
        <w:t>2013</w:t>
      </w:r>
      <w:r>
        <w:rPr>
          <w:spacing w:val="-2"/>
        </w:rPr>
        <w:t>年度、</w:t>
      </w:r>
      <w:r>
        <w:rPr>
          <w:rFonts w:ascii="Times New Roman" w:hAnsi="Times New Roman" w:cs="Times New Roman" w:eastAsia="Times New Roman" w:hint="default"/>
          <w:spacing w:val="-2"/>
        </w:rPr>
        <w:t>2014</w:t>
      </w:r>
      <w:r>
        <w:rPr>
          <w:spacing w:val="-2"/>
        </w:rPr>
        <w:t>年度权益分派资本公积金转增股本进行调整后的股数）进行回购注销，</w:t>
      </w:r>
      <w:r>
        <w:rPr>
          <w:spacing w:val="-7"/>
        </w:rPr>
        <w:t> </w:t>
      </w:r>
      <w:r>
        <w:rPr>
          <w:spacing w:val="-7"/>
        </w:rPr>
      </w:r>
      <w:r>
        <w:rPr>
          <w:spacing w:val="-2"/>
        </w:rPr>
        <w:t>回购价格为</w:t>
      </w:r>
      <w:r>
        <w:rPr>
          <w:rFonts w:ascii="Times New Roman" w:hAnsi="Times New Roman" w:cs="Times New Roman" w:eastAsia="Times New Roman" w:hint="default"/>
          <w:spacing w:val="-2"/>
        </w:rPr>
        <w:t>2.3487</w:t>
      </w:r>
      <w:r>
        <w:rPr>
          <w:spacing w:val="-2"/>
        </w:rPr>
        <w:t>元</w:t>
      </w:r>
      <w:r>
        <w:rPr>
          <w:rFonts w:ascii="Times New Roman" w:hAnsi="Times New Roman" w:cs="Times New Roman" w:eastAsia="Times New Roman" w:hint="default"/>
          <w:spacing w:val="-2"/>
        </w:rPr>
        <w:t>/</w:t>
      </w:r>
      <w:r>
        <w:rPr>
          <w:spacing w:val="-2"/>
        </w:rPr>
        <w:t>股（回购价格依据《股权激励计划》及公司</w:t>
      </w:r>
      <w:r>
        <w:rPr>
          <w:rFonts w:ascii="Times New Roman" w:hAnsi="Times New Roman" w:cs="Times New Roman" w:eastAsia="Times New Roman" w:hint="default"/>
          <w:spacing w:val="-2"/>
        </w:rPr>
        <w:t>2013</w:t>
      </w:r>
      <w:r>
        <w:rPr>
          <w:spacing w:val="-2"/>
        </w:rPr>
        <w:t>年度、</w:t>
      </w:r>
      <w:r>
        <w:rPr>
          <w:rFonts w:ascii="Times New Roman" w:hAnsi="Times New Roman" w:cs="Times New Roman" w:eastAsia="Times New Roman" w:hint="default"/>
          <w:spacing w:val="-2"/>
        </w:rPr>
        <w:t>2014</w:t>
      </w:r>
      <w:r>
        <w:rPr>
          <w:spacing w:val="-2"/>
        </w:rPr>
        <w:t>年度权益分派方案进行相</w:t>
      </w:r>
      <w:r>
        <w:rPr>
          <w:spacing w:val="-40"/>
        </w:rPr>
        <w:t> </w:t>
      </w:r>
      <w:r>
        <w:rPr>
          <w:spacing w:val="-40"/>
        </w:rPr>
      </w:r>
      <w:r>
        <w:rPr/>
        <w:t>应调整）。上述限制性股票已于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日回购注销完成。</w:t>
      </w:r>
      <w:r>
        <w:rPr>
          <w:w w:val="100"/>
        </w:rPr>
        <w:t> </w:t>
      </w:r>
      <w:r>
        <w:rPr>
          <w:sz w:val="18"/>
          <w:szCs w:val="18"/>
        </w:rPr>
        <w:t>股份变动对最近一年和最近一期基本每股收益和稀释每股收益、归属于公司普通股股东的每股净资产等财务指标的影响</w:t>
      </w:r>
    </w:p>
    <w:p>
      <w:pPr>
        <w:spacing w:before="3"/>
        <w:ind w:left="152" w:right="10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2" w:top="1060" w:bottom="1180" w:left="980" w:right="9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line="412" w:lineRule="auto" w:before="0"/>
        <w:ind w:left="152" w:right="4214" w:firstLine="360"/>
        <w:jc w:val="left"/>
        <w:rPr>
          <w:rFonts w:ascii="宋体" w:hAnsi="宋体" w:cs="宋体" w:eastAsia="宋体" w:hint="default"/>
          <w:sz w:val="18"/>
          <w:szCs w:val="18"/>
        </w:rPr>
      </w:pPr>
      <w:r>
        <w:rPr>
          <w:rFonts w:ascii="宋体" w:hAnsi="宋体" w:cs="宋体" w:eastAsia="宋体" w:hint="default"/>
          <w:sz w:val="18"/>
          <w:szCs w:val="18"/>
        </w:rPr>
        <w:t>详见本报告第二节第五部分</w:t>
      </w:r>
      <w:r>
        <w:rPr>
          <w:rFonts w:ascii="Times New Roman" w:hAnsi="Times New Roman" w:cs="Times New Roman" w:eastAsia="Times New Roman" w:hint="default"/>
          <w:sz w:val="18"/>
          <w:szCs w:val="18"/>
        </w:rPr>
        <w:t>“</w:t>
      </w:r>
      <w:r>
        <w:rPr>
          <w:rFonts w:ascii="宋体" w:hAnsi="宋体" w:cs="宋体" w:eastAsia="宋体" w:hint="default"/>
          <w:sz w:val="18"/>
          <w:szCs w:val="18"/>
        </w:rPr>
        <w:t>主要会计数据和财务指标</w:t>
      </w:r>
      <w:r>
        <w:rPr>
          <w:rFonts w:ascii="Times New Roman" w:hAnsi="Times New Roman" w:cs="Times New Roman" w:eastAsia="Times New Roman" w:hint="default"/>
          <w:sz w:val="18"/>
          <w:szCs w:val="18"/>
        </w:rPr>
        <w:t>”</w:t>
      </w:r>
      <w:r>
        <w:rPr>
          <w:rFonts w:ascii="宋体" w:hAnsi="宋体" w:cs="宋体" w:eastAsia="宋体" w:hint="default"/>
          <w:sz w:val="18"/>
          <w:szCs w:val="18"/>
        </w:rPr>
        <w:t>所列内容。 公司认为必要或证券监管机构要求披露的其他内容</w:t>
      </w:r>
    </w:p>
    <w:p>
      <w:pPr>
        <w:spacing w:line="234" w:lineRule="exact"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2</w:t>
      </w:r>
      <w:bookmarkStart w:name="2、限售股份变动情况" w:id="103"/>
      <w:bookmarkEnd w:id="103"/>
      <w:r>
        <w:rPr>
          <w:rFonts w:ascii="Times New Roman" w:hAnsi="Times New Roman" w:cs="Times New Roman" w:eastAsia="Times New Roman" w:hint="default"/>
        </w:rPr>
      </w:r>
      <w:r>
        <w:rPr/>
        <w:t>、限售股份变动情况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5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78"/>
        <w:gridCol w:w="1349"/>
        <w:gridCol w:w="1142"/>
        <w:gridCol w:w="1274"/>
        <w:gridCol w:w="994"/>
        <w:gridCol w:w="1985"/>
        <w:gridCol w:w="1346"/>
      </w:tblGrid>
      <w:tr>
        <w:trPr>
          <w:trHeight w:val="715" w:hRule="exact"/>
        </w:trPr>
        <w:tc>
          <w:tcPr>
            <w:tcW w:w="14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1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86" w:right="24"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53" w:right="89"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03" w:right="38"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9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1"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陆文雄</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27,004,290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13,541,295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40,545,585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3211"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陈宏科</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11,796,991</w:t>
            </w:r>
            <w:r>
              <w:rPr>
                <w:rFonts w:ascii="Times New Roman"/>
                <w:sz w:val="18"/>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9,659,391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21,456,382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日召开</w:t>
            </w:r>
          </w:p>
          <w:p>
            <w:pPr>
              <w:pStyle w:val="TableParagraph"/>
              <w:spacing w:line="312" w:lineRule="auto" w:before="6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 大会选举产生了第三届 </w:t>
            </w:r>
            <w:r>
              <w:rPr>
                <w:rFonts w:ascii="宋体" w:hAnsi="宋体" w:cs="宋体" w:eastAsia="宋体" w:hint="default"/>
                <w:spacing w:val="-5"/>
                <w:sz w:val="18"/>
                <w:szCs w:val="18"/>
              </w:rPr>
              <w:t>董事。陈宏科先生届满离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任。</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 召开第三届董事会第一 次会议陈宏科先生不再 </w:t>
            </w:r>
            <w:r>
              <w:rPr>
                <w:rFonts w:ascii="宋体" w:hAnsi="宋体" w:cs="宋体" w:eastAsia="宋体" w:hint="default"/>
                <w:spacing w:val="-5"/>
                <w:sz w:val="18"/>
                <w:szCs w:val="18"/>
              </w:rPr>
              <w:t>担任公司副总经理，其股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份自</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日起全部锁 定六个月。</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1"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杜力耘</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8,841,585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4,691,543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13,533,128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40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楼晔</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8,332,833</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4,211,866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12,544,699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401"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姜蓓蓓</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5,199,193</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2,637,096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7,836,289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196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武雪松</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195,000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117,000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214,500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292,500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p>
            <w:pPr>
              <w:pStyle w:val="TableParagraph"/>
              <w:spacing w:line="314"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召开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股东大会选举产生了第 </w:t>
            </w:r>
            <w:r>
              <w:rPr>
                <w:rFonts w:ascii="宋体" w:hAnsi="宋体" w:cs="宋体" w:eastAsia="宋体" w:hint="default"/>
                <w:spacing w:val="-5"/>
                <w:sz w:val="18"/>
                <w:szCs w:val="18"/>
              </w:rPr>
              <w:t>三届董事。武雪松先生届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满离任。其股份自离任之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日起锁定六个月。</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961"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周全</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922,435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922,434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1,844,869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p>
            <w:pPr>
              <w:pStyle w:val="TableParagraph"/>
              <w:spacing w:line="312"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召开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股东大会选举产生了第 </w:t>
            </w:r>
            <w:r>
              <w:rPr>
                <w:rFonts w:ascii="宋体" w:hAnsi="宋体" w:cs="宋体" w:eastAsia="宋体" w:hint="default"/>
                <w:spacing w:val="-5"/>
                <w:sz w:val="18"/>
                <w:szCs w:val="18"/>
              </w:rPr>
              <w:t>三届监事。周全先生届满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离任。其股份自离任之日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起锁定六个月。</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9"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陆廷洁</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326,625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163,313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489,938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9"/>
              <w:jc w:val="left"/>
              <w:rPr>
                <w:rFonts w:ascii="宋体" w:hAnsi="宋体" w:cs="宋体" w:eastAsia="宋体" w:hint="default"/>
                <w:sz w:val="18"/>
                <w:szCs w:val="18"/>
              </w:rPr>
            </w:pPr>
            <w:r>
              <w:rPr>
                <w:rFonts w:ascii="宋体" w:hAnsi="宋体" w:cs="宋体" w:eastAsia="宋体" w:hint="default"/>
                <w:spacing w:val="-5"/>
                <w:sz w:val="18"/>
                <w:szCs w:val="18"/>
              </w:rPr>
              <w:t>高管锁定股、股权激励限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34"/>
              <w:jc w:val="both"/>
              <w:rPr>
                <w:rFonts w:ascii="宋体" w:hAnsi="宋体" w:cs="宋体" w:eastAsia="宋体" w:hint="default"/>
                <w:sz w:val="18"/>
                <w:szCs w:val="18"/>
              </w:rPr>
            </w:pPr>
            <w:r>
              <w:rPr>
                <w:rFonts w:ascii="宋体" w:hAnsi="宋体" w:cs="宋体" w:eastAsia="宋体" w:hint="default"/>
                <w:sz w:val="18"/>
                <w:szCs w:val="18"/>
              </w:rPr>
              <w:t>每年解锁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 股权激励限售股 部分根据股权激 励计划约定执行</w:t>
            </w:r>
          </w:p>
        </w:tc>
      </w:tr>
    </w:tbl>
    <w:p>
      <w:pPr>
        <w:spacing w:after="0" w:line="312" w:lineRule="auto"/>
        <w:jc w:val="both"/>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78"/>
        <w:gridCol w:w="1349"/>
        <w:gridCol w:w="1142"/>
        <w:gridCol w:w="1274"/>
        <w:gridCol w:w="994"/>
        <w:gridCol w:w="1985"/>
        <w:gridCol w:w="1346"/>
      </w:tblGrid>
      <w:tr>
        <w:trPr>
          <w:trHeight w:val="227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叶磊</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227,500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146,250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223,438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304,688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p>
            <w:pPr>
              <w:pStyle w:val="TableParagraph"/>
              <w:spacing w:line="312"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召开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股东大会选举叶磊先生 </w:t>
            </w:r>
            <w:r>
              <w:rPr>
                <w:rFonts w:ascii="宋体" w:hAnsi="宋体" w:cs="宋体" w:eastAsia="宋体" w:hint="default"/>
                <w:spacing w:val="-5"/>
                <w:sz w:val="18"/>
                <w:szCs w:val="18"/>
              </w:rPr>
              <w:t>为第三届董事。其所持股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份按照相关规则</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为 </w:t>
            </w:r>
            <w:r>
              <w:rPr>
                <w:rFonts w:ascii="宋体" w:hAnsi="宋体" w:cs="宋体" w:eastAsia="宋体" w:hint="default"/>
                <w:spacing w:val="-5"/>
                <w:sz w:val="18"/>
                <w:szCs w:val="18"/>
              </w:rPr>
              <w:t>高管锁定股、部分为股权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激励限售股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2" w:lineRule="auto"/>
              <w:ind w:left="23" w:right="34"/>
              <w:jc w:val="both"/>
              <w:rPr>
                <w:rFonts w:ascii="宋体" w:hAnsi="宋体" w:cs="宋体" w:eastAsia="宋体" w:hint="default"/>
                <w:sz w:val="18"/>
                <w:szCs w:val="18"/>
              </w:rPr>
            </w:pPr>
            <w:r>
              <w:rPr>
                <w:rFonts w:ascii="宋体" w:hAnsi="宋体" w:cs="宋体" w:eastAsia="宋体" w:hint="default"/>
                <w:sz w:val="18"/>
                <w:szCs w:val="18"/>
              </w:rPr>
              <w:t>每年解锁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 股权激励限售股 部分根据股权激 励计划约定执行</w:t>
            </w:r>
          </w:p>
        </w:tc>
      </w:tr>
      <w:tr>
        <w:trPr>
          <w:trHeight w:val="227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杨凯</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327,600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210,600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321,750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438,750</w:t>
            </w:r>
          </w:p>
        </w:tc>
        <w:tc>
          <w:tcPr>
            <w:tcW w:w="1985"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p>
            <w:pPr>
              <w:pStyle w:val="TableParagraph"/>
              <w:spacing w:line="312" w:lineRule="auto" w:before="60"/>
              <w:ind w:left="23" w:right="-41"/>
              <w:jc w:val="left"/>
              <w:rPr>
                <w:rFonts w:ascii="宋体" w:hAnsi="宋体" w:cs="宋体" w:eastAsia="宋体" w:hint="default"/>
                <w:sz w:val="18"/>
                <w:szCs w:val="18"/>
              </w:rPr>
            </w:pPr>
            <w:r>
              <w:rPr>
                <w:rFonts w:ascii="宋体" w:hAnsi="宋体" w:cs="宋体" w:eastAsia="宋体" w:hint="default"/>
                <w:sz w:val="18"/>
                <w:szCs w:val="18"/>
              </w:rPr>
              <w:t>召开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股东大会选举杨凯先生 </w:t>
            </w:r>
            <w:r>
              <w:rPr>
                <w:rFonts w:ascii="宋体" w:hAnsi="宋体" w:cs="宋体" w:eastAsia="宋体" w:hint="default"/>
                <w:spacing w:val="-5"/>
                <w:sz w:val="18"/>
                <w:szCs w:val="18"/>
              </w:rPr>
              <w:t>为第三届董事。其所持股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份按照相关规则</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为 高管锁定股高管锁定股、 部分为股权激励限售股</w:t>
            </w:r>
          </w:p>
        </w:tc>
        <w:tc>
          <w:tcPr>
            <w:tcW w:w="134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2" w:lineRule="auto"/>
              <w:ind w:left="11" w:right="34"/>
              <w:jc w:val="both"/>
              <w:rPr>
                <w:rFonts w:ascii="宋体" w:hAnsi="宋体" w:cs="宋体" w:eastAsia="宋体" w:hint="default"/>
                <w:sz w:val="18"/>
                <w:szCs w:val="18"/>
              </w:rPr>
            </w:pPr>
            <w:r>
              <w:rPr>
                <w:rFonts w:ascii="宋体" w:hAnsi="宋体" w:cs="宋体" w:eastAsia="宋体" w:hint="default"/>
                <w:sz w:val="18"/>
                <w:szCs w:val="18"/>
              </w:rPr>
              <w:t>每年解锁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 股权激励限售股 部分根据股权激 励计划约定执行</w:t>
            </w:r>
          </w:p>
        </w:tc>
      </w:tr>
      <w:tr>
        <w:trPr>
          <w:trHeight w:val="1337"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陆宝齐</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68,250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68,250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激励对象离职， 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0" w:lineRule="auto"/>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日完成回购注 销工作</w:t>
            </w:r>
          </w:p>
        </w:tc>
      </w:tr>
      <w:tr>
        <w:trPr>
          <w:trHeight w:val="1339"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田毅</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50"/>
              <w:jc w:val="left"/>
              <w:rPr>
                <w:rFonts w:ascii="宋体" w:hAnsi="宋体" w:cs="宋体" w:eastAsia="宋体" w:hint="default"/>
                <w:sz w:val="18"/>
                <w:szCs w:val="18"/>
              </w:rPr>
            </w:pPr>
            <w:r>
              <w:rPr>
                <w:rFonts w:ascii="宋体" w:hAnsi="宋体" w:cs="宋体" w:eastAsia="宋体" w:hint="default"/>
                <w:sz w:val="18"/>
                <w:szCs w:val="18"/>
              </w:rPr>
              <w:t>激励对象离职， 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0" w:lineRule="auto" w:before="1"/>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日完成回购注 销工作</w:t>
            </w:r>
          </w:p>
        </w:tc>
      </w:tr>
      <w:tr>
        <w:trPr>
          <w:trHeight w:val="102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89"/>
              <w:jc w:val="left"/>
              <w:rPr>
                <w:rFonts w:ascii="宋体" w:hAnsi="宋体" w:cs="宋体" w:eastAsia="宋体" w:hint="default"/>
                <w:sz w:val="18"/>
                <w:szCs w:val="18"/>
              </w:rPr>
            </w:pPr>
            <w:r>
              <w:rPr>
                <w:rFonts w:ascii="宋体" w:hAnsi="宋体" w:cs="宋体" w:eastAsia="宋体" w:hint="default"/>
                <w:sz w:val="18"/>
                <w:szCs w:val="18"/>
              </w:rPr>
              <w:t>其余</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名激励对 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4,702,100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3,106,350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2,351,050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3,946,800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0"/>
              <w:jc w:val="both"/>
              <w:rPr>
                <w:rFonts w:ascii="宋体" w:hAnsi="宋体" w:cs="宋体" w:eastAsia="宋体" w:hint="default"/>
                <w:sz w:val="18"/>
                <w:szCs w:val="18"/>
              </w:rPr>
            </w:pPr>
            <w:r>
              <w:rPr>
                <w:rFonts w:ascii="宋体" w:hAnsi="宋体" w:cs="宋体" w:eastAsia="宋体" w:hint="default"/>
                <w:sz w:val="18"/>
                <w:szCs w:val="18"/>
              </w:rPr>
              <w:t>股权激励限售股 部分根据股权激 励计划约定执行</w:t>
            </w:r>
          </w:p>
        </w:tc>
      </w:tr>
      <w:tr>
        <w:trPr>
          <w:trHeight w:val="403" w:hRule="exact"/>
        </w:trPr>
        <w:tc>
          <w:tcPr>
            <w:tcW w:w="14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68,009,402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3,713,450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38,937,676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103,233,628</w:t>
            </w:r>
          </w:p>
        </w:tc>
        <w:tc>
          <w:tcPr>
            <w:tcW w:w="19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4"/>
        <w:spacing w:line="240" w:lineRule="auto" w:before="26"/>
        <w:ind w:right="103"/>
        <w:jc w:val="left"/>
        <w:rPr>
          <w:b w:val="0"/>
          <w:bCs w:val="0"/>
        </w:rPr>
      </w:pPr>
      <w:bookmarkStart w:name="1、报告期内证券发行（不含优先股）情况" w:id="104"/>
      <w:bookmarkEnd w:id="104"/>
      <w:r>
        <w:rPr>
          <w:b w:val="0"/>
          <w:bCs w:val="0"/>
        </w:rPr>
      </w:r>
      <w:bookmarkStart w:name="2、公司股份总数及股东结构的变动、公司资产和负债结构的变动情况说明" w:id="105"/>
      <w:bookmarkEnd w:id="105"/>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03"/>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spacing w:before="0"/>
        <w:ind w:left="152" w:right="10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6"/>
        <w:spacing w:line="240" w:lineRule="auto"/>
        <w:ind w:right="103"/>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393" w:lineRule="auto"/>
        <w:ind w:right="103"/>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sz w:val="18"/>
          <w:szCs w:val="18"/>
        </w:rPr>
        <w:t>不适用 </w:t>
      </w: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20</w:t>
      </w:r>
      <w:r>
        <w:rPr>
          <w:spacing w:val="-4"/>
        </w:rPr>
        <w:t>日，公司分别召开第二届董事会第二十四次临时会议和第二届监事会第二十二次</w:t>
      </w:r>
      <w:bookmarkStart w:name="二、证券发行与上市情况" w:id="106"/>
      <w:bookmarkEnd w:id="106"/>
      <w:r>
        <w:rPr>
          <w:spacing w:val="-4"/>
        </w:rPr>
        <w:t>临</w:t>
      </w:r>
      <w:r>
        <w:rPr>
          <w:spacing w:val="-4"/>
        </w:rPr>
        <w:t>时会议，</w:t>
      </w:r>
      <w:r>
        <w:rPr>
          <w:spacing w:val="-36"/>
        </w:rPr>
        <w:t> </w:t>
      </w:r>
      <w:r>
        <w:rPr>
          <w:spacing w:val="-36"/>
        </w:rPr>
      </w:r>
      <w:r>
        <w:rPr>
          <w:spacing w:val="-2"/>
        </w:rPr>
        <w:t>审议通过了《关于回购注销已不符合激励条件的原激励对象已获授尚未解锁的限制性股票的议案》，同意</w:t>
      </w:r>
      <w:r>
        <w:rPr>
          <w:spacing w:val="-42"/>
        </w:rPr>
        <w:t> </w:t>
      </w:r>
      <w:r>
        <w:rPr>
          <w:spacing w:val="-42"/>
        </w:rPr>
      </w:r>
      <w:r>
        <w:rPr/>
        <w:t>将离职激励对象陆宝齐、田毅</w:t>
      </w:r>
      <w:r>
        <w:rPr>
          <w:rFonts w:ascii="Times New Roman" w:hAnsi="Times New Roman" w:cs="Times New Roman" w:eastAsia="Times New Roman" w:hint="default"/>
        </w:rPr>
        <w:t>2</w:t>
      </w:r>
      <w:r>
        <w:rPr/>
        <w:t>人已获授但未解锁的全部限制性股票</w:t>
      </w:r>
      <w:r>
        <w:rPr>
          <w:rFonts w:ascii="Times New Roman" w:hAnsi="Times New Roman" w:cs="Times New Roman" w:eastAsia="Times New Roman" w:hint="default"/>
        </w:rPr>
        <w:t>133,250</w:t>
      </w:r>
      <w:r>
        <w:rPr/>
        <w:t>股限制性股票进行回购注销。</w:t>
      </w:r>
      <w:r>
        <w:rPr>
          <w:spacing w:val="-77"/>
        </w:rPr>
        <w:t> </w:t>
      </w:r>
      <w:r>
        <w:rPr>
          <w:spacing w:val="-77"/>
        </w:rPr>
      </w:r>
      <w:r>
        <w:rPr/>
        <w:t>公司股本由</w:t>
      </w:r>
      <w:r>
        <w:rPr>
          <w:rFonts w:ascii="Times New Roman" w:hAnsi="Times New Roman" w:cs="Times New Roman" w:eastAsia="Times New Roman" w:hint="default"/>
        </w:rPr>
        <w:t>181,966,460</w:t>
      </w:r>
      <w:r>
        <w:rPr/>
        <w:t>股变更为</w:t>
      </w:r>
      <w:r>
        <w:rPr>
          <w:rFonts w:ascii="Times New Roman" w:hAnsi="Times New Roman" w:cs="Times New Roman" w:eastAsia="Times New Roman" w:hint="default"/>
        </w:rPr>
        <w:t>181,833,210</w:t>
      </w:r>
      <w:r>
        <w:rPr/>
        <w:t>股。公司上述限制性股票的注销事宜已经于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日完</w:t>
      </w:r>
    </w:p>
    <w:p>
      <w:pPr>
        <w:spacing w:after="0" w:line="393" w:lineRule="auto"/>
        <w:jc w:val="left"/>
        <w:sectPr>
          <w:pgSz w:w="11910" w:h="16840"/>
          <w:pgMar w:header="745" w:footer="982" w:top="1060" w:bottom="1180" w:left="980" w:right="920"/>
        </w:sectPr>
      </w:pPr>
    </w:p>
    <w:p>
      <w:pPr>
        <w:spacing w:line="240" w:lineRule="auto" w:before="0"/>
        <w:rPr>
          <w:rFonts w:ascii="宋体" w:hAnsi="宋体" w:cs="宋体" w:eastAsia="宋体" w:hint="default"/>
          <w:sz w:val="20"/>
          <w:szCs w:val="20"/>
        </w:rPr>
      </w:pPr>
    </w:p>
    <w:p>
      <w:pPr>
        <w:pStyle w:val="BodyText"/>
        <w:spacing w:line="388" w:lineRule="auto" w:before="175"/>
        <w:ind w:right="101"/>
        <w:jc w:val="left"/>
      </w:pPr>
      <w:r>
        <w:rPr/>
        <w:t>成。</w:t>
      </w:r>
      <w:r>
        <w:rPr>
          <w:spacing w:val="-103"/>
        </w:rPr>
        <w:t> </w:t>
      </w: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2014</w:t>
      </w:r>
      <w:r>
        <w:rPr/>
        <w:t>年年度权益分派方案以公司现有总股本</w:t>
      </w:r>
      <w:r>
        <w:rPr>
          <w:rFonts w:ascii="Times New Roman" w:hAnsi="Times New Roman" w:cs="Times New Roman" w:eastAsia="Times New Roman" w:hint="default"/>
        </w:rPr>
        <w:t>181,833,210</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1.000000</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t>元人民币现金（含税；扣税后，</w:t>
      </w:r>
      <w:r>
        <w:rPr>
          <w:rFonts w:ascii="Times New Roman" w:hAnsi="Times New Roman" w:cs="Times New Roman" w:eastAsia="Times New Roman" w:hint="default"/>
        </w:rPr>
        <w:t>QFII</w:t>
      </w:r>
      <w:r>
        <w:rPr/>
        <w:t>、</w:t>
      </w:r>
      <w:r>
        <w:rPr>
          <w:rFonts w:ascii="Times New Roman" w:hAnsi="Times New Roman" w:cs="Times New Roman" w:eastAsia="Times New Roman" w:hint="default"/>
        </w:rPr>
        <w:t>RQFII</w:t>
      </w:r>
      <w:r>
        <w:rPr/>
        <w:t>以及持有股改限售股、首发限售股的个人和证券投资基金每</w:t>
      </w:r>
      <w:r>
        <w:rPr>
          <w:spacing w:val="-42"/>
        </w:rPr>
        <w:t> </w:t>
      </w:r>
      <w:r>
        <w:rPr>
          <w:spacing w:val="-42"/>
        </w:rPr>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0.900000</w:t>
      </w:r>
      <w:r>
        <w:rPr/>
        <w:t>元；持有非股改、非首发限售股及无限售流通股的个人、证券投资基金股息红利税实行差</w:t>
      </w:r>
      <w:r>
        <w:rPr>
          <w:spacing w:val="-78"/>
        </w:rPr>
        <w:t> </w:t>
      </w:r>
      <w:r>
        <w:rPr>
          <w:spacing w:val="-78"/>
        </w:rPr>
      </w:r>
      <w:r>
        <w:rPr/>
        <w:t>别化税率征收，先按每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0.950000</w:t>
      </w:r>
      <w:r>
        <w:rPr/>
        <w:t>元，权益登记日后根据投资者减持股票情况，再按实际持股期限补</w:t>
      </w:r>
      <w:r>
        <w:rPr>
          <w:spacing w:val="-78"/>
        </w:rPr>
        <w:t> </w:t>
      </w:r>
      <w:r>
        <w:rPr>
          <w:spacing w:val="-78"/>
        </w:rPr>
      </w:r>
      <w:r>
        <w:rPr>
          <w:spacing w:val="-11"/>
          <w:w w:val="100"/>
        </w:rPr>
        <w:t>缴税款</w:t>
      </w:r>
      <w:r>
        <w:rPr>
          <w:rFonts w:ascii="Times New Roman" w:hAnsi="Times New Roman" w:cs="Times New Roman" w:eastAsia="Times New Roman" w:hint="default"/>
          <w:spacing w:val="-11"/>
          <w:w w:val="100"/>
        </w:rPr>
        <w:t>ª</w:t>
      </w:r>
      <w:r>
        <w:rPr>
          <w:spacing w:val="-11"/>
          <w:w w:val="100"/>
        </w:rPr>
        <w:t>；对于</w:t>
      </w:r>
      <w:r>
        <w:rPr>
          <w:rFonts w:ascii="Times New Roman" w:hAnsi="Times New Roman" w:cs="Times New Roman" w:eastAsia="Times New Roman" w:hint="default"/>
          <w:spacing w:val="-11"/>
          <w:w w:val="100"/>
        </w:rPr>
        <w:t>QFII</w:t>
      </w:r>
      <w:r>
        <w:rPr>
          <w:spacing w:val="-11"/>
          <w:w w:val="100"/>
        </w:rPr>
        <w:t>、</w:t>
      </w:r>
      <w:r>
        <w:rPr>
          <w:rFonts w:ascii="Times New Roman" w:hAnsi="Times New Roman" w:cs="Times New Roman" w:eastAsia="Times New Roman" w:hint="default"/>
          <w:spacing w:val="-11"/>
          <w:w w:val="100"/>
        </w:rPr>
        <w:t>RQFII</w:t>
      </w:r>
      <w:r>
        <w:rPr>
          <w:spacing w:val="-11"/>
          <w:w w:val="100"/>
        </w:rPr>
        <w:t>外的其他非居民企业，本公司未代扣代缴所得税，由纳税人在所得发生地缴纳。）；</w:t>
      </w:r>
      <w:r>
        <w:rPr>
          <w:spacing w:val="-91"/>
          <w:w w:val="100"/>
        </w:rPr>
        <w:t> </w:t>
      </w:r>
      <w:r>
        <w:rPr>
          <w:spacing w:val="-91"/>
          <w:w w:val="100"/>
        </w:rPr>
      </w:r>
      <w:r>
        <w:rPr>
          <w:spacing w:val="-3"/>
        </w:rPr>
        <w:t>同时，以资本公积金向全体股东每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5.000000</w:t>
      </w:r>
      <w:r>
        <w:rPr>
          <w:spacing w:val="-3"/>
        </w:rPr>
        <w:t>股。该权益分派于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28</w:t>
      </w:r>
      <w:r>
        <w:rPr>
          <w:spacing w:val="-3"/>
        </w:rPr>
        <w:t>日实施完毕。公司总股</w:t>
      </w:r>
      <w:r>
        <w:rPr>
          <w:spacing w:val="-37"/>
        </w:rPr>
        <w:t> </w:t>
      </w:r>
      <w:r>
        <w:rPr>
          <w:spacing w:val="-37"/>
        </w:rPr>
      </w:r>
      <w:r>
        <w:rPr/>
        <w:t>本由</w:t>
      </w:r>
      <w:r>
        <w:rPr>
          <w:rFonts w:ascii="Times New Roman" w:hAnsi="Times New Roman" w:cs="Times New Roman" w:eastAsia="Times New Roman" w:hint="default"/>
        </w:rPr>
        <w:t>181,833,210</w:t>
      </w:r>
      <w:r>
        <w:rPr/>
        <w:t>股增至</w:t>
      </w:r>
      <w:r>
        <w:rPr>
          <w:rFonts w:ascii="Times New Roman" w:hAnsi="Times New Roman" w:cs="Times New Roman" w:eastAsia="Times New Roman" w:hint="default"/>
        </w:rPr>
        <w:t>272,749,815</w:t>
      </w:r>
      <w:r>
        <w:rPr/>
        <w:t>股。</w:t>
      </w:r>
    </w:p>
    <w:p>
      <w:pPr>
        <w:pStyle w:val="BodyText"/>
        <w:spacing w:line="393" w:lineRule="auto" w:before="33"/>
        <w:ind w:right="206"/>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26</w:t>
      </w:r>
      <w:r>
        <w:rPr>
          <w:spacing w:val="-2"/>
        </w:rPr>
        <w:t>日，公司召开第二届董事会第二十八次临时会议和第二届监事会第二十六次临时会议，审</w:t>
      </w:r>
      <w:r>
        <w:rPr>
          <w:spacing w:val="-37"/>
        </w:rPr>
        <w:t> </w:t>
      </w:r>
      <w:r>
        <w:rPr>
          <w:spacing w:val="-37"/>
        </w:rPr>
      </w:r>
      <w:r>
        <w:rPr>
          <w:spacing w:val="-2"/>
        </w:rPr>
        <w:t>议通过了《关于公司股权激励计划预留部分限制性股票第一个解锁期条件成就可解锁的议案》、《关于限</w:t>
      </w:r>
      <w:r>
        <w:rPr>
          <w:spacing w:val="-44"/>
        </w:rPr>
        <w:t> </w:t>
      </w:r>
      <w:r>
        <w:rPr>
          <w:spacing w:val="-44"/>
        </w:rPr>
      </w:r>
      <w:r>
        <w:rPr>
          <w:spacing w:val="-2"/>
        </w:rPr>
        <w:t>制性股票激励计划首次授予的限制性股票第二个解锁期条件成就可解锁的议案》、《关于回购注销部分激</w:t>
      </w:r>
      <w:r>
        <w:rPr>
          <w:spacing w:val="-43"/>
        </w:rPr>
        <w:t> </w:t>
      </w:r>
      <w:r>
        <w:rPr>
          <w:spacing w:val="-43"/>
        </w:rPr>
      </w:r>
      <w:r>
        <w:rPr>
          <w:spacing w:val="-2"/>
        </w:rPr>
        <w:t>励对象已获授但尚未解锁的限制性股票的议案》。同意按照《限制性股票激励计划》的相关规定办理预留</w:t>
      </w:r>
      <w:r>
        <w:rPr>
          <w:spacing w:val="-47"/>
        </w:rPr>
        <w:t> </w:t>
      </w:r>
      <w:r>
        <w:rPr>
          <w:spacing w:val="-47"/>
        </w:rPr>
      </w:r>
      <w:r>
        <w:rPr>
          <w:spacing w:val="-2"/>
        </w:rPr>
        <w:t>部分限制性股票首期解锁及首次授予的限制性股票第二个解锁期限制性股票解锁相关事宜。其中：预留部</w:t>
      </w:r>
      <w:r>
        <w:rPr>
          <w:spacing w:val="-42"/>
        </w:rPr>
        <w:t> </w:t>
      </w:r>
      <w:r>
        <w:rPr>
          <w:spacing w:val="-42"/>
        </w:rPr>
      </w:r>
      <w:r>
        <w:rPr>
          <w:spacing w:val="-1"/>
        </w:rPr>
        <w:t>分首期限制性股票申请解锁</w:t>
      </w:r>
      <w:r>
        <w:rPr>
          <w:rFonts w:ascii="Times New Roman" w:hAnsi="Times New Roman" w:cs="Times New Roman" w:eastAsia="Times New Roman" w:hint="default"/>
          <w:spacing w:val="-1"/>
        </w:rPr>
        <w:t>55.77</w:t>
      </w:r>
      <w:r>
        <w:rPr>
          <w:spacing w:val="-1"/>
        </w:rPr>
        <w:t>万股，占目前股本总额的</w:t>
      </w:r>
      <w:r>
        <w:rPr>
          <w:rFonts w:ascii="Times New Roman" w:hAnsi="Times New Roman" w:cs="Times New Roman" w:eastAsia="Times New Roman" w:hint="default"/>
          <w:spacing w:val="-1"/>
        </w:rPr>
        <w:t>0.20%</w:t>
      </w:r>
      <w:r>
        <w:rPr>
          <w:spacing w:val="-1"/>
        </w:rPr>
        <w:t>；首次授予的限制性股票第二个解锁期的</w:t>
      </w:r>
      <w:r>
        <w:rPr>
          <w:spacing w:val="-49"/>
        </w:rPr>
        <w:t> </w:t>
      </w:r>
      <w:r>
        <w:rPr>
          <w:spacing w:val="-49"/>
        </w:rPr>
      </w:r>
      <w:r>
        <w:rPr>
          <w:spacing w:val="-1"/>
        </w:rPr>
        <w:t>限制性股票申请解锁</w:t>
      </w:r>
      <w:r>
        <w:rPr>
          <w:rFonts w:ascii="Times New Roman" w:hAnsi="Times New Roman" w:cs="Times New Roman" w:eastAsia="Times New Roman" w:hint="default"/>
          <w:spacing w:val="-1"/>
        </w:rPr>
        <w:t>295.308</w:t>
      </w:r>
      <w:r>
        <w:rPr>
          <w:spacing w:val="-1"/>
        </w:rPr>
        <w:t>万股，占公司目前股本总额的</w:t>
      </w:r>
      <w:r>
        <w:rPr>
          <w:rFonts w:ascii="Times New Roman" w:hAnsi="Times New Roman" w:cs="Times New Roman" w:eastAsia="Times New Roman" w:hint="default"/>
          <w:spacing w:val="-1"/>
        </w:rPr>
        <w:t>1.08%</w:t>
      </w:r>
      <w:r>
        <w:rPr>
          <w:spacing w:val="-1"/>
        </w:rPr>
        <w:t>。上述限制性股票已于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9</w:t>
      </w:r>
      <w:r>
        <w:rPr>
          <w:spacing w:val="-1"/>
        </w:rPr>
        <w:t>日解禁</w:t>
      </w:r>
      <w:r>
        <w:rPr>
          <w:spacing w:val="-48"/>
        </w:rPr>
        <w:t> </w:t>
      </w:r>
      <w:r>
        <w:rPr>
          <w:spacing w:val="-48"/>
        </w:rPr>
      </w:r>
      <w:r>
        <w:rPr/>
        <w:t>上市流通。公司激励对象中预留部分限制性股票的激励对象中张家富</w:t>
      </w:r>
      <w:r>
        <w:rPr>
          <w:rFonts w:ascii="Times New Roman" w:hAnsi="Times New Roman" w:cs="Times New Roman" w:eastAsia="Times New Roman" w:hint="default"/>
        </w:rPr>
        <w:t>1</w:t>
      </w:r>
      <w:r>
        <w:rPr/>
        <w:t>人因</w:t>
      </w:r>
      <w:r>
        <w:rPr>
          <w:rFonts w:ascii="Times New Roman" w:hAnsi="Times New Roman" w:cs="Times New Roman" w:eastAsia="Times New Roman" w:hint="default"/>
        </w:rPr>
        <w:t>2014</w:t>
      </w:r>
      <w:r>
        <w:rPr/>
        <w:t>年度个人考核未达标不能</w:t>
      </w:r>
      <w:r>
        <w:rPr>
          <w:spacing w:val="-28"/>
        </w:rPr>
        <w:t> </w:t>
      </w:r>
      <w:r>
        <w:rPr>
          <w:spacing w:val="-28"/>
        </w:rPr>
      </w:r>
      <w:r>
        <w:rPr/>
        <w:t>解锁首期限制性股票，邱智斌、胡杨</w:t>
      </w:r>
      <w:r>
        <w:rPr>
          <w:rFonts w:ascii="Times New Roman" w:hAnsi="Times New Roman" w:cs="Times New Roman" w:eastAsia="Times New Roman" w:hint="default"/>
        </w:rPr>
        <w:t>2</w:t>
      </w:r>
      <w:r>
        <w:rPr/>
        <w:t>人将根据</w:t>
      </w:r>
      <w:r>
        <w:rPr>
          <w:rFonts w:ascii="Times New Roman" w:hAnsi="Times New Roman" w:cs="Times New Roman" w:eastAsia="Times New Roman" w:hint="default"/>
        </w:rPr>
        <w:t>2014</w:t>
      </w:r>
      <w:r>
        <w:rPr/>
        <w:t>年度个人对应考核标准系数对本次可解锁数量进行调</w:t>
      </w:r>
      <w:r>
        <w:rPr>
          <w:spacing w:val="-28"/>
        </w:rPr>
        <w:t> </w:t>
      </w:r>
      <w:r>
        <w:rPr>
          <w:spacing w:val="-28"/>
        </w:rPr>
      </w:r>
      <w:r>
        <w:rPr>
          <w:spacing w:val="-1"/>
        </w:rPr>
        <w:t>整，对于已授予上述对象但未能解锁的限制性股票共</w:t>
      </w:r>
      <w:r>
        <w:rPr>
          <w:rFonts w:ascii="Times New Roman" w:hAnsi="Times New Roman" w:cs="Times New Roman" w:eastAsia="Times New Roman" w:hint="default"/>
          <w:spacing w:val="-1"/>
        </w:rPr>
        <w:t>2.73</w:t>
      </w:r>
      <w:r>
        <w:rPr>
          <w:spacing w:val="-1"/>
        </w:rPr>
        <w:t>万股（已根据</w:t>
      </w:r>
      <w:r>
        <w:rPr>
          <w:rFonts w:ascii="Times New Roman" w:hAnsi="Times New Roman" w:cs="Times New Roman" w:eastAsia="Times New Roman" w:hint="default"/>
          <w:spacing w:val="-1"/>
        </w:rPr>
        <w:t>2014</w:t>
      </w:r>
      <w:r>
        <w:rPr>
          <w:spacing w:val="-1"/>
        </w:rPr>
        <w:t>年度权益分派资本公积金转增</w:t>
      </w:r>
      <w:r>
        <w:rPr>
          <w:spacing w:val="-27"/>
        </w:rPr>
        <w:t> </w:t>
      </w:r>
      <w:r>
        <w:rPr>
          <w:spacing w:val="-27"/>
        </w:rPr>
      </w:r>
      <w:r>
        <w:rPr>
          <w:spacing w:val="-2"/>
        </w:rPr>
        <w:t>股本进行调整后的股数）进行回购注销，回购价格为</w:t>
      </w:r>
      <w:r>
        <w:rPr>
          <w:rFonts w:ascii="Times New Roman" w:hAnsi="Times New Roman" w:cs="Times New Roman" w:eastAsia="Times New Roman" w:hint="default"/>
          <w:spacing w:val="-2"/>
        </w:rPr>
        <w:t>6.8533</w:t>
      </w:r>
      <w:r>
        <w:rPr>
          <w:spacing w:val="-2"/>
        </w:rPr>
        <w:t>元</w:t>
      </w:r>
      <w:r>
        <w:rPr>
          <w:rFonts w:ascii="Times New Roman" w:hAnsi="Times New Roman" w:cs="Times New Roman" w:eastAsia="Times New Roman" w:hint="default"/>
          <w:spacing w:val="-2"/>
        </w:rPr>
        <w:t>/</w:t>
      </w:r>
      <w:r>
        <w:rPr>
          <w:spacing w:val="-2"/>
        </w:rPr>
        <w:t>股（回购价格依据《股权激励计划》及公司</w:t>
      </w:r>
      <w:r>
        <w:rPr>
          <w:spacing w:val="-46"/>
        </w:rPr>
        <w:t> </w:t>
      </w:r>
      <w:r>
        <w:rPr>
          <w:spacing w:val="-46"/>
        </w:rPr>
      </w:r>
      <w:r>
        <w:rPr>
          <w:rFonts w:ascii="Times New Roman" w:hAnsi="Times New Roman" w:cs="Times New Roman" w:eastAsia="Times New Roman" w:hint="default"/>
        </w:rPr>
        <w:t>2014</w:t>
      </w:r>
      <w:r>
        <w:rPr/>
        <w:t>年度权益分派方案进行相应调整）。</w:t>
      </w:r>
    </w:p>
    <w:p>
      <w:pPr>
        <w:pStyle w:val="BodyText"/>
        <w:spacing w:line="386" w:lineRule="auto" w:before="28"/>
        <w:ind w:right="206" w:firstLine="420"/>
        <w:jc w:val="both"/>
      </w:pPr>
      <w:r>
        <w:rPr/>
        <w:t>首次授予的限制性股票的激励对象中胡牡丹、来亮、丁岚、郭立强、陶凯、冯俊雷、宣治</w:t>
      </w:r>
      <w:r>
        <w:rPr>
          <w:rFonts w:ascii="Times New Roman" w:hAnsi="Times New Roman" w:cs="Times New Roman" w:eastAsia="Times New Roman" w:hint="default"/>
        </w:rPr>
        <w:t>7</w:t>
      </w:r>
      <w:r>
        <w:rPr/>
        <w:t>人将根据</w:t>
      </w:r>
      <w:r>
        <w:rPr>
          <w:w w:val="100"/>
        </w:rPr>
        <w:t> </w:t>
      </w:r>
      <w:r>
        <w:rPr>
          <w:rFonts w:ascii="Times New Roman" w:hAnsi="Times New Roman" w:cs="Times New Roman" w:eastAsia="Times New Roman" w:hint="default"/>
          <w:spacing w:val="-2"/>
        </w:rPr>
        <w:t>2014</w:t>
      </w:r>
      <w:r>
        <w:rPr>
          <w:spacing w:val="-2"/>
        </w:rPr>
        <w:t>年度个人对应考核标准系数对本次可解锁数量进行调整，对于已授予上述对象但未能解锁的限制性股</w:t>
      </w:r>
      <w:r>
        <w:rPr>
          <w:spacing w:val="-39"/>
        </w:rPr>
        <w:t> </w:t>
      </w:r>
      <w:r>
        <w:rPr>
          <w:spacing w:val="-39"/>
        </w:rPr>
      </w:r>
      <w:r>
        <w:rPr>
          <w:spacing w:val="-3"/>
        </w:rPr>
        <w:t>票共</w:t>
      </w:r>
      <w:r>
        <w:rPr>
          <w:rFonts w:ascii="Times New Roman" w:hAnsi="Times New Roman" w:cs="Times New Roman" w:eastAsia="Times New Roman" w:hint="default"/>
          <w:spacing w:val="-3"/>
        </w:rPr>
        <w:t>4.212</w:t>
      </w:r>
      <w:r>
        <w:rPr>
          <w:spacing w:val="-3"/>
        </w:rPr>
        <w:t>万股（已根据</w:t>
      </w:r>
      <w:r>
        <w:rPr>
          <w:rFonts w:ascii="Times New Roman" w:hAnsi="Times New Roman" w:cs="Times New Roman" w:eastAsia="Times New Roman" w:hint="default"/>
          <w:spacing w:val="-3"/>
        </w:rPr>
        <w:t>2013</w:t>
      </w:r>
      <w:r>
        <w:rPr>
          <w:spacing w:val="-3"/>
        </w:rPr>
        <w:t>年度、</w:t>
      </w:r>
      <w:r>
        <w:rPr>
          <w:rFonts w:ascii="Times New Roman" w:hAnsi="Times New Roman" w:cs="Times New Roman" w:eastAsia="Times New Roman" w:hint="default"/>
          <w:spacing w:val="-3"/>
        </w:rPr>
        <w:t>2014</w:t>
      </w:r>
      <w:r>
        <w:rPr>
          <w:spacing w:val="-3"/>
        </w:rPr>
        <w:t>年度权益分派资本公积金转增股本进行调整后的股数）进行回购注</w:t>
      </w:r>
      <w:r>
        <w:rPr>
          <w:spacing w:val="-37"/>
        </w:rPr>
        <w:t> </w:t>
      </w:r>
      <w:r>
        <w:rPr>
          <w:spacing w:val="-37"/>
        </w:rPr>
      </w:r>
      <w:r>
        <w:rPr>
          <w:spacing w:val="-2"/>
        </w:rPr>
        <w:t>销，回购价格为</w:t>
      </w:r>
      <w:r>
        <w:rPr>
          <w:rFonts w:ascii="Times New Roman" w:hAnsi="Times New Roman" w:cs="Times New Roman" w:eastAsia="Times New Roman" w:hint="default"/>
          <w:spacing w:val="-2"/>
        </w:rPr>
        <w:t>2.3487</w:t>
      </w:r>
      <w:r>
        <w:rPr>
          <w:spacing w:val="-2"/>
        </w:rPr>
        <w:t>元</w:t>
      </w:r>
      <w:r>
        <w:rPr>
          <w:rFonts w:ascii="Times New Roman" w:hAnsi="Times New Roman" w:cs="Times New Roman" w:eastAsia="Times New Roman" w:hint="default"/>
          <w:spacing w:val="-2"/>
        </w:rPr>
        <w:t>/</w:t>
      </w:r>
      <w:r>
        <w:rPr>
          <w:spacing w:val="-2"/>
        </w:rPr>
        <w:t>股（回购价格依据《股权激励计划》及公司</w:t>
      </w:r>
      <w:r>
        <w:rPr>
          <w:rFonts w:ascii="Times New Roman" w:hAnsi="Times New Roman" w:cs="Times New Roman" w:eastAsia="Times New Roman" w:hint="default"/>
          <w:spacing w:val="-2"/>
        </w:rPr>
        <w:t>2013</w:t>
      </w:r>
      <w:r>
        <w:rPr>
          <w:spacing w:val="-2"/>
        </w:rPr>
        <w:t>年度、</w:t>
      </w:r>
      <w:r>
        <w:rPr>
          <w:rFonts w:ascii="Times New Roman" w:hAnsi="Times New Roman" w:cs="Times New Roman" w:eastAsia="Times New Roman" w:hint="default"/>
          <w:spacing w:val="-2"/>
        </w:rPr>
        <w:t>2014</w:t>
      </w:r>
      <w:r>
        <w:rPr>
          <w:spacing w:val="-2"/>
        </w:rPr>
        <w:t>年度权益分派方案进</w:t>
      </w:r>
      <w:r>
        <w:rPr>
          <w:spacing w:val="-38"/>
        </w:rPr>
        <w:t> </w:t>
      </w:r>
      <w:r>
        <w:rPr>
          <w:spacing w:val="-38"/>
        </w:rPr>
      </w:r>
      <w:r>
        <w:rPr>
          <w:spacing w:val="5"/>
        </w:rPr>
        <w:t>行相应调整）。上述限制性股票已于</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11</w:t>
      </w:r>
      <w:r>
        <w:rPr>
          <w:spacing w:val="5"/>
        </w:rPr>
        <w:t>月</w:t>
      </w:r>
      <w:r>
        <w:rPr>
          <w:rFonts w:ascii="Times New Roman" w:hAnsi="Times New Roman" w:cs="Times New Roman" w:eastAsia="Times New Roman" w:hint="default"/>
          <w:spacing w:val="5"/>
        </w:rPr>
        <w:t>11</w:t>
      </w:r>
      <w:r>
        <w:rPr>
          <w:spacing w:val="5"/>
        </w:rPr>
        <w:t>日回购注销完成。公司股本由</w:t>
      </w:r>
      <w:r>
        <w:rPr>
          <w:rFonts w:ascii="Times New Roman" w:hAnsi="Times New Roman" w:cs="Times New Roman" w:eastAsia="Times New Roman" w:hint="default"/>
          <w:spacing w:val="5"/>
        </w:rPr>
        <w:t>272,749,815</w:t>
      </w:r>
      <w:r>
        <w:rPr>
          <w:spacing w:val="5"/>
        </w:rPr>
        <w:t>股变更为</w:t>
      </w:r>
      <w:r>
        <w:rPr>
          <w:spacing w:val="9"/>
        </w:rPr>
        <w:t> </w:t>
      </w:r>
      <w:r>
        <w:rPr>
          <w:spacing w:val="9"/>
        </w:rPr>
      </w:r>
      <w:r>
        <w:rPr>
          <w:rFonts w:ascii="Times New Roman" w:hAnsi="Times New Roman" w:cs="Times New Roman" w:eastAsia="Times New Roman" w:hint="default"/>
        </w:rPr>
        <w:t>272,680,395</w:t>
      </w:r>
      <w:r>
        <w:rPr/>
        <w:t>股。</w:t>
      </w:r>
    </w:p>
    <w:p>
      <w:pPr>
        <w:pStyle w:val="BodyText"/>
        <w:spacing w:line="386" w:lineRule="auto" w:before="35"/>
        <w:ind w:right="208" w:firstLine="336"/>
        <w:jc w:val="both"/>
      </w:pPr>
      <w:r>
        <w:rPr/>
        <w:t>基于以上事项，公司股本由期初的</w:t>
      </w:r>
      <w:r>
        <w:rPr>
          <w:rFonts w:ascii="Times New Roman" w:hAnsi="Times New Roman" w:cs="Times New Roman" w:eastAsia="Times New Roman" w:hint="default"/>
        </w:rPr>
        <w:t>181,966,460</w:t>
      </w:r>
      <w:r>
        <w:rPr/>
        <w:t>股变更为报告期末的</w:t>
      </w:r>
      <w:r>
        <w:rPr>
          <w:rFonts w:ascii="Times New Roman" w:hAnsi="Times New Roman" w:cs="Times New Roman" w:eastAsia="Times New Roman" w:hint="default"/>
        </w:rPr>
        <w:t>272,680,395</w:t>
      </w:r>
      <w:r>
        <w:rPr/>
        <w:t>股，上述股份变动不影</w:t>
      </w:r>
      <w:r>
        <w:rPr>
          <w:w w:val="100"/>
        </w:rPr>
        <w:t> </w:t>
      </w:r>
      <w:r>
        <w:rPr/>
        <w:t>响公司资产和负债结构。</w:t>
      </w:r>
    </w:p>
    <w:p>
      <w:pPr>
        <w:spacing w:after="0" w:line="386" w:lineRule="auto"/>
        <w:jc w:val="both"/>
        <w:sectPr>
          <w:pgSz w:w="11910" w:h="16840"/>
          <w:pgMar w:header="745" w:footer="982" w:top="1060" w:bottom="1180" w:left="980" w:right="920"/>
        </w:sectPr>
      </w:pPr>
    </w:p>
    <w:p>
      <w:pPr>
        <w:spacing w:line="240" w:lineRule="auto" w:before="10"/>
        <w:rPr>
          <w:rFonts w:ascii="宋体" w:hAnsi="宋体" w:cs="宋体" w:eastAsia="宋体" w:hint="default"/>
          <w:sz w:val="24"/>
          <w:szCs w:val="24"/>
        </w:rPr>
      </w:pPr>
    </w:p>
    <w:p>
      <w:pPr>
        <w:pStyle w:val="Heading6"/>
        <w:spacing w:line="240" w:lineRule="auto" w:before="36"/>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bookmarkStart w:name="3、现存的内部职工股情况" w:id="107"/>
      <w:bookmarkEnd w:id="107"/>
      <w:r>
        <w:rPr>
          <w:rFonts w:ascii="宋体" w:hAnsi="宋体" w:cs="宋体" w:eastAsia="宋体" w:hint="default"/>
          <w:sz w:val="18"/>
          <w:szCs w:val="18"/>
        </w:rPr>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r>
        <w:rPr/>
        <w:t>三、股</w:t>
      </w:r>
      <w:bookmarkStart w:name="三、股东和实际控制人情况" w:id="108"/>
      <w:bookmarkEnd w:id="108"/>
      <w:r>
        <w:rPr/>
        <w:t>东和</w:t>
      </w:r>
      <w:r>
        <w:rPr/>
        <w:t>实际控制人情况</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、公司股东数量及</w:t>
      </w:r>
      <w:bookmarkStart w:name="1、公司股东数量及持股情况" w:id="109"/>
      <w:bookmarkEnd w:id="109"/>
      <w:r>
        <w:rPr/>
        <w:t>持股</w:t>
      </w:r>
      <w:r>
        <w:rPr/>
        <w:t>情况</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pict>
          <v:shape style="position:absolute;margin-left:449.157013pt;margin-top:70.671707pt;width:85.85pt;height:31.2pt;mso-position-horizontal-relative:page;mso-position-vertical-relative:paragraph;z-index:-906088"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482.399994pt;margin-top:70.671707pt;width:52.6pt;height:31.2pt;mso-position-horizontal-relative:page;mso-position-vertical-relative:paragraph;z-index:-906064" coordorigin="9648,1413" coordsize="1052,624">
            <v:shape style="position:absolute;left:9648;top:1413;width:1052;height:624" coordorigin="9648,1413" coordsize="1052,624" path="m9648,2037l10699,2037,10699,1413,9648,1413,9648,2037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34"/>
        <w:gridCol w:w="134"/>
        <w:gridCol w:w="674"/>
        <w:gridCol w:w="408"/>
        <w:gridCol w:w="852"/>
        <w:gridCol w:w="178"/>
        <w:gridCol w:w="874"/>
        <w:gridCol w:w="346"/>
        <w:gridCol w:w="730"/>
        <w:gridCol w:w="575"/>
        <w:gridCol w:w="416"/>
        <w:gridCol w:w="670"/>
        <w:gridCol w:w="322"/>
        <w:gridCol w:w="991"/>
        <w:gridCol w:w="508"/>
        <w:gridCol w:w="560"/>
      </w:tblGrid>
      <w:tr>
        <w:trPr>
          <w:trHeight w:val="161" w:hRule="exact"/>
        </w:trPr>
        <w:tc>
          <w:tcPr>
            <w:tcW w:w="1334" w:type="dxa"/>
            <w:vMerge w:val="restart"/>
            <w:tcBorders>
              <w:top w:val="single" w:sz="4" w:space="0" w:color="000000"/>
              <w:left w:val="single" w:sz="4" w:space="0" w:color="000000"/>
              <w:right w:val="single" w:sz="4" w:space="0" w:color="000000"/>
            </w:tcBorders>
            <w:shd w:val="clear" w:color="auto" w:fill="D4D4D4"/>
          </w:tcPr>
          <w:p>
            <w:pPr/>
          </w:p>
        </w:tc>
        <w:tc>
          <w:tcPr>
            <w:tcW w:w="809" w:type="dxa"/>
            <w:gridSpan w:val="2"/>
            <w:vMerge w:val="restart"/>
            <w:tcBorders>
              <w:top w:val="single" w:sz="4" w:space="0" w:color="000000"/>
              <w:left w:val="single" w:sz="9" w:space="0" w:color="D4D4D4"/>
              <w:right w:val="single" w:sz="10"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26,511</w:t>
            </w:r>
          </w:p>
        </w:tc>
        <w:tc>
          <w:tcPr>
            <w:tcW w:w="1438" w:type="dxa"/>
            <w:gridSpan w:val="3"/>
            <w:vMerge w:val="restart"/>
            <w:tcBorders>
              <w:top w:val="single" w:sz="4" w:space="0" w:color="000000"/>
              <w:left w:val="single" w:sz="4" w:space="0" w:color="000000"/>
              <w:right w:val="single" w:sz="4" w:space="0" w:color="000000"/>
            </w:tcBorders>
            <w:shd w:val="clear" w:color="auto" w:fill="D4D4D4"/>
          </w:tcPr>
          <w:p>
            <w:pPr/>
          </w:p>
        </w:tc>
        <w:tc>
          <w:tcPr>
            <w:tcW w:w="1219" w:type="dxa"/>
            <w:gridSpan w:val="2"/>
            <w:vMerge w:val="restart"/>
            <w:tcBorders>
              <w:top w:val="single" w:sz="4" w:space="0" w:color="000000"/>
              <w:left w:val="single" w:sz="10" w:space="0" w:color="D4D4D4"/>
              <w:right w:val="single" w:sz="10"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74" w:right="0"/>
              <w:jc w:val="left"/>
              <w:rPr>
                <w:rFonts w:ascii="Times New Roman" w:hAnsi="Times New Roman" w:cs="Times New Roman" w:eastAsia="Times New Roman" w:hint="default"/>
                <w:sz w:val="18"/>
                <w:szCs w:val="18"/>
              </w:rPr>
            </w:pPr>
            <w:r>
              <w:rPr>
                <w:rFonts w:ascii="Times New Roman"/>
                <w:sz w:val="18"/>
              </w:rPr>
              <w:t>37,043</w:t>
            </w:r>
          </w:p>
        </w:tc>
        <w:tc>
          <w:tcPr>
            <w:tcW w:w="1304"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1086" w:type="dxa"/>
            <w:gridSpan w:val="2"/>
            <w:vMerge w:val="restart"/>
            <w:tcBorders>
              <w:top w:val="single" w:sz="4" w:space="0" w:color="000000"/>
              <w:left w:val="single" w:sz="10" w:space="0" w:color="D4D4D4"/>
              <w:right w:val="single" w:sz="13"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12"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2" w:right="28"/>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9"/>
              <w:ind w:left="1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08" w:type="dxa"/>
            <w:vMerge w:val="restart"/>
            <w:tcBorders>
              <w:top w:val="single" w:sz="4" w:space="0" w:color="000000"/>
              <w:left w:val="single" w:sz="12" w:space="0" w:color="D4D4D4"/>
              <w:right w:val="nil" w:sz="6" w:space="0" w:color="auto"/>
            </w:tcBorders>
          </w:tcPr>
          <w:p>
            <w:pPr/>
          </w:p>
        </w:tc>
        <w:tc>
          <w:tcPr>
            <w:tcW w:w="560"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4" w:type="dxa"/>
            <w:vMerge/>
            <w:tcBorders>
              <w:left w:val="single" w:sz="4" w:space="0" w:color="000000"/>
              <w:right w:val="single" w:sz="4" w:space="0" w:color="000000"/>
            </w:tcBorders>
            <w:shd w:val="clear" w:color="auto" w:fill="D4D4D4"/>
          </w:tcPr>
          <w:p>
            <w:pPr/>
          </w:p>
        </w:tc>
        <w:tc>
          <w:tcPr>
            <w:tcW w:w="809" w:type="dxa"/>
            <w:gridSpan w:val="2"/>
            <w:vMerge/>
            <w:tcBorders>
              <w:left w:val="single" w:sz="9" w:space="0" w:color="D4D4D4"/>
              <w:right w:val="single" w:sz="10" w:space="0" w:color="D4D4D4"/>
            </w:tcBorders>
          </w:tcPr>
          <w:p>
            <w:pPr/>
          </w:p>
        </w:tc>
        <w:tc>
          <w:tcPr>
            <w:tcW w:w="1438" w:type="dxa"/>
            <w:gridSpan w:val="3"/>
            <w:vMerge/>
            <w:tcBorders>
              <w:left w:val="single" w:sz="4" w:space="0" w:color="000000"/>
              <w:bottom w:val="nil" w:sz="6" w:space="0" w:color="auto"/>
              <w:right w:val="single" w:sz="4" w:space="0" w:color="000000"/>
            </w:tcBorders>
            <w:shd w:val="clear" w:color="auto" w:fill="D4D4D4"/>
          </w:tcPr>
          <w:p>
            <w:pPr/>
          </w:p>
        </w:tc>
        <w:tc>
          <w:tcPr>
            <w:tcW w:w="1219" w:type="dxa"/>
            <w:gridSpan w:val="2"/>
            <w:vMerge/>
            <w:tcBorders>
              <w:left w:val="single" w:sz="10" w:space="0" w:color="D4D4D4"/>
              <w:right w:val="single" w:sz="10" w:space="0" w:color="D4D4D4"/>
            </w:tcBorders>
          </w:tcPr>
          <w:p>
            <w:pPr/>
          </w:p>
        </w:tc>
        <w:tc>
          <w:tcPr>
            <w:tcW w:w="1304"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2" w:right="20"/>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1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86" w:type="dxa"/>
            <w:gridSpan w:val="2"/>
            <w:vMerge/>
            <w:tcBorders>
              <w:left w:val="single" w:sz="10" w:space="0" w:color="D4D4D4"/>
              <w:right w:val="single" w:sz="13" w:space="0" w:color="D4D4D4"/>
            </w:tcBorders>
          </w:tcPr>
          <w:p>
            <w:pPr/>
          </w:p>
        </w:tc>
        <w:tc>
          <w:tcPr>
            <w:tcW w:w="1312" w:type="dxa"/>
            <w:gridSpan w:val="2"/>
            <w:vMerge/>
            <w:tcBorders>
              <w:left w:val="single" w:sz="4" w:space="0" w:color="000000"/>
              <w:right w:val="single" w:sz="4" w:space="0" w:color="000000"/>
            </w:tcBorders>
            <w:shd w:val="clear" w:color="auto" w:fill="D4D4D4"/>
          </w:tcPr>
          <w:p>
            <w:pPr/>
          </w:p>
        </w:tc>
        <w:tc>
          <w:tcPr>
            <w:tcW w:w="508" w:type="dxa"/>
            <w:vMerge/>
            <w:tcBorders>
              <w:left w:val="single" w:sz="12" w:space="0" w:color="D4D4D4"/>
              <w:right w:val="nil" w:sz="6" w:space="0" w:color="auto"/>
            </w:tcBorders>
          </w:tcPr>
          <w:p>
            <w:pPr/>
          </w:p>
        </w:tc>
        <w:tc>
          <w:tcPr>
            <w:tcW w:w="560"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4" w:type="dxa"/>
            <w:vMerge/>
            <w:tcBorders>
              <w:left w:val="single" w:sz="4" w:space="0" w:color="000000"/>
              <w:bottom w:val="nil" w:sz="6" w:space="0" w:color="auto"/>
              <w:right w:val="single" w:sz="4" w:space="0" w:color="000000"/>
            </w:tcBorders>
            <w:shd w:val="clear" w:color="auto" w:fill="D4D4D4"/>
          </w:tcPr>
          <w:p>
            <w:pPr/>
          </w:p>
        </w:tc>
        <w:tc>
          <w:tcPr>
            <w:tcW w:w="809" w:type="dxa"/>
            <w:gridSpan w:val="2"/>
            <w:vMerge/>
            <w:tcBorders>
              <w:left w:val="single" w:sz="9" w:space="0" w:color="D4D4D4"/>
              <w:right w:val="single" w:sz="10" w:space="0" w:color="D4D4D4"/>
            </w:tcBorders>
          </w:tcPr>
          <w:p>
            <w:pPr/>
          </w:p>
        </w:tc>
        <w:tc>
          <w:tcPr>
            <w:tcW w:w="1438" w:type="dxa"/>
            <w:gridSpan w:val="3"/>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1" w:right="155"/>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219" w:type="dxa"/>
            <w:gridSpan w:val="2"/>
            <w:vMerge/>
            <w:tcBorders>
              <w:left w:val="single" w:sz="10" w:space="0" w:color="D4D4D4"/>
              <w:right w:val="single" w:sz="10" w:space="0" w:color="D4D4D4"/>
            </w:tcBorders>
          </w:tcPr>
          <w:p>
            <w:pPr/>
          </w:p>
        </w:tc>
        <w:tc>
          <w:tcPr>
            <w:tcW w:w="1304" w:type="dxa"/>
            <w:gridSpan w:val="2"/>
            <w:vMerge/>
            <w:tcBorders>
              <w:left w:val="single" w:sz="4" w:space="0" w:color="000000"/>
              <w:right w:val="single" w:sz="4" w:space="0" w:color="000000"/>
            </w:tcBorders>
            <w:shd w:val="clear" w:color="auto" w:fill="D4D4D4"/>
          </w:tcPr>
          <w:p>
            <w:pPr/>
          </w:p>
        </w:tc>
        <w:tc>
          <w:tcPr>
            <w:tcW w:w="1086" w:type="dxa"/>
            <w:gridSpan w:val="2"/>
            <w:vMerge/>
            <w:tcBorders>
              <w:left w:val="single" w:sz="10" w:space="0" w:color="D4D4D4"/>
              <w:right w:val="single" w:sz="13" w:space="0" w:color="D4D4D4"/>
            </w:tcBorders>
          </w:tcPr>
          <w:p>
            <w:pPr/>
          </w:p>
        </w:tc>
        <w:tc>
          <w:tcPr>
            <w:tcW w:w="1312" w:type="dxa"/>
            <w:gridSpan w:val="2"/>
            <w:vMerge/>
            <w:tcBorders>
              <w:left w:val="single" w:sz="4" w:space="0" w:color="000000"/>
              <w:right w:val="single" w:sz="4" w:space="0" w:color="000000"/>
            </w:tcBorders>
            <w:shd w:val="clear" w:color="auto" w:fill="D4D4D4"/>
          </w:tcPr>
          <w:p>
            <w:pPr/>
          </w:p>
        </w:tc>
        <w:tc>
          <w:tcPr>
            <w:tcW w:w="508" w:type="dxa"/>
            <w:vMerge/>
            <w:tcBorders>
              <w:left w:val="single" w:sz="12" w:space="0" w:color="D4D4D4"/>
              <w:right w:val="nil" w:sz="6" w:space="0" w:color="auto"/>
            </w:tcBorders>
          </w:tcPr>
          <w:p>
            <w:pPr/>
          </w:p>
        </w:tc>
        <w:tc>
          <w:tcPr>
            <w:tcW w:w="560" w:type="dxa"/>
            <w:tcBorders>
              <w:top w:val="nil" w:sz="6" w:space="0" w:color="auto"/>
              <w:left w:val="nil" w:sz="6" w:space="0" w:color="auto"/>
              <w:bottom w:val="nil" w:sz="6" w:space="0" w:color="auto"/>
              <w:right w:val="single" w:sz="4" w:space="0" w:color="000000"/>
            </w:tcBorders>
          </w:tcPr>
          <w:p>
            <w:pPr/>
          </w:p>
        </w:tc>
      </w:tr>
      <w:tr>
        <w:trPr>
          <w:trHeight w:val="706" w:hRule="exact"/>
        </w:trPr>
        <w:tc>
          <w:tcPr>
            <w:tcW w:w="133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9" w:type="dxa"/>
            <w:gridSpan w:val="2"/>
            <w:vMerge/>
            <w:tcBorders>
              <w:left w:val="single" w:sz="9" w:space="0" w:color="D4D4D4"/>
              <w:right w:val="single" w:sz="10" w:space="0" w:color="D4D4D4"/>
            </w:tcBorders>
          </w:tcPr>
          <w:p>
            <w:pPr/>
          </w:p>
        </w:tc>
        <w:tc>
          <w:tcPr>
            <w:tcW w:w="1438" w:type="dxa"/>
            <w:gridSpan w:val="3"/>
            <w:vMerge/>
            <w:tcBorders>
              <w:left w:val="single" w:sz="4" w:space="0" w:color="000000"/>
              <w:right w:val="single" w:sz="4" w:space="0" w:color="000000"/>
            </w:tcBorders>
            <w:shd w:val="clear" w:color="auto" w:fill="D4D4D4"/>
          </w:tcPr>
          <w:p>
            <w:pPr/>
          </w:p>
        </w:tc>
        <w:tc>
          <w:tcPr>
            <w:tcW w:w="1219" w:type="dxa"/>
            <w:gridSpan w:val="2"/>
            <w:vMerge/>
            <w:tcBorders>
              <w:left w:val="single" w:sz="10" w:space="0" w:color="D4D4D4"/>
              <w:right w:val="single" w:sz="10" w:space="0" w:color="D4D4D4"/>
            </w:tcBorders>
          </w:tcPr>
          <w:p>
            <w:pPr/>
          </w:p>
        </w:tc>
        <w:tc>
          <w:tcPr>
            <w:tcW w:w="1304" w:type="dxa"/>
            <w:gridSpan w:val="2"/>
            <w:vMerge/>
            <w:tcBorders>
              <w:left w:val="single" w:sz="4" w:space="0" w:color="000000"/>
              <w:right w:val="single" w:sz="4" w:space="0" w:color="000000"/>
            </w:tcBorders>
            <w:shd w:val="clear" w:color="auto" w:fill="D4D4D4"/>
          </w:tcPr>
          <w:p>
            <w:pPr/>
          </w:p>
        </w:tc>
        <w:tc>
          <w:tcPr>
            <w:tcW w:w="1086" w:type="dxa"/>
            <w:gridSpan w:val="2"/>
            <w:vMerge/>
            <w:tcBorders>
              <w:left w:val="single" w:sz="10" w:space="0" w:color="D4D4D4"/>
              <w:right w:val="single" w:sz="13" w:space="0" w:color="D4D4D4"/>
            </w:tcBorders>
          </w:tcPr>
          <w:p>
            <w:pPr/>
          </w:p>
        </w:tc>
        <w:tc>
          <w:tcPr>
            <w:tcW w:w="1312" w:type="dxa"/>
            <w:gridSpan w:val="2"/>
            <w:vMerge/>
            <w:tcBorders>
              <w:left w:val="single" w:sz="4" w:space="0" w:color="000000"/>
              <w:right w:val="single" w:sz="4" w:space="0" w:color="000000"/>
            </w:tcBorders>
            <w:shd w:val="clear" w:color="auto" w:fill="D4D4D4"/>
          </w:tcPr>
          <w:p>
            <w:pPr/>
          </w:p>
        </w:tc>
        <w:tc>
          <w:tcPr>
            <w:tcW w:w="508" w:type="dxa"/>
            <w:vMerge/>
            <w:tcBorders>
              <w:left w:val="single" w:sz="12" w:space="0" w:color="D4D4D4"/>
              <w:right w:val="nil" w:sz="6" w:space="0" w:color="auto"/>
            </w:tcBorders>
          </w:tcPr>
          <w:p>
            <w:pPr/>
          </w:p>
        </w:tc>
        <w:tc>
          <w:tcPr>
            <w:tcW w:w="560"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4" w:type="dxa"/>
            <w:vMerge w:val="restart"/>
            <w:tcBorders>
              <w:top w:val="nil" w:sz="6" w:space="0" w:color="auto"/>
              <w:left w:val="single" w:sz="4" w:space="0" w:color="000000"/>
              <w:right w:val="single" w:sz="4" w:space="0" w:color="000000"/>
            </w:tcBorders>
            <w:shd w:val="clear" w:color="auto" w:fill="D4D4D4"/>
          </w:tcPr>
          <w:p>
            <w:pPr/>
          </w:p>
        </w:tc>
        <w:tc>
          <w:tcPr>
            <w:tcW w:w="809" w:type="dxa"/>
            <w:gridSpan w:val="2"/>
            <w:vMerge/>
            <w:tcBorders>
              <w:left w:val="single" w:sz="9" w:space="0" w:color="D4D4D4"/>
              <w:right w:val="single" w:sz="10" w:space="0" w:color="D4D4D4"/>
            </w:tcBorders>
          </w:tcPr>
          <w:p>
            <w:pPr/>
          </w:p>
        </w:tc>
        <w:tc>
          <w:tcPr>
            <w:tcW w:w="1438" w:type="dxa"/>
            <w:gridSpan w:val="3"/>
            <w:vMerge/>
            <w:tcBorders>
              <w:left w:val="single" w:sz="4" w:space="0" w:color="000000"/>
              <w:bottom w:val="nil" w:sz="6" w:space="0" w:color="auto"/>
              <w:right w:val="single" w:sz="4" w:space="0" w:color="000000"/>
            </w:tcBorders>
            <w:shd w:val="clear" w:color="auto" w:fill="D4D4D4"/>
          </w:tcPr>
          <w:p>
            <w:pPr/>
          </w:p>
        </w:tc>
        <w:tc>
          <w:tcPr>
            <w:tcW w:w="1219" w:type="dxa"/>
            <w:gridSpan w:val="2"/>
            <w:vMerge/>
            <w:tcBorders>
              <w:left w:val="single" w:sz="10" w:space="0" w:color="D4D4D4"/>
              <w:right w:val="single" w:sz="10" w:space="0" w:color="D4D4D4"/>
            </w:tcBorders>
          </w:tcPr>
          <w:p>
            <w:pPr/>
          </w:p>
        </w:tc>
        <w:tc>
          <w:tcPr>
            <w:tcW w:w="1304" w:type="dxa"/>
            <w:gridSpan w:val="2"/>
            <w:vMerge/>
            <w:tcBorders>
              <w:left w:val="single" w:sz="4" w:space="0" w:color="000000"/>
              <w:right w:val="single" w:sz="4" w:space="0" w:color="000000"/>
            </w:tcBorders>
            <w:shd w:val="clear" w:color="auto" w:fill="D4D4D4"/>
          </w:tcPr>
          <w:p>
            <w:pPr/>
          </w:p>
        </w:tc>
        <w:tc>
          <w:tcPr>
            <w:tcW w:w="1086" w:type="dxa"/>
            <w:gridSpan w:val="2"/>
            <w:vMerge/>
            <w:tcBorders>
              <w:left w:val="single" w:sz="10" w:space="0" w:color="D4D4D4"/>
              <w:right w:val="single" w:sz="13" w:space="0" w:color="D4D4D4"/>
            </w:tcBorders>
          </w:tcPr>
          <w:p>
            <w:pPr/>
          </w:p>
        </w:tc>
        <w:tc>
          <w:tcPr>
            <w:tcW w:w="1312" w:type="dxa"/>
            <w:gridSpan w:val="2"/>
            <w:vMerge/>
            <w:tcBorders>
              <w:left w:val="single" w:sz="4" w:space="0" w:color="000000"/>
              <w:right w:val="single" w:sz="4" w:space="0" w:color="000000"/>
            </w:tcBorders>
            <w:shd w:val="clear" w:color="auto" w:fill="D4D4D4"/>
          </w:tcPr>
          <w:p>
            <w:pPr/>
          </w:p>
        </w:tc>
        <w:tc>
          <w:tcPr>
            <w:tcW w:w="508" w:type="dxa"/>
            <w:vMerge/>
            <w:tcBorders>
              <w:left w:val="single" w:sz="12" w:space="0" w:color="D4D4D4"/>
              <w:right w:val="nil" w:sz="6" w:space="0" w:color="auto"/>
            </w:tcBorders>
          </w:tcPr>
          <w:p>
            <w:pPr/>
          </w:p>
        </w:tc>
        <w:tc>
          <w:tcPr>
            <w:tcW w:w="560"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4" w:type="dxa"/>
            <w:vMerge/>
            <w:tcBorders>
              <w:left w:val="single" w:sz="4" w:space="0" w:color="000000"/>
              <w:right w:val="single" w:sz="4" w:space="0" w:color="000000"/>
            </w:tcBorders>
            <w:shd w:val="clear" w:color="auto" w:fill="D4D4D4"/>
          </w:tcPr>
          <w:p>
            <w:pPr/>
          </w:p>
        </w:tc>
        <w:tc>
          <w:tcPr>
            <w:tcW w:w="809" w:type="dxa"/>
            <w:gridSpan w:val="2"/>
            <w:vMerge/>
            <w:tcBorders>
              <w:left w:val="single" w:sz="9" w:space="0" w:color="D4D4D4"/>
              <w:right w:val="single" w:sz="10" w:space="0" w:color="D4D4D4"/>
            </w:tcBorders>
          </w:tcPr>
          <w:p>
            <w:pPr/>
          </w:p>
        </w:tc>
        <w:tc>
          <w:tcPr>
            <w:tcW w:w="1438" w:type="dxa"/>
            <w:gridSpan w:val="3"/>
            <w:vMerge w:val="restart"/>
            <w:tcBorders>
              <w:top w:val="nil" w:sz="6" w:space="0" w:color="auto"/>
              <w:left w:val="single" w:sz="4" w:space="0" w:color="000000"/>
              <w:right w:val="single" w:sz="4" w:space="0" w:color="000000"/>
            </w:tcBorders>
            <w:shd w:val="clear" w:color="auto" w:fill="D4D4D4"/>
          </w:tcPr>
          <w:p>
            <w:pPr/>
          </w:p>
        </w:tc>
        <w:tc>
          <w:tcPr>
            <w:tcW w:w="1219" w:type="dxa"/>
            <w:gridSpan w:val="2"/>
            <w:vMerge/>
            <w:tcBorders>
              <w:left w:val="single" w:sz="10" w:space="0" w:color="D4D4D4"/>
              <w:right w:val="single" w:sz="10" w:space="0" w:color="D4D4D4"/>
            </w:tcBorders>
          </w:tcPr>
          <w:p>
            <w:pPr/>
          </w:p>
        </w:tc>
        <w:tc>
          <w:tcPr>
            <w:tcW w:w="1304" w:type="dxa"/>
            <w:gridSpan w:val="2"/>
            <w:vMerge/>
            <w:tcBorders>
              <w:left w:val="single" w:sz="4" w:space="0" w:color="000000"/>
              <w:bottom w:val="nil" w:sz="6" w:space="0" w:color="auto"/>
              <w:right w:val="single" w:sz="4" w:space="0" w:color="000000"/>
            </w:tcBorders>
            <w:shd w:val="clear" w:color="auto" w:fill="D4D4D4"/>
          </w:tcPr>
          <w:p>
            <w:pPr/>
          </w:p>
        </w:tc>
        <w:tc>
          <w:tcPr>
            <w:tcW w:w="1086" w:type="dxa"/>
            <w:gridSpan w:val="2"/>
            <w:vMerge/>
            <w:tcBorders>
              <w:left w:val="single" w:sz="10" w:space="0" w:color="D4D4D4"/>
              <w:right w:val="single" w:sz="13" w:space="0" w:color="D4D4D4"/>
            </w:tcBorders>
          </w:tcPr>
          <w:p>
            <w:pPr/>
          </w:p>
        </w:tc>
        <w:tc>
          <w:tcPr>
            <w:tcW w:w="1312" w:type="dxa"/>
            <w:gridSpan w:val="2"/>
            <w:vMerge/>
            <w:tcBorders>
              <w:left w:val="single" w:sz="4" w:space="0" w:color="000000"/>
              <w:right w:val="single" w:sz="4" w:space="0" w:color="000000"/>
            </w:tcBorders>
            <w:shd w:val="clear" w:color="auto" w:fill="D4D4D4"/>
          </w:tcPr>
          <w:p>
            <w:pPr/>
          </w:p>
        </w:tc>
        <w:tc>
          <w:tcPr>
            <w:tcW w:w="508" w:type="dxa"/>
            <w:vMerge/>
            <w:tcBorders>
              <w:left w:val="single" w:sz="12" w:space="0" w:color="D4D4D4"/>
              <w:right w:val="nil" w:sz="6" w:space="0" w:color="auto"/>
            </w:tcBorders>
          </w:tcPr>
          <w:p>
            <w:pPr/>
          </w:p>
        </w:tc>
        <w:tc>
          <w:tcPr>
            <w:tcW w:w="560"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34" w:type="dxa"/>
            <w:vMerge/>
            <w:tcBorders>
              <w:left w:val="single" w:sz="4" w:space="0" w:color="000000"/>
              <w:bottom w:val="single" w:sz="4" w:space="0" w:color="000000"/>
              <w:right w:val="single" w:sz="4" w:space="0" w:color="000000"/>
            </w:tcBorders>
            <w:shd w:val="clear" w:color="auto" w:fill="D4D4D4"/>
          </w:tcPr>
          <w:p>
            <w:pPr/>
          </w:p>
        </w:tc>
        <w:tc>
          <w:tcPr>
            <w:tcW w:w="809" w:type="dxa"/>
            <w:gridSpan w:val="2"/>
            <w:vMerge/>
            <w:tcBorders>
              <w:left w:val="single" w:sz="9" w:space="0" w:color="D4D4D4"/>
              <w:bottom w:val="single" w:sz="4" w:space="0" w:color="000000"/>
              <w:right w:val="single" w:sz="10" w:space="0" w:color="D4D4D4"/>
            </w:tcBorders>
          </w:tcPr>
          <w:p>
            <w:pPr/>
          </w:p>
        </w:tc>
        <w:tc>
          <w:tcPr>
            <w:tcW w:w="1438" w:type="dxa"/>
            <w:gridSpan w:val="3"/>
            <w:vMerge/>
            <w:tcBorders>
              <w:left w:val="single" w:sz="4" w:space="0" w:color="000000"/>
              <w:bottom w:val="single" w:sz="4" w:space="0" w:color="000000"/>
              <w:right w:val="single" w:sz="4" w:space="0" w:color="000000"/>
            </w:tcBorders>
            <w:shd w:val="clear" w:color="auto" w:fill="D4D4D4"/>
          </w:tcPr>
          <w:p>
            <w:pPr/>
          </w:p>
        </w:tc>
        <w:tc>
          <w:tcPr>
            <w:tcW w:w="1219" w:type="dxa"/>
            <w:gridSpan w:val="2"/>
            <w:vMerge/>
            <w:tcBorders>
              <w:left w:val="single" w:sz="10" w:space="0" w:color="D4D4D4"/>
              <w:bottom w:val="single" w:sz="4" w:space="0" w:color="000000"/>
              <w:right w:val="single" w:sz="10" w:space="0" w:color="D4D4D4"/>
            </w:tcBorders>
          </w:tcPr>
          <w:p>
            <w:pPr/>
          </w:p>
        </w:tc>
        <w:tc>
          <w:tcPr>
            <w:tcW w:w="1304"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1086" w:type="dxa"/>
            <w:gridSpan w:val="2"/>
            <w:vMerge/>
            <w:tcBorders>
              <w:left w:val="single" w:sz="10" w:space="0" w:color="D4D4D4"/>
              <w:bottom w:val="single" w:sz="4" w:space="0" w:color="000000"/>
              <w:right w:val="single" w:sz="13" w:space="0" w:color="D4D4D4"/>
            </w:tcBorders>
          </w:tcPr>
          <w:p>
            <w:pPr/>
          </w:p>
        </w:tc>
        <w:tc>
          <w:tcPr>
            <w:tcW w:w="1312" w:type="dxa"/>
            <w:gridSpan w:val="2"/>
            <w:vMerge/>
            <w:tcBorders>
              <w:left w:val="single" w:sz="4" w:space="0" w:color="000000"/>
              <w:bottom w:val="single" w:sz="4" w:space="0" w:color="000000"/>
              <w:right w:val="single" w:sz="4" w:space="0" w:color="000000"/>
            </w:tcBorders>
            <w:shd w:val="clear" w:color="auto" w:fill="D4D4D4"/>
          </w:tcPr>
          <w:p>
            <w:pPr/>
          </w:p>
        </w:tc>
        <w:tc>
          <w:tcPr>
            <w:tcW w:w="508" w:type="dxa"/>
            <w:vMerge/>
            <w:tcBorders>
              <w:left w:val="single" w:sz="12" w:space="0" w:color="D4D4D4"/>
              <w:bottom w:val="single" w:sz="4" w:space="0" w:color="000000"/>
              <w:right w:val="nil" w:sz="6" w:space="0" w:color="auto"/>
            </w:tcBorders>
          </w:tcPr>
          <w:p>
            <w:pPr/>
          </w:p>
        </w:tc>
        <w:tc>
          <w:tcPr>
            <w:tcW w:w="560"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9571" w:type="dxa"/>
            <w:gridSpan w:val="1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4D4D4"/>
          </w:tcPr>
          <w:p>
            <w:pPr/>
          </w:p>
        </w:tc>
        <w:tc>
          <w:tcPr>
            <w:tcW w:w="1082" w:type="dxa"/>
            <w:gridSpan w:val="2"/>
            <w:vMerge w:val="restart"/>
            <w:tcBorders>
              <w:top w:val="single" w:sz="4" w:space="0" w:color="000000"/>
              <w:left w:val="single" w:sz="4" w:space="0" w:color="000000"/>
              <w:right w:val="single" w:sz="4" w:space="0" w:color="000000"/>
            </w:tcBorders>
            <w:shd w:val="clear" w:color="auto" w:fill="D4D4D4"/>
          </w:tcPr>
          <w:p>
            <w:pPr/>
          </w:p>
        </w:tc>
        <w:tc>
          <w:tcPr>
            <w:tcW w:w="852" w:type="dxa"/>
            <w:vMerge w:val="restart"/>
            <w:tcBorders>
              <w:top w:val="single" w:sz="4" w:space="0" w:color="000000"/>
              <w:left w:val="single" w:sz="4" w:space="0" w:color="000000"/>
              <w:right w:val="single" w:sz="4" w:space="0" w:color="000000"/>
            </w:tcBorders>
            <w:shd w:val="clear" w:color="auto" w:fill="D4D4D4"/>
          </w:tcPr>
          <w:p>
            <w:pPr/>
          </w:p>
        </w:tc>
        <w:tc>
          <w:tcPr>
            <w:tcW w:w="1051"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1075"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991"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40"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1"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40" w:right="38"/>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059"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9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4D4D4"/>
          </w:tcPr>
          <w:p>
            <w:pPr/>
          </w:p>
        </w:tc>
        <w:tc>
          <w:tcPr>
            <w:tcW w:w="1082" w:type="dxa"/>
            <w:gridSpan w:val="2"/>
            <w:vMerge/>
            <w:tcBorders>
              <w:left w:val="single" w:sz="4" w:space="0" w:color="000000"/>
              <w:bottom w:val="nil" w:sz="6" w:space="0" w:color="auto"/>
              <w:right w:val="single" w:sz="4" w:space="0" w:color="000000"/>
            </w:tcBorders>
            <w:shd w:val="clear" w:color="auto" w:fill="D4D4D4"/>
          </w:tcPr>
          <w:p>
            <w:pPr/>
          </w:p>
        </w:tc>
        <w:tc>
          <w:tcPr>
            <w:tcW w:w="852" w:type="dxa"/>
            <w:vMerge/>
            <w:tcBorders>
              <w:left w:val="single" w:sz="4" w:space="0" w:color="000000"/>
              <w:bottom w:val="nil" w:sz="6" w:space="0" w:color="auto"/>
              <w:right w:val="single" w:sz="4" w:space="0" w:color="000000"/>
            </w:tcBorders>
            <w:shd w:val="clear" w:color="auto" w:fill="D4D4D4"/>
          </w:tcPr>
          <w:p>
            <w:pPr/>
          </w:p>
        </w:tc>
        <w:tc>
          <w:tcPr>
            <w:tcW w:w="1051"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51" w:right="67"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75"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83" w:right="79"/>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1" w:type="dxa"/>
            <w:gridSpan w:val="2"/>
            <w:vMerge/>
            <w:tcBorders>
              <w:left w:val="single" w:sz="4" w:space="0" w:color="000000"/>
              <w:right w:val="single" w:sz="4" w:space="0" w:color="000000"/>
            </w:tcBorders>
            <w:shd w:val="clear" w:color="auto" w:fill="D4D4D4"/>
          </w:tcPr>
          <w:p>
            <w:pPr/>
          </w:p>
        </w:tc>
        <w:tc>
          <w:tcPr>
            <w:tcW w:w="991" w:type="dxa"/>
            <w:gridSpan w:val="2"/>
            <w:vMerge/>
            <w:tcBorders>
              <w:left w:val="single" w:sz="4" w:space="0" w:color="000000"/>
              <w:right w:val="single" w:sz="4" w:space="0" w:color="000000"/>
            </w:tcBorders>
            <w:shd w:val="clear" w:color="auto" w:fill="D4D4D4"/>
          </w:tcPr>
          <w:p>
            <w:pPr/>
          </w:p>
        </w:tc>
        <w:tc>
          <w:tcPr>
            <w:tcW w:w="2059" w:type="dxa"/>
            <w:gridSpan w:val="3"/>
            <w:vMerge/>
            <w:tcBorders>
              <w:left w:val="single" w:sz="4" w:space="0" w:color="000000"/>
              <w:right w:val="single" w:sz="4" w:space="0" w:color="000000"/>
            </w:tcBorders>
            <w:shd w:val="clear" w:color="auto" w:fill="D4D4D4"/>
          </w:tcPr>
          <w:p>
            <w:pPr/>
          </w:p>
        </w:tc>
      </w:tr>
      <w:tr>
        <w:trPr>
          <w:trHeight w:val="142" w:hRule="exact"/>
        </w:trPr>
        <w:tc>
          <w:tcPr>
            <w:tcW w:w="1469"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82"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51" w:type="dxa"/>
            <w:gridSpan w:val="2"/>
            <w:vMerge/>
            <w:tcBorders>
              <w:left w:val="single" w:sz="4" w:space="0" w:color="000000"/>
              <w:right w:val="single" w:sz="4" w:space="0" w:color="000000"/>
            </w:tcBorders>
            <w:shd w:val="clear" w:color="auto" w:fill="D4D4D4"/>
          </w:tcPr>
          <w:p>
            <w:pPr/>
          </w:p>
        </w:tc>
        <w:tc>
          <w:tcPr>
            <w:tcW w:w="1075" w:type="dxa"/>
            <w:gridSpan w:val="2"/>
            <w:vMerge/>
            <w:tcBorders>
              <w:left w:val="single" w:sz="4" w:space="0" w:color="000000"/>
              <w:right w:val="single" w:sz="4" w:space="0" w:color="000000"/>
            </w:tcBorders>
            <w:shd w:val="clear" w:color="auto" w:fill="D4D4D4"/>
          </w:tcPr>
          <w:p>
            <w:pPr/>
          </w:p>
        </w:tc>
        <w:tc>
          <w:tcPr>
            <w:tcW w:w="991" w:type="dxa"/>
            <w:gridSpan w:val="2"/>
            <w:vMerge/>
            <w:tcBorders>
              <w:left w:val="single" w:sz="4" w:space="0" w:color="000000"/>
              <w:right w:val="single" w:sz="4" w:space="0" w:color="000000"/>
            </w:tcBorders>
            <w:shd w:val="clear" w:color="auto" w:fill="D4D4D4"/>
          </w:tcPr>
          <w:p>
            <w:pPr/>
          </w:p>
        </w:tc>
        <w:tc>
          <w:tcPr>
            <w:tcW w:w="991" w:type="dxa"/>
            <w:gridSpan w:val="2"/>
            <w:vMerge/>
            <w:tcBorders>
              <w:left w:val="single" w:sz="4" w:space="0" w:color="000000"/>
              <w:right w:val="single" w:sz="4" w:space="0" w:color="000000"/>
            </w:tcBorders>
            <w:shd w:val="clear" w:color="auto" w:fill="D4D4D4"/>
          </w:tcPr>
          <w:p>
            <w:pPr/>
          </w:p>
        </w:tc>
        <w:tc>
          <w:tcPr>
            <w:tcW w:w="2059" w:type="dxa"/>
            <w:gridSpan w:val="3"/>
            <w:vMerge/>
            <w:tcBorders>
              <w:left w:val="single" w:sz="4" w:space="0" w:color="000000"/>
              <w:bottom w:val="single" w:sz="4" w:space="0" w:color="000000"/>
              <w:right w:val="single" w:sz="4" w:space="0" w:color="000000"/>
            </w:tcBorders>
            <w:shd w:val="clear" w:color="auto" w:fill="D4D4D4"/>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4D4D4"/>
          </w:tcPr>
          <w:p>
            <w:pPr/>
          </w:p>
        </w:tc>
        <w:tc>
          <w:tcPr>
            <w:tcW w:w="1082" w:type="dxa"/>
            <w:gridSpan w:val="2"/>
            <w:vMerge/>
            <w:tcBorders>
              <w:left w:val="single" w:sz="4" w:space="0" w:color="000000"/>
              <w:bottom w:val="nil" w:sz="6" w:space="0" w:color="auto"/>
              <w:right w:val="single" w:sz="4" w:space="0" w:color="000000"/>
            </w:tcBorders>
            <w:shd w:val="clear" w:color="auto" w:fill="D4D4D4"/>
          </w:tcPr>
          <w:p>
            <w:pPr/>
          </w:p>
        </w:tc>
        <w:tc>
          <w:tcPr>
            <w:tcW w:w="852" w:type="dxa"/>
            <w:vMerge/>
            <w:tcBorders>
              <w:left w:val="single" w:sz="4" w:space="0" w:color="000000"/>
              <w:bottom w:val="nil" w:sz="6" w:space="0" w:color="auto"/>
              <w:right w:val="single" w:sz="4" w:space="0" w:color="000000"/>
            </w:tcBorders>
            <w:shd w:val="clear" w:color="auto" w:fill="D4D4D4"/>
          </w:tcPr>
          <w:p>
            <w:pPr/>
          </w:p>
        </w:tc>
        <w:tc>
          <w:tcPr>
            <w:tcW w:w="1051" w:type="dxa"/>
            <w:gridSpan w:val="2"/>
            <w:vMerge/>
            <w:tcBorders>
              <w:left w:val="single" w:sz="4" w:space="0" w:color="000000"/>
              <w:right w:val="single" w:sz="4" w:space="0" w:color="000000"/>
            </w:tcBorders>
            <w:shd w:val="clear" w:color="auto" w:fill="D4D4D4"/>
          </w:tcPr>
          <w:p>
            <w:pPr/>
          </w:p>
        </w:tc>
        <w:tc>
          <w:tcPr>
            <w:tcW w:w="1075" w:type="dxa"/>
            <w:gridSpan w:val="2"/>
            <w:vMerge/>
            <w:tcBorders>
              <w:left w:val="single" w:sz="4" w:space="0" w:color="000000"/>
              <w:right w:val="single" w:sz="4" w:space="0" w:color="000000"/>
            </w:tcBorders>
            <w:shd w:val="clear" w:color="auto" w:fill="D4D4D4"/>
          </w:tcPr>
          <w:p>
            <w:pPr/>
          </w:p>
        </w:tc>
        <w:tc>
          <w:tcPr>
            <w:tcW w:w="991" w:type="dxa"/>
            <w:gridSpan w:val="2"/>
            <w:vMerge/>
            <w:tcBorders>
              <w:left w:val="single" w:sz="4" w:space="0" w:color="000000"/>
              <w:right w:val="single" w:sz="4" w:space="0" w:color="000000"/>
            </w:tcBorders>
            <w:shd w:val="clear" w:color="auto" w:fill="D4D4D4"/>
          </w:tcPr>
          <w:p>
            <w:pPr/>
          </w:p>
        </w:tc>
        <w:tc>
          <w:tcPr>
            <w:tcW w:w="991" w:type="dxa"/>
            <w:gridSpan w:val="2"/>
            <w:vMerge/>
            <w:tcBorders>
              <w:left w:val="single" w:sz="4" w:space="0" w:color="000000"/>
              <w:right w:val="single" w:sz="4" w:space="0" w:color="000000"/>
            </w:tcBorders>
            <w:shd w:val="clear" w:color="auto" w:fill="D4D4D4"/>
          </w:tcPr>
          <w:p>
            <w:pPr/>
          </w:p>
        </w:tc>
        <w:tc>
          <w:tcPr>
            <w:tcW w:w="99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4"/>
              <w:ind w:left="134"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9"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4"/>
              <w:ind w:left="35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4D4D4"/>
          </w:tcPr>
          <w:p>
            <w:pPr/>
          </w:p>
        </w:tc>
        <w:tc>
          <w:tcPr>
            <w:tcW w:w="1082" w:type="dxa"/>
            <w:gridSpan w:val="2"/>
            <w:vMerge w:val="restart"/>
            <w:tcBorders>
              <w:top w:val="nil" w:sz="6" w:space="0" w:color="auto"/>
              <w:left w:val="single" w:sz="4" w:space="0" w:color="000000"/>
              <w:right w:val="single" w:sz="4" w:space="0" w:color="000000"/>
            </w:tcBorders>
            <w:shd w:val="clear" w:color="auto" w:fill="D4D4D4"/>
          </w:tcPr>
          <w:p>
            <w:pPr/>
          </w:p>
        </w:tc>
        <w:tc>
          <w:tcPr>
            <w:tcW w:w="852" w:type="dxa"/>
            <w:vMerge w:val="restart"/>
            <w:tcBorders>
              <w:top w:val="nil" w:sz="6" w:space="0" w:color="auto"/>
              <w:left w:val="single" w:sz="4" w:space="0" w:color="000000"/>
              <w:right w:val="single" w:sz="4" w:space="0" w:color="000000"/>
            </w:tcBorders>
            <w:shd w:val="clear" w:color="auto" w:fill="D4D4D4"/>
          </w:tcPr>
          <w:p>
            <w:pPr/>
          </w:p>
        </w:tc>
        <w:tc>
          <w:tcPr>
            <w:tcW w:w="1051" w:type="dxa"/>
            <w:gridSpan w:val="2"/>
            <w:vMerge/>
            <w:tcBorders>
              <w:left w:val="single" w:sz="4" w:space="0" w:color="000000"/>
              <w:bottom w:val="nil" w:sz="6" w:space="0" w:color="auto"/>
              <w:right w:val="single" w:sz="4" w:space="0" w:color="000000"/>
            </w:tcBorders>
            <w:shd w:val="clear" w:color="auto" w:fill="D4D4D4"/>
          </w:tcPr>
          <w:p>
            <w:pPr/>
          </w:p>
        </w:tc>
        <w:tc>
          <w:tcPr>
            <w:tcW w:w="1075" w:type="dxa"/>
            <w:gridSpan w:val="2"/>
            <w:vMerge/>
            <w:tcBorders>
              <w:left w:val="single" w:sz="4" w:space="0" w:color="000000"/>
              <w:bottom w:val="nil" w:sz="6" w:space="0" w:color="auto"/>
              <w:right w:val="single" w:sz="4" w:space="0" w:color="000000"/>
            </w:tcBorders>
            <w:shd w:val="clear" w:color="auto" w:fill="D4D4D4"/>
          </w:tcPr>
          <w:p>
            <w:pPr/>
          </w:p>
        </w:tc>
        <w:tc>
          <w:tcPr>
            <w:tcW w:w="991" w:type="dxa"/>
            <w:gridSpan w:val="2"/>
            <w:vMerge/>
            <w:tcBorders>
              <w:left w:val="single" w:sz="4" w:space="0" w:color="000000"/>
              <w:right w:val="single" w:sz="4" w:space="0" w:color="000000"/>
            </w:tcBorders>
            <w:shd w:val="clear" w:color="auto" w:fill="D4D4D4"/>
          </w:tcPr>
          <w:p>
            <w:pPr/>
          </w:p>
        </w:tc>
        <w:tc>
          <w:tcPr>
            <w:tcW w:w="991" w:type="dxa"/>
            <w:gridSpan w:val="2"/>
            <w:vMerge/>
            <w:tcBorders>
              <w:left w:val="single" w:sz="4" w:space="0" w:color="000000"/>
              <w:right w:val="single" w:sz="4" w:space="0" w:color="000000"/>
            </w:tcBorders>
            <w:shd w:val="clear" w:color="auto" w:fill="D4D4D4"/>
          </w:tcPr>
          <w:p>
            <w:pPr/>
          </w:p>
        </w:tc>
        <w:tc>
          <w:tcPr>
            <w:tcW w:w="991" w:type="dxa"/>
            <w:vMerge/>
            <w:tcBorders>
              <w:left w:val="single" w:sz="4" w:space="0" w:color="000000"/>
              <w:right w:val="single" w:sz="4" w:space="0" w:color="000000"/>
            </w:tcBorders>
            <w:shd w:val="clear" w:color="auto" w:fill="D4D4D4"/>
          </w:tcPr>
          <w:p>
            <w:pPr/>
          </w:p>
        </w:tc>
        <w:tc>
          <w:tcPr>
            <w:tcW w:w="1069" w:type="dxa"/>
            <w:gridSpan w:val="2"/>
            <w:vMerge/>
            <w:tcBorders>
              <w:left w:val="single" w:sz="4" w:space="0" w:color="000000"/>
              <w:right w:val="single" w:sz="4" w:space="0" w:color="000000"/>
            </w:tcBorders>
            <w:shd w:val="clear" w:color="auto" w:fill="D4D4D4"/>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4D4D4"/>
          </w:tcPr>
          <w:p>
            <w:pPr/>
          </w:p>
        </w:tc>
        <w:tc>
          <w:tcPr>
            <w:tcW w:w="1082" w:type="dxa"/>
            <w:gridSpan w:val="2"/>
            <w:vMerge/>
            <w:tcBorders>
              <w:left w:val="single" w:sz="4" w:space="0" w:color="000000"/>
              <w:bottom w:val="single" w:sz="4" w:space="0" w:color="000000"/>
              <w:right w:val="single" w:sz="4" w:space="0" w:color="000000"/>
            </w:tcBorders>
            <w:shd w:val="clear" w:color="auto" w:fill="D4D4D4"/>
          </w:tcPr>
          <w:p>
            <w:pPr/>
          </w:p>
        </w:tc>
        <w:tc>
          <w:tcPr>
            <w:tcW w:w="852" w:type="dxa"/>
            <w:vMerge/>
            <w:tcBorders>
              <w:left w:val="single" w:sz="4" w:space="0" w:color="000000"/>
              <w:bottom w:val="single" w:sz="4" w:space="0" w:color="000000"/>
              <w:right w:val="single" w:sz="4" w:space="0" w:color="000000"/>
            </w:tcBorders>
            <w:shd w:val="clear" w:color="auto" w:fill="D4D4D4"/>
          </w:tcPr>
          <w:p>
            <w:pPr/>
          </w:p>
        </w:tc>
        <w:tc>
          <w:tcPr>
            <w:tcW w:w="1051"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1075"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991" w:type="dxa"/>
            <w:gridSpan w:val="2"/>
            <w:vMerge/>
            <w:tcBorders>
              <w:left w:val="single" w:sz="4" w:space="0" w:color="000000"/>
              <w:bottom w:val="single" w:sz="4" w:space="0" w:color="000000"/>
              <w:right w:val="single" w:sz="4" w:space="0" w:color="000000"/>
            </w:tcBorders>
            <w:shd w:val="clear" w:color="auto" w:fill="D4D4D4"/>
          </w:tcPr>
          <w:p>
            <w:pPr/>
          </w:p>
        </w:tc>
        <w:tc>
          <w:tcPr>
            <w:tcW w:w="991" w:type="dxa"/>
            <w:gridSpan w:val="2"/>
            <w:vMerge/>
            <w:tcBorders>
              <w:left w:val="single" w:sz="4" w:space="0" w:color="000000"/>
              <w:bottom w:val="single" w:sz="4" w:space="0" w:color="000000"/>
              <w:right w:val="single" w:sz="4" w:space="0" w:color="000000"/>
            </w:tcBorders>
            <w:shd w:val="clear" w:color="auto" w:fill="D4D4D4"/>
          </w:tcPr>
          <w:p>
            <w:pPr/>
          </w:p>
        </w:tc>
        <w:tc>
          <w:tcPr>
            <w:tcW w:w="991" w:type="dxa"/>
            <w:vMerge/>
            <w:tcBorders>
              <w:left w:val="single" w:sz="4" w:space="0" w:color="000000"/>
              <w:bottom w:val="single" w:sz="4" w:space="0" w:color="000000"/>
              <w:right w:val="single" w:sz="4" w:space="0" w:color="000000"/>
            </w:tcBorders>
            <w:shd w:val="clear" w:color="auto" w:fill="D4D4D4"/>
          </w:tcPr>
          <w:p>
            <w:pPr/>
          </w:p>
        </w:tc>
        <w:tc>
          <w:tcPr>
            <w:tcW w:w="1069" w:type="dxa"/>
            <w:gridSpan w:val="2"/>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陆文雄</w:t>
            </w:r>
          </w:p>
        </w:tc>
        <w:tc>
          <w:tcPr>
            <w:tcW w:w="1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19.83%</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54,060,780</w:t>
            </w:r>
          </w:p>
        </w:tc>
        <w:tc>
          <w:tcPr>
            <w:tcW w:w="10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18,055,060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40,545,585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13,515,195</w:t>
            </w:r>
          </w:p>
        </w:tc>
        <w:tc>
          <w:tcPr>
            <w:tcW w:w="991" w:type="dxa"/>
            <w:tcBorders>
              <w:top w:val="single" w:sz="48" w:space="0" w:color="D4D4D4"/>
              <w:left w:val="single" w:sz="4" w:space="0" w:color="000000"/>
              <w:bottom w:val="single" w:sz="4" w:space="0" w:color="000000"/>
              <w:right w:val="single" w:sz="4" w:space="0" w:color="000000"/>
            </w:tcBorders>
          </w:tcPr>
          <w:p>
            <w:pPr/>
          </w:p>
        </w:tc>
        <w:tc>
          <w:tcPr>
            <w:tcW w:w="1069" w:type="dxa"/>
            <w:gridSpan w:val="2"/>
            <w:tcBorders>
              <w:top w:val="single" w:sz="48" w:space="0" w:color="D4D4D4"/>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陈宏科</w:t>
            </w:r>
          </w:p>
        </w:tc>
        <w:tc>
          <w:tcPr>
            <w:tcW w:w="1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7.87%</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21,456,382</w:t>
            </w:r>
          </w:p>
        </w:tc>
        <w:tc>
          <w:tcPr>
            <w:tcW w:w="10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5,727,061</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21,456,382</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1069"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杜力耘</w:t>
            </w:r>
          </w:p>
        </w:tc>
        <w:tc>
          <w:tcPr>
            <w:tcW w:w="1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5.15%</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14,044,171</w:t>
            </w:r>
          </w:p>
        </w:tc>
        <w:tc>
          <w:tcPr>
            <w:tcW w:w="10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2,255,391</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13,533,128</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1" w:right="0"/>
              <w:jc w:val="left"/>
              <w:rPr>
                <w:rFonts w:ascii="Times New Roman" w:hAnsi="Times New Roman" w:cs="Times New Roman" w:eastAsia="Times New Roman" w:hint="default"/>
                <w:sz w:val="18"/>
                <w:szCs w:val="18"/>
              </w:rPr>
            </w:pPr>
            <w:r>
              <w:rPr>
                <w:rFonts w:ascii="Times New Roman"/>
                <w:sz w:val="18"/>
              </w:rPr>
              <w:t>511,043</w:t>
            </w:r>
          </w:p>
        </w:tc>
        <w:tc>
          <w:tcPr>
            <w:tcW w:w="991" w:type="dxa"/>
            <w:tcBorders>
              <w:top w:val="single" w:sz="4" w:space="0" w:color="000000"/>
              <w:left w:val="single" w:sz="4" w:space="0" w:color="000000"/>
              <w:bottom w:val="single" w:sz="4" w:space="0" w:color="000000"/>
              <w:right w:val="single" w:sz="4" w:space="0" w:color="000000"/>
            </w:tcBorders>
          </w:tcPr>
          <w:p>
            <w:pPr/>
          </w:p>
        </w:tc>
        <w:tc>
          <w:tcPr>
            <w:tcW w:w="1069" w:type="dxa"/>
            <w:gridSpan w:val="2"/>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招商银行股份有 限公司－富国低 碳环保混合型证 券投资基金</w:t>
            </w:r>
          </w:p>
        </w:tc>
        <w:tc>
          <w:tcPr>
            <w:tcW w:w="1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4.97%</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13,542,779</w:t>
            </w:r>
          </w:p>
        </w:tc>
        <w:tc>
          <w:tcPr>
            <w:tcW w:w="10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13,542,779</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13,542,779</w:t>
            </w:r>
          </w:p>
        </w:tc>
        <w:tc>
          <w:tcPr>
            <w:tcW w:w="991" w:type="dxa"/>
            <w:tcBorders>
              <w:top w:val="single" w:sz="4" w:space="0" w:color="000000"/>
              <w:left w:val="single" w:sz="4" w:space="0" w:color="000000"/>
              <w:bottom w:val="single" w:sz="4" w:space="0" w:color="000000"/>
              <w:right w:val="single" w:sz="4" w:space="0" w:color="000000"/>
            </w:tcBorders>
          </w:tcPr>
          <w:p>
            <w:pPr/>
          </w:p>
        </w:tc>
        <w:tc>
          <w:tcPr>
            <w:tcW w:w="1069"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楼晔</w:t>
            </w:r>
          </w:p>
        </w:tc>
        <w:tc>
          <w:tcPr>
            <w:tcW w:w="1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13,416,265</w:t>
            </w:r>
          </w:p>
        </w:tc>
        <w:tc>
          <w:tcPr>
            <w:tcW w:w="10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2,305,821</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12,544,699</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4" w:right="0"/>
              <w:jc w:val="left"/>
              <w:rPr>
                <w:rFonts w:ascii="Times New Roman" w:hAnsi="Times New Roman" w:cs="Times New Roman" w:eastAsia="Times New Roman" w:hint="default"/>
                <w:sz w:val="18"/>
                <w:szCs w:val="18"/>
              </w:rPr>
            </w:pPr>
            <w:r>
              <w:rPr>
                <w:rFonts w:ascii="Times New Roman"/>
                <w:sz w:val="18"/>
              </w:rPr>
              <w:t>871,566</w:t>
            </w:r>
          </w:p>
        </w:tc>
        <w:tc>
          <w:tcPr>
            <w:tcW w:w="991" w:type="dxa"/>
            <w:tcBorders>
              <w:top w:val="single" w:sz="4" w:space="0" w:color="000000"/>
              <w:left w:val="single" w:sz="4" w:space="0" w:color="000000"/>
              <w:bottom w:val="single" w:sz="4" w:space="0" w:color="000000"/>
              <w:right w:val="single" w:sz="4" w:space="0" w:color="000000"/>
            </w:tcBorders>
          </w:tcPr>
          <w:p>
            <w:pPr/>
          </w:p>
        </w:tc>
        <w:tc>
          <w:tcPr>
            <w:tcW w:w="1069"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姜蓓蓓</w:t>
            </w:r>
          </w:p>
        </w:tc>
        <w:tc>
          <w:tcPr>
            <w:tcW w:w="1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10,448,385</w:t>
            </w:r>
          </w:p>
        </w:tc>
        <w:tc>
          <w:tcPr>
            <w:tcW w:w="10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3,516,128</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7,836,289</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2,612,096</w:t>
            </w:r>
          </w:p>
        </w:tc>
        <w:tc>
          <w:tcPr>
            <w:tcW w:w="991" w:type="dxa"/>
            <w:tcBorders>
              <w:top w:val="single" w:sz="4" w:space="0" w:color="000000"/>
              <w:left w:val="single" w:sz="4" w:space="0" w:color="000000"/>
              <w:bottom w:val="single" w:sz="4" w:space="0" w:color="000000"/>
              <w:right w:val="single" w:sz="4" w:space="0" w:color="000000"/>
            </w:tcBorders>
          </w:tcPr>
          <w:p>
            <w:pPr/>
          </w:p>
        </w:tc>
        <w:tc>
          <w:tcPr>
            <w:tcW w:w="1069" w:type="dxa"/>
            <w:gridSpan w:val="2"/>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中国工商银行股 份有限公司－富 国新兴产业股票 型证券投资基金</w:t>
            </w:r>
          </w:p>
        </w:tc>
        <w:tc>
          <w:tcPr>
            <w:tcW w:w="1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2.73%</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7,443,265</w:t>
            </w:r>
          </w:p>
        </w:tc>
        <w:tc>
          <w:tcPr>
            <w:tcW w:w="10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7,443,265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7,443,265</w:t>
            </w:r>
          </w:p>
        </w:tc>
        <w:tc>
          <w:tcPr>
            <w:tcW w:w="991" w:type="dxa"/>
            <w:tcBorders>
              <w:top w:val="single" w:sz="4" w:space="0" w:color="000000"/>
              <w:left w:val="single" w:sz="4" w:space="0" w:color="000000"/>
              <w:bottom w:val="single" w:sz="4" w:space="0" w:color="000000"/>
              <w:right w:val="single" w:sz="4" w:space="0" w:color="000000"/>
            </w:tcBorders>
          </w:tcPr>
          <w:p>
            <w:pPr/>
          </w:p>
        </w:tc>
        <w:tc>
          <w:tcPr>
            <w:tcW w:w="1069" w:type="dxa"/>
            <w:gridSpan w:val="2"/>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中国农业银行股 份有限公司－中 邮核心成长混合 型证券投资基金</w:t>
            </w:r>
          </w:p>
        </w:tc>
        <w:tc>
          <w:tcPr>
            <w:tcW w:w="1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2.12%</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5,790,010</w:t>
            </w:r>
          </w:p>
        </w:tc>
        <w:tc>
          <w:tcPr>
            <w:tcW w:w="10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5,790,010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5,790,010</w:t>
            </w:r>
          </w:p>
        </w:tc>
        <w:tc>
          <w:tcPr>
            <w:tcW w:w="991" w:type="dxa"/>
            <w:tcBorders>
              <w:top w:val="single" w:sz="4" w:space="0" w:color="000000"/>
              <w:left w:val="single" w:sz="4" w:space="0" w:color="000000"/>
              <w:bottom w:val="single" w:sz="4" w:space="0" w:color="000000"/>
              <w:right w:val="single" w:sz="4" w:space="0" w:color="000000"/>
            </w:tcBorders>
          </w:tcPr>
          <w:p>
            <w:pPr/>
          </w:p>
        </w:tc>
        <w:tc>
          <w:tcPr>
            <w:tcW w:w="1069" w:type="dxa"/>
            <w:gridSpan w:val="2"/>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中国建设银行股 份有限公司－融 通领先成长混合 型证券投资基金</w:t>
            </w:r>
          </w:p>
          <w:p>
            <w:pPr>
              <w:pStyle w:val="TableParagraph"/>
              <w:spacing w:line="240" w:lineRule="auto" w:before="18"/>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1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3,599,192</w:t>
            </w:r>
          </w:p>
        </w:tc>
        <w:tc>
          <w:tcPr>
            <w:tcW w:w="10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3,599,192</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3,599,192</w:t>
            </w:r>
          </w:p>
        </w:tc>
        <w:tc>
          <w:tcPr>
            <w:tcW w:w="991" w:type="dxa"/>
            <w:tcBorders>
              <w:top w:val="single" w:sz="4" w:space="0" w:color="000000"/>
              <w:left w:val="single" w:sz="4" w:space="0" w:color="000000"/>
              <w:bottom w:val="single" w:sz="4" w:space="0" w:color="000000"/>
              <w:right w:val="single" w:sz="4" w:space="0" w:color="000000"/>
            </w:tcBorders>
          </w:tcPr>
          <w:p>
            <w:pPr/>
          </w:p>
        </w:tc>
        <w:tc>
          <w:tcPr>
            <w:tcW w:w="1069"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69"/>
        <w:gridCol w:w="1082"/>
        <w:gridCol w:w="329"/>
        <w:gridCol w:w="523"/>
        <w:gridCol w:w="1051"/>
        <w:gridCol w:w="1075"/>
        <w:gridCol w:w="991"/>
        <w:gridCol w:w="348"/>
        <w:gridCol w:w="643"/>
        <w:gridCol w:w="706"/>
        <w:gridCol w:w="290"/>
        <w:gridCol w:w="1063"/>
      </w:tblGrid>
      <w:tr>
        <w:trPr>
          <w:trHeight w:val="164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3"/>
              <w:jc w:val="both"/>
              <w:rPr>
                <w:rFonts w:ascii="宋体" w:hAnsi="宋体" w:cs="宋体" w:eastAsia="宋体" w:hint="default"/>
                <w:sz w:val="18"/>
                <w:szCs w:val="18"/>
              </w:rPr>
            </w:pPr>
            <w:r>
              <w:rPr>
                <w:rFonts w:ascii="宋体" w:hAnsi="宋体" w:cs="宋体" w:eastAsia="宋体" w:hint="default"/>
                <w:sz w:val="18"/>
                <w:szCs w:val="18"/>
              </w:rPr>
              <w:t>中国农业银行股 份有限公司－工 银瑞信信息产业 混合型证券投资 基金</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1.01%</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2,749,319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2,749,319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2,749,319</w:t>
            </w:r>
          </w:p>
        </w:tc>
        <w:tc>
          <w:tcPr>
            <w:tcW w:w="996"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55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pacing w:val="-12"/>
                <w:sz w:val="18"/>
                <w:szCs w:val="18"/>
              </w:rPr>
              <w:t>名股东的情况（如</w:t>
            </w:r>
            <w:r>
              <w:rPr>
                <w:rFonts w:ascii="宋体" w:hAnsi="宋体" w:cs="宋体" w:eastAsia="宋体" w:hint="default"/>
                <w:sz w:val="18"/>
                <w:szCs w:val="18"/>
              </w:rPr>
              <w:t> </w:t>
            </w:r>
            <w:r>
              <w:rPr>
                <w:rFonts w:ascii="宋体" w:hAnsi="宋体" w:cs="宋体" w:eastAsia="宋体" w:hint="default"/>
                <w:spacing w:val="-16"/>
                <w:sz w:val="18"/>
                <w:szCs w:val="18"/>
              </w:rPr>
              <w:t>有）（参见注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020" w:type="dxa"/>
            <w:gridSpan w:val="10"/>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1" w:hRule="exact"/>
        </w:trPr>
        <w:tc>
          <w:tcPr>
            <w:tcW w:w="2551"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7020" w:type="dxa"/>
            <w:gridSpan w:val="10"/>
            <w:vMerge w:val="restart"/>
            <w:tcBorders>
              <w:top w:val="single" w:sz="4" w:space="0" w:color="000000"/>
              <w:left w:val="single" w:sz="10" w:space="0" w:color="D4D4D4"/>
              <w:right w:val="single" w:sz="4" w:space="0" w:color="000000"/>
            </w:tcBorders>
          </w:tcPr>
          <w:p>
            <w:pPr>
              <w:pStyle w:val="TableParagraph"/>
              <w:spacing w:line="309" w:lineRule="auto" w:before="49"/>
              <w:ind w:left="16" w:right="19"/>
              <w:jc w:val="both"/>
              <w:rPr>
                <w:rFonts w:ascii="宋体" w:hAnsi="宋体" w:cs="宋体" w:eastAsia="宋体" w:hint="default"/>
                <w:sz w:val="18"/>
                <w:szCs w:val="18"/>
              </w:rPr>
            </w:pPr>
            <w:r>
              <w:rPr>
                <w:rFonts w:ascii="宋体" w:hAnsi="宋体" w:cs="宋体" w:eastAsia="宋体" w:hint="default"/>
                <w:spacing w:val="-3"/>
                <w:sz w:val="18"/>
                <w:szCs w:val="18"/>
              </w:rPr>
              <w:t>公司股东之间不存在关联关系及一致行动人。公司未知其他前</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名股东之间是否存在关</w:t>
            </w:r>
            <w:r>
              <w:rPr>
                <w:rFonts w:ascii="宋体" w:hAnsi="宋体" w:cs="宋体" w:eastAsia="宋体" w:hint="default"/>
                <w:spacing w:val="-88"/>
                <w:sz w:val="18"/>
                <w:szCs w:val="18"/>
              </w:rPr>
              <w:t> </w:t>
            </w:r>
            <w:r>
              <w:rPr>
                <w:rFonts w:ascii="宋体" w:hAnsi="宋体" w:cs="宋体" w:eastAsia="宋体" w:hint="default"/>
                <w:spacing w:val="-2"/>
                <w:sz w:val="18"/>
                <w:szCs w:val="18"/>
              </w:rPr>
              <w:t>联关系。未知股东之间是否存在关联关系，未知以上股东是否属于《上市公司收购管理办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法》中规定的一致行动人。</w:t>
            </w:r>
          </w:p>
        </w:tc>
      </w:tr>
      <w:tr>
        <w:trPr>
          <w:trHeight w:val="703" w:hRule="exact"/>
        </w:trPr>
        <w:tc>
          <w:tcPr>
            <w:tcW w:w="2551" w:type="dxa"/>
            <w:gridSpan w:val="2"/>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24" w:right="175"/>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020" w:type="dxa"/>
            <w:gridSpan w:val="10"/>
            <w:vMerge/>
            <w:tcBorders>
              <w:left w:val="single" w:sz="10" w:space="0" w:color="D4D4D4"/>
              <w:right w:val="single" w:sz="4" w:space="0" w:color="000000"/>
            </w:tcBorders>
          </w:tcPr>
          <w:p>
            <w:pPr/>
          </w:p>
        </w:tc>
      </w:tr>
      <w:tr>
        <w:trPr>
          <w:trHeight w:val="162" w:hRule="exact"/>
        </w:trPr>
        <w:tc>
          <w:tcPr>
            <w:tcW w:w="2551"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7020" w:type="dxa"/>
            <w:gridSpan w:val="10"/>
            <w:vMerge/>
            <w:tcBorders>
              <w:left w:val="single" w:sz="10" w:space="0" w:color="D4D4D4"/>
              <w:bottom w:val="single" w:sz="4" w:space="0" w:color="000000"/>
              <w:right w:val="single" w:sz="4" w:space="0" w:color="000000"/>
            </w:tcBorders>
          </w:tcPr>
          <w:p>
            <w:pPr/>
          </w:p>
        </w:tc>
      </w:tr>
      <w:tr>
        <w:trPr>
          <w:trHeight w:val="402"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0" w:type="dxa"/>
            <w:gridSpan w:val="3"/>
            <w:tcBorders>
              <w:top w:val="single" w:sz="4" w:space="0" w:color="000000"/>
              <w:left w:val="single" w:sz="4" w:space="0" w:color="000000"/>
              <w:bottom w:val="nil" w:sz="6" w:space="0" w:color="auto"/>
              <w:right w:val="single" w:sz="4" w:space="0" w:color="000000"/>
            </w:tcBorders>
            <w:shd w:val="clear" w:color="auto" w:fill="D4D4D4"/>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4D4D4"/>
          </w:tcPr>
          <w:p>
            <w:pPr/>
          </w:p>
        </w:tc>
        <w:tc>
          <w:tcPr>
            <w:tcW w:w="2702" w:type="dxa"/>
            <w:gridSpan w:val="4"/>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880" w:type="dxa"/>
            <w:gridSpan w:val="3"/>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02" w:type="dxa"/>
            <w:gridSpan w:val="4"/>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2880" w:type="dxa"/>
            <w:gridSpan w:val="3"/>
            <w:vMerge/>
            <w:tcBorders>
              <w:left w:val="single" w:sz="4" w:space="0" w:color="000000"/>
              <w:bottom w:val="nil" w:sz="6" w:space="0" w:color="auto"/>
              <w:right w:val="single" w:sz="4" w:space="0" w:color="000000"/>
            </w:tcBorders>
            <w:shd w:val="clear" w:color="auto" w:fill="D4D4D4"/>
          </w:tcPr>
          <w:p>
            <w:pPr/>
          </w:p>
        </w:tc>
        <w:tc>
          <w:tcPr>
            <w:tcW w:w="3989" w:type="dxa"/>
            <w:gridSpan w:val="5"/>
            <w:vMerge/>
            <w:tcBorders>
              <w:left w:val="single" w:sz="4" w:space="0" w:color="000000"/>
              <w:bottom w:val="nil" w:sz="6" w:space="0" w:color="auto"/>
              <w:right w:val="single" w:sz="4" w:space="0" w:color="000000"/>
            </w:tcBorders>
            <w:shd w:val="clear" w:color="auto" w:fill="D4D4D4"/>
          </w:tcPr>
          <w:p>
            <w:pPr/>
          </w:p>
        </w:tc>
        <w:tc>
          <w:tcPr>
            <w:tcW w:w="1349"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3"/>
            <w:tcBorders>
              <w:top w:val="nil" w:sz="6" w:space="0" w:color="auto"/>
              <w:left w:val="single" w:sz="4" w:space="0" w:color="000000"/>
              <w:bottom w:val="single" w:sz="4" w:space="0" w:color="000000"/>
              <w:right w:val="single" w:sz="4" w:space="0" w:color="000000"/>
            </w:tcBorders>
            <w:shd w:val="clear" w:color="auto" w:fill="D4D4D4"/>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4D4D4"/>
          </w:tcPr>
          <w:p>
            <w:pPr/>
          </w:p>
        </w:tc>
        <w:tc>
          <w:tcPr>
            <w:tcW w:w="1349" w:type="dxa"/>
            <w:gridSpan w:val="2"/>
            <w:vMerge/>
            <w:tcBorders>
              <w:left w:val="single" w:sz="4" w:space="0" w:color="000000"/>
              <w:bottom w:val="single" w:sz="4" w:space="0" w:color="000000"/>
              <w:right w:val="single" w:sz="4" w:space="0" w:color="000000"/>
            </w:tcBorders>
            <w:shd w:val="clear" w:color="auto" w:fill="D4D4D4"/>
          </w:tcPr>
          <w:p>
            <w:pPr/>
          </w:p>
        </w:tc>
        <w:tc>
          <w:tcPr>
            <w:tcW w:w="1354" w:type="dxa"/>
            <w:gridSpan w:val="2"/>
            <w:vMerge/>
            <w:tcBorders>
              <w:left w:val="single" w:sz="4" w:space="0" w:color="000000"/>
              <w:bottom w:val="single" w:sz="4" w:space="0" w:color="000000"/>
              <w:right w:val="single" w:sz="4" w:space="0" w:color="000000"/>
            </w:tcBorders>
            <w:shd w:val="clear" w:color="auto" w:fill="D4D4D4"/>
          </w:tcPr>
          <w:p>
            <w:pPr/>
          </w:p>
        </w:tc>
      </w:tr>
      <w:tr>
        <w:trPr>
          <w:trHeight w:val="713" w:hRule="exact"/>
        </w:trPr>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招商银行股份有限公司－富国低碳 环保混合型证券投资基金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13,542,779</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8" w:right="0"/>
              <w:jc w:val="left"/>
              <w:rPr>
                <w:rFonts w:ascii="Times New Roman" w:hAnsi="Times New Roman" w:cs="Times New Roman" w:eastAsia="Times New Roman" w:hint="default"/>
                <w:sz w:val="18"/>
                <w:szCs w:val="18"/>
              </w:rPr>
            </w:pPr>
            <w:r>
              <w:rPr>
                <w:rFonts w:ascii="Times New Roman"/>
                <w:sz w:val="18"/>
              </w:rPr>
              <w:t>13,542,779</w:t>
            </w:r>
          </w:p>
        </w:tc>
      </w:tr>
      <w:tr>
        <w:trPr>
          <w:trHeight w:val="403" w:hRule="exact"/>
        </w:trPr>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陆文雄</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13,515,195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8" w:right="0"/>
              <w:jc w:val="left"/>
              <w:rPr>
                <w:rFonts w:ascii="Times New Roman" w:hAnsi="Times New Roman" w:cs="Times New Roman" w:eastAsia="Times New Roman" w:hint="default"/>
                <w:sz w:val="18"/>
                <w:szCs w:val="18"/>
              </w:rPr>
            </w:pPr>
            <w:r>
              <w:rPr>
                <w:rFonts w:ascii="Times New Roman"/>
                <w:sz w:val="18"/>
              </w:rPr>
              <w:t>13,515,195</w:t>
            </w:r>
          </w:p>
        </w:tc>
      </w:tr>
      <w:tr>
        <w:trPr>
          <w:trHeight w:val="713" w:hRule="exact"/>
        </w:trPr>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中国工商银行股份有限公司－富国 新兴产业股票型证券投资基金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7,443,265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0" w:right="0"/>
              <w:jc w:val="left"/>
              <w:rPr>
                <w:rFonts w:ascii="Times New Roman" w:hAnsi="Times New Roman" w:cs="Times New Roman" w:eastAsia="Times New Roman" w:hint="default"/>
                <w:sz w:val="18"/>
                <w:szCs w:val="18"/>
              </w:rPr>
            </w:pPr>
            <w:r>
              <w:rPr>
                <w:rFonts w:ascii="Times New Roman"/>
                <w:sz w:val="18"/>
              </w:rPr>
              <w:t>7,443,265</w:t>
            </w:r>
          </w:p>
        </w:tc>
      </w:tr>
      <w:tr>
        <w:trPr>
          <w:trHeight w:val="715" w:hRule="exact"/>
        </w:trPr>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中国农业银行股份有限公司－中邮 核心成长混合型证券投资基金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5,790,010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00" w:right="0"/>
              <w:jc w:val="left"/>
              <w:rPr>
                <w:rFonts w:ascii="Times New Roman" w:hAnsi="Times New Roman" w:cs="Times New Roman" w:eastAsia="Times New Roman" w:hint="default"/>
                <w:sz w:val="18"/>
                <w:szCs w:val="18"/>
              </w:rPr>
            </w:pPr>
            <w:r>
              <w:rPr>
                <w:rFonts w:ascii="Times New Roman"/>
                <w:sz w:val="18"/>
              </w:rPr>
              <w:t>5,790,010</w:t>
            </w:r>
          </w:p>
        </w:tc>
      </w:tr>
      <w:tr>
        <w:trPr>
          <w:trHeight w:val="1025" w:hRule="exact"/>
        </w:trPr>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中国建设银行股份有限公司－融通 领先成长混合型证券投资基金</w:t>
            </w:r>
          </w:p>
          <w:p>
            <w:pPr>
              <w:pStyle w:val="TableParagraph"/>
              <w:spacing w:line="240" w:lineRule="auto" w:before="18"/>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3,599,192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00" w:right="0"/>
              <w:jc w:val="left"/>
              <w:rPr>
                <w:rFonts w:ascii="Times New Roman" w:hAnsi="Times New Roman" w:cs="Times New Roman" w:eastAsia="Times New Roman" w:hint="default"/>
                <w:sz w:val="18"/>
                <w:szCs w:val="18"/>
              </w:rPr>
            </w:pPr>
            <w:r>
              <w:rPr>
                <w:rFonts w:ascii="Times New Roman"/>
                <w:sz w:val="18"/>
              </w:rPr>
              <w:t>3,599,192</w:t>
            </w:r>
          </w:p>
        </w:tc>
      </w:tr>
      <w:tr>
        <w:trPr>
          <w:trHeight w:val="715" w:hRule="exact"/>
        </w:trPr>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中国农业银行股份有限公司－工银 瑞信信息产业混合型证券投资基金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2,749,319</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00" w:right="0"/>
              <w:jc w:val="left"/>
              <w:rPr>
                <w:rFonts w:ascii="Times New Roman" w:hAnsi="Times New Roman" w:cs="Times New Roman" w:eastAsia="Times New Roman" w:hint="default"/>
                <w:sz w:val="18"/>
                <w:szCs w:val="18"/>
              </w:rPr>
            </w:pPr>
            <w:r>
              <w:rPr>
                <w:rFonts w:ascii="Times New Roman"/>
                <w:sz w:val="18"/>
              </w:rPr>
              <w:t>2,749,319</w:t>
            </w:r>
          </w:p>
        </w:tc>
      </w:tr>
      <w:tr>
        <w:trPr>
          <w:trHeight w:val="401" w:hRule="exact"/>
        </w:trPr>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2,684,400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2,684,400</w:t>
            </w:r>
          </w:p>
        </w:tc>
      </w:tr>
      <w:tr>
        <w:trPr>
          <w:trHeight w:val="403" w:hRule="exact"/>
        </w:trPr>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姜蓓蓓</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2,612,096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0" w:right="0"/>
              <w:jc w:val="left"/>
              <w:rPr>
                <w:rFonts w:ascii="Times New Roman" w:hAnsi="Times New Roman" w:cs="Times New Roman" w:eastAsia="Times New Roman" w:hint="default"/>
                <w:sz w:val="18"/>
                <w:szCs w:val="18"/>
              </w:rPr>
            </w:pPr>
            <w:r>
              <w:rPr>
                <w:rFonts w:ascii="Times New Roman"/>
                <w:sz w:val="18"/>
              </w:rPr>
              <w:t>2,612,096</w:t>
            </w:r>
          </w:p>
        </w:tc>
      </w:tr>
      <w:tr>
        <w:trPr>
          <w:trHeight w:val="1025" w:hRule="exact"/>
        </w:trPr>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both"/>
              <w:rPr>
                <w:rFonts w:ascii="宋体" w:hAnsi="宋体" w:cs="宋体" w:eastAsia="宋体" w:hint="default"/>
                <w:sz w:val="18"/>
                <w:szCs w:val="18"/>
              </w:rPr>
            </w:pPr>
            <w:r>
              <w:rPr>
                <w:rFonts w:ascii="宋体" w:hAnsi="宋体" w:cs="宋体" w:eastAsia="宋体" w:hint="default"/>
                <w:sz w:val="18"/>
                <w:szCs w:val="18"/>
              </w:rPr>
              <w:t>中国农业银行股份有限公司－中邮 创新优势灵活配置混合型证券投资 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2,068,990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00" w:right="0"/>
              <w:jc w:val="left"/>
              <w:rPr>
                <w:rFonts w:ascii="Times New Roman" w:hAnsi="Times New Roman" w:cs="Times New Roman" w:eastAsia="Times New Roman" w:hint="default"/>
                <w:sz w:val="18"/>
                <w:szCs w:val="18"/>
              </w:rPr>
            </w:pPr>
            <w:r>
              <w:rPr>
                <w:rFonts w:ascii="Times New Roman"/>
                <w:sz w:val="18"/>
              </w:rPr>
              <w:t>2,068,990</w:t>
            </w:r>
          </w:p>
        </w:tc>
      </w:tr>
      <w:tr>
        <w:trPr>
          <w:trHeight w:val="1027" w:hRule="exact"/>
        </w:trPr>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中国工商银行股份有限公司－富国 天惠精选成长混合型证券投资基金</w:t>
            </w:r>
          </w:p>
          <w:p>
            <w:pPr>
              <w:pStyle w:val="TableParagraph"/>
              <w:spacing w:line="240" w:lineRule="auto" w:before="2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LOF</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1,959,579</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600" w:right="0"/>
              <w:jc w:val="left"/>
              <w:rPr>
                <w:rFonts w:ascii="Times New Roman" w:hAnsi="Times New Roman" w:cs="Times New Roman" w:eastAsia="Times New Roman" w:hint="default"/>
                <w:sz w:val="18"/>
                <w:szCs w:val="18"/>
              </w:rPr>
            </w:pPr>
            <w:r>
              <w:rPr>
                <w:rFonts w:ascii="Times New Roman"/>
                <w:sz w:val="18"/>
              </w:rPr>
              <w:t>1,959,579</w:t>
            </w:r>
          </w:p>
        </w:tc>
      </w:tr>
      <w:tr>
        <w:trPr>
          <w:trHeight w:val="1337" w:hRule="exact"/>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4" w:right="16"/>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9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22"/>
              <w:jc w:val="left"/>
              <w:rPr>
                <w:rFonts w:ascii="宋体" w:hAnsi="宋体" w:cs="宋体" w:eastAsia="宋体" w:hint="default"/>
                <w:sz w:val="18"/>
                <w:szCs w:val="18"/>
              </w:rPr>
            </w:pPr>
            <w:r>
              <w:rPr>
                <w:rFonts w:ascii="宋体" w:hAnsi="宋体" w:cs="宋体" w:eastAsia="宋体" w:hint="default"/>
                <w:spacing w:val="-1"/>
                <w:sz w:val="18"/>
                <w:szCs w:val="18"/>
              </w:rPr>
              <w:t>公司与上述无限售流通股股东间不存在关联关系，本公司未知前十名无限售条件股东</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之间是否存在关联关系，也未知是否属于一致行动人。</w:t>
            </w:r>
          </w:p>
        </w:tc>
      </w:tr>
      <w:tr>
        <w:trPr>
          <w:trHeight w:val="403" w:hRule="exact"/>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p>
        </w:tc>
        <w:tc>
          <w:tcPr>
            <w:tcW w:w="669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p>
      <w:pPr>
        <w:spacing w:line="381" w:lineRule="exact"/>
        <w:ind w:left="14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479.05pt;height:19.1pt;mso-position-horizontal-relative:char;mso-position-vertical-relative:line" coordorigin="0,0" coordsize="9581,382">
            <v:group style="position:absolute;left:23;top:14;width:2;height:353" coordorigin="23,14" coordsize="2,353">
              <v:shape style="position:absolute;left:23;top:14;width:2;height:353" coordorigin="23,14" coordsize="0,353" path="m23,14l23,367e" filled="false" stroked="true" strokeweight="1.08pt" strokecolor="#d4d4d4">
                <v:path arrowok="t"/>
              </v:shape>
            </v:group>
            <v:group style="position:absolute;left:2869;top:14;width:2;height:353" coordorigin="2869,14" coordsize="2,353">
              <v:shape style="position:absolute;left:2869;top:14;width:2;height:353" coordorigin="2869,14" coordsize="0,353" path="m2869,14l2869,367e" filled="false" stroked="true" strokeweight="1.08pt" strokecolor="#d4d4d4">
                <v:path arrowok="t"/>
              </v:shape>
            </v:group>
            <v:group style="position:absolute;left:34;top:14;width:2825;height:353" coordorigin="34,14" coordsize="2825,353">
              <v:shape style="position:absolute;left:34;top:14;width:2825;height:353" coordorigin="34,14" coordsize="2825,353" path="m34,367l2858,367,2858,14,34,14,34,367xe" filled="true" fillcolor="#d4d4d4" stroked="false">
                <v:path arrowok="t"/>
                <v:fill type="solid"/>
              </v:shape>
            </v:group>
            <v:group style="position:absolute;left:10;top:10;width:2871;height:2" coordorigin="10,10" coordsize="2871,2">
              <v:shape style="position:absolute;left:10;top:10;width:2871;height:2" coordorigin="10,10" coordsize="2871,0" path="m10,10l2880,10e" filled="false" stroked="true" strokeweight=".48pt" strokecolor="#000000">
                <v:path arrowok="t"/>
              </v:shape>
            </v:group>
            <v:group style="position:absolute;left:2890;top:10;width:6682;height:2" coordorigin="2890,10" coordsize="6682,2">
              <v:shape style="position:absolute;left:2890;top:10;width:6682;height:2" coordorigin="2890,10" coordsize="6682,0" path="m2890,10l9571,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2871;height:2" coordorigin="10,372" coordsize="2871,2">
              <v:shape style="position:absolute;left:10;top:372;width:2871;height:2" coordorigin="10,372" coordsize="2871,0" path="m10,372l2880,372e" filled="false" stroked="true" strokeweight=".48pt" strokecolor="#000000">
                <v:path arrowok="t"/>
              </v:shape>
            </v:group>
            <v:group style="position:absolute;left:2885;top:5;width:2;height:372" coordorigin="2885,5" coordsize="2,372">
              <v:shape style="position:absolute;left:2885;top:5;width:2;height:372" coordorigin="2885,5" coordsize="0,372" path="m2885,5l2885,377e" filled="false" stroked="true" strokeweight=".48pt" strokecolor="#000000">
                <v:path arrowok="t"/>
              </v:shape>
            </v:group>
            <v:group style="position:absolute;left:2890;top:372;width:6682;height:2" coordorigin="2890,372" coordsize="6682,2">
              <v:shape style="position:absolute;left:2890;top:372;width:6682;height:2" coordorigin="2890,372" coordsize="6682,0" path="m2890,372l9571,372e" filled="false" stroked="true" strokeweight=".48pt" strokecolor="#000000">
                <v:path arrowok="t"/>
              </v:shape>
            </v:group>
            <v:group style="position:absolute;left:9576;top:5;width:2;height:372" coordorigin="9576,5" coordsize="2,372">
              <v:shape style="position:absolute;left:9576;top:5;width:2;height:372" coordorigin="9576,5" coordsize="0,372" path="m9576,5l9576,377e" filled="false" stroked="true" strokeweight=".48pt" strokecolor="#000000">
                <v:path arrowok="t"/>
              </v:shape>
              <v:shape style="position:absolute;left:6;top:10;width:2879;height:363" type="#_x0000_t202" filled="false" stroked="false">
                <v:textbox inset="0,0,0,0">
                  <w:txbxContent>
                    <w:p>
                      <w:pPr>
                        <w:spacing w:before="13"/>
                        <w:ind w:left="27" w:right="0" w:firstLine="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w:t>
                      </w:r>
                    </w:p>
                  </w:txbxContent>
                </v:textbox>
                <w10:wrap type="none"/>
              </v:shape>
            </v:group>
          </v:group>
        </w:pict>
      </w:r>
      <w:r>
        <w:rPr>
          <w:rFonts w:ascii="Times New Roman" w:hAnsi="Times New Roman" w:cs="Times New Roman" w:eastAsia="Times New Roman" w:hint="default"/>
          <w:position w:val="-7"/>
          <w:sz w:val="20"/>
          <w:szCs w:val="20"/>
        </w:rPr>
      </w: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3"/>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2</w:t>
      </w:r>
      <w:bookmarkStart w:name="2、公司控股股东情况" w:id="110"/>
      <w:bookmarkEnd w:id="110"/>
      <w:r>
        <w:rPr>
          <w:rFonts w:ascii="Times New Roman" w:hAnsi="Times New Roman" w:cs="Times New Roman" w:eastAsia="Times New Roman" w:hint="default"/>
        </w:rPr>
      </w:r>
      <w:r>
        <w:rPr/>
        <w:t>、公司控股股东情况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7614"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8"/>
        <w:gridCol w:w="2030"/>
        <w:gridCol w:w="4118"/>
      </w:tblGrid>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陆文雄</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担任司董事长、控股股东及实际控制人、总经理</w:t>
            </w:r>
          </w:p>
        </w:tc>
      </w:tr>
      <w:tr>
        <w:trPr>
          <w:trHeight w:val="715" w:hRule="exact"/>
        </w:trPr>
        <w:tc>
          <w:tcPr>
            <w:tcW w:w="3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9"/>
        <w:ind w:left="152"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5"/>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5"/>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7434"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3326"/>
        <w:gridCol w:w="2122"/>
        <w:gridCol w:w="4121"/>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29"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94" w:right="0"/>
              <w:jc w:val="left"/>
              <w:rPr>
                <w:rFonts w:ascii="宋体" w:hAnsi="宋体" w:cs="宋体" w:eastAsia="宋体" w:hint="default"/>
                <w:sz w:val="18"/>
                <w:szCs w:val="18"/>
              </w:rPr>
            </w:pPr>
            <w:bookmarkStart w:name="3、公司实际控制人情况" w:id="111"/>
            <w:bookmarkEnd w:id="111"/>
            <w:r>
              <w:rPr/>
            </w:r>
            <w:r>
              <w:rPr>
                <w:rFonts w:ascii="宋体" w:hAnsi="宋体" w:cs="宋体" w:eastAsia="宋体" w:hint="default"/>
                <w:sz w:val="18"/>
                <w:szCs w:val="18"/>
              </w:rPr>
              <w:t>是否取得其他国家或地区居留权</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陆文雄</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公司董事长、公司控股股东及实际控制人</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9"/>
        <w:ind w:left="152"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50" w:lineRule="auto" w:before="115"/>
        <w:ind w:left="152" w:right="581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after="0" w:line="35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3"/>
        <w:rPr>
          <w:rFonts w:ascii="宋体" w:hAnsi="宋体" w:cs="宋体" w:eastAsia="宋体" w:hint="default"/>
          <w:sz w:val="29"/>
          <w:szCs w:val="29"/>
        </w:rPr>
      </w:pPr>
    </w:p>
    <w:p>
      <w:pPr>
        <w:spacing w:line="3720" w:lineRule="exact"/>
        <w:ind w:left="1352" w:right="0" w:firstLine="0"/>
        <w:rPr>
          <w:rFonts w:ascii="宋体" w:hAnsi="宋体" w:cs="宋体" w:eastAsia="宋体" w:hint="default"/>
          <w:sz w:val="20"/>
          <w:szCs w:val="20"/>
        </w:rPr>
      </w:pPr>
      <w:r>
        <w:rPr>
          <w:rFonts w:ascii="宋体" w:hAnsi="宋体" w:cs="宋体" w:eastAsia="宋体" w:hint="default"/>
          <w:position w:val="-73"/>
          <w:sz w:val="20"/>
          <w:szCs w:val="20"/>
        </w:rPr>
        <w:drawing>
          <wp:inline distT="0" distB="0" distL="0" distR="0">
            <wp:extent cx="4593336" cy="2362200"/>
            <wp:effectExtent l="0" t="0" r="0" b="0"/>
            <wp:docPr id="7" name="image3.png" descr="?"/>
            <wp:cNvGraphicFramePr>
              <a:graphicFrameLocks noChangeAspect="1"/>
            </wp:cNvGraphicFramePr>
            <a:graphic>
              <a:graphicData uri="http://schemas.openxmlformats.org/drawingml/2006/picture">
                <pic:pic>
                  <pic:nvPicPr>
                    <pic:cNvPr id="8" name="image3.png"/>
                    <pic:cNvPicPr/>
                  </pic:nvPicPr>
                  <pic:blipFill>
                    <a:blip r:embed="rId17" cstate="print"/>
                    <a:stretch>
                      <a:fillRect/>
                    </a:stretch>
                  </pic:blipFill>
                  <pic:spPr>
                    <a:xfrm>
                      <a:off x="0" y="0"/>
                      <a:ext cx="4593336" cy="2362200"/>
                    </a:xfrm>
                    <a:prstGeom prst="rect">
                      <a:avLst/>
                    </a:prstGeom>
                  </pic:spPr>
                </pic:pic>
              </a:graphicData>
            </a:graphic>
          </wp:inline>
        </w:drawing>
      </w:r>
      <w:r>
        <w:rPr>
          <w:rFonts w:ascii="宋体" w:hAnsi="宋体" w:cs="宋体" w:eastAsia="宋体" w:hint="default"/>
          <w:position w:val="-73"/>
          <w:sz w:val="20"/>
          <w:szCs w:val="20"/>
        </w:rPr>
      </w:r>
    </w:p>
    <w:p>
      <w:pPr>
        <w:spacing w:line="240" w:lineRule="auto" w:before="10"/>
        <w:rPr>
          <w:rFonts w:ascii="宋体" w:hAnsi="宋体" w:cs="宋体" w:eastAsia="宋体" w:hint="default"/>
          <w:sz w:val="13"/>
          <w:szCs w:val="13"/>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line="240" w:lineRule="auto" w:before="1"/>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w:t>
      </w:r>
      <w:bookmarkStart w:name="4、其他持股在10%以上的法人股东" w:id="112"/>
      <w:bookmarkEnd w:id="112"/>
      <w:r>
        <w:rPr/>
      </w:r>
      <w:bookmarkStart w:name="5、控股股东、实际控制人、重组方及其他承诺主体股份限制减持情况" w:id="113"/>
      <w:bookmarkEnd w:id="113"/>
      <w:r>
        <w:rPr/>
        <w:t>股份限制减持情况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4" w:right="0"/>
        <w:jc w:val="left"/>
        <w:rPr>
          <w:b w:val="0"/>
          <w:bCs w:val="0"/>
        </w:rPr>
      </w:pPr>
      <w:bookmarkStart w:name="_TOC_250004" w:id="114"/>
      <w:bookmarkStart w:name="第七节 优先股相关情况" w:id="115"/>
      <w:r>
        <w:rPr>
          <w:b w:val="0"/>
          <w:bCs w:val="0"/>
        </w:rPr>
      </w:r>
      <w:r>
        <w:rPr/>
        <w:t>第七节</w:t>
      </w:r>
      <w:r>
        <w:rPr>
          <w:spacing w:val="-6"/>
        </w:rPr>
        <w:t> </w:t>
      </w:r>
      <w:r>
        <w:rPr/>
        <w:t>优先股相关情况</w:t>
      </w:r>
      <w:bookmarkEnd w:id="114"/>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4"/>
        <w:ind w:left="152" w:right="761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0"/>
        <w:jc w:val="left"/>
        <w:rPr>
          <w:b w:val="0"/>
          <w:bCs w:val="0"/>
        </w:rPr>
      </w:pPr>
      <w:bookmarkStart w:name="_TOC_250003" w:id="116"/>
      <w:bookmarkStart w:name="二、公司董事、监事、高级管理人员变动情况" w:id="117"/>
      <w:r>
        <w:rPr>
          <w:b w:val="0"/>
          <w:bCs w:val="0"/>
        </w:rPr>
      </w:r>
      <w:bookmarkStart w:name="第八节 董事、监事、高级管理人员和员工情况" w:id="118"/>
      <w:bookmarkEnd w:id="118"/>
      <w:r>
        <w:rPr>
          <w:b w:val="0"/>
          <w:bCs w:val="0"/>
        </w:rPr>
      </w:r>
      <w:r>
        <w:rPr/>
        <w:t>第八节</w:t>
      </w:r>
      <w:r>
        <w:rPr>
          <w:spacing w:val="-9"/>
        </w:rPr>
        <w:t> </w:t>
      </w:r>
      <w:r>
        <w:rPr/>
        <w:t>董事、监事、高级管理人员和员工情况</w:t>
      </w:r>
      <w:bookmarkEnd w:id="116"/>
      <w:r>
        <w:rPr>
          <w:b w:val="0"/>
          <w:bCs w:val="0"/>
        </w:rPr>
      </w:r>
    </w:p>
    <w:p>
      <w:pPr>
        <w:spacing w:line="240" w:lineRule="auto" w:before="2"/>
        <w:rPr>
          <w:rFonts w:ascii="宋体" w:hAnsi="宋体" w:cs="宋体" w:eastAsia="宋体" w:hint="default"/>
          <w:b/>
          <w:bCs/>
          <w:sz w:val="39"/>
          <w:szCs w:val="39"/>
        </w:rPr>
      </w:pPr>
    </w:p>
    <w:p>
      <w:pPr>
        <w:pStyle w:val="Heading4"/>
        <w:spacing w:line="240" w:lineRule="auto"/>
        <w:ind w:right="0"/>
        <w:jc w:val="left"/>
        <w:rPr>
          <w:b w:val="0"/>
          <w:bCs w:val="0"/>
        </w:rPr>
      </w:pPr>
      <w:r>
        <w:rPr/>
        <w:t>一、董事、监</w:t>
      </w:r>
      <w:bookmarkStart w:name="一、董事、监事和高级管理人员持股变动" w:id="119"/>
      <w:bookmarkEnd w:id="119"/>
      <w:r>
        <w:rPr/>
        <w:t>事</w:t>
      </w:r>
      <w:r>
        <w:rPr/>
        <w:t>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08"/>
        <w:gridCol w:w="888"/>
        <w:gridCol w:w="797"/>
        <w:gridCol w:w="583"/>
        <w:gridCol w:w="569"/>
        <w:gridCol w:w="991"/>
        <w:gridCol w:w="1046"/>
        <w:gridCol w:w="938"/>
        <w:gridCol w:w="850"/>
        <w:gridCol w:w="710"/>
        <w:gridCol w:w="694"/>
        <w:gridCol w:w="797"/>
      </w:tblGrid>
      <w:tr>
        <w:trPr>
          <w:trHeight w:val="1339" w:hRule="exact"/>
        </w:trPr>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400" w:right="38"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429" w:right="65"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9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05" w:right="10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0" w:right="5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9" w:right="79"/>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79"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71" w:right="71"/>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9"/>
              <w:ind w:left="7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陆文雄</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9"/>
              <w:jc w:val="left"/>
              <w:rPr>
                <w:rFonts w:ascii="宋体" w:hAnsi="宋体" w:cs="宋体" w:eastAsia="宋体" w:hint="default"/>
                <w:sz w:val="18"/>
                <w:szCs w:val="18"/>
              </w:rPr>
            </w:pPr>
            <w:r>
              <w:rPr>
                <w:rFonts w:ascii="宋体" w:hAnsi="宋体" w:cs="宋体" w:eastAsia="宋体" w:hint="default"/>
                <w:spacing w:val="-14"/>
                <w:sz w:val="18"/>
                <w:szCs w:val="18"/>
              </w:rPr>
              <w:t>董事长、总</w:t>
            </w:r>
            <w:r>
              <w:rPr>
                <w:rFonts w:ascii="宋体" w:hAnsi="宋体" w:cs="宋体" w:eastAsia="宋体" w:hint="default"/>
                <w:sz w:val="18"/>
                <w:szCs w:val="18"/>
              </w:rPr>
              <w:t>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36,005,720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18,055,06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54,060,78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杜力耘</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11,788,780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5,055,391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14,044,17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陈宏科</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9"/>
              <w:jc w:val="left"/>
              <w:rPr>
                <w:rFonts w:ascii="宋体" w:hAnsi="宋体" w:cs="宋体" w:eastAsia="宋体" w:hint="default"/>
                <w:sz w:val="18"/>
                <w:szCs w:val="18"/>
              </w:rPr>
            </w:pPr>
            <w:r>
              <w:rPr>
                <w:rFonts w:ascii="宋体" w:hAnsi="宋体" w:cs="宋体" w:eastAsia="宋体" w:hint="default"/>
                <w:spacing w:val="-14"/>
                <w:sz w:val="18"/>
                <w:szCs w:val="18"/>
              </w:rPr>
              <w:t>董事、副总</w:t>
            </w:r>
            <w:r>
              <w:rPr>
                <w:rFonts w:ascii="宋体" w:hAnsi="宋体" w:cs="宋体" w:eastAsia="宋体" w:hint="default"/>
                <w:sz w:val="18"/>
                <w:szCs w:val="18"/>
              </w:rPr>
              <w:t>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15,729,321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8,327,061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21,456,38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楼晔</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11,110,444</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4,845,821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13,416,26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姜蓓蓓</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9"/>
              <w:jc w:val="left"/>
              <w:rPr>
                <w:rFonts w:ascii="宋体" w:hAnsi="宋体" w:cs="宋体" w:eastAsia="宋体" w:hint="default"/>
                <w:sz w:val="18"/>
                <w:szCs w:val="18"/>
              </w:rPr>
            </w:pPr>
            <w:r>
              <w:rPr>
                <w:rFonts w:ascii="宋体" w:hAnsi="宋体" w:cs="宋体" w:eastAsia="宋体" w:hint="default"/>
                <w:spacing w:val="-14"/>
                <w:sz w:val="18"/>
                <w:szCs w:val="18"/>
              </w:rPr>
              <w:t>董事、副总</w:t>
            </w:r>
            <w:r>
              <w:rPr>
                <w:rFonts w:ascii="宋体" w:hAnsi="宋体" w:cs="宋体" w:eastAsia="宋体" w:hint="default"/>
                <w:sz w:val="18"/>
                <w:szCs w:val="18"/>
              </w:rPr>
              <w:t>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6,932,257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3,516,128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10,448,38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叶磊</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4"/>
                <w:sz w:val="18"/>
                <w:szCs w:val="18"/>
              </w:rPr>
              <w:t>董事、副总</w:t>
            </w:r>
            <w:r>
              <w:rPr>
                <w:rFonts w:ascii="宋体" w:hAnsi="宋体" w:cs="宋体" w:eastAsia="宋体" w:hint="default"/>
                <w:sz w:val="18"/>
                <w:szCs w:val="18"/>
              </w:rPr>
              <w:t>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325,000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113,750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97,500</w:t>
            </w:r>
          </w:p>
        </w:tc>
        <w:tc>
          <w:tcPr>
            <w:tcW w:w="6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341,250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杨凯</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488,600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163,800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161,000</w:t>
            </w:r>
          </w:p>
        </w:tc>
        <w:tc>
          <w:tcPr>
            <w:tcW w:w="6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491,400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武雪松</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260,000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97,500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65,000</w:t>
            </w:r>
          </w:p>
        </w:tc>
        <w:tc>
          <w:tcPr>
            <w:tcW w:w="6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292,500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周全</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1,229,913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614,956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1,844,869</w:t>
            </w:r>
          </w:p>
        </w:tc>
      </w:tr>
      <w:tr>
        <w:trPr>
          <w:trHeight w:val="1339"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陆廷洁</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董事会秘 </w:t>
            </w:r>
            <w:r>
              <w:rPr>
                <w:rFonts w:ascii="宋体" w:hAnsi="宋体" w:cs="宋体" w:eastAsia="宋体" w:hint="default"/>
                <w:spacing w:val="-14"/>
                <w:sz w:val="18"/>
                <w:szCs w:val="18"/>
              </w:rPr>
              <w:t>书、财务总</w:t>
            </w:r>
            <w:r>
              <w:rPr>
                <w:rFonts w:ascii="宋体" w:hAnsi="宋体" w:cs="宋体" w:eastAsia="宋体" w:hint="default"/>
                <w:sz w:val="18"/>
                <w:szCs w:val="18"/>
              </w:rPr>
              <w:t> </w:t>
            </w:r>
            <w:r>
              <w:rPr>
                <w:rFonts w:ascii="宋体" w:hAnsi="宋体" w:cs="宋体" w:eastAsia="宋体" w:hint="default"/>
                <w:spacing w:val="-14"/>
                <w:sz w:val="18"/>
                <w:szCs w:val="18"/>
              </w:rPr>
              <w:t>监、副总经</w:t>
            </w:r>
            <w:r>
              <w:rPr>
                <w:rFonts w:ascii="宋体" w:hAnsi="宋体" w:cs="宋体" w:eastAsia="宋体" w:hint="default"/>
                <w:sz w:val="18"/>
                <w:szCs w:val="18"/>
              </w:rPr>
              <w:t>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435,500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180,251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75,000</w:t>
            </w:r>
          </w:p>
        </w:tc>
        <w:tc>
          <w:tcPr>
            <w:tcW w:w="6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540,751</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84,305,535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40,969,71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8,338,50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116,936,7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53</w:t>
            </w:r>
          </w:p>
        </w:tc>
      </w:tr>
    </w:tbl>
    <w:p>
      <w:pPr>
        <w:spacing w:line="240" w:lineRule="auto" w:before="1"/>
        <w:rPr>
          <w:rFonts w:ascii="宋体" w:hAnsi="宋体" w:cs="宋体" w:eastAsia="宋体" w:hint="default"/>
          <w:b/>
          <w:bCs/>
          <w:sz w:val="18"/>
          <w:szCs w:val="18"/>
        </w:rPr>
      </w:pPr>
    </w:p>
    <w:p>
      <w:pPr>
        <w:pStyle w:val="Heading4"/>
        <w:spacing w:line="240" w:lineRule="auto" w:before="26"/>
        <w:ind w:right="0"/>
        <w:jc w:val="left"/>
        <w:rPr>
          <w:b w:val="0"/>
          <w:bCs w:val="0"/>
        </w:rPr>
      </w:pPr>
      <w:r>
        <w:rPr/>
        <w:t>二、公司董事、监事、高级管理人员变动情况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027"/>
        <w:gridCol w:w="1634"/>
        <w:gridCol w:w="4246"/>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0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8"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67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严义埙</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参照中共中央组织部文件中组发</w:t>
            </w:r>
            <w:r>
              <w:rPr>
                <w:rFonts w:ascii="Times New Roman" w:hAnsi="Times New Roman" w:cs="Times New Roman" w:eastAsia="Times New Roman" w:hint="default"/>
                <w:sz w:val="18"/>
                <w:szCs w:val="18"/>
              </w:rPr>
              <w:t>[2013]18 </w:t>
            </w:r>
            <w:r>
              <w:rPr>
                <w:rFonts w:ascii="宋体" w:hAnsi="宋体" w:cs="宋体" w:eastAsia="宋体" w:hint="default"/>
                <w:sz w:val="18"/>
                <w:szCs w:val="18"/>
              </w:rPr>
              <w:t>号《关于进 一步规范党政领导干部在企业兼职（任职）问题的意</w:t>
            </w:r>
          </w:p>
        </w:tc>
      </w:tr>
    </w:tbl>
    <w:p>
      <w:pPr>
        <w:spacing w:after="0" w:line="30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027"/>
        <w:gridCol w:w="1634"/>
        <w:gridCol w:w="4246"/>
      </w:tblGrid>
      <w:tr>
        <w:trPr>
          <w:trHeight w:val="2234"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17"/>
              <w:jc w:val="both"/>
              <w:rPr>
                <w:rFonts w:ascii="Times New Roman" w:hAnsi="Times New Roman" w:cs="Times New Roman" w:eastAsia="Times New Roman" w:hint="default"/>
                <w:sz w:val="18"/>
                <w:szCs w:val="18"/>
              </w:rPr>
            </w:pPr>
            <w:r>
              <w:rPr>
                <w:rFonts w:ascii="宋体" w:hAnsi="宋体" w:cs="宋体" w:eastAsia="宋体" w:hint="default"/>
                <w:spacing w:val="-4"/>
                <w:sz w:val="18"/>
                <w:szCs w:val="18"/>
              </w:rPr>
              <w:t>见》的要求，严义埙先生于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日申请辞去 公司独立董事职务，不再担任公司独立董事、战略委 员会及提名委员会主任委员。严义埙先生辞职报告自 </w:t>
            </w:r>
            <w:r>
              <w:rPr>
                <w:rFonts w:ascii="宋体" w:hAnsi="宋体" w:cs="宋体" w:eastAsia="宋体" w:hint="default"/>
                <w:spacing w:val="-5"/>
                <w:sz w:val="18"/>
                <w:szCs w:val="18"/>
              </w:rPr>
              <w:t>股东大会增补新的董事时生效。公司于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15</w:t>
            </w:r>
            <w:r>
              <w:rPr>
                <w:rFonts w:ascii="Times New Roman" w:hAnsi="Times New Roman" w:cs="Times New Roman" w:eastAsia="Times New Roman" w:hint="default"/>
                <w:sz w:val="18"/>
                <w:szCs w:val="18"/>
              </w:rPr>
            </w:r>
          </w:p>
          <w:p>
            <w:pPr>
              <w:pStyle w:val="TableParagraph"/>
              <w:spacing w:line="309" w:lineRule="auto" w:before="3"/>
              <w:ind w:left="23" w:right="19"/>
              <w:jc w:val="both"/>
              <w:rPr>
                <w:rFonts w:ascii="宋体" w:hAnsi="宋体" w:cs="宋体" w:eastAsia="宋体" w:hint="default"/>
                <w:sz w:val="18"/>
                <w:szCs w:val="18"/>
              </w:rPr>
            </w:pPr>
            <w:r>
              <w:rPr>
                <w:rFonts w:ascii="宋体" w:hAnsi="宋体" w:cs="宋体" w:eastAsia="宋体" w:hint="default"/>
                <w:sz w:val="18"/>
                <w:szCs w:val="18"/>
              </w:rPr>
              <w:t>日召开</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年第一次临时股东大会选举产生了第三届 董事。严义埙先生自本次股东大会生效之日起不再担 任董事。</w:t>
            </w:r>
          </w:p>
        </w:tc>
      </w:tr>
      <w:tr>
        <w:trPr>
          <w:trHeight w:val="289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朱范予</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67"/>
              <w:jc w:val="both"/>
              <w:rPr>
                <w:rFonts w:ascii="宋体" w:hAnsi="宋体" w:cs="宋体" w:eastAsia="宋体" w:hint="default"/>
                <w:sz w:val="18"/>
                <w:szCs w:val="18"/>
              </w:rPr>
            </w:pPr>
            <w:r>
              <w:rPr>
                <w:rFonts w:ascii="宋体" w:hAnsi="宋体" w:cs="宋体" w:eastAsia="宋体" w:hint="default"/>
                <w:sz w:val="18"/>
                <w:szCs w:val="18"/>
              </w:rPr>
              <w:t>参照中共中央组织部文件中组发</w:t>
            </w:r>
            <w:r>
              <w:rPr>
                <w:rFonts w:ascii="Times New Roman" w:hAnsi="Times New Roman" w:cs="Times New Roman" w:eastAsia="Times New Roman" w:hint="default"/>
                <w:sz w:val="18"/>
                <w:szCs w:val="18"/>
              </w:rPr>
              <w:t>[2013]18 </w:t>
            </w:r>
            <w:r>
              <w:rPr>
                <w:rFonts w:ascii="宋体" w:hAnsi="宋体" w:cs="宋体" w:eastAsia="宋体" w:hint="default"/>
                <w:sz w:val="18"/>
                <w:szCs w:val="18"/>
              </w:rPr>
              <w:t>号《关于进 一步规范党政领导干部在企业兼职（任职）问题的意 见》的要求，朱范予先生于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日申请辞 去公司独立董事职务，不再担任公司独立董事、薪酬 与考核委员会主任委员及审计委员会、战略发展委员 会委员。朱范予先生辞职报告自股东大会增补新的董 </w:t>
            </w:r>
            <w:r>
              <w:rPr>
                <w:rFonts w:ascii="宋体" w:hAnsi="宋体" w:cs="宋体" w:eastAsia="宋体" w:hint="default"/>
                <w:spacing w:val="-11"/>
                <w:sz w:val="18"/>
                <w:szCs w:val="18"/>
              </w:rPr>
              <w:t>事时生效。。公司于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日召开</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一次临时股东大会选举产生了第三届董事。朱范予先 生自本次股东大会生效之日起不再担任董事。</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陈杰平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年第一次临时股东 大会选举产生了第三届董事。陈杰平先生届满离任。</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年第一次临时股东 大会选举产生了第三届监事。周全先生届满离任。</w:t>
            </w:r>
          </w:p>
        </w:tc>
      </w:tr>
      <w:tr>
        <w:trPr>
          <w:trHeight w:val="102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陈宏科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年第一次临时股东 大会选举产生了第三届董事。陈宏科先生届满离任且 亦不再担任高级管理人员。</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武雪松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年第一次临时股东 大会选举产生了第三届董事。武雪松先生届满离任。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刘洁琼</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日召开职工代表大会，选举新的职工代</w:t>
            </w:r>
            <w:r>
              <w:rPr>
                <w:rFonts w:ascii="宋体" w:hAnsi="宋体" w:cs="宋体" w:eastAsia="宋体" w:hint="default"/>
                <w:sz w:val="18"/>
                <w:szCs w:val="18"/>
              </w:rPr>
              <w:t> 表监事，刘洁琼女士任期届满离任</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叶磊</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杨凯</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黄钰昌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徐宇舟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姚宝敬</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彭玉龙</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监事会换届</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监事会换届</w:t>
            </w:r>
          </w:p>
        </w:tc>
      </w:tr>
    </w:tbl>
    <w:p>
      <w:pPr>
        <w:spacing w:line="240" w:lineRule="auto" w:before="1"/>
        <w:rPr>
          <w:rFonts w:ascii="宋体" w:hAnsi="宋体" w:cs="宋体" w:eastAsia="宋体" w:hint="default"/>
          <w:b/>
          <w:bCs/>
          <w:sz w:val="18"/>
          <w:szCs w:val="18"/>
        </w:rPr>
      </w:pPr>
    </w:p>
    <w:p>
      <w:pPr>
        <w:pStyle w:val="Heading4"/>
        <w:spacing w:line="240" w:lineRule="auto" w:before="26"/>
        <w:ind w:right="0"/>
        <w:jc w:val="left"/>
        <w:rPr>
          <w:b w:val="0"/>
          <w:bCs w:val="0"/>
        </w:rPr>
      </w:pPr>
      <w:bookmarkStart w:name="三、任职情况" w:id="120"/>
      <w:bookmarkEnd w:id="120"/>
      <w:r>
        <w:rPr>
          <w:b w:val="0"/>
          <w:bCs w:val="0"/>
        </w:rPr>
      </w:r>
      <w:r>
        <w:rPr/>
        <w:t>三、任职情况</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right="0"/>
        <w:jc w:val="left"/>
      </w:pPr>
      <w:r>
        <w:rPr/>
        <w:t>公司现任董事、监事、高级管理人员专业背景、主要工作经历以及目前在公司的主要职责</w:t>
      </w:r>
    </w:p>
    <w:p>
      <w:pPr>
        <w:spacing w:line="240" w:lineRule="auto" w:before="12"/>
        <w:rPr>
          <w:rFonts w:ascii="宋体" w:hAnsi="宋体" w:cs="宋体" w:eastAsia="宋体" w:hint="default"/>
          <w:sz w:val="17"/>
          <w:szCs w:val="17"/>
        </w:rPr>
      </w:pPr>
    </w:p>
    <w:p>
      <w:pPr>
        <w:pStyle w:val="Heading6"/>
        <w:spacing w:line="240" w:lineRule="auto"/>
        <w:ind w:right="0"/>
        <w:jc w:val="left"/>
        <w:rPr>
          <w:b w:val="0"/>
          <w:bCs w:val="0"/>
        </w:rPr>
      </w:pPr>
      <w:r>
        <w:rPr>
          <w:rFonts w:ascii="Times New Roman" w:hAnsi="Times New Roman" w:cs="Times New Roman" w:eastAsia="Times New Roman" w:hint="default"/>
        </w:rPr>
        <w:t>1</w:t>
      </w:r>
      <w:r>
        <w:rPr/>
        <w:t>、公司现任董事最近</w:t>
      </w:r>
      <w:r>
        <w:rPr>
          <w:rFonts w:ascii="Times New Roman" w:hAnsi="Times New Roman" w:cs="Times New Roman" w:eastAsia="Times New Roman" w:hint="default"/>
        </w:rPr>
        <w:t>5</w:t>
      </w:r>
      <w:r>
        <w:rPr>
          <w:rFonts w:ascii="Times New Roman" w:hAnsi="Times New Roman" w:cs="Times New Roman" w:eastAsia="Times New Roman" w:hint="default"/>
          <w:spacing w:val="37"/>
        </w:rPr>
        <w:t> </w:t>
      </w:r>
      <w:r>
        <w:rPr/>
        <w:t>年的主要工作经历：</w:t>
      </w:r>
      <w:r>
        <w:rPr>
          <w:b w:val="0"/>
          <w:bCs w:val="0"/>
        </w:rPr>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b/>
          <w:bCs/>
          <w:sz w:val="20"/>
          <w:szCs w:val="20"/>
        </w:rPr>
      </w:pPr>
    </w:p>
    <w:p>
      <w:pPr>
        <w:pStyle w:val="BodyText"/>
        <w:spacing w:line="388" w:lineRule="auto" w:before="175"/>
        <w:ind w:right="103"/>
        <w:jc w:val="left"/>
      </w:pPr>
      <w:r>
        <w:rPr>
          <w:rFonts w:ascii="宋体" w:hAnsi="宋体" w:cs="宋体" w:eastAsia="宋体" w:hint="default"/>
          <w:b/>
          <w:bCs/>
        </w:rPr>
        <w:t>陆文雄先生</w:t>
      </w:r>
      <w:r>
        <w:rPr/>
        <w:t>，男，中国国籍，拥有新西兰无限期永久居民签证，</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6</w:t>
      </w:r>
      <w:r>
        <w:rPr/>
        <w:t>月出生，大学本科学历。现任公</w:t>
      </w:r>
      <w:r>
        <w:rPr>
          <w:spacing w:val="-3"/>
          <w:w w:val="100"/>
        </w:rPr>
        <w:t> </w:t>
      </w:r>
      <w:r>
        <w:rPr>
          <w:spacing w:val="-2"/>
        </w:rPr>
        <w:t>司董事长。</w:t>
      </w:r>
      <w:r>
        <w:rPr>
          <w:rFonts w:ascii="Times New Roman" w:hAnsi="Times New Roman" w:cs="Times New Roman" w:eastAsia="Times New Roman" w:hint="default"/>
          <w:spacing w:val="-2"/>
        </w:rPr>
        <w:t>1989</w:t>
      </w:r>
      <w:r>
        <w:rPr>
          <w:spacing w:val="-2"/>
        </w:rPr>
        <w:t>年上海交通大学无线电技术专业毕业；</w:t>
      </w:r>
      <w:r>
        <w:rPr>
          <w:rFonts w:ascii="Times New Roman" w:hAnsi="Times New Roman" w:cs="Times New Roman" w:eastAsia="Times New Roman" w:hint="default"/>
          <w:spacing w:val="-2"/>
        </w:rPr>
        <w:t>1989</w:t>
      </w:r>
      <w:r>
        <w:rPr>
          <w:spacing w:val="-2"/>
        </w:rPr>
        <w:t>年至</w:t>
      </w:r>
      <w:r>
        <w:rPr>
          <w:rFonts w:ascii="Times New Roman" w:hAnsi="Times New Roman" w:cs="Times New Roman" w:eastAsia="Times New Roman" w:hint="default"/>
          <w:spacing w:val="-2"/>
        </w:rPr>
        <w:t>1996</w:t>
      </w:r>
      <w:r>
        <w:rPr>
          <w:spacing w:val="-2"/>
        </w:rPr>
        <w:t>年，在上海贝尔电话设备制造有限公</w:t>
      </w:r>
      <w:r>
        <w:rPr>
          <w:spacing w:val="-32"/>
        </w:rPr>
        <w:t> </w:t>
      </w:r>
      <w:r>
        <w:rPr>
          <w:spacing w:val="-32"/>
        </w:rPr>
      </w:r>
      <w:r>
        <w:rPr>
          <w:spacing w:val="-4"/>
        </w:rPr>
        <w:t>司移动部担任全国营销总监；</w:t>
      </w:r>
      <w:r>
        <w:rPr>
          <w:rFonts w:ascii="Times New Roman" w:hAnsi="Times New Roman" w:cs="Times New Roman" w:eastAsia="Times New Roman" w:hint="default"/>
          <w:spacing w:val="-4"/>
        </w:rPr>
        <w:t>1997</w:t>
      </w:r>
      <w:r>
        <w:rPr>
          <w:spacing w:val="-4"/>
        </w:rPr>
        <w:t>年至</w:t>
      </w:r>
      <w:r>
        <w:rPr>
          <w:rFonts w:ascii="Times New Roman" w:hAnsi="Times New Roman" w:cs="Times New Roman" w:eastAsia="Times New Roman" w:hint="default"/>
          <w:spacing w:val="-4"/>
        </w:rPr>
        <w:t>2001</w:t>
      </w:r>
      <w:r>
        <w:rPr>
          <w:spacing w:val="-4"/>
        </w:rPr>
        <w:t>年，在中国惠普有限公司担任电信行业销售副总经理；</w:t>
      </w:r>
      <w:r>
        <w:rPr>
          <w:rFonts w:ascii="Times New Roman" w:hAnsi="Times New Roman" w:cs="Times New Roman" w:eastAsia="Times New Roman" w:hint="default"/>
          <w:spacing w:val="-4"/>
        </w:rPr>
        <w:t>2001</w:t>
      </w:r>
      <w:r>
        <w:rPr>
          <w:spacing w:val="-4"/>
        </w:rPr>
        <w:t>年，</w:t>
      </w:r>
      <w:r>
        <w:rPr>
          <w:spacing w:val="-29"/>
        </w:rPr>
        <w:t> </w:t>
      </w:r>
      <w:r>
        <w:rPr>
          <w:spacing w:val="-6"/>
        </w:rPr>
        <w:t>天玑科技设立时为其创始人之一，</w:t>
      </w:r>
      <w:r>
        <w:rPr>
          <w:rFonts w:ascii="Times New Roman" w:hAnsi="Times New Roman" w:cs="Times New Roman" w:eastAsia="Times New Roman" w:hint="default"/>
          <w:spacing w:val="-6"/>
        </w:rPr>
        <w:t>2003</w:t>
      </w:r>
      <w:r>
        <w:rPr>
          <w:spacing w:val="-6"/>
        </w:rPr>
        <w:t>年至今为天玑科技控股股东、实际控制人，并担任法定代表人。</w:t>
      </w:r>
      <w:r>
        <w:rPr>
          <w:rFonts w:ascii="Times New Roman" w:hAnsi="Times New Roman" w:cs="Times New Roman" w:eastAsia="Times New Roman" w:hint="default"/>
          <w:spacing w:val="-6"/>
        </w:rPr>
        <w:t>2009</w:t>
      </w:r>
      <w:r>
        <w:rPr>
          <w:rFonts w:ascii="Times New Roman" w:hAnsi="Times New Roman" w:cs="Times New Roman" w:eastAsia="Times New Roman" w:hint="default"/>
          <w:spacing w:val="8"/>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日起至今任公司第一、二、三届董事会董事长。</w:t>
      </w:r>
      <w:r>
        <w:rPr>
          <w:w w:val="100"/>
        </w:rPr>
        <w:t> </w:t>
      </w:r>
      <w:r>
        <w:rPr>
          <w:rFonts w:ascii="宋体" w:hAnsi="宋体" w:cs="宋体" w:eastAsia="宋体" w:hint="default"/>
          <w:b/>
          <w:bCs/>
          <w:spacing w:val="-2"/>
        </w:rPr>
        <w:t>杜力耘先生</w:t>
      </w:r>
      <w:r>
        <w:rPr>
          <w:spacing w:val="-2"/>
        </w:rPr>
        <w:t>，男，中国国籍，无境外永久居留权，</w:t>
      </w:r>
      <w:r>
        <w:rPr>
          <w:rFonts w:ascii="Times New Roman" w:hAnsi="Times New Roman" w:cs="Times New Roman" w:eastAsia="Times New Roman" w:hint="default"/>
          <w:spacing w:val="-2"/>
        </w:rPr>
        <w:t>1971</w:t>
      </w:r>
      <w:r>
        <w:rPr>
          <w:spacing w:val="-2"/>
        </w:rPr>
        <w:t>年</w:t>
      </w:r>
      <w:r>
        <w:rPr>
          <w:rFonts w:ascii="Times New Roman" w:hAnsi="Times New Roman" w:cs="Times New Roman" w:eastAsia="Times New Roman" w:hint="default"/>
          <w:spacing w:val="-2"/>
        </w:rPr>
        <w:t>11</w:t>
      </w:r>
      <w:r>
        <w:rPr>
          <w:spacing w:val="-2"/>
        </w:rPr>
        <w:t>月出生，研究生学历。</w:t>
      </w:r>
      <w:r>
        <w:rPr>
          <w:rFonts w:ascii="Times New Roman" w:hAnsi="Times New Roman" w:cs="Times New Roman" w:eastAsia="Times New Roman" w:hint="default"/>
          <w:spacing w:val="-2"/>
        </w:rPr>
        <w:t>1996</w:t>
      </w:r>
      <w:r>
        <w:rPr>
          <w:spacing w:val="-2"/>
        </w:rPr>
        <w:t>年至</w:t>
      </w:r>
      <w:r>
        <w:rPr>
          <w:rFonts w:ascii="Times New Roman" w:hAnsi="Times New Roman" w:cs="Times New Roman" w:eastAsia="Times New Roman" w:hint="default"/>
          <w:spacing w:val="-2"/>
        </w:rPr>
        <w:t>2001</w:t>
      </w:r>
      <w:r>
        <w:rPr>
          <w:spacing w:val="-2"/>
        </w:rPr>
        <w:t>年，在中</w:t>
      </w:r>
      <w:r>
        <w:rPr>
          <w:spacing w:val="-41"/>
        </w:rPr>
        <w:t> </w:t>
      </w:r>
      <w:r>
        <w:rPr>
          <w:spacing w:val="-41"/>
        </w:rPr>
      </w:r>
      <w:r>
        <w:rPr>
          <w:spacing w:val="-4"/>
        </w:rPr>
        <w:t>国惠普有限公司先后担任工程师、主管、咨询顾问经理等职务；</w:t>
      </w:r>
      <w:r>
        <w:rPr>
          <w:rFonts w:ascii="Times New Roman" w:hAnsi="Times New Roman" w:cs="Times New Roman" w:eastAsia="Times New Roman" w:hint="default"/>
          <w:spacing w:val="-4"/>
        </w:rPr>
        <w:t>2001</w:t>
      </w:r>
      <w:r>
        <w:rPr>
          <w:spacing w:val="-4"/>
        </w:rPr>
        <w:t>年，天玑科技设立时为其创始人之一。</w:t>
      </w:r>
      <w:r>
        <w:rPr>
          <w:spacing w:val="-46"/>
        </w:rPr>
        <w:t> </w:t>
      </w:r>
      <w:r>
        <w:rPr>
          <w:spacing w:val="-46"/>
        </w:rPr>
      </w:r>
      <w:r>
        <w:rPr>
          <w:rFonts w:ascii="Times New Roman" w:hAnsi="Times New Roman" w:cs="Times New Roman" w:eastAsia="Times New Roman" w:hint="default"/>
        </w:rPr>
        <w:t>2003</w:t>
      </w:r>
      <w:r>
        <w:rPr/>
        <w:t>年起历任天玑科技首席运营官、副总经理兼财务总监、总经理。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日起至今任公司第一、</w:t>
      </w:r>
      <w:r>
        <w:rPr>
          <w:spacing w:val="-3"/>
          <w:w w:val="100"/>
        </w:rPr>
        <w:t> </w:t>
      </w:r>
      <w:r>
        <w:rPr/>
        <w:t>二、三届董事会董事。</w:t>
      </w:r>
      <w:r>
        <w:rPr>
          <w:w w:val="100"/>
        </w:rPr>
        <w:t> </w:t>
      </w:r>
      <w:r>
        <w:rPr>
          <w:rFonts w:ascii="宋体" w:hAnsi="宋体" w:cs="宋体" w:eastAsia="宋体" w:hint="default"/>
          <w:b/>
          <w:bCs/>
        </w:rPr>
        <w:t>楼晔先生</w:t>
      </w:r>
      <w:r>
        <w:rPr/>
        <w:t>，男，中国国籍，无境外永久居留权，</w:t>
      </w:r>
      <w:r>
        <w:rPr>
          <w:rFonts w:ascii="Times New Roman" w:hAnsi="Times New Roman" w:cs="Times New Roman" w:eastAsia="Times New Roman" w:hint="default"/>
        </w:rPr>
        <w:t>1974</w:t>
      </w:r>
      <w:r>
        <w:rPr/>
        <w:t>年</w:t>
      </w:r>
      <w:r>
        <w:rPr>
          <w:rFonts w:ascii="Times New Roman" w:hAnsi="Times New Roman" w:cs="Times New Roman" w:eastAsia="Times New Roman" w:hint="default"/>
        </w:rPr>
        <w:t>6</w:t>
      </w:r>
      <w:r>
        <w:rPr/>
        <w:t>月出生，大学本科学历。上海天玑科技股份有限</w:t>
      </w:r>
      <w:r>
        <w:rPr>
          <w:spacing w:val="-3"/>
          <w:w w:val="100"/>
        </w:rPr>
        <w:t> </w:t>
      </w:r>
      <w:r>
        <w:rPr/>
        <w:t>公司杭州分公司总经理、支持服务事业部总经理。</w:t>
      </w:r>
      <w:r>
        <w:rPr>
          <w:rFonts w:ascii="Times New Roman" w:hAnsi="Times New Roman" w:cs="Times New Roman" w:eastAsia="Times New Roman" w:hint="default"/>
        </w:rPr>
        <w:t>1998</w:t>
      </w:r>
      <w:r>
        <w:rPr/>
        <w:t>年至</w:t>
      </w:r>
      <w:r>
        <w:rPr>
          <w:rFonts w:ascii="Times New Roman" w:hAnsi="Times New Roman" w:cs="Times New Roman" w:eastAsia="Times New Roman" w:hint="default"/>
        </w:rPr>
        <w:t>2004</w:t>
      </w:r>
      <w:r>
        <w:rPr/>
        <w:t>年，在国际商业机器有限公司（</w:t>
      </w:r>
      <w:r>
        <w:rPr>
          <w:rFonts w:ascii="Times New Roman" w:hAnsi="Times New Roman" w:cs="Times New Roman" w:eastAsia="Times New Roman" w:hint="default"/>
        </w:rPr>
        <w:t>IBM</w:t>
      </w:r>
      <w:r>
        <w:rPr/>
        <w:t>）中</w:t>
      </w:r>
      <w:r>
        <w:rPr>
          <w:spacing w:val="-3"/>
          <w:w w:val="100"/>
        </w:rPr>
        <w:t> </w:t>
      </w:r>
      <w:r>
        <w:rPr/>
        <w:t>国上海分公司担任客户服务主管；</w:t>
      </w:r>
      <w:r>
        <w:rPr>
          <w:rFonts w:ascii="Times New Roman" w:hAnsi="Times New Roman" w:cs="Times New Roman" w:eastAsia="Times New Roman" w:hint="default"/>
        </w:rPr>
        <w:t>2004</w:t>
      </w:r>
      <w:r>
        <w:rPr/>
        <w:t>年至</w:t>
      </w:r>
      <w:r>
        <w:rPr>
          <w:rFonts w:ascii="Times New Roman" w:hAnsi="Times New Roman" w:cs="Times New Roman" w:eastAsia="Times New Roman" w:hint="default"/>
        </w:rPr>
        <w:t>2010</w:t>
      </w:r>
      <w:r>
        <w:rPr/>
        <w:t>年任杭州天玑信息技术有限公司总经理。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w:t>
      </w:r>
      <w:r>
        <w:rPr>
          <w:w w:val="100"/>
        </w:rPr>
        <w:t> </w:t>
      </w:r>
      <w:r>
        <w:rPr/>
        <w:t>至今起任公司第一、二、三届董事会董事。</w:t>
      </w:r>
      <w:r>
        <w:rPr>
          <w:w w:val="100"/>
        </w:rPr>
        <w:t> </w:t>
      </w:r>
      <w:r>
        <w:rPr>
          <w:rFonts w:ascii="宋体" w:hAnsi="宋体" w:cs="宋体" w:eastAsia="宋体" w:hint="default"/>
          <w:b/>
          <w:bCs/>
          <w:spacing w:val="-2"/>
        </w:rPr>
        <w:t>姜蓓蓓女士</w:t>
      </w:r>
      <w:r>
        <w:rPr>
          <w:spacing w:val="-2"/>
        </w:rPr>
        <w:t>，女，中国国籍，无境外永久居留权，</w:t>
      </w:r>
      <w:r>
        <w:rPr>
          <w:rFonts w:ascii="Times New Roman" w:hAnsi="Times New Roman" w:cs="Times New Roman" w:eastAsia="Times New Roman" w:hint="default"/>
          <w:spacing w:val="-2"/>
        </w:rPr>
        <w:t>1971</w:t>
      </w:r>
      <w:r>
        <w:rPr>
          <w:spacing w:val="-2"/>
        </w:rPr>
        <w:t>年</w:t>
      </w:r>
      <w:r>
        <w:rPr>
          <w:rFonts w:ascii="Times New Roman" w:hAnsi="Times New Roman" w:cs="Times New Roman" w:eastAsia="Times New Roman" w:hint="default"/>
          <w:spacing w:val="-2"/>
        </w:rPr>
        <w:t>11</w:t>
      </w:r>
      <w:r>
        <w:rPr>
          <w:spacing w:val="-2"/>
        </w:rPr>
        <w:t>月出生，大学本科学历。</w:t>
      </w:r>
      <w:r>
        <w:rPr>
          <w:rFonts w:ascii="Times New Roman" w:hAnsi="Times New Roman" w:cs="Times New Roman" w:eastAsia="Times New Roman" w:hint="default"/>
          <w:spacing w:val="-2"/>
        </w:rPr>
        <w:t>1994</w:t>
      </w:r>
      <w:r>
        <w:rPr>
          <w:spacing w:val="-2"/>
        </w:rPr>
        <w:t>年至</w:t>
      </w:r>
      <w:r>
        <w:rPr>
          <w:rFonts w:ascii="Times New Roman" w:hAnsi="Times New Roman" w:cs="Times New Roman" w:eastAsia="Times New Roman" w:hint="default"/>
          <w:spacing w:val="-2"/>
        </w:rPr>
        <w:t>2007</w:t>
      </w:r>
      <w:r>
        <w:rPr>
          <w:spacing w:val="-2"/>
        </w:rPr>
        <w:t>年，在</w:t>
      </w:r>
      <w:r>
        <w:rPr>
          <w:spacing w:val="-48"/>
        </w:rPr>
        <w:t> </w:t>
      </w:r>
      <w:r>
        <w:rPr>
          <w:spacing w:val="-48"/>
        </w:rPr>
      </w:r>
      <w:r>
        <w:rPr>
          <w:spacing w:val="-2"/>
        </w:rPr>
        <w:t>中国惠普有限公司区域业务部担任华东地区销售部总经理；</w:t>
      </w:r>
      <w:r>
        <w:rPr>
          <w:rFonts w:ascii="Times New Roman" w:hAnsi="Times New Roman" w:cs="Times New Roman" w:eastAsia="Times New Roman" w:hint="default"/>
          <w:spacing w:val="-2"/>
        </w:rPr>
        <w:t>2007</w:t>
      </w:r>
      <w:r>
        <w:rPr>
          <w:spacing w:val="-2"/>
        </w:rPr>
        <w:t>年加入天玑科技历任上海天玑信息技术服</w:t>
      </w:r>
      <w:r>
        <w:rPr>
          <w:spacing w:val="-40"/>
        </w:rPr>
        <w:t> </w:t>
      </w:r>
      <w:r>
        <w:rPr>
          <w:spacing w:val="-40"/>
        </w:rPr>
      </w:r>
      <w:r>
        <w:rPr/>
        <w:t>务有限公司总经理、天玑科技副总经理、销售事业部总经理。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日起至今任公司第一、二、三</w:t>
      </w:r>
      <w:r>
        <w:rPr>
          <w:spacing w:val="-3"/>
          <w:w w:val="100"/>
        </w:rPr>
        <w:t> </w:t>
      </w:r>
      <w:r>
        <w:rPr/>
        <w:t>届董事会董事及副总经理。</w:t>
      </w:r>
    </w:p>
    <w:p>
      <w:pPr>
        <w:pStyle w:val="BodyText"/>
        <w:spacing w:line="388" w:lineRule="auto" w:before="63"/>
        <w:ind w:right="103"/>
        <w:jc w:val="left"/>
      </w:pPr>
      <w:r>
        <w:rPr>
          <w:rFonts w:ascii="宋体" w:hAnsi="宋体" w:cs="宋体" w:eastAsia="宋体" w:hint="default"/>
          <w:b/>
          <w:bCs/>
        </w:rPr>
        <w:t>叶磊先生</w:t>
      </w:r>
      <w:r>
        <w:rPr/>
        <w:t>，男，中国国籍， </w:t>
      </w:r>
      <w:r>
        <w:rPr>
          <w:rFonts w:ascii="Times New Roman" w:hAnsi="Times New Roman" w:cs="Times New Roman" w:eastAsia="Times New Roman" w:hint="default"/>
        </w:rPr>
        <w:t>1981</w:t>
      </w:r>
      <w:r>
        <w:rPr/>
        <w:t>年</w:t>
      </w:r>
      <w:r>
        <w:rPr>
          <w:rFonts w:ascii="Times New Roman" w:hAnsi="Times New Roman" w:cs="Times New Roman" w:eastAsia="Times New Roman" w:hint="default"/>
        </w:rPr>
        <w:t>8</w:t>
      </w:r>
      <w:r>
        <w:rPr/>
        <w:t>月出生， 大学本科学历</w:t>
      </w:r>
      <w:r>
        <w:rPr>
          <w:spacing w:val="-71"/>
        </w:rPr>
        <w:t> </w:t>
      </w:r>
      <w:r>
        <w:rPr/>
        <w:t>，</w:t>
      </w:r>
      <w:r>
        <w:rPr>
          <w:rFonts w:ascii="Times New Roman" w:hAnsi="Times New Roman" w:cs="Times New Roman" w:eastAsia="Times New Roman" w:hint="default"/>
        </w:rPr>
        <w:t>2004</w:t>
      </w:r>
      <w:r>
        <w:rPr/>
        <w:t>年至</w:t>
      </w:r>
      <w:r>
        <w:rPr>
          <w:rFonts w:ascii="Times New Roman" w:hAnsi="Times New Roman" w:cs="Times New Roman" w:eastAsia="Times New Roman" w:hint="default"/>
        </w:rPr>
        <w:t>2010</w:t>
      </w:r>
      <w:r>
        <w:rPr/>
        <w:t>年为上海联鼎软件信息技术</w:t>
      </w:r>
      <w:r>
        <w:rPr>
          <w:w w:val="100"/>
        </w:rPr>
        <w:t> </w:t>
      </w:r>
      <w:r>
        <w:rPr>
          <w:spacing w:val="-2"/>
        </w:rPr>
        <w:t>有限公司技术部经理。</w:t>
      </w:r>
      <w:r>
        <w:rPr>
          <w:rFonts w:ascii="Times New Roman" w:hAnsi="Times New Roman" w:cs="Times New Roman" w:eastAsia="Times New Roman" w:hint="default"/>
          <w:spacing w:val="-2"/>
        </w:rPr>
        <w:t>2010</w:t>
      </w:r>
      <w:r>
        <w:rPr>
          <w:spacing w:val="-2"/>
        </w:rPr>
        <w:t>年加入上海天玑科技股份有限公司至今，现任全资子公司上海力克数码科技有</w:t>
      </w:r>
      <w:r>
        <w:rPr>
          <w:spacing w:val="-42"/>
        </w:rPr>
        <w:t> </w:t>
      </w:r>
      <w:r>
        <w:rPr>
          <w:spacing w:val="-42"/>
        </w:rPr>
      </w:r>
      <w:r>
        <w:rPr/>
        <w:t>限公司总经理、上海天玑科技系统服务事业部总经理。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日起担任公司第三届董事会董事及副</w:t>
      </w:r>
      <w:r>
        <w:rPr>
          <w:spacing w:val="-3"/>
          <w:w w:val="100"/>
        </w:rPr>
        <w:t> </w:t>
      </w:r>
      <w:r>
        <w:rPr/>
        <w:t>总经理。</w:t>
      </w:r>
      <w:r>
        <w:rPr>
          <w:w w:val="100"/>
        </w:rPr>
        <w:t> </w:t>
      </w:r>
      <w:r>
        <w:rPr>
          <w:rFonts w:ascii="宋体" w:hAnsi="宋体" w:cs="宋体" w:eastAsia="宋体" w:hint="default"/>
          <w:b/>
          <w:bCs/>
          <w:spacing w:val="-2"/>
        </w:rPr>
        <w:t>杨凯先生</w:t>
      </w:r>
      <w:r>
        <w:rPr>
          <w:spacing w:val="-2"/>
        </w:rPr>
        <w:t>，男，中国国籍，无境外永久居留权，</w:t>
      </w:r>
      <w:r>
        <w:rPr>
          <w:rFonts w:ascii="Times New Roman" w:hAnsi="Times New Roman" w:cs="Times New Roman" w:eastAsia="Times New Roman" w:hint="default"/>
          <w:spacing w:val="-2"/>
        </w:rPr>
        <w:t>1970</w:t>
      </w:r>
      <w:r>
        <w:rPr>
          <w:spacing w:val="-2"/>
        </w:rPr>
        <w:t>年</w:t>
      </w:r>
      <w:r>
        <w:rPr>
          <w:rFonts w:ascii="Times New Roman" w:hAnsi="Times New Roman" w:cs="Times New Roman" w:eastAsia="Times New Roman" w:hint="default"/>
          <w:spacing w:val="-2"/>
        </w:rPr>
        <w:t>12</w:t>
      </w:r>
      <w:r>
        <w:rPr>
          <w:spacing w:val="-2"/>
        </w:rPr>
        <w:t>月出生，本科学历。</w:t>
      </w:r>
      <w:r>
        <w:rPr>
          <w:rFonts w:ascii="Times New Roman" w:hAnsi="Times New Roman" w:cs="Times New Roman" w:eastAsia="Times New Roman" w:hint="default"/>
          <w:spacing w:val="-2"/>
        </w:rPr>
        <w:t>2000</w:t>
      </w:r>
      <w:r>
        <w:rPr>
          <w:spacing w:val="-2"/>
        </w:rPr>
        <w:t>年加入中国惠普公司武</w:t>
      </w:r>
      <w:r>
        <w:rPr>
          <w:spacing w:val="-41"/>
        </w:rPr>
        <w:t> </w:t>
      </w:r>
      <w:r>
        <w:rPr>
          <w:spacing w:val="-41"/>
        </w:rPr>
      </w:r>
      <w:r>
        <w:rPr>
          <w:spacing w:val="-2"/>
        </w:rPr>
        <w:t>汉分公司担任客户经理，</w:t>
      </w:r>
      <w:r>
        <w:rPr>
          <w:rFonts w:ascii="Times New Roman" w:hAnsi="Times New Roman" w:cs="Times New Roman" w:eastAsia="Times New Roman" w:hint="default"/>
          <w:spacing w:val="-2"/>
        </w:rPr>
        <w:t>2001</w:t>
      </w:r>
      <w:r>
        <w:rPr>
          <w:spacing w:val="-2"/>
        </w:rPr>
        <w:t>年转入中国惠普公司上海分公司工作至</w:t>
      </w:r>
      <w:r>
        <w:rPr>
          <w:rFonts w:ascii="Times New Roman" w:hAnsi="Times New Roman" w:cs="Times New Roman" w:eastAsia="Times New Roman" w:hint="default"/>
          <w:spacing w:val="-2"/>
        </w:rPr>
        <w:t>2007</w:t>
      </w:r>
      <w:r>
        <w:rPr>
          <w:spacing w:val="-2"/>
        </w:rPr>
        <w:t>年，先后担任客户经理、销售经</w:t>
      </w:r>
      <w:r>
        <w:rPr>
          <w:spacing w:val="-38"/>
        </w:rPr>
        <w:t> </w:t>
      </w:r>
      <w:r>
        <w:rPr>
          <w:spacing w:val="-38"/>
        </w:rPr>
      </w:r>
      <w:r>
        <w:rPr>
          <w:spacing w:val="-2"/>
        </w:rPr>
        <w:t>理。</w:t>
      </w:r>
      <w:r>
        <w:rPr>
          <w:rFonts w:ascii="Times New Roman" w:hAnsi="Times New Roman" w:cs="Times New Roman" w:eastAsia="Times New Roman" w:hint="default"/>
          <w:spacing w:val="-2"/>
        </w:rPr>
        <w:t>2007</w:t>
      </w:r>
      <w:r>
        <w:rPr>
          <w:spacing w:val="-2"/>
        </w:rPr>
        <w:t>年至</w:t>
      </w:r>
      <w:r>
        <w:rPr>
          <w:rFonts w:ascii="Times New Roman" w:hAnsi="Times New Roman" w:cs="Times New Roman" w:eastAsia="Times New Roman" w:hint="default"/>
          <w:spacing w:val="-2"/>
        </w:rPr>
        <w:t>2009</w:t>
      </w:r>
      <w:r>
        <w:rPr>
          <w:spacing w:val="-2"/>
        </w:rPr>
        <w:t>年在</w:t>
      </w:r>
      <w:r>
        <w:rPr>
          <w:rFonts w:ascii="Times New Roman" w:hAnsi="Times New Roman" w:cs="Times New Roman" w:eastAsia="Times New Roman" w:hint="default"/>
          <w:spacing w:val="-2"/>
        </w:rPr>
        <w:t>Oracle</w:t>
      </w:r>
      <w:r>
        <w:rPr>
          <w:spacing w:val="-2"/>
        </w:rPr>
        <w:t>中国公司担任销售总监，先后负责过华东区和华南区的大客户销售部。</w:t>
      </w:r>
      <w:r>
        <w:rPr>
          <w:rFonts w:ascii="Times New Roman" w:hAnsi="Times New Roman" w:cs="Times New Roman" w:eastAsia="Times New Roman" w:hint="default"/>
          <w:spacing w:val="-2"/>
        </w:rPr>
        <w:t>2009</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spacing w:val="-2"/>
        </w:rPr>
        <w:t>年至</w:t>
      </w:r>
      <w:r>
        <w:rPr>
          <w:rFonts w:ascii="Times New Roman" w:hAnsi="Times New Roman" w:cs="Times New Roman" w:eastAsia="Times New Roman" w:hint="default"/>
          <w:spacing w:val="-2"/>
        </w:rPr>
        <w:t>2011</w:t>
      </w:r>
      <w:r>
        <w:rPr>
          <w:spacing w:val="-2"/>
        </w:rPr>
        <w:t>年加入</w:t>
      </w:r>
      <w:r>
        <w:rPr>
          <w:rFonts w:ascii="Times New Roman" w:hAnsi="Times New Roman" w:cs="Times New Roman" w:eastAsia="Times New Roman" w:hint="default"/>
          <w:spacing w:val="-2"/>
        </w:rPr>
        <w:t>Avaya</w:t>
      </w:r>
      <w:r>
        <w:rPr>
          <w:spacing w:val="-2"/>
        </w:rPr>
        <w:t>中国公司担任中国区副总裁负责运营商等行业客户销售总经理。</w:t>
      </w:r>
      <w:r>
        <w:rPr>
          <w:rFonts w:ascii="Times New Roman" w:hAnsi="Times New Roman" w:cs="Times New Roman" w:eastAsia="Times New Roman" w:hint="default"/>
          <w:spacing w:val="-2"/>
        </w:rPr>
        <w:t>2011</w:t>
      </w:r>
      <w:r>
        <w:rPr>
          <w:spacing w:val="-2"/>
        </w:rPr>
        <w:t>年至今担任上</w:t>
      </w:r>
      <w:r>
        <w:rPr>
          <w:spacing w:val="-13"/>
        </w:rPr>
        <w:t> </w:t>
      </w:r>
      <w:r>
        <w:rPr>
          <w:spacing w:val="-13"/>
        </w:rPr>
      </w:r>
      <w:r>
        <w:rPr/>
        <w:t>海天玑科技股份有限公司区域销售总监。</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日起担任公司第三届董事会董事。</w:t>
      </w:r>
      <w:r>
        <w:rPr>
          <w:w w:val="100"/>
        </w:rPr>
        <w:t> </w:t>
      </w:r>
      <w:r>
        <w:rPr>
          <w:rFonts w:ascii="宋体" w:hAnsi="宋体" w:cs="宋体" w:eastAsia="宋体" w:hint="default"/>
          <w:b/>
          <w:bCs/>
        </w:rPr>
        <w:t>黄钰昌先生</w:t>
      </w:r>
      <w:r>
        <w:rPr/>
        <w:t>，</w:t>
      </w:r>
      <w:r>
        <w:rPr>
          <w:rFonts w:ascii="Times New Roman" w:hAnsi="Times New Roman" w:cs="Times New Roman" w:eastAsia="Times New Roman" w:hint="default"/>
        </w:rPr>
        <w:t>1955</w:t>
      </w:r>
      <w:r>
        <w:rPr/>
        <w:t>年</w:t>
      </w:r>
      <w:r>
        <w:rPr>
          <w:rFonts w:ascii="Times New Roman" w:hAnsi="Times New Roman" w:cs="Times New Roman" w:eastAsia="Times New Roman" w:hint="default"/>
        </w:rPr>
        <w:t>1</w:t>
      </w:r>
      <w:r>
        <w:rPr/>
        <w:t>月生，美国国籍。黄先生</w:t>
      </w:r>
      <w:r>
        <w:rPr>
          <w:rFonts w:ascii="Times New Roman" w:hAnsi="Times New Roman" w:cs="Times New Roman" w:eastAsia="Times New Roman" w:hint="default"/>
        </w:rPr>
        <w:t>1979</w:t>
      </w:r>
      <w:r>
        <w:rPr/>
        <w:t>年毕业于台湾政治大学，获得硕士学位，</w:t>
      </w:r>
      <w:r>
        <w:rPr>
          <w:rFonts w:ascii="Times New Roman" w:hAnsi="Times New Roman" w:cs="Times New Roman" w:eastAsia="Times New Roman" w:hint="default"/>
        </w:rPr>
        <w:t>1987</w:t>
      </w:r>
      <w:r>
        <w:rPr/>
        <w:t>年在加</w:t>
      </w:r>
      <w:r>
        <w:rPr>
          <w:spacing w:val="-3"/>
          <w:w w:val="100"/>
        </w:rPr>
        <w:t> </w:t>
      </w:r>
      <w:r>
        <w:rPr/>
        <w:t>利福利亚伯克利分校获得博士学位。</w:t>
      </w:r>
      <w:r>
        <w:rPr>
          <w:rFonts w:ascii="Times New Roman" w:hAnsi="Times New Roman" w:cs="Times New Roman" w:eastAsia="Times New Roman" w:hint="default"/>
        </w:rPr>
        <w:t>1995-</w:t>
      </w:r>
      <w:r>
        <w:rPr>
          <w:rFonts w:ascii="Times New Roman" w:hAnsi="Times New Roman" w:cs="Times New Roman" w:eastAsia="Times New Roman" w:hint="default"/>
          <w:spacing w:val="-2"/>
        </w:rPr>
        <w:t> </w:t>
      </w:r>
      <w:r>
        <w:rPr>
          <w:rFonts w:ascii="Times New Roman" w:hAnsi="Times New Roman" w:cs="Times New Roman" w:eastAsia="Times New Roman" w:hint="default"/>
        </w:rPr>
        <w:t>2013</w:t>
      </w:r>
      <w:r>
        <w:rPr/>
        <w:t>年任亚利桑那州立大学凯瑞商学院会计系</w:t>
      </w:r>
      <w:r>
        <w:rPr>
          <w:rFonts w:ascii="Times New Roman" w:hAnsi="Times New Roman" w:cs="Times New Roman" w:eastAsia="Times New Roman" w:hint="default"/>
        </w:rPr>
        <w:t>,</w:t>
      </w:r>
      <w:r>
        <w:rPr/>
        <w:t>副教授</w:t>
      </w:r>
      <w:r>
        <w:rPr>
          <w:spacing w:val="-20"/>
        </w:rPr>
        <w:t> </w:t>
      </w:r>
      <w:r>
        <w:rPr>
          <w:rFonts w:ascii="Times New Roman" w:hAnsi="Times New Roman" w:cs="Times New Roman" w:eastAsia="Times New Roman" w:hint="default"/>
          <w:spacing w:val="-3"/>
        </w:rPr>
        <w:t>(</w:t>
      </w:r>
      <w:r>
        <w:rPr>
          <w:spacing w:val="-3"/>
        </w:rPr>
        <w:t>终身教</w:t>
      </w:r>
      <w:r>
        <w:rPr>
          <w:spacing w:val="-103"/>
        </w:rPr>
        <w:t> </w:t>
      </w:r>
      <w:r>
        <w:rPr>
          <w:spacing w:val="-2"/>
        </w:rPr>
        <w:t>授</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日，担任宝钢股份第五届董事会独立董事。</w:t>
      </w:r>
      <w:r>
        <w:rPr>
          <w:rFonts w:ascii="Times New Roman" w:hAnsi="Times New Roman" w:cs="Times New Roman" w:eastAsia="Times New Roman" w:hint="default"/>
          <w:spacing w:val="-2"/>
        </w:rPr>
        <w:t>2014</w:t>
      </w:r>
      <w:r>
        <w:rPr>
          <w:spacing w:val="-2"/>
        </w:rPr>
        <w:t>年至今任中欧国际工商</w:t>
      </w:r>
      <w:r>
        <w:rPr>
          <w:spacing w:val="-11"/>
        </w:rPr>
        <w:t> </w:t>
      </w:r>
      <w:r>
        <w:rPr>
          <w:spacing w:val="-11"/>
        </w:rPr>
      </w:r>
      <w:r>
        <w:rPr>
          <w:spacing w:val="-4"/>
        </w:rPr>
        <w:t>学院</w:t>
      </w:r>
      <w:r>
        <w:rPr>
          <w:rFonts w:ascii="Times New Roman" w:hAnsi="Times New Roman" w:cs="Times New Roman" w:eastAsia="Times New Roman" w:hint="default"/>
          <w:spacing w:val="-4"/>
        </w:rPr>
        <w:t>,</w:t>
      </w:r>
      <w:r>
        <w:rPr>
          <w:spacing w:val="-4"/>
        </w:rPr>
        <w:t>教授。在凯瑞商学院</w:t>
      </w:r>
      <w:r>
        <w:rPr>
          <w:rFonts w:ascii="Times New Roman" w:hAnsi="Times New Roman" w:cs="Times New Roman" w:eastAsia="Times New Roman" w:hint="default"/>
          <w:spacing w:val="-4"/>
        </w:rPr>
        <w:t>17</w:t>
      </w:r>
      <w:r>
        <w:rPr>
          <w:spacing w:val="-4"/>
        </w:rPr>
        <w:t>年的执教生涯中，黄教授的授课主要对象为会计硕士及博士班，工商管理学硕</w:t>
      </w:r>
      <w:r>
        <w:rPr/>
      </w:r>
    </w:p>
    <w:p>
      <w:pPr>
        <w:spacing w:after="0" w:line="388" w:lineRule="auto"/>
        <w:jc w:val="left"/>
        <w:sectPr>
          <w:pgSz w:w="11910" w:h="16840"/>
          <w:pgMar w:header="745" w:footer="982" w:top="1060" w:bottom="1180" w:left="980" w:right="920"/>
        </w:sectPr>
      </w:pPr>
    </w:p>
    <w:p>
      <w:pPr>
        <w:spacing w:line="240" w:lineRule="auto" w:before="0"/>
        <w:rPr>
          <w:rFonts w:ascii="宋体" w:hAnsi="宋体" w:cs="宋体" w:eastAsia="宋体" w:hint="default"/>
          <w:sz w:val="20"/>
          <w:szCs w:val="20"/>
        </w:rPr>
      </w:pPr>
    </w:p>
    <w:p>
      <w:pPr>
        <w:pStyle w:val="BodyText"/>
        <w:spacing w:line="393" w:lineRule="auto" w:before="175"/>
        <w:ind w:right="0"/>
        <w:jc w:val="left"/>
      </w:pPr>
      <w:r>
        <w:rPr>
          <w:spacing w:val="-3"/>
        </w:rPr>
        <w:t>士包括各式</w:t>
      </w:r>
      <w:r>
        <w:rPr>
          <w:rFonts w:ascii="Times New Roman" w:hAnsi="Times New Roman" w:cs="Times New Roman" w:eastAsia="Times New Roman" w:hint="default"/>
          <w:spacing w:val="-3"/>
        </w:rPr>
        <w:t>MBA</w:t>
      </w:r>
      <w:r>
        <w:rPr>
          <w:spacing w:val="-3"/>
        </w:rPr>
        <w:t>课程，以及为高级管理人员开设的</w:t>
      </w:r>
      <w:r>
        <w:rPr>
          <w:rFonts w:ascii="Times New Roman" w:hAnsi="Times New Roman" w:cs="Times New Roman" w:eastAsia="Times New Roman" w:hint="default"/>
          <w:spacing w:val="-3"/>
        </w:rPr>
        <w:t>EMBA</w:t>
      </w:r>
      <w:r>
        <w:rPr>
          <w:spacing w:val="-3"/>
        </w:rPr>
        <w:t>专业项目和博士生管理会计研究。黄教授历任亚</w:t>
      </w:r>
      <w:r>
        <w:rPr>
          <w:spacing w:val="-33"/>
        </w:rPr>
        <w:t> </w:t>
      </w:r>
      <w:r>
        <w:rPr>
          <w:spacing w:val="-33"/>
        </w:rPr>
      </w:r>
      <w:r>
        <w:rPr>
          <w:spacing w:val="-2"/>
        </w:rPr>
        <w:t>利桑那州立大学会计学系博士班主任，历年来担任约</w:t>
      </w:r>
      <w:r>
        <w:rPr>
          <w:rFonts w:ascii="Times New Roman" w:hAnsi="Times New Roman" w:cs="Times New Roman" w:eastAsia="Times New Roman" w:hint="default"/>
          <w:spacing w:val="-2"/>
        </w:rPr>
        <w:t>25</w:t>
      </w:r>
      <w:r>
        <w:rPr>
          <w:spacing w:val="-2"/>
        </w:rPr>
        <w:t>位博士生论文的督导。其在许多国际著名学术刊物</w:t>
      </w:r>
      <w:r>
        <w:rPr>
          <w:spacing w:val="-42"/>
        </w:rPr>
        <w:t> </w:t>
      </w:r>
      <w:r>
        <w:rPr>
          <w:spacing w:val="-42"/>
        </w:rPr>
      </w:r>
      <w:r>
        <w:rPr/>
        <w:t>上发表文章并获得多项奖项。</w:t>
      </w:r>
      <w:r>
        <w:rPr>
          <w:rFonts w:ascii="Times New Roman" w:hAnsi="Times New Roman" w:cs="Times New Roman" w:eastAsia="Times New Roman" w:hint="default"/>
        </w:rPr>
        <w:t>2014</w:t>
      </w:r>
      <w:r>
        <w:rPr>
          <w:rFonts w:ascii="Times New Roman" w:hAnsi="Times New Roman" w:cs="Times New Roman" w:eastAsia="Times New Roman" w:hint="default"/>
          <w:spacing w:val="21"/>
        </w:rPr>
        <w:t> </w:t>
      </w:r>
      <w:r>
        <w:rPr/>
        <w:t>年他获得中欧国际工商学院优秀教学奖。</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日起任天玑科技</w:t>
      </w:r>
      <w:r>
        <w:rPr>
          <w:spacing w:val="-3"/>
          <w:w w:val="100"/>
        </w:rPr>
        <w:t> </w:t>
      </w:r>
      <w:r>
        <w:rPr/>
        <w:t>第三届董事会独立董事。</w:t>
      </w:r>
      <w:r>
        <w:rPr>
          <w:w w:val="100"/>
        </w:rPr>
        <w:t> </w:t>
      </w:r>
      <w:r>
        <w:rPr>
          <w:rFonts w:ascii="宋体" w:hAnsi="宋体" w:cs="宋体" w:eastAsia="宋体" w:hint="default"/>
          <w:b/>
          <w:bCs/>
        </w:rPr>
        <w:t>徐宇舟先生</w:t>
      </w:r>
      <w:r>
        <w:rPr/>
        <w:t>，男，</w:t>
      </w:r>
      <w:r>
        <w:rPr>
          <w:rFonts w:ascii="Times New Roman" w:hAnsi="Times New Roman" w:cs="Times New Roman" w:eastAsia="Times New Roman" w:hint="default"/>
        </w:rPr>
        <w:t>1978</w:t>
      </w:r>
      <w:r>
        <w:rPr/>
        <w:t>年</w:t>
      </w:r>
      <w:r>
        <w:rPr>
          <w:rFonts w:ascii="Times New Roman" w:hAnsi="Times New Roman" w:cs="Times New Roman" w:eastAsia="Times New Roman" w:hint="default"/>
        </w:rPr>
        <w:t>7</w:t>
      </w:r>
      <w:r>
        <w:rPr/>
        <w:t>月生，中共党员，汉族，研究生学历，硕士学位，静安区司法局律师党工委委</w:t>
      </w:r>
      <w:r>
        <w:rPr>
          <w:w w:val="100"/>
        </w:rPr>
        <w:t> </w:t>
      </w:r>
      <w:r>
        <w:rPr/>
        <w:t>员，上海原本律师事务所党支部书记、主任。</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日起任天玑科技第三届董事会独立董事。</w:t>
      </w:r>
      <w:r>
        <w:rPr>
          <w:spacing w:val="-3"/>
          <w:w w:val="100"/>
        </w:rPr>
        <w:t> </w:t>
      </w:r>
      <w:r>
        <w:rPr>
          <w:spacing w:val="-2"/>
        </w:rPr>
        <w:t>作为在国资及金融法律服务行业拥有领先地位的律师，徐宇舟在十五年的从业过程中，先后为包括上海电</w:t>
      </w:r>
      <w:r>
        <w:rPr>
          <w:spacing w:val="-43"/>
        </w:rPr>
        <w:t> </w:t>
      </w:r>
      <w:r>
        <w:rPr>
          <w:spacing w:val="-43"/>
        </w:rPr>
      </w:r>
      <w:r>
        <w:rPr>
          <w:spacing w:val="-2"/>
        </w:rPr>
        <w:t>气、华谊集团、机场集团、绿地集团、银联、锦江等多家国有集团提供国资国企法律服务，为各类银行、</w:t>
      </w:r>
      <w:r>
        <w:rPr>
          <w:spacing w:val="-21"/>
        </w:rPr>
        <w:t> </w:t>
      </w:r>
      <w:r>
        <w:rPr>
          <w:spacing w:val="-21"/>
        </w:rPr>
      </w:r>
      <w:r>
        <w:rPr>
          <w:spacing w:val="-2"/>
        </w:rPr>
        <w:t>信托、保险、基金、资管等金融机构提供各类金融信托及资产管理法律服务，成功承办上海首次公务用车</w:t>
      </w:r>
      <w:r>
        <w:rPr>
          <w:spacing w:val="-44"/>
        </w:rPr>
        <w:t> </w:t>
      </w:r>
      <w:r>
        <w:rPr>
          <w:spacing w:val="-44"/>
        </w:rPr>
      </w:r>
      <w:r>
        <w:rPr>
          <w:spacing w:val="-2"/>
        </w:rPr>
        <w:t>拍卖项目、上海首单地方国企超短融债券发行项目、首批非上市公司小公募债发行项目等标杆性法律服务</w:t>
      </w:r>
      <w:r>
        <w:rPr>
          <w:spacing w:val="-43"/>
        </w:rPr>
        <w:t> </w:t>
      </w:r>
      <w:r>
        <w:rPr>
          <w:spacing w:val="-43"/>
        </w:rPr>
      </w:r>
      <w:r>
        <w:rPr/>
        <w:t>项目，还承办了包括各类市政基建项目股债权融资、城市综合体产业基金、资管</w:t>
      </w:r>
      <w:r>
        <w:rPr>
          <w:rFonts w:ascii="Times New Roman" w:hAnsi="Times New Roman" w:cs="Times New Roman" w:eastAsia="Times New Roman" w:hint="default"/>
        </w:rPr>
        <w:t>+</w:t>
      </w:r>
      <w:r>
        <w:rPr/>
        <w:t>信托复合投资项目、永</w:t>
      </w:r>
      <w:r>
        <w:rPr>
          <w:spacing w:val="-3"/>
          <w:w w:val="100"/>
        </w:rPr>
        <w:t> </w:t>
      </w:r>
      <w:r>
        <w:rPr>
          <w:spacing w:val="-7"/>
        </w:rPr>
        <w:t>续债架构项目、物业收益权信托计划、互联网金融平台建设等高端金融及投融资创新法律服务项目，在</w:t>
      </w:r>
      <w:r>
        <w:rPr>
          <w:rFonts w:ascii="Times New Roman" w:hAnsi="Times New Roman" w:cs="Times New Roman" w:eastAsia="Times New Roman" w:hint="default"/>
          <w:spacing w:val="-7"/>
        </w:rPr>
        <w:t>2015</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spacing w:val="-3"/>
        </w:rPr>
        <w:t>年被国际顶级法律评级机构</w:t>
      </w:r>
      <w:r>
        <w:rPr>
          <w:rFonts w:ascii="Times New Roman" w:hAnsi="Times New Roman" w:cs="Times New Roman" w:eastAsia="Times New Roman" w:hint="default"/>
          <w:spacing w:val="-3"/>
        </w:rPr>
        <w:t>Legalband</w:t>
      </w:r>
      <w:r>
        <w:rPr>
          <w:spacing w:val="-3"/>
        </w:rPr>
        <w:t>评定为</w:t>
      </w:r>
      <w:r>
        <w:rPr>
          <w:rFonts w:ascii="Times New Roman" w:hAnsi="Times New Roman" w:cs="Times New Roman" w:eastAsia="Times New Roman" w:hint="default"/>
          <w:spacing w:val="-3"/>
        </w:rPr>
        <w:t>“</w:t>
      </w:r>
      <w:r>
        <w:rPr>
          <w:spacing w:val="-3"/>
        </w:rPr>
        <w:t>资产证券化与衍生产品</w:t>
      </w:r>
      <w:r>
        <w:rPr>
          <w:rFonts w:ascii="Times New Roman" w:hAnsi="Times New Roman" w:cs="Times New Roman" w:eastAsia="Times New Roman" w:hint="default"/>
          <w:spacing w:val="-3"/>
        </w:rPr>
        <w:t>”</w:t>
      </w:r>
      <w:r>
        <w:rPr>
          <w:spacing w:val="-3"/>
        </w:rPr>
        <w:t>中国领先律师。他曾多次受上海国资</w:t>
      </w:r>
      <w:r>
        <w:rPr>
          <w:spacing w:val="-11"/>
        </w:rPr>
        <w:t> </w:t>
      </w:r>
      <w:r>
        <w:rPr>
          <w:spacing w:val="-11"/>
        </w:rPr>
      </w:r>
      <w:r>
        <w:rPr>
          <w:spacing w:val="-7"/>
        </w:rPr>
        <w:t>委、上海律协、律商联讯等委托起草业务工作指引和行业规范指南，在《上海国资》、《亚洲法律》、《中</w:t>
      </w:r>
      <w:r>
        <w:rPr>
          <w:spacing w:val="-23"/>
        </w:rPr>
        <w:t> </w:t>
      </w:r>
      <w:r>
        <w:rPr>
          <w:spacing w:val="-23"/>
        </w:rPr>
      </w:r>
      <w:r>
        <w:rPr>
          <w:spacing w:val="-2"/>
        </w:rPr>
        <w:t>国法律商务》、《上海法治报》等专业媒体上多次发表文章。</w:t>
      </w:r>
      <w:r>
        <w:rPr>
          <w:rFonts w:ascii="Times New Roman" w:hAnsi="Times New Roman" w:cs="Times New Roman" w:eastAsia="Times New Roman" w:hint="default"/>
          <w:spacing w:val="-2"/>
        </w:rPr>
        <w:t>2007</w:t>
      </w:r>
      <w:r>
        <w:rPr>
          <w:spacing w:val="-2"/>
        </w:rPr>
        <w:t>年创建上海原本律师事务所，带领事务</w:t>
      </w:r>
      <w:r>
        <w:rPr>
          <w:spacing w:val="-42"/>
        </w:rPr>
        <w:t> </w:t>
      </w:r>
      <w:r>
        <w:rPr>
          <w:spacing w:val="-42"/>
        </w:rPr>
      </w:r>
      <w:r>
        <w:rPr>
          <w:spacing w:val="-3"/>
        </w:rPr>
        <w:t>所连续两年获得亚洲法律事务评选的</w:t>
      </w:r>
      <w:r>
        <w:rPr>
          <w:rFonts w:ascii="Times New Roman" w:hAnsi="Times New Roman" w:cs="Times New Roman" w:eastAsia="Times New Roman" w:hint="default"/>
          <w:spacing w:val="-3"/>
        </w:rPr>
        <w:t>“</w:t>
      </w:r>
      <w:r>
        <w:rPr>
          <w:spacing w:val="-3"/>
        </w:rPr>
        <w:t>最具潜力律师事务所</w:t>
      </w:r>
      <w:r>
        <w:rPr>
          <w:rFonts w:ascii="Times New Roman" w:hAnsi="Times New Roman" w:cs="Times New Roman" w:eastAsia="Times New Roman" w:hint="default"/>
          <w:spacing w:val="-3"/>
        </w:rPr>
        <w:t>”</w:t>
      </w:r>
      <w:r>
        <w:rPr>
          <w:spacing w:val="-3"/>
        </w:rPr>
        <w:t>，并在</w:t>
      </w:r>
      <w:r>
        <w:rPr>
          <w:rFonts w:ascii="Times New Roman" w:hAnsi="Times New Roman" w:cs="Times New Roman" w:eastAsia="Times New Roman" w:hint="default"/>
          <w:spacing w:val="-3"/>
        </w:rPr>
        <w:t>2013</w:t>
      </w:r>
      <w:r>
        <w:rPr>
          <w:spacing w:val="-3"/>
        </w:rPr>
        <w:t>年荣膺</w:t>
      </w:r>
      <w:r>
        <w:rPr>
          <w:rFonts w:ascii="Times New Roman" w:hAnsi="Times New Roman" w:cs="Times New Roman" w:eastAsia="Times New Roman" w:hint="default"/>
          <w:spacing w:val="-3"/>
        </w:rPr>
        <w:t>“</w:t>
      </w:r>
      <w:r>
        <w:rPr>
          <w:spacing w:val="-3"/>
        </w:rPr>
        <w:t>中国地区最佳雇主</w:t>
      </w:r>
      <w:r>
        <w:rPr>
          <w:rFonts w:ascii="Times New Roman" w:hAnsi="Times New Roman" w:cs="Times New Roman" w:eastAsia="Times New Roman" w:hint="default"/>
          <w:spacing w:val="-3"/>
        </w:rPr>
        <w:t>”</w:t>
      </w:r>
      <w:r>
        <w:rPr>
          <w:spacing w:val="-3"/>
        </w:rPr>
        <w:t>及</w:t>
      </w:r>
      <w:r>
        <w:rPr>
          <w:rFonts w:ascii="Times New Roman" w:hAnsi="Times New Roman" w:cs="Times New Roman" w:eastAsia="Times New Roman" w:hint="default"/>
          <w:spacing w:val="-3"/>
        </w:rPr>
        <w:t>“</w:t>
      </w:r>
      <w:r>
        <w:rPr>
          <w:spacing w:val="-3"/>
        </w:rPr>
        <w:t>中国</w:t>
      </w:r>
      <w:r>
        <w:rPr>
          <w:spacing w:val="-36"/>
        </w:rPr>
        <w:t> </w:t>
      </w:r>
      <w:r>
        <w:rPr/>
        <w:t>发展最快律师事务所</w:t>
      </w:r>
      <w:r>
        <w:rPr>
          <w:rFonts w:ascii="Times New Roman" w:hAnsi="Times New Roman" w:cs="Times New Roman" w:eastAsia="Times New Roman" w:hint="default"/>
        </w:rPr>
        <w:t>”</w:t>
      </w:r>
      <w:r>
        <w:rPr/>
        <w:t>。</w:t>
      </w:r>
    </w:p>
    <w:p>
      <w:pPr>
        <w:pStyle w:val="BodyText"/>
        <w:spacing w:line="398" w:lineRule="auto" w:before="28"/>
        <w:ind w:left="153" w:right="0" w:hanging="1"/>
        <w:jc w:val="left"/>
      </w:pPr>
      <w:r>
        <w:rPr>
          <w:rFonts w:ascii="宋体" w:hAnsi="宋体" w:cs="宋体" w:eastAsia="宋体" w:hint="default"/>
          <w:b/>
          <w:bCs/>
        </w:rPr>
        <w:t>姚宝敬先生</w:t>
      </w:r>
      <w:r>
        <w:rPr/>
        <w:t>，男</w:t>
      </w:r>
      <w:r>
        <w:rPr>
          <w:rFonts w:ascii="Times New Roman" w:hAnsi="Times New Roman" w:cs="Times New Roman" w:eastAsia="Times New Roman" w:hint="default"/>
        </w:rPr>
        <w:t>,</w:t>
      </w:r>
      <w:r>
        <w:rPr>
          <w:rFonts w:ascii="Times New Roman" w:hAnsi="Times New Roman" w:cs="Times New Roman" w:eastAsia="Times New Roman" w:hint="default"/>
          <w:spacing w:val="-7"/>
        </w:rPr>
        <w:t> </w:t>
      </w:r>
      <w:r>
        <w:rPr>
          <w:rFonts w:ascii="Times New Roman" w:hAnsi="Times New Roman" w:cs="Times New Roman" w:eastAsia="Times New Roman" w:hint="default"/>
        </w:rPr>
        <w:t>1976</w:t>
      </w:r>
      <w:r>
        <w:rPr/>
        <w:t>年出生</w:t>
      </w:r>
      <w:r>
        <w:rPr>
          <w:rFonts w:ascii="Times New Roman" w:hAnsi="Times New Roman" w:cs="Times New Roman" w:eastAsia="Times New Roman" w:hint="default"/>
        </w:rPr>
        <w:t>,</w:t>
      </w:r>
      <w:r>
        <w:rPr/>
        <w:t>大学本科学历。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6</w:t>
      </w:r>
      <w:r>
        <w:rPr/>
        <w:t>月至今在上海市软件协会，现任副秘书长。</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rFonts w:ascii="Times New Roman" w:hAnsi="Times New Roman" w:cs="Times New Roman" w:eastAsia="Times New Roman" w:hint="default"/>
          <w:w w:val="100"/>
        </w:rPr>
        <w:t> </w:t>
      </w:r>
      <w:r>
        <w:rPr/>
        <w:t>月</w:t>
      </w:r>
      <w:r>
        <w:rPr>
          <w:rFonts w:ascii="Times New Roman" w:hAnsi="Times New Roman" w:cs="Times New Roman" w:eastAsia="Times New Roman" w:hint="default"/>
        </w:rPr>
        <w:t>15</w:t>
      </w:r>
      <w:r>
        <w:rPr/>
        <w:t>日起任天玑科技第三届董事会独立董事。</w:t>
      </w:r>
      <w:r>
        <w:rPr>
          <w:w w:val="100"/>
        </w:rPr>
        <w:t> </w:t>
      </w:r>
      <w:r>
        <w:rPr>
          <w:spacing w:val="-2"/>
        </w:rPr>
        <w:t>姚宝敬先生积极参与工信部、国税总局、中国软件行业协会市经信委、发改委、商务委及国家、青浦、长</w:t>
      </w:r>
      <w:r>
        <w:rPr>
          <w:spacing w:val="-43"/>
        </w:rPr>
        <w:t> </w:t>
      </w:r>
      <w:r>
        <w:rPr>
          <w:spacing w:val="-43"/>
        </w:rPr>
      </w:r>
      <w:r>
        <w:rPr>
          <w:spacing w:val="-2"/>
        </w:rPr>
        <w:t>宁等市区政府部门进行政策研究，为政府制定上海软件产业政策建言献策，参与起草多项书面政策建议呈</w:t>
      </w:r>
      <w:r>
        <w:rPr>
          <w:spacing w:val="-44"/>
        </w:rPr>
        <w:t> </w:t>
      </w:r>
      <w:r>
        <w:rPr>
          <w:spacing w:val="-44"/>
        </w:rPr>
      </w:r>
      <w:r>
        <w:rPr>
          <w:spacing w:val="-2"/>
        </w:rPr>
        <w:t>送相关部委，积极对产业统计数据及发展态势进行深入研究，参与撰写《上海软件产业发展研究报告》、</w:t>
      </w:r>
    </w:p>
    <w:p>
      <w:pPr>
        <w:pStyle w:val="BodyText"/>
        <w:spacing w:line="400" w:lineRule="auto" w:before="54"/>
        <w:ind w:right="146"/>
        <w:jc w:val="both"/>
      </w:pPr>
      <w:r>
        <w:rPr>
          <w:spacing w:val="-2"/>
        </w:rPr>
        <w:t>《中国软件产业年度发展报告》、《上海信息化发展年度报告》、《上海工业化年鉴》、《上海战略性新</w:t>
      </w:r>
      <w:r>
        <w:rPr>
          <w:spacing w:val="-46"/>
        </w:rPr>
        <w:t> </w:t>
      </w:r>
      <w:r>
        <w:rPr>
          <w:spacing w:val="-46"/>
        </w:rPr>
      </w:r>
      <w:r>
        <w:rPr>
          <w:spacing w:val="-2"/>
        </w:rPr>
        <w:t>兴产业年度发展报告等的编撰工作》；还参与《长三角联动发展软件外包的思考与实践》、《上海人才高</w:t>
      </w:r>
      <w:r>
        <w:rPr>
          <w:spacing w:val="-42"/>
        </w:rPr>
        <w:t> </w:t>
      </w:r>
      <w:r>
        <w:rPr>
          <w:spacing w:val="-42"/>
        </w:rPr>
      </w:r>
      <w:r>
        <w:rPr>
          <w:spacing w:val="-2"/>
        </w:rPr>
        <w:t>地建设》、《上海软件出口统计方法研究》、《前店后厂、沪港合作发展软件产业》、《上海软件企业所</w:t>
      </w:r>
      <w:r>
        <w:rPr>
          <w:spacing w:val="-45"/>
        </w:rPr>
        <w:t> </w:t>
      </w:r>
      <w:r>
        <w:rPr>
          <w:spacing w:val="-45"/>
        </w:rPr>
      </w:r>
      <w:r>
        <w:rPr>
          <w:spacing w:val="-2"/>
        </w:rPr>
        <w:t>得税加计扣除研究》、《软件产品分类标准》等科题的研究，取得了丰硕成果。其先后获得</w:t>
      </w:r>
      <w:r>
        <w:rPr>
          <w:rFonts w:ascii="Times New Roman" w:hAnsi="Times New Roman" w:cs="Times New Roman" w:eastAsia="Times New Roman" w:hint="default"/>
          <w:spacing w:val="-2"/>
        </w:rPr>
        <w:t>2006</w:t>
      </w:r>
      <w:r>
        <w:rPr>
          <w:spacing w:val="-2"/>
        </w:rPr>
        <w:t>年上海市</w:t>
      </w:r>
      <w:r>
        <w:rPr>
          <w:spacing w:val="-41"/>
        </w:rPr>
        <w:t> </w:t>
      </w:r>
      <w:r>
        <w:rPr>
          <w:spacing w:val="-41"/>
        </w:rPr>
      </w:r>
      <w:r>
        <w:rPr>
          <w:spacing w:val="-3"/>
        </w:rPr>
        <w:t>信息化系统协会先进工作者，</w:t>
      </w:r>
      <w:r>
        <w:rPr>
          <w:rFonts w:ascii="Times New Roman" w:hAnsi="Times New Roman" w:cs="Times New Roman" w:eastAsia="Times New Roman" w:hint="default"/>
          <w:spacing w:val="-3"/>
        </w:rPr>
        <w:t>2010-2011</w:t>
      </w:r>
      <w:r>
        <w:rPr>
          <w:spacing w:val="-3"/>
        </w:rPr>
        <w:t>年度行业协会先进工作者，</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2012</w:t>
      </w:r>
      <w:r>
        <w:rPr>
          <w:spacing w:val="-3"/>
        </w:rPr>
        <w:t>年全国软件行业协会先进</w:t>
      </w:r>
      <w:r>
        <w:rPr>
          <w:spacing w:val="-48"/>
        </w:rPr>
        <w:t> </w:t>
      </w:r>
      <w:r>
        <w:rPr>
          <w:spacing w:val="-48"/>
        </w:rPr>
      </w:r>
      <w:r>
        <w:rPr/>
        <w:t>工作者等荣誉称号。</w:t>
      </w:r>
    </w:p>
    <w:p>
      <w:pPr>
        <w:pStyle w:val="Heading6"/>
        <w:spacing w:line="240" w:lineRule="auto" w:before="52"/>
        <w:ind w:right="0"/>
        <w:jc w:val="left"/>
        <w:rPr>
          <w:b w:val="0"/>
          <w:bCs w:val="0"/>
        </w:rPr>
      </w:pPr>
      <w:r>
        <w:rPr>
          <w:rFonts w:ascii="Times New Roman" w:hAnsi="Times New Roman" w:cs="Times New Roman" w:eastAsia="Times New Roman" w:hint="default"/>
        </w:rPr>
        <w:t>2</w:t>
      </w:r>
      <w:r>
        <w:rPr/>
        <w:t>、公司现任监事最近</w:t>
      </w:r>
      <w:r>
        <w:rPr>
          <w:rFonts w:ascii="Times New Roman" w:hAnsi="Times New Roman" w:cs="Times New Roman" w:eastAsia="Times New Roman" w:hint="default"/>
        </w:rPr>
        <w:t>5</w:t>
      </w:r>
      <w:r>
        <w:rPr/>
        <w:t>年的主要工作经历：</w:t>
      </w:r>
      <w:r>
        <w:rPr>
          <w:b w:val="0"/>
          <w:bCs w:val="0"/>
        </w:rPr>
      </w:r>
    </w:p>
    <w:p>
      <w:pPr>
        <w:pStyle w:val="BodyText"/>
        <w:spacing w:line="240" w:lineRule="auto" w:before="177"/>
        <w:ind w:right="0"/>
        <w:jc w:val="left"/>
      </w:pPr>
      <w:r>
        <w:rPr>
          <w:rFonts w:ascii="宋体" w:hAnsi="宋体" w:cs="宋体" w:eastAsia="宋体" w:hint="default"/>
          <w:b/>
          <w:bCs/>
          <w:spacing w:val="-1"/>
        </w:rPr>
        <w:t>杨万强先生</w:t>
      </w:r>
      <w:r>
        <w:rPr>
          <w:spacing w:val="-1"/>
        </w:rPr>
        <w:t>，男，</w:t>
      </w:r>
      <w:r>
        <w:rPr>
          <w:spacing w:val="46"/>
        </w:rPr>
        <w:t> </w:t>
      </w:r>
      <w:r>
        <w:rPr>
          <w:spacing w:val="-2"/>
        </w:rPr>
        <w:t>中国国籍，无境外永久居留权，</w:t>
      </w:r>
      <w:r>
        <w:rPr>
          <w:rFonts w:ascii="Times New Roman" w:hAnsi="Times New Roman" w:cs="Times New Roman" w:eastAsia="Times New Roman" w:hint="default"/>
          <w:spacing w:val="-2"/>
        </w:rPr>
        <w:t>1974</w:t>
      </w:r>
      <w:r>
        <w:rPr>
          <w:spacing w:val="-2"/>
        </w:rPr>
        <w:t>年</w:t>
      </w:r>
      <w:r>
        <w:rPr>
          <w:rFonts w:ascii="Times New Roman" w:hAnsi="Times New Roman" w:cs="Times New Roman" w:eastAsia="Times New Roman" w:hint="default"/>
          <w:spacing w:val="-2"/>
        </w:rPr>
        <w:t>6</w:t>
      </w:r>
      <w:r>
        <w:rPr>
          <w:spacing w:val="-2"/>
        </w:rPr>
        <w:t>月出生，大学本科学历。现任天玑科技旗下子</w:t>
      </w:r>
      <w:r>
        <w:rPr/>
      </w:r>
    </w:p>
    <w:p>
      <w:pPr>
        <w:spacing w:after="0" w:line="240" w:lineRule="auto"/>
        <w:jc w:val="left"/>
        <w:sectPr>
          <w:footerReference w:type="default" r:id="rId18"/>
          <w:pgSz w:w="11910" w:h="16840"/>
          <w:pgMar w:footer="982" w:header="745" w:top="1060" w:bottom="1180" w:left="980" w:right="980"/>
          <w:pgNumType w:start="65"/>
        </w:sectPr>
      </w:pPr>
    </w:p>
    <w:p>
      <w:pPr>
        <w:spacing w:line="240" w:lineRule="auto" w:before="0"/>
        <w:rPr>
          <w:rFonts w:ascii="宋体" w:hAnsi="宋体" w:cs="宋体" w:eastAsia="宋体" w:hint="default"/>
          <w:sz w:val="20"/>
          <w:szCs w:val="20"/>
        </w:rPr>
      </w:pPr>
    </w:p>
    <w:p>
      <w:pPr>
        <w:pStyle w:val="BodyText"/>
        <w:spacing w:line="391" w:lineRule="auto" w:before="175"/>
        <w:ind w:right="0"/>
        <w:jc w:val="left"/>
      </w:pPr>
      <w:r>
        <w:rPr>
          <w:spacing w:val="-2"/>
        </w:rPr>
        <w:t>公司上海复深蓝信息技术有限公司总经理。</w:t>
      </w:r>
      <w:r>
        <w:rPr>
          <w:rFonts w:ascii="Times New Roman" w:hAnsi="Times New Roman" w:cs="Times New Roman" w:eastAsia="Times New Roman" w:hint="default"/>
          <w:spacing w:val="-2"/>
        </w:rPr>
        <w:t>2004</w:t>
      </w:r>
      <w:r>
        <w:rPr>
          <w:spacing w:val="-2"/>
        </w:rPr>
        <w:t>年创立上海复深蓝信息技术有限公司，担任公司总经理，</w:t>
      </w:r>
      <w:r>
        <w:rPr>
          <w:spacing w:val="-20"/>
        </w:rPr>
        <w:t> </w:t>
      </w:r>
      <w:r>
        <w:rPr>
          <w:spacing w:val="-20"/>
        </w:rPr>
      </w:r>
      <w:r>
        <w:rPr>
          <w:spacing w:val="-2"/>
        </w:rPr>
        <w:t>负责公司的管理，并主管技术研发。有十五年以上软件行业工作经验，深入掌握软件工程的相关理论和技</w:t>
      </w:r>
      <w:r>
        <w:rPr>
          <w:spacing w:val="-44"/>
        </w:rPr>
        <w:t> </w:t>
      </w:r>
      <w:r>
        <w:rPr>
          <w:spacing w:val="-44"/>
        </w:rPr>
      </w:r>
      <w:r>
        <w:rPr>
          <w:spacing w:val="-2"/>
        </w:rPr>
        <w:t>术，有丰富的软件项目实施管理经验，成功主持和参与过多个金融等重要行业的大型项目，曾作为主力研</w:t>
      </w:r>
      <w:r>
        <w:rPr>
          <w:spacing w:val="-43"/>
        </w:rPr>
        <w:t> </w:t>
      </w:r>
      <w:r>
        <w:rPr>
          <w:spacing w:val="-43"/>
        </w:rPr>
      </w:r>
      <w:r>
        <w:rPr>
          <w:spacing w:val="-4"/>
          <w:w w:val="100"/>
        </w:rPr>
        <w:t>发人员参加国家火炬计划</w:t>
      </w:r>
      <w:r>
        <w:rPr>
          <w:rFonts w:ascii="Times New Roman" w:hAnsi="Times New Roman" w:cs="Times New Roman" w:eastAsia="Times New Roman" w:hint="default"/>
          <w:spacing w:val="-4"/>
          <w:w w:val="100"/>
        </w:rPr>
        <w:t>“</w:t>
      </w:r>
      <w:r>
        <w:rPr>
          <w:spacing w:val="-4"/>
          <w:w w:val="100"/>
        </w:rPr>
        <w:t>开放式金融前端开发平台</w:t>
      </w:r>
      <w:r>
        <w:rPr>
          <w:rFonts w:ascii="Times New Roman" w:hAnsi="Times New Roman" w:cs="Times New Roman" w:eastAsia="Times New Roman" w:hint="default"/>
          <w:spacing w:val="-4"/>
          <w:w w:val="100"/>
        </w:rPr>
        <w:t>”</w:t>
      </w:r>
      <w:r>
        <w:rPr>
          <w:spacing w:val="-4"/>
          <w:w w:val="100"/>
        </w:rPr>
        <w:t>的研发，曾领导过获得上海市和国家创新基金的</w:t>
      </w:r>
      <w:r>
        <w:rPr>
          <w:rFonts w:ascii="Times New Roman" w:hAnsi="Times New Roman" w:cs="Times New Roman" w:eastAsia="Times New Roman" w:hint="default"/>
          <w:spacing w:val="-4"/>
          <w:w w:val="100"/>
        </w:rPr>
        <w:t>“</w:t>
      </w:r>
      <w:r>
        <w:rPr>
          <w:spacing w:val="-4"/>
          <w:w w:val="100"/>
        </w:rPr>
        <w:t>金融</w:t>
      </w:r>
      <w:r>
        <w:rPr>
          <w:spacing w:val="-78"/>
          <w:w w:val="100"/>
        </w:rPr>
        <w:t> </w:t>
      </w:r>
      <w:r>
        <w:rPr/>
        <w:t>交易测试工具软件</w:t>
      </w:r>
      <w:r>
        <w:rPr>
          <w:rFonts w:ascii="Times New Roman" w:hAnsi="Times New Roman" w:cs="Times New Roman" w:eastAsia="Times New Roman" w:hint="default"/>
        </w:rPr>
        <w:t>”</w:t>
      </w:r>
      <w:r>
        <w:rPr/>
        <w:t>的研发。</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26</w:t>
      </w:r>
      <w:r>
        <w:rPr/>
        <w:t>日起至今任公司第三届监事会主席。</w:t>
      </w:r>
      <w:r>
        <w:rPr>
          <w:w w:val="100"/>
        </w:rPr>
        <w:t> </w:t>
      </w:r>
      <w:r>
        <w:rPr>
          <w:rFonts w:ascii="宋体" w:hAnsi="宋体" w:cs="宋体" w:eastAsia="宋体" w:hint="default"/>
          <w:b/>
          <w:bCs/>
        </w:rPr>
        <w:t>彭玉龙先生</w:t>
      </w:r>
      <w:r>
        <w:rPr/>
        <w:t>，男，中国国籍，无境外永久居留权，</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8</w:t>
      </w:r>
      <w:r>
        <w:rPr/>
        <w:t>月出生，上海交通大学本科学历、中欧工商学</w:t>
      </w:r>
      <w:r>
        <w:rPr>
          <w:w w:val="100"/>
        </w:rPr>
        <w:t> </w:t>
      </w:r>
      <w:r>
        <w:rPr>
          <w:spacing w:val="-6"/>
        </w:rPr>
        <w:t>院</w:t>
      </w:r>
      <w:r>
        <w:rPr>
          <w:rFonts w:ascii="Times New Roman" w:hAnsi="Times New Roman" w:cs="Times New Roman" w:eastAsia="Times New Roman" w:hint="default"/>
          <w:spacing w:val="-6"/>
        </w:rPr>
        <w:t>EMBA</w:t>
      </w:r>
      <w:r>
        <w:rPr>
          <w:spacing w:val="-6"/>
        </w:rPr>
        <w:t>。</w:t>
      </w:r>
      <w:r>
        <w:rPr>
          <w:rFonts w:ascii="Times New Roman" w:hAnsi="Times New Roman" w:cs="Times New Roman" w:eastAsia="Times New Roman" w:hint="default"/>
          <w:spacing w:val="-6"/>
        </w:rPr>
        <w:t>1986</w:t>
      </w:r>
      <w:r>
        <w:rPr>
          <w:spacing w:val="-6"/>
        </w:rPr>
        <w:t>年至</w:t>
      </w:r>
      <w:r>
        <w:rPr>
          <w:rFonts w:ascii="Times New Roman" w:hAnsi="Times New Roman" w:cs="Times New Roman" w:eastAsia="Times New Roman" w:hint="default"/>
          <w:spacing w:val="-6"/>
        </w:rPr>
        <w:t>1992</w:t>
      </w:r>
      <w:r>
        <w:rPr>
          <w:spacing w:val="-6"/>
        </w:rPr>
        <w:t>年就职上海王安电脑有限公司，历任维保工程师，首席宽带网设计顾问等职。</w:t>
      </w:r>
      <w:r>
        <w:rPr>
          <w:rFonts w:ascii="Times New Roman" w:hAnsi="Times New Roman" w:cs="Times New Roman" w:eastAsia="Times New Roman" w:hint="default"/>
          <w:spacing w:val="-6"/>
        </w:rPr>
        <w:t>1992</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spacing w:val="-2"/>
        </w:rPr>
        <w:t>年至</w:t>
      </w:r>
      <w:r>
        <w:rPr>
          <w:rFonts w:ascii="Times New Roman" w:hAnsi="Times New Roman" w:cs="Times New Roman" w:eastAsia="Times New Roman" w:hint="default"/>
          <w:spacing w:val="-2"/>
        </w:rPr>
        <w:t>2008</w:t>
      </w:r>
      <w:r>
        <w:rPr>
          <w:spacing w:val="-2"/>
        </w:rPr>
        <w:t>年就职中国惠普有限公司，历任技术咨询顾问，技术咨询经理，技术咨询总监等职。</w:t>
      </w:r>
      <w:r>
        <w:rPr>
          <w:rFonts w:ascii="Times New Roman" w:hAnsi="Times New Roman" w:cs="Times New Roman" w:eastAsia="Times New Roman" w:hint="default"/>
          <w:spacing w:val="-2"/>
        </w:rPr>
        <w:t>2009</w:t>
      </w:r>
      <w:r>
        <w:rPr>
          <w:spacing w:val="-2"/>
        </w:rPr>
        <w:t>年至今</w:t>
      </w:r>
      <w:r>
        <w:rPr>
          <w:spacing w:val="-41"/>
        </w:rPr>
        <w:t> </w:t>
      </w:r>
      <w:r>
        <w:rPr>
          <w:spacing w:val="-41"/>
        </w:rPr>
      </w:r>
      <w:r>
        <w:rPr/>
        <w:t>任职上海天玑科技股份有限公司，历任综合服务事业部经理，解决方案中心经理、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日起任公</w:t>
      </w:r>
      <w:r>
        <w:rPr>
          <w:spacing w:val="-3"/>
          <w:w w:val="100"/>
        </w:rPr>
        <w:t> </w:t>
      </w:r>
      <w:r>
        <w:rPr/>
        <w:t>司第三届监事会监事。</w:t>
      </w:r>
      <w:r>
        <w:rPr>
          <w:w w:val="100"/>
        </w:rPr>
        <w:t> </w:t>
      </w:r>
      <w:r>
        <w:rPr>
          <w:rFonts w:ascii="宋体" w:hAnsi="宋体" w:cs="宋体" w:eastAsia="宋体" w:hint="default"/>
          <w:b/>
          <w:bCs/>
          <w:spacing w:val="-2"/>
        </w:rPr>
        <w:t>刘思女士</w:t>
      </w:r>
      <w:r>
        <w:rPr>
          <w:spacing w:val="-2"/>
        </w:rPr>
        <w:t>，女，中国国籍，无境外永久居留权，</w:t>
      </w:r>
      <w:r>
        <w:rPr>
          <w:rFonts w:ascii="Times New Roman" w:hAnsi="Times New Roman" w:cs="Times New Roman" w:eastAsia="Times New Roman" w:hint="default"/>
          <w:spacing w:val="-2"/>
        </w:rPr>
        <w:t>1982</w:t>
      </w:r>
      <w:r>
        <w:rPr>
          <w:spacing w:val="-2"/>
        </w:rPr>
        <w:t>年</w:t>
      </w:r>
      <w:r>
        <w:rPr>
          <w:rFonts w:ascii="Times New Roman" w:hAnsi="Times New Roman" w:cs="Times New Roman" w:eastAsia="Times New Roman" w:hint="default"/>
          <w:spacing w:val="-2"/>
        </w:rPr>
        <w:t>2</w:t>
      </w:r>
      <w:r>
        <w:rPr>
          <w:spacing w:val="-2"/>
        </w:rPr>
        <w:t>月出生，武汉理工专科学历。</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2</w:t>
      </w:r>
      <w:r>
        <w:rPr>
          <w:spacing w:val="-2"/>
        </w:rPr>
        <w:t>月至今担任</w:t>
      </w:r>
      <w:r>
        <w:rPr>
          <w:spacing w:val="-42"/>
        </w:rPr>
        <w:t> </w:t>
      </w:r>
      <w:r>
        <w:rPr>
          <w:spacing w:val="-42"/>
        </w:rPr>
      </w:r>
      <w:r>
        <w:rPr/>
        <w:t>上海天玑科技股份有限公司销售运营管理部主管一职。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日起任天玑科技第三届监事会职工代</w:t>
      </w:r>
      <w:r>
        <w:rPr>
          <w:spacing w:val="-3"/>
          <w:w w:val="100"/>
        </w:rPr>
        <w:t> </w:t>
      </w:r>
      <w:r>
        <w:rPr/>
        <w:t>表监事。</w:t>
      </w:r>
    </w:p>
    <w:p>
      <w:pPr>
        <w:spacing w:line="386" w:lineRule="auto" w:before="61"/>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、公司现任高级管理人员最近</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年的主要工作经历：</w:t>
      </w:r>
      <w:r>
        <w:rPr>
          <w:rFonts w:ascii="宋体" w:hAnsi="宋体" w:cs="宋体" w:eastAsia="宋体" w:hint="default"/>
          <w:b/>
          <w:bCs/>
          <w:w w:val="100"/>
          <w:sz w:val="21"/>
          <w:szCs w:val="21"/>
        </w:rPr>
        <w:t> </w:t>
      </w:r>
      <w:r>
        <w:rPr>
          <w:rFonts w:ascii="宋体" w:hAnsi="宋体" w:cs="宋体" w:eastAsia="宋体" w:hint="default"/>
          <w:b/>
          <w:bCs/>
          <w:spacing w:val="-2"/>
          <w:sz w:val="21"/>
          <w:szCs w:val="21"/>
        </w:rPr>
        <w:t>陆廷洁女士</w:t>
      </w:r>
      <w:r>
        <w:rPr>
          <w:rFonts w:ascii="宋体" w:hAnsi="宋体" w:cs="宋体" w:eastAsia="宋体" w:hint="default"/>
          <w:spacing w:val="-2"/>
          <w:sz w:val="21"/>
          <w:szCs w:val="21"/>
        </w:rPr>
        <w:t>，女，中国国籍，无境外永久居留权，</w:t>
      </w:r>
      <w:r>
        <w:rPr>
          <w:rFonts w:ascii="Times New Roman" w:hAnsi="Times New Roman" w:cs="Times New Roman" w:eastAsia="Times New Roman" w:hint="default"/>
          <w:spacing w:val="-2"/>
          <w:sz w:val="21"/>
          <w:szCs w:val="21"/>
        </w:rPr>
        <w:t>1976</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月出生，大学本科学历。公司董事会秘书、副</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总经理兼财务总监。</w:t>
      </w:r>
      <w:r>
        <w:rPr>
          <w:rFonts w:ascii="Times New Roman" w:hAnsi="Times New Roman" w:cs="Times New Roman" w:eastAsia="Times New Roman" w:hint="default"/>
          <w:sz w:val="21"/>
          <w:szCs w:val="21"/>
        </w:rPr>
        <w:t>2002</w:t>
      </w:r>
      <w:r>
        <w:rPr>
          <w:rFonts w:ascii="宋体" w:hAnsi="宋体" w:cs="宋体" w:eastAsia="宋体" w:hint="default"/>
          <w:sz w:val="21"/>
          <w:szCs w:val="21"/>
        </w:rPr>
        <w:t>年加入天玑有限，历任商务经理、副总经理、董事会秘书等职务。</w:t>
      </w:r>
      <w:r>
        <w:rPr>
          <w:rFonts w:ascii="宋体" w:hAnsi="宋体" w:cs="宋体" w:eastAsia="宋体" w:hint="default"/>
          <w:w w:val="100"/>
          <w:sz w:val="21"/>
          <w:szCs w:val="21"/>
        </w:rPr>
        <w:t> </w:t>
      </w:r>
      <w:r>
        <w:rPr>
          <w:rFonts w:ascii="宋体" w:hAnsi="宋体" w:cs="宋体" w:eastAsia="宋体" w:hint="default"/>
          <w:b/>
          <w:bCs/>
          <w:sz w:val="21"/>
          <w:szCs w:val="21"/>
        </w:rPr>
        <w:t>姜蓓蓓女士及叶磊先生简历详见董事会成员介绍。</w:t>
      </w:r>
      <w:r>
        <w:rPr>
          <w:rFonts w:ascii="宋体" w:hAnsi="宋体" w:cs="宋体" w:eastAsia="宋体" w:hint="default"/>
          <w:sz w:val="21"/>
          <w:szCs w:val="21"/>
        </w:rPr>
      </w:r>
    </w:p>
    <w:p>
      <w:pPr>
        <w:spacing w:line="240" w:lineRule="auto" w:before="8"/>
        <w:rPr>
          <w:rFonts w:ascii="宋体" w:hAnsi="宋体" w:cs="宋体" w:eastAsia="宋体" w:hint="default"/>
          <w:b/>
          <w:bCs/>
          <w:sz w:val="27"/>
          <w:szCs w:val="2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40" w:lineRule="auto" w:before="115"/>
        <w:ind w:left="152" w:right="815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在其他单位任职情况</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2311"/>
        <w:gridCol w:w="1274"/>
        <w:gridCol w:w="1702"/>
        <w:gridCol w:w="1670"/>
        <w:gridCol w:w="1375"/>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1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6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黄钰昌</w:t>
            </w: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中欧国际工商学院</w:t>
            </w:r>
            <w:r>
              <w:rPr>
                <w:rFonts w:ascii="Times New Roman" w:hAnsi="Times New Roman" w:cs="Times New Roman" w:eastAsia="Times New Roman" w:hint="default"/>
                <w:sz w:val="18"/>
                <w:szCs w:val="18"/>
              </w:rPr>
              <w:t>,</w:t>
            </w:r>
            <w:r>
              <w:rPr>
                <w:rFonts w:ascii="宋体" w:hAnsi="宋体" w:cs="宋体" w:eastAsia="宋体" w:hint="default"/>
                <w:sz w:val="18"/>
                <w:szCs w:val="18"/>
              </w:rPr>
              <w:t>教授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黄钰昌</w:t>
            </w: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宝山钢铁股份有限公司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黄钰昌</w:t>
            </w: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上海家化联合股份有限公司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徐宇舟</w:t>
            </w: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上海原本律师事务所</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姚宝敬</w:t>
            </w: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上海市软件协会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副秘书长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4"/>
        <w:spacing w:line="240" w:lineRule="auto" w:before="26"/>
        <w:ind w:right="0"/>
        <w:jc w:val="left"/>
        <w:rPr>
          <w:b w:val="0"/>
          <w:bCs w:val="0"/>
        </w:rPr>
      </w:pPr>
      <w:r>
        <w:rPr/>
        <w:t>四</w:t>
      </w:r>
      <w:bookmarkStart w:name="四、董事、监事、高级管理人员报酬情况" w:id="121"/>
      <w:bookmarkEnd w:id="121"/>
      <w:r>
        <w:rPr/>
        <w:t>、</w:t>
      </w:r>
      <w:r>
        <w:rPr/>
        <w:t>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4260"/>
        <w:gridCol w:w="5309"/>
      </w:tblGrid>
      <w:tr>
        <w:trPr>
          <w:trHeight w:val="1369" w:hRule="exact"/>
        </w:trPr>
        <w:tc>
          <w:tcPr>
            <w:tcW w:w="4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0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67"/>
              <w:jc w:val="both"/>
              <w:rPr>
                <w:rFonts w:ascii="宋体" w:hAnsi="宋体" w:cs="宋体" w:eastAsia="宋体" w:hint="default"/>
                <w:sz w:val="18"/>
                <w:szCs w:val="18"/>
              </w:rPr>
            </w:pPr>
            <w:r>
              <w:rPr>
                <w:rFonts w:ascii="宋体" w:hAnsi="宋体" w:cs="宋体" w:eastAsia="宋体" w:hint="default"/>
                <w:sz w:val="18"/>
                <w:szCs w:val="18"/>
              </w:rPr>
              <w:t>公司董事、监事报酬由股东大会决定，高级管理人员报酬由董事会 决定；在公司承担职务的董事、监事、高级管理人员报酬由公司支 付，董事、监事不另外支付津贴；独立董事津贴依据股东大会决议 支付。</w:t>
            </w:r>
          </w:p>
        </w:tc>
      </w:tr>
      <w:tr>
        <w:trPr>
          <w:trHeight w:val="738" w:hRule="exact"/>
        </w:trPr>
        <w:tc>
          <w:tcPr>
            <w:tcW w:w="4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5"/>
              <w:ind w:left="4"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09"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5"/>
              <w:ind w:left="4" w:right="67"/>
              <w:jc w:val="left"/>
              <w:rPr>
                <w:rFonts w:ascii="宋体" w:hAnsi="宋体" w:cs="宋体" w:eastAsia="宋体" w:hint="default"/>
                <w:sz w:val="18"/>
                <w:szCs w:val="18"/>
              </w:rPr>
            </w:pPr>
            <w:r>
              <w:rPr>
                <w:rFonts w:ascii="宋体" w:hAnsi="宋体" w:cs="宋体" w:eastAsia="宋体" w:hint="default"/>
                <w:sz w:val="18"/>
                <w:szCs w:val="18"/>
              </w:rPr>
              <w:t>依据公司盈利水平及各董事、监事、高级管理人员的工作分工及履 职情况确定。</w:t>
            </w:r>
          </w:p>
        </w:tc>
      </w:tr>
      <w:tr>
        <w:trPr>
          <w:trHeight w:val="734" w:hRule="exact"/>
        </w:trPr>
        <w:tc>
          <w:tcPr>
            <w:tcW w:w="4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0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3"/>
              <w:ind w:left="4" w:right="-22"/>
              <w:jc w:val="left"/>
              <w:rPr>
                <w:rFonts w:ascii="宋体" w:hAnsi="宋体" w:cs="宋体" w:eastAsia="宋体" w:hint="default"/>
                <w:sz w:val="18"/>
                <w:szCs w:val="18"/>
              </w:rPr>
            </w:pPr>
            <w:r>
              <w:rPr>
                <w:rFonts w:ascii="宋体" w:hAnsi="宋体" w:cs="宋体" w:eastAsia="宋体" w:hint="default"/>
                <w:sz w:val="18"/>
                <w:szCs w:val="18"/>
              </w:rPr>
              <w:t>截止</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日现任董事、监事和高级管理人员共</w:t>
            </w:r>
            <w:r>
              <w:rPr>
                <w:rFonts w:ascii="Times New Roman" w:hAnsi="Times New Roman" w:cs="Times New Roman" w:eastAsia="Times New Roman" w:hint="default"/>
                <w:sz w:val="18"/>
                <w:szCs w:val="18"/>
              </w:rPr>
              <w:t>13</w:t>
            </w:r>
            <w:r>
              <w:rPr>
                <w:rFonts w:ascii="宋体" w:hAnsi="宋体" w:cs="宋体" w:eastAsia="宋体" w:hint="default"/>
                <w:sz w:val="18"/>
                <w:szCs w:val="18"/>
              </w:rPr>
              <w:t>人，换届 离任</w:t>
            </w:r>
            <w:r>
              <w:rPr>
                <w:rFonts w:ascii="Times New Roman" w:hAnsi="Times New Roman" w:cs="Times New Roman" w:eastAsia="Times New Roman" w:hint="default"/>
                <w:sz w:val="18"/>
                <w:szCs w:val="18"/>
              </w:rPr>
              <w:t>7</w:t>
            </w:r>
            <w:r>
              <w:rPr>
                <w:rFonts w:ascii="宋体" w:hAnsi="宋体" w:cs="宋体" w:eastAsia="宋体" w:hint="default"/>
                <w:sz w:val="18"/>
                <w:szCs w:val="18"/>
              </w:rPr>
              <w:t>人。已按相关规定及时支付董事、监事和高级管理人员报酬。</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53"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8"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陆文雄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412,469.65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杜力耘</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1,002,174.79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陈宏科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997,640.04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姜蓓蓓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911,592.1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楼晔</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380,027.72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武雪松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568,429.17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叶磊</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835,918.44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961,705.92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黄钰昌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徐宇舟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姚宝敬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严义埙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朱范予</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陈杰平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杨万强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323,464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397,790.46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刘洁琼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186,314.91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彭玉龙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637,485.43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135,450.75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陆廷洁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both"/>
              <w:rPr>
                <w:rFonts w:ascii="宋体" w:hAnsi="宋体" w:cs="宋体" w:eastAsia="宋体" w:hint="default"/>
                <w:sz w:val="18"/>
                <w:szCs w:val="18"/>
              </w:rPr>
            </w:pPr>
            <w:r>
              <w:rPr>
                <w:rFonts w:ascii="宋体" w:hAnsi="宋体" w:cs="宋体" w:eastAsia="宋体" w:hint="default"/>
                <w:sz w:val="18"/>
                <w:szCs w:val="18"/>
              </w:rPr>
              <w:t>董事会秘书、财 务总监、副总经 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560,353.92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57"/>
        <w:gridCol w:w="1378"/>
        <w:gridCol w:w="1356"/>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37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8,610,817.3</w:t>
            </w:r>
          </w:p>
        </w:tc>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2" w:top="1060" w:bottom="1180" w:left="980" w:right="980"/>
        </w:sectPr>
      </w:pPr>
    </w:p>
    <w:p>
      <w:pPr>
        <w:spacing w:before="50"/>
        <w:ind w:left="152" w:right="-2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5193" w:space="3725"/>
            <w:col w:w="1032"/>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44"/>
        <w:ind w:left="0" w:right="165" w:firstLine="0"/>
        <w:jc w:val="right"/>
        <w:rPr>
          <w:rFonts w:ascii="宋体" w:hAnsi="宋体" w:cs="宋体" w:eastAsia="宋体" w:hint="default"/>
          <w:sz w:val="18"/>
          <w:szCs w:val="18"/>
        </w:rPr>
      </w:pPr>
      <w:r>
        <w:rPr/>
        <w:pict>
          <v:shape style="position:absolute;margin-left:56.400002pt;margin-top:-174.728287pt;width:478.95pt;height:225.8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4"/>
                    <w:gridCol w:w="872"/>
                    <w:gridCol w:w="868"/>
                    <w:gridCol w:w="871"/>
                    <w:gridCol w:w="869"/>
                    <w:gridCol w:w="869"/>
                    <w:gridCol w:w="871"/>
                    <w:gridCol w:w="869"/>
                    <w:gridCol w:w="871"/>
                    <w:gridCol w:w="869"/>
                    <w:gridCol w:w="871"/>
                  </w:tblGrid>
                  <w:tr>
                    <w:trPr>
                      <w:trHeight w:val="1339"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2" w:type="dxa"/>
                        <w:tcBorders>
                          <w:top w:val="single" w:sz="4" w:space="0" w:color="000000"/>
                          <w:left w:val="single" w:sz="4" w:space="0" w:color="000000"/>
                          <w:bottom w:val="single" w:sz="4" w:space="0" w:color="000000"/>
                          <w:right w:val="single" w:sz="5"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68" w:type="dxa"/>
                        <w:tcBorders>
                          <w:top w:val="single" w:sz="4" w:space="0" w:color="000000"/>
                          <w:left w:val="single" w:sz="5"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67"/>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67" w:firstLine="45"/>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2"/>
                            <w:szCs w:val="12"/>
                          </w:rPr>
                        </w:pPr>
                      </w:p>
                      <w:p>
                        <w:pPr>
                          <w:pStyle w:val="TableParagraph"/>
                          <w:spacing w:line="312" w:lineRule="exact"/>
                          <w:ind w:left="45" w:right="41" w:hanging="2"/>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p>
                        <w:pPr>
                          <w:pStyle w:val="TableParagraph"/>
                          <w:spacing w:line="119" w:lineRule="exact"/>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 w:right="71"/>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2" w:lineRule="auto" w:before="49"/>
                          <w:ind w:left="45" w:right="41" w:hanging="2"/>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陆廷洁</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董事会秘 </w:t>
                        </w:r>
                        <w:r>
                          <w:rPr>
                            <w:rFonts w:ascii="宋体" w:hAnsi="宋体" w:cs="宋体" w:eastAsia="宋体" w:hint="default"/>
                            <w:spacing w:val="-18"/>
                            <w:sz w:val="18"/>
                            <w:szCs w:val="18"/>
                          </w:rPr>
                          <w:t>书、财务总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监、副总经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868" w:type="dxa"/>
                        <w:tcBorders>
                          <w:top w:val="single" w:sz="4" w:space="0" w:color="000000"/>
                          <w:left w:val="single" w:sz="5"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182,000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4.81</w:t>
                        </w:r>
                        <w:r>
                          <w:rPr>
                            <w:rFonts w:ascii="Times New Roman"/>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273,000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武雪松</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8" w:type="dxa"/>
                        <w:tcBorders>
                          <w:top w:val="single" w:sz="4" w:space="0" w:color="000000"/>
                          <w:left w:val="single" w:sz="5"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117,000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w:t>
                        </w:r>
                        <w:r>
                          <w:rPr>
                            <w:rFonts w:ascii="Times New Roman"/>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156,000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2" w:type="dxa"/>
                        <w:tcBorders>
                          <w:top w:val="single" w:sz="4" w:space="0" w:color="000000"/>
                          <w:left w:val="single" w:sz="4" w:space="0" w:color="000000"/>
                          <w:bottom w:val="single" w:sz="4" w:space="0" w:color="000000"/>
                          <w:right w:val="single" w:sz="5"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117,000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182,000</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429,000</w:t>
                        </w:r>
                      </w:p>
                    </w:tc>
                  </w:tr>
                  <w:tr>
                    <w:trPr>
                      <w:trHeight w:val="1027" w:hRule="exact"/>
                    </w:trPr>
                    <w:tc>
                      <w:tcPr>
                        <w:tcW w:w="173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28" w:type="dxa"/>
                        <w:gridSpan w:val="9"/>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5" w:right="60"/>
                          <w:jc w:val="both"/>
                          <w:rPr>
                            <w:rFonts w:ascii="宋体" w:hAnsi="宋体" w:cs="宋体" w:eastAsia="宋体" w:hint="default"/>
                            <w:sz w:val="18"/>
                            <w:szCs w:val="18"/>
                          </w:rPr>
                        </w:pPr>
                        <w:r>
                          <w:rPr>
                            <w:rFonts w:ascii="宋体" w:hAnsi="宋体" w:cs="宋体" w:eastAsia="宋体" w:hint="default"/>
                            <w:sz w:val="18"/>
                            <w:szCs w:val="18"/>
                          </w:rPr>
                          <w:t>因公司于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日实施了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年度权益分派，以资本公积金每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股，故陆廷洁</w:t>
                        </w:r>
                        <w:r>
                          <w:rPr>
                            <w:rFonts w:ascii="宋体" w:hAnsi="宋体" w:cs="宋体" w:eastAsia="宋体" w:hint="default"/>
                            <w:sz w:val="18"/>
                            <w:szCs w:val="18"/>
                          </w:rPr>
                          <w:t> 武雪松的限制性股票数量相应调整。武雪松先生第二届董事会届满已离任，且已从公司离职，其已 授予的未解锁的限制性股票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股已经公司第二届董事会第二次会议审议通过回购注销。</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4"/>
        <w:spacing w:line="240" w:lineRule="auto" w:before="26"/>
        <w:ind w:right="0"/>
        <w:jc w:val="left"/>
        <w:rPr>
          <w:b w:val="0"/>
          <w:bCs w:val="0"/>
        </w:rPr>
      </w:pPr>
      <w:r>
        <w:rPr/>
        <w:t>五、公司员工情况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28" w:type="dxa"/>
        <w:tblLayout w:type="fixed"/>
        <w:tblCellMar>
          <w:top w:w="0" w:type="dxa"/>
          <w:left w:w="0" w:type="dxa"/>
          <w:bottom w:w="0" w:type="dxa"/>
          <w:right w:w="0" w:type="dxa"/>
        </w:tblCellMar>
        <w:tblLook w:val="01E0"/>
      </w:tblPr>
      <w:tblGrid>
        <w:gridCol w:w="1418"/>
        <w:gridCol w:w="1841"/>
        <w:gridCol w:w="1579"/>
        <w:gridCol w:w="1980"/>
      </w:tblGrid>
      <w:tr>
        <w:trPr>
          <w:trHeight w:val="331" w:hRule="exact"/>
        </w:trPr>
        <w:tc>
          <w:tcPr>
            <w:tcW w:w="3259" w:type="dxa"/>
            <w:gridSpan w:val="2"/>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0"/>
              <w:jc w:val="center"/>
              <w:rPr>
                <w:rFonts w:ascii="微软雅黑" w:hAnsi="微软雅黑" w:cs="微软雅黑" w:eastAsia="微软雅黑" w:hint="default"/>
                <w:sz w:val="18"/>
                <w:szCs w:val="18"/>
              </w:rPr>
            </w:pPr>
            <w:r>
              <w:rPr>
                <w:rFonts w:ascii="微软雅黑" w:hAnsi="微软雅黑" w:cs="微软雅黑" w:eastAsia="微软雅黑" w:hint="default"/>
                <w:b/>
                <w:bCs/>
                <w:sz w:val="18"/>
                <w:szCs w:val="18"/>
              </w:rPr>
              <w:t>分类结构</w:t>
            </w:r>
            <w:r>
              <w:rPr>
                <w:rFonts w:ascii="微软雅黑" w:hAnsi="微软雅黑" w:cs="微软雅黑" w:eastAsia="微软雅黑" w:hint="default"/>
                <w:sz w:val="18"/>
                <w:szCs w:val="18"/>
              </w:rPr>
            </w:r>
          </w:p>
        </w:tc>
        <w:tc>
          <w:tcPr>
            <w:tcW w:w="1579"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2" w:right="0"/>
              <w:jc w:val="center"/>
              <w:rPr>
                <w:rFonts w:ascii="微软雅黑" w:hAnsi="微软雅黑" w:cs="微软雅黑" w:eastAsia="微软雅黑" w:hint="default"/>
                <w:sz w:val="18"/>
                <w:szCs w:val="18"/>
              </w:rPr>
            </w:pPr>
            <w:r>
              <w:rPr>
                <w:rFonts w:ascii="微软雅黑" w:hAnsi="微软雅黑" w:cs="微软雅黑" w:eastAsia="微软雅黑" w:hint="default"/>
                <w:b/>
                <w:bCs/>
                <w:sz w:val="18"/>
                <w:szCs w:val="18"/>
              </w:rPr>
              <w:t>人数（个）</w:t>
            </w:r>
            <w:r>
              <w:rPr>
                <w:rFonts w:ascii="微软雅黑" w:hAnsi="微软雅黑" w:cs="微软雅黑" w:eastAsia="微软雅黑" w:hint="default"/>
                <w:sz w:val="18"/>
                <w:szCs w:val="18"/>
              </w:rPr>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2" w:right="0"/>
              <w:jc w:val="center"/>
              <w:rPr>
                <w:rFonts w:ascii="微软雅黑" w:hAnsi="微软雅黑" w:cs="微软雅黑" w:eastAsia="微软雅黑" w:hint="default"/>
                <w:sz w:val="18"/>
                <w:szCs w:val="18"/>
              </w:rPr>
            </w:pPr>
            <w:r>
              <w:rPr>
                <w:rFonts w:ascii="微软雅黑" w:hAnsi="微软雅黑" w:cs="微软雅黑" w:eastAsia="微软雅黑" w:hint="default"/>
                <w:b/>
                <w:bCs/>
                <w:sz w:val="18"/>
                <w:szCs w:val="18"/>
              </w:rPr>
              <w:t>所占比例（</w:t>
            </w:r>
            <w:r>
              <w:rPr>
                <w:rFonts w:ascii="微软雅黑" w:hAnsi="微软雅黑" w:cs="微软雅黑" w:eastAsia="微软雅黑" w:hint="default"/>
                <w:b/>
                <w:bCs/>
                <w:sz w:val="18"/>
                <w:szCs w:val="18"/>
              </w:rPr>
              <w:t>%</w:t>
            </w:r>
            <w:bookmarkStart w:name="五、公司员工情况" w:id="122"/>
            <w:bookmarkEnd w:id="122"/>
            <w:r>
              <w:rPr>
                <w:rFonts w:ascii="微软雅黑" w:hAnsi="微软雅黑" w:cs="微软雅黑" w:eastAsia="微软雅黑" w:hint="default"/>
                <w:b/>
                <w:bCs/>
                <w:sz w:val="18"/>
                <w:szCs w:val="18"/>
              </w:rPr>
            </w:r>
            <w:r>
              <w:rPr>
                <w:rFonts w:ascii="微软雅黑" w:hAnsi="微软雅黑" w:cs="微软雅黑" w:eastAsia="微软雅黑" w:hint="default"/>
                <w:b/>
                <w:bCs/>
                <w:sz w:val="18"/>
                <w:szCs w:val="18"/>
              </w:rPr>
              <w:t>）</w:t>
            </w:r>
            <w:r>
              <w:rPr>
                <w:rFonts w:ascii="微软雅黑" w:hAnsi="微软雅黑" w:cs="微软雅黑" w:eastAsia="微软雅黑" w:hint="default"/>
                <w:sz w:val="18"/>
                <w:szCs w:val="18"/>
              </w:rPr>
            </w:r>
          </w:p>
        </w:tc>
      </w:tr>
      <w:tr>
        <w:trPr>
          <w:trHeight w:val="331" w:hRule="exact"/>
        </w:trPr>
        <w:tc>
          <w:tcPr>
            <w:tcW w:w="1418"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5"/>
              <w:ind w:left="98"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年龄构成</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100"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25</w:t>
            </w:r>
            <w:r>
              <w:rPr>
                <w:rFonts w:ascii="微软雅黑" w:hAnsi="微软雅黑" w:cs="微软雅黑" w:eastAsia="微软雅黑" w:hint="default"/>
                <w:spacing w:val="-8"/>
                <w:sz w:val="18"/>
                <w:szCs w:val="18"/>
              </w:rPr>
              <w:t> </w:t>
            </w:r>
            <w:r>
              <w:rPr>
                <w:rFonts w:ascii="微软雅黑" w:hAnsi="微软雅黑" w:cs="微软雅黑" w:eastAsia="微软雅黑" w:hint="default"/>
                <w:sz w:val="18"/>
                <w:szCs w:val="18"/>
              </w:rPr>
              <w:t>岁及以下</w:t>
            </w:r>
          </w:p>
        </w:tc>
        <w:tc>
          <w:tcPr>
            <w:tcW w:w="1579"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4" w:right="0"/>
              <w:jc w:val="center"/>
              <w:rPr>
                <w:rFonts w:ascii="微软雅黑" w:hAnsi="微软雅黑" w:cs="微软雅黑" w:eastAsia="微软雅黑" w:hint="default"/>
                <w:sz w:val="18"/>
                <w:szCs w:val="18"/>
              </w:rPr>
            </w:pPr>
            <w:r>
              <w:rPr>
                <w:rFonts w:ascii="微软雅黑"/>
                <w:sz w:val="18"/>
              </w:rPr>
              <w:t>260</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4" w:right="0"/>
              <w:jc w:val="center"/>
              <w:rPr>
                <w:rFonts w:ascii="微软雅黑" w:hAnsi="微软雅黑" w:cs="微软雅黑" w:eastAsia="微软雅黑" w:hint="default"/>
                <w:sz w:val="18"/>
                <w:szCs w:val="18"/>
              </w:rPr>
            </w:pPr>
            <w:r>
              <w:rPr>
                <w:rFonts w:ascii="微软雅黑"/>
                <w:sz w:val="18"/>
              </w:rPr>
              <w:t>19.29%</w:t>
            </w:r>
          </w:p>
        </w:tc>
      </w:tr>
      <w:tr>
        <w:trPr>
          <w:trHeight w:val="334" w:hRule="exact"/>
        </w:trPr>
        <w:tc>
          <w:tcPr>
            <w:tcW w:w="1418" w:type="dxa"/>
            <w:vMerge/>
            <w:tcBorders>
              <w:left w:val="single" w:sz="8" w:space="0" w:color="000000"/>
              <w:right w:val="single" w:sz="8" w:space="0" w:color="000000"/>
            </w:tcBorders>
          </w:tcPr>
          <w:p>
            <w:pP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100"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26-35</w:t>
            </w:r>
            <w:r>
              <w:rPr>
                <w:rFonts w:ascii="微软雅黑" w:hAnsi="微软雅黑" w:cs="微软雅黑" w:eastAsia="微软雅黑" w:hint="default"/>
                <w:spacing w:val="-10"/>
                <w:sz w:val="18"/>
                <w:szCs w:val="18"/>
              </w:rPr>
              <w:t> </w:t>
            </w:r>
            <w:r>
              <w:rPr>
                <w:rFonts w:ascii="微软雅黑" w:hAnsi="微软雅黑" w:cs="微软雅黑" w:eastAsia="微软雅黑" w:hint="default"/>
                <w:sz w:val="18"/>
                <w:szCs w:val="18"/>
              </w:rPr>
              <w:t>岁</w:t>
            </w:r>
          </w:p>
        </w:tc>
        <w:tc>
          <w:tcPr>
            <w:tcW w:w="1579"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5" w:right="0"/>
              <w:jc w:val="center"/>
              <w:rPr>
                <w:rFonts w:ascii="微软雅黑" w:hAnsi="微软雅黑" w:cs="微软雅黑" w:eastAsia="微软雅黑" w:hint="default"/>
                <w:sz w:val="18"/>
                <w:szCs w:val="18"/>
              </w:rPr>
            </w:pPr>
            <w:r>
              <w:rPr>
                <w:rFonts w:ascii="微软雅黑"/>
                <w:sz w:val="18"/>
              </w:rPr>
              <w:t>863</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4" w:right="0"/>
              <w:jc w:val="center"/>
              <w:rPr>
                <w:rFonts w:ascii="微软雅黑" w:hAnsi="微软雅黑" w:cs="微软雅黑" w:eastAsia="微软雅黑" w:hint="default"/>
                <w:sz w:val="18"/>
                <w:szCs w:val="18"/>
              </w:rPr>
            </w:pPr>
            <w:r>
              <w:rPr>
                <w:rFonts w:ascii="微软雅黑"/>
                <w:sz w:val="18"/>
              </w:rPr>
              <w:t>64.02%</w:t>
            </w:r>
          </w:p>
        </w:tc>
      </w:tr>
      <w:tr>
        <w:trPr>
          <w:trHeight w:val="331" w:hRule="exact"/>
        </w:trPr>
        <w:tc>
          <w:tcPr>
            <w:tcW w:w="1418" w:type="dxa"/>
            <w:vMerge/>
            <w:tcBorders>
              <w:left w:val="single" w:sz="8" w:space="0" w:color="000000"/>
              <w:right w:val="single" w:sz="8" w:space="0" w:color="000000"/>
            </w:tcBorders>
          </w:tcPr>
          <w:p>
            <w:pP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100"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36-50</w:t>
            </w:r>
            <w:r>
              <w:rPr>
                <w:rFonts w:ascii="微软雅黑" w:hAnsi="微软雅黑" w:cs="微软雅黑" w:eastAsia="微软雅黑" w:hint="default"/>
                <w:spacing w:val="-10"/>
                <w:sz w:val="18"/>
                <w:szCs w:val="18"/>
              </w:rPr>
              <w:t> </w:t>
            </w:r>
            <w:r>
              <w:rPr>
                <w:rFonts w:ascii="微软雅黑" w:hAnsi="微软雅黑" w:cs="微软雅黑" w:eastAsia="微软雅黑" w:hint="default"/>
                <w:sz w:val="18"/>
                <w:szCs w:val="18"/>
              </w:rPr>
              <w:t>岁</w:t>
            </w:r>
          </w:p>
        </w:tc>
        <w:tc>
          <w:tcPr>
            <w:tcW w:w="1579"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5" w:right="0"/>
              <w:jc w:val="center"/>
              <w:rPr>
                <w:rFonts w:ascii="微软雅黑" w:hAnsi="微软雅黑" w:cs="微软雅黑" w:eastAsia="微软雅黑" w:hint="default"/>
                <w:sz w:val="18"/>
                <w:szCs w:val="18"/>
              </w:rPr>
            </w:pPr>
            <w:r>
              <w:rPr>
                <w:rFonts w:ascii="微软雅黑"/>
                <w:sz w:val="18"/>
              </w:rPr>
              <w:t>217</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4" w:right="0"/>
              <w:jc w:val="center"/>
              <w:rPr>
                <w:rFonts w:ascii="微软雅黑" w:hAnsi="微软雅黑" w:cs="微软雅黑" w:eastAsia="微软雅黑" w:hint="default"/>
                <w:sz w:val="18"/>
                <w:szCs w:val="18"/>
              </w:rPr>
            </w:pPr>
            <w:r>
              <w:rPr>
                <w:rFonts w:ascii="微软雅黑"/>
                <w:sz w:val="18"/>
              </w:rPr>
              <w:t>16.10%</w:t>
            </w:r>
          </w:p>
        </w:tc>
      </w:tr>
      <w:tr>
        <w:trPr>
          <w:trHeight w:val="331" w:hRule="exact"/>
        </w:trPr>
        <w:tc>
          <w:tcPr>
            <w:tcW w:w="1418" w:type="dxa"/>
            <w:vMerge/>
            <w:tcBorders>
              <w:left w:val="single" w:sz="8" w:space="0" w:color="000000"/>
              <w:right w:val="single" w:sz="8" w:space="0" w:color="000000"/>
            </w:tcBorders>
          </w:tcPr>
          <w:p>
            <w:pP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100"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51</w:t>
            </w:r>
            <w:r>
              <w:rPr>
                <w:rFonts w:ascii="微软雅黑" w:hAnsi="微软雅黑" w:cs="微软雅黑" w:eastAsia="微软雅黑" w:hint="default"/>
                <w:spacing w:val="-8"/>
                <w:sz w:val="18"/>
                <w:szCs w:val="18"/>
              </w:rPr>
              <w:t> </w:t>
            </w:r>
            <w:r>
              <w:rPr>
                <w:rFonts w:ascii="微软雅黑" w:hAnsi="微软雅黑" w:cs="微软雅黑" w:eastAsia="微软雅黑" w:hint="default"/>
                <w:sz w:val="18"/>
                <w:szCs w:val="18"/>
              </w:rPr>
              <w:t>岁以上</w:t>
            </w:r>
          </w:p>
        </w:tc>
        <w:tc>
          <w:tcPr>
            <w:tcW w:w="1579"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4" w:right="0"/>
              <w:jc w:val="center"/>
              <w:rPr>
                <w:rFonts w:ascii="微软雅黑" w:hAnsi="微软雅黑" w:cs="微软雅黑" w:eastAsia="微软雅黑" w:hint="default"/>
                <w:sz w:val="18"/>
                <w:szCs w:val="18"/>
              </w:rPr>
            </w:pPr>
            <w:r>
              <w:rPr>
                <w:rFonts w:ascii="微软雅黑"/>
                <w:sz w:val="18"/>
              </w:rPr>
              <w:t>8</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4" w:right="0"/>
              <w:jc w:val="center"/>
              <w:rPr>
                <w:rFonts w:ascii="微软雅黑" w:hAnsi="微软雅黑" w:cs="微软雅黑" w:eastAsia="微软雅黑" w:hint="default"/>
                <w:sz w:val="18"/>
                <w:szCs w:val="18"/>
              </w:rPr>
            </w:pPr>
            <w:r>
              <w:rPr>
                <w:rFonts w:ascii="微软雅黑"/>
                <w:sz w:val="18"/>
              </w:rPr>
              <w:t>0.59%</w:t>
            </w:r>
          </w:p>
        </w:tc>
      </w:tr>
      <w:tr>
        <w:trPr>
          <w:trHeight w:val="334" w:hRule="exact"/>
        </w:trPr>
        <w:tc>
          <w:tcPr>
            <w:tcW w:w="1418" w:type="dxa"/>
            <w:vMerge/>
            <w:tcBorders>
              <w:left w:val="single" w:sz="8" w:space="0" w:color="000000"/>
              <w:bottom w:val="single" w:sz="8" w:space="0" w:color="000000"/>
              <w:right w:val="single" w:sz="8" w:space="0" w:color="000000"/>
            </w:tcBorders>
          </w:tcPr>
          <w:p>
            <w:pPr/>
          </w:p>
        </w:tc>
        <w:tc>
          <w:tcPr>
            <w:tcW w:w="1841" w:type="dxa"/>
            <w:tcBorders>
              <w:top w:val="single" w:sz="8" w:space="0" w:color="000000"/>
              <w:left w:val="single" w:sz="8" w:space="0" w:color="000000"/>
              <w:bottom w:val="single" w:sz="8" w:space="0" w:color="000000"/>
              <w:right w:val="single" w:sz="8" w:space="0" w:color="000000"/>
            </w:tcBorders>
          </w:tcPr>
          <w:p>
            <w:pPr>
              <w:pStyle w:val="TableParagraph"/>
              <w:tabs>
                <w:tab w:pos="549" w:val="left" w:leader="none"/>
              </w:tabs>
              <w:spacing w:line="275" w:lineRule="exact"/>
              <w:ind w:left="100"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合</w:t>
              <w:tab/>
              <w:t>计</w:t>
            </w:r>
          </w:p>
        </w:tc>
        <w:tc>
          <w:tcPr>
            <w:tcW w:w="1579"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4" w:right="0"/>
              <w:jc w:val="center"/>
              <w:rPr>
                <w:rFonts w:ascii="微软雅黑" w:hAnsi="微软雅黑" w:cs="微软雅黑" w:eastAsia="微软雅黑" w:hint="default"/>
                <w:sz w:val="18"/>
                <w:szCs w:val="18"/>
              </w:rPr>
            </w:pPr>
            <w:r>
              <w:rPr>
                <w:rFonts w:ascii="微软雅黑"/>
                <w:sz w:val="18"/>
              </w:rPr>
              <w:t>1348</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4" w:right="0"/>
              <w:jc w:val="center"/>
              <w:rPr>
                <w:rFonts w:ascii="微软雅黑" w:hAnsi="微软雅黑" w:cs="微软雅黑" w:eastAsia="微软雅黑" w:hint="default"/>
                <w:sz w:val="18"/>
                <w:szCs w:val="18"/>
              </w:rPr>
            </w:pPr>
            <w:r>
              <w:rPr>
                <w:rFonts w:ascii="微软雅黑"/>
                <w:sz w:val="18"/>
              </w:rPr>
              <w:t>100.00%</w:t>
            </w:r>
          </w:p>
        </w:tc>
      </w:tr>
      <w:tr>
        <w:trPr>
          <w:trHeight w:val="331" w:hRule="exact"/>
        </w:trPr>
        <w:tc>
          <w:tcPr>
            <w:tcW w:w="1418"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98"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学历构成</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100"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硕士、博士</w:t>
            </w:r>
          </w:p>
        </w:tc>
        <w:tc>
          <w:tcPr>
            <w:tcW w:w="1579"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4" w:right="0"/>
              <w:jc w:val="center"/>
              <w:rPr>
                <w:rFonts w:ascii="微软雅黑" w:hAnsi="微软雅黑" w:cs="微软雅黑" w:eastAsia="微软雅黑" w:hint="default"/>
                <w:sz w:val="18"/>
                <w:szCs w:val="18"/>
              </w:rPr>
            </w:pPr>
            <w:r>
              <w:rPr>
                <w:rFonts w:ascii="微软雅黑"/>
                <w:sz w:val="18"/>
              </w:rPr>
              <w:t>39</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4" w:right="0"/>
              <w:jc w:val="center"/>
              <w:rPr>
                <w:rFonts w:ascii="微软雅黑" w:hAnsi="微软雅黑" w:cs="微软雅黑" w:eastAsia="微软雅黑" w:hint="default"/>
                <w:sz w:val="18"/>
                <w:szCs w:val="18"/>
              </w:rPr>
            </w:pPr>
            <w:r>
              <w:rPr>
                <w:rFonts w:ascii="微软雅黑"/>
                <w:sz w:val="18"/>
              </w:rPr>
              <w:t>2.89%</w:t>
            </w:r>
          </w:p>
        </w:tc>
      </w:tr>
      <w:tr>
        <w:trPr>
          <w:trHeight w:val="331" w:hRule="exact"/>
        </w:trPr>
        <w:tc>
          <w:tcPr>
            <w:tcW w:w="1418" w:type="dxa"/>
            <w:vMerge/>
            <w:tcBorders>
              <w:left w:val="single" w:sz="8" w:space="0" w:color="000000"/>
              <w:right w:val="single" w:sz="8" w:space="0" w:color="000000"/>
            </w:tcBorders>
          </w:tcPr>
          <w:p>
            <w:pP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100"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本科</w:t>
            </w:r>
          </w:p>
        </w:tc>
        <w:tc>
          <w:tcPr>
            <w:tcW w:w="1579"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4" w:right="0"/>
              <w:jc w:val="center"/>
              <w:rPr>
                <w:rFonts w:ascii="微软雅黑" w:hAnsi="微软雅黑" w:cs="微软雅黑" w:eastAsia="微软雅黑" w:hint="default"/>
                <w:sz w:val="18"/>
                <w:szCs w:val="18"/>
              </w:rPr>
            </w:pPr>
            <w:r>
              <w:rPr>
                <w:rFonts w:ascii="微软雅黑"/>
                <w:sz w:val="18"/>
              </w:rPr>
              <w:t>843</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4" w:right="0"/>
              <w:jc w:val="center"/>
              <w:rPr>
                <w:rFonts w:ascii="微软雅黑" w:hAnsi="微软雅黑" w:cs="微软雅黑" w:eastAsia="微软雅黑" w:hint="default"/>
                <w:sz w:val="18"/>
                <w:szCs w:val="18"/>
              </w:rPr>
            </w:pPr>
            <w:r>
              <w:rPr>
                <w:rFonts w:ascii="微软雅黑"/>
                <w:sz w:val="18"/>
              </w:rPr>
              <w:t>62.54%</w:t>
            </w:r>
          </w:p>
        </w:tc>
      </w:tr>
      <w:tr>
        <w:trPr>
          <w:trHeight w:val="334" w:hRule="exact"/>
        </w:trPr>
        <w:tc>
          <w:tcPr>
            <w:tcW w:w="1418" w:type="dxa"/>
            <w:vMerge/>
            <w:tcBorders>
              <w:left w:val="single" w:sz="8" w:space="0" w:color="000000"/>
              <w:right w:val="single" w:sz="8" w:space="0" w:color="000000"/>
            </w:tcBorders>
          </w:tcPr>
          <w:p>
            <w:pP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100"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大专</w:t>
            </w:r>
          </w:p>
        </w:tc>
        <w:tc>
          <w:tcPr>
            <w:tcW w:w="1579"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4" w:right="0"/>
              <w:jc w:val="center"/>
              <w:rPr>
                <w:rFonts w:ascii="微软雅黑" w:hAnsi="微软雅黑" w:cs="微软雅黑" w:eastAsia="微软雅黑" w:hint="default"/>
                <w:sz w:val="18"/>
                <w:szCs w:val="18"/>
              </w:rPr>
            </w:pPr>
            <w:r>
              <w:rPr>
                <w:rFonts w:ascii="微软雅黑"/>
                <w:sz w:val="18"/>
              </w:rPr>
              <w:t>415</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4" w:right="0"/>
              <w:jc w:val="center"/>
              <w:rPr>
                <w:rFonts w:ascii="微软雅黑" w:hAnsi="微软雅黑" w:cs="微软雅黑" w:eastAsia="微软雅黑" w:hint="default"/>
                <w:sz w:val="18"/>
                <w:szCs w:val="18"/>
              </w:rPr>
            </w:pPr>
            <w:r>
              <w:rPr>
                <w:rFonts w:ascii="微软雅黑"/>
                <w:sz w:val="18"/>
              </w:rPr>
              <w:t>30.79%</w:t>
            </w:r>
          </w:p>
        </w:tc>
      </w:tr>
      <w:tr>
        <w:trPr>
          <w:trHeight w:val="331" w:hRule="exact"/>
        </w:trPr>
        <w:tc>
          <w:tcPr>
            <w:tcW w:w="1418" w:type="dxa"/>
            <w:vMerge/>
            <w:tcBorders>
              <w:left w:val="single" w:sz="8" w:space="0" w:color="000000"/>
              <w:right w:val="single" w:sz="8" w:space="0" w:color="000000"/>
            </w:tcBorders>
          </w:tcPr>
          <w:p>
            <w:pP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100"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中专</w:t>
            </w:r>
          </w:p>
        </w:tc>
        <w:tc>
          <w:tcPr>
            <w:tcW w:w="1579"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4" w:right="0"/>
              <w:jc w:val="center"/>
              <w:rPr>
                <w:rFonts w:ascii="微软雅黑" w:hAnsi="微软雅黑" w:cs="微软雅黑" w:eastAsia="微软雅黑" w:hint="default"/>
                <w:sz w:val="18"/>
                <w:szCs w:val="18"/>
              </w:rPr>
            </w:pPr>
            <w:r>
              <w:rPr>
                <w:rFonts w:ascii="微软雅黑"/>
                <w:sz w:val="18"/>
              </w:rPr>
              <w:t>27</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4" w:right="0"/>
              <w:jc w:val="center"/>
              <w:rPr>
                <w:rFonts w:ascii="微软雅黑" w:hAnsi="微软雅黑" w:cs="微软雅黑" w:eastAsia="微软雅黑" w:hint="default"/>
                <w:sz w:val="18"/>
                <w:szCs w:val="18"/>
              </w:rPr>
            </w:pPr>
            <w:r>
              <w:rPr>
                <w:rFonts w:ascii="微软雅黑"/>
                <w:sz w:val="18"/>
              </w:rPr>
              <w:t>2.00%</w:t>
            </w:r>
          </w:p>
        </w:tc>
      </w:tr>
      <w:tr>
        <w:trPr>
          <w:trHeight w:val="331" w:hRule="exact"/>
        </w:trPr>
        <w:tc>
          <w:tcPr>
            <w:tcW w:w="1418" w:type="dxa"/>
            <w:vMerge/>
            <w:tcBorders>
              <w:left w:val="single" w:sz="8" w:space="0" w:color="000000"/>
              <w:right w:val="single" w:sz="8" w:space="0" w:color="000000"/>
            </w:tcBorders>
          </w:tcPr>
          <w:p>
            <w:pP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100"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高中及以下</w:t>
            </w:r>
          </w:p>
        </w:tc>
        <w:tc>
          <w:tcPr>
            <w:tcW w:w="1579"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4" w:right="0"/>
              <w:jc w:val="center"/>
              <w:rPr>
                <w:rFonts w:ascii="微软雅黑" w:hAnsi="微软雅黑" w:cs="微软雅黑" w:eastAsia="微软雅黑" w:hint="default"/>
                <w:sz w:val="18"/>
                <w:szCs w:val="18"/>
              </w:rPr>
            </w:pPr>
            <w:r>
              <w:rPr>
                <w:rFonts w:ascii="微软雅黑"/>
                <w:sz w:val="18"/>
              </w:rPr>
              <w:t>24</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4" w:right="0"/>
              <w:jc w:val="center"/>
              <w:rPr>
                <w:rFonts w:ascii="微软雅黑" w:hAnsi="微软雅黑" w:cs="微软雅黑" w:eastAsia="微软雅黑" w:hint="default"/>
                <w:sz w:val="18"/>
                <w:szCs w:val="18"/>
              </w:rPr>
            </w:pPr>
            <w:r>
              <w:rPr>
                <w:rFonts w:ascii="微软雅黑"/>
                <w:sz w:val="18"/>
              </w:rPr>
              <w:t>1.78%</w:t>
            </w:r>
          </w:p>
        </w:tc>
      </w:tr>
      <w:tr>
        <w:trPr>
          <w:trHeight w:val="334" w:hRule="exact"/>
        </w:trPr>
        <w:tc>
          <w:tcPr>
            <w:tcW w:w="1418" w:type="dxa"/>
            <w:vMerge/>
            <w:tcBorders>
              <w:left w:val="single" w:sz="8" w:space="0" w:color="000000"/>
              <w:bottom w:val="single" w:sz="8" w:space="0" w:color="000000"/>
              <w:right w:val="single" w:sz="8" w:space="0" w:color="000000"/>
            </w:tcBorders>
          </w:tcPr>
          <w:p>
            <w:pPr/>
          </w:p>
        </w:tc>
        <w:tc>
          <w:tcPr>
            <w:tcW w:w="1841" w:type="dxa"/>
            <w:tcBorders>
              <w:top w:val="single" w:sz="8" w:space="0" w:color="000000"/>
              <w:left w:val="single" w:sz="8" w:space="0" w:color="000000"/>
              <w:bottom w:val="single" w:sz="8" w:space="0" w:color="000000"/>
              <w:right w:val="single" w:sz="8" w:space="0" w:color="000000"/>
            </w:tcBorders>
          </w:tcPr>
          <w:p>
            <w:pPr>
              <w:pStyle w:val="TableParagraph"/>
              <w:tabs>
                <w:tab w:pos="549" w:val="left" w:leader="none"/>
              </w:tabs>
              <w:spacing w:line="275" w:lineRule="exact"/>
              <w:ind w:left="100"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合</w:t>
              <w:tab/>
              <w:t>计</w:t>
            </w:r>
          </w:p>
        </w:tc>
        <w:tc>
          <w:tcPr>
            <w:tcW w:w="1579"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4" w:right="0"/>
              <w:jc w:val="center"/>
              <w:rPr>
                <w:rFonts w:ascii="微软雅黑" w:hAnsi="微软雅黑" w:cs="微软雅黑" w:eastAsia="微软雅黑" w:hint="default"/>
                <w:sz w:val="18"/>
                <w:szCs w:val="18"/>
              </w:rPr>
            </w:pPr>
            <w:r>
              <w:rPr>
                <w:rFonts w:ascii="微软雅黑"/>
                <w:sz w:val="18"/>
              </w:rPr>
              <w:t>1348</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4" w:right="0"/>
              <w:jc w:val="center"/>
              <w:rPr>
                <w:rFonts w:ascii="微软雅黑" w:hAnsi="微软雅黑" w:cs="微软雅黑" w:eastAsia="微软雅黑" w:hint="default"/>
                <w:sz w:val="18"/>
                <w:szCs w:val="18"/>
              </w:rPr>
            </w:pPr>
            <w:r>
              <w:rPr>
                <w:rFonts w:ascii="微软雅黑"/>
                <w:sz w:val="18"/>
              </w:rPr>
              <w:t>100.00%</w:t>
            </w:r>
          </w:p>
        </w:tc>
      </w:tr>
      <w:tr>
        <w:trPr>
          <w:trHeight w:val="331" w:hRule="exact"/>
        </w:trPr>
        <w:tc>
          <w:tcPr>
            <w:tcW w:w="1418"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98"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岗位构成</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100"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行政管理人员</w:t>
            </w:r>
          </w:p>
        </w:tc>
        <w:tc>
          <w:tcPr>
            <w:tcW w:w="1579"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4" w:right="0"/>
              <w:jc w:val="center"/>
              <w:rPr>
                <w:rFonts w:ascii="微软雅黑" w:hAnsi="微软雅黑" w:cs="微软雅黑" w:eastAsia="微软雅黑" w:hint="default"/>
                <w:sz w:val="18"/>
                <w:szCs w:val="18"/>
              </w:rPr>
            </w:pPr>
            <w:r>
              <w:rPr>
                <w:rFonts w:ascii="微软雅黑"/>
                <w:sz w:val="18"/>
              </w:rPr>
              <w:t>46</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4" w:right="0"/>
              <w:jc w:val="center"/>
              <w:rPr>
                <w:rFonts w:ascii="微软雅黑" w:hAnsi="微软雅黑" w:cs="微软雅黑" w:eastAsia="微软雅黑" w:hint="default"/>
                <w:sz w:val="18"/>
                <w:szCs w:val="18"/>
              </w:rPr>
            </w:pPr>
            <w:r>
              <w:rPr>
                <w:rFonts w:ascii="微软雅黑"/>
                <w:sz w:val="18"/>
              </w:rPr>
              <w:t>3.41%</w:t>
            </w:r>
          </w:p>
        </w:tc>
      </w:tr>
      <w:tr>
        <w:trPr>
          <w:trHeight w:val="331" w:hRule="exact"/>
        </w:trPr>
        <w:tc>
          <w:tcPr>
            <w:tcW w:w="1418" w:type="dxa"/>
            <w:vMerge/>
            <w:tcBorders>
              <w:left w:val="single" w:sz="8" w:space="0" w:color="000000"/>
              <w:right w:val="single" w:sz="8" w:space="0" w:color="000000"/>
            </w:tcBorders>
          </w:tcPr>
          <w:p>
            <w:pP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100"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财务管理人员</w:t>
            </w:r>
          </w:p>
        </w:tc>
        <w:tc>
          <w:tcPr>
            <w:tcW w:w="1579"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4" w:right="0"/>
              <w:jc w:val="center"/>
              <w:rPr>
                <w:rFonts w:ascii="微软雅黑" w:hAnsi="微软雅黑" w:cs="微软雅黑" w:eastAsia="微软雅黑" w:hint="default"/>
                <w:sz w:val="18"/>
                <w:szCs w:val="18"/>
              </w:rPr>
            </w:pPr>
            <w:r>
              <w:rPr>
                <w:rFonts w:ascii="微软雅黑"/>
                <w:sz w:val="18"/>
              </w:rPr>
              <w:t>16</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4" w:right="0"/>
              <w:jc w:val="center"/>
              <w:rPr>
                <w:rFonts w:ascii="微软雅黑" w:hAnsi="微软雅黑" w:cs="微软雅黑" w:eastAsia="微软雅黑" w:hint="default"/>
                <w:sz w:val="18"/>
                <w:szCs w:val="18"/>
              </w:rPr>
            </w:pPr>
            <w:r>
              <w:rPr>
                <w:rFonts w:ascii="微软雅黑"/>
                <w:sz w:val="18"/>
              </w:rPr>
              <w:t>1.19%</w:t>
            </w:r>
          </w:p>
        </w:tc>
      </w:tr>
      <w:tr>
        <w:trPr>
          <w:trHeight w:val="334" w:hRule="exact"/>
        </w:trPr>
        <w:tc>
          <w:tcPr>
            <w:tcW w:w="1418" w:type="dxa"/>
            <w:vMerge/>
            <w:tcBorders>
              <w:left w:val="single" w:sz="8" w:space="0" w:color="000000"/>
              <w:right w:val="single" w:sz="8" w:space="0" w:color="000000"/>
            </w:tcBorders>
          </w:tcPr>
          <w:p>
            <w:pP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100"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市场营销人员</w:t>
            </w:r>
          </w:p>
        </w:tc>
        <w:tc>
          <w:tcPr>
            <w:tcW w:w="1579"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4" w:right="0"/>
              <w:jc w:val="center"/>
              <w:rPr>
                <w:rFonts w:ascii="微软雅黑" w:hAnsi="微软雅黑" w:cs="微软雅黑" w:eastAsia="微软雅黑" w:hint="default"/>
                <w:sz w:val="18"/>
                <w:szCs w:val="18"/>
              </w:rPr>
            </w:pPr>
            <w:r>
              <w:rPr>
                <w:rFonts w:ascii="微软雅黑"/>
                <w:sz w:val="18"/>
              </w:rPr>
              <w:t>87</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4" w:right="0"/>
              <w:jc w:val="center"/>
              <w:rPr>
                <w:rFonts w:ascii="微软雅黑" w:hAnsi="微软雅黑" w:cs="微软雅黑" w:eastAsia="微软雅黑" w:hint="default"/>
                <w:sz w:val="18"/>
                <w:szCs w:val="18"/>
              </w:rPr>
            </w:pPr>
            <w:r>
              <w:rPr>
                <w:rFonts w:ascii="微软雅黑"/>
                <w:sz w:val="18"/>
              </w:rPr>
              <w:t>6.45%</w:t>
            </w:r>
          </w:p>
        </w:tc>
      </w:tr>
      <w:tr>
        <w:trPr>
          <w:trHeight w:val="331" w:hRule="exact"/>
        </w:trPr>
        <w:tc>
          <w:tcPr>
            <w:tcW w:w="1418" w:type="dxa"/>
            <w:vMerge/>
            <w:tcBorders>
              <w:left w:val="single" w:sz="8" w:space="0" w:color="000000"/>
              <w:right w:val="single" w:sz="8" w:space="0" w:color="000000"/>
            </w:tcBorders>
          </w:tcPr>
          <w:p>
            <w:pP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100"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实施开发人员</w:t>
            </w:r>
          </w:p>
        </w:tc>
        <w:tc>
          <w:tcPr>
            <w:tcW w:w="1579"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4" w:right="0"/>
              <w:jc w:val="center"/>
              <w:rPr>
                <w:rFonts w:ascii="微软雅黑" w:hAnsi="微软雅黑" w:cs="微软雅黑" w:eastAsia="微软雅黑" w:hint="default"/>
                <w:sz w:val="18"/>
                <w:szCs w:val="18"/>
              </w:rPr>
            </w:pPr>
            <w:r>
              <w:rPr>
                <w:rFonts w:ascii="微软雅黑"/>
                <w:sz w:val="18"/>
              </w:rPr>
              <w:t>1156</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4" w:right="0"/>
              <w:jc w:val="center"/>
              <w:rPr>
                <w:rFonts w:ascii="微软雅黑" w:hAnsi="微软雅黑" w:cs="微软雅黑" w:eastAsia="微软雅黑" w:hint="default"/>
                <w:sz w:val="18"/>
                <w:szCs w:val="18"/>
              </w:rPr>
            </w:pPr>
            <w:r>
              <w:rPr>
                <w:rFonts w:ascii="微软雅黑"/>
                <w:sz w:val="18"/>
              </w:rPr>
              <w:t>85.76%</w:t>
            </w:r>
          </w:p>
        </w:tc>
      </w:tr>
      <w:tr>
        <w:trPr>
          <w:trHeight w:val="331" w:hRule="exact"/>
        </w:trPr>
        <w:tc>
          <w:tcPr>
            <w:tcW w:w="1418" w:type="dxa"/>
            <w:vMerge/>
            <w:tcBorders>
              <w:left w:val="single" w:sz="8" w:space="0" w:color="000000"/>
              <w:right w:val="single" w:sz="8" w:space="0" w:color="000000"/>
            </w:tcBorders>
          </w:tcPr>
          <w:p>
            <w:pP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100"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其他管理人员</w:t>
            </w:r>
          </w:p>
        </w:tc>
        <w:tc>
          <w:tcPr>
            <w:tcW w:w="1579"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4" w:right="0"/>
              <w:jc w:val="center"/>
              <w:rPr>
                <w:rFonts w:ascii="微软雅黑" w:hAnsi="微软雅黑" w:cs="微软雅黑" w:eastAsia="微软雅黑" w:hint="default"/>
                <w:sz w:val="18"/>
                <w:szCs w:val="18"/>
              </w:rPr>
            </w:pPr>
            <w:r>
              <w:rPr>
                <w:rFonts w:ascii="微软雅黑"/>
                <w:sz w:val="18"/>
              </w:rPr>
              <w:t>43</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4" w:right="0"/>
              <w:jc w:val="center"/>
              <w:rPr>
                <w:rFonts w:ascii="微软雅黑" w:hAnsi="微软雅黑" w:cs="微软雅黑" w:eastAsia="微软雅黑" w:hint="default"/>
                <w:sz w:val="18"/>
                <w:szCs w:val="18"/>
              </w:rPr>
            </w:pPr>
            <w:r>
              <w:rPr>
                <w:rFonts w:ascii="微软雅黑"/>
                <w:sz w:val="18"/>
              </w:rPr>
              <w:t>3.19%</w:t>
            </w:r>
          </w:p>
        </w:tc>
      </w:tr>
      <w:tr>
        <w:trPr>
          <w:trHeight w:val="334" w:hRule="exact"/>
        </w:trPr>
        <w:tc>
          <w:tcPr>
            <w:tcW w:w="1418" w:type="dxa"/>
            <w:vMerge/>
            <w:tcBorders>
              <w:left w:val="single" w:sz="8" w:space="0" w:color="000000"/>
              <w:bottom w:val="single" w:sz="8" w:space="0" w:color="000000"/>
              <w:right w:val="single" w:sz="8" w:space="0" w:color="000000"/>
            </w:tcBorders>
          </w:tcPr>
          <w:p>
            <w:pPr/>
          </w:p>
        </w:tc>
        <w:tc>
          <w:tcPr>
            <w:tcW w:w="1841" w:type="dxa"/>
            <w:tcBorders>
              <w:top w:val="single" w:sz="8" w:space="0" w:color="000000"/>
              <w:left w:val="single" w:sz="8" w:space="0" w:color="000000"/>
              <w:bottom w:val="single" w:sz="8" w:space="0" w:color="000000"/>
              <w:right w:val="single" w:sz="8" w:space="0" w:color="000000"/>
            </w:tcBorders>
          </w:tcPr>
          <w:p>
            <w:pPr>
              <w:pStyle w:val="TableParagraph"/>
              <w:tabs>
                <w:tab w:pos="549" w:val="left" w:leader="none"/>
              </w:tabs>
              <w:spacing w:line="273" w:lineRule="exact"/>
              <w:ind w:left="100"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合</w:t>
              <w:tab/>
              <w:t>计</w:t>
            </w:r>
          </w:p>
        </w:tc>
        <w:tc>
          <w:tcPr>
            <w:tcW w:w="1579"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4" w:right="0"/>
              <w:jc w:val="center"/>
              <w:rPr>
                <w:rFonts w:ascii="微软雅黑" w:hAnsi="微软雅黑" w:cs="微软雅黑" w:eastAsia="微软雅黑" w:hint="default"/>
                <w:sz w:val="18"/>
                <w:szCs w:val="18"/>
              </w:rPr>
            </w:pPr>
            <w:r>
              <w:rPr>
                <w:rFonts w:ascii="微软雅黑"/>
                <w:sz w:val="18"/>
              </w:rPr>
              <w:t>1348</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4" w:right="0"/>
              <w:jc w:val="center"/>
              <w:rPr>
                <w:rFonts w:ascii="微软雅黑" w:hAnsi="微软雅黑" w:cs="微软雅黑" w:eastAsia="微软雅黑" w:hint="default"/>
                <w:sz w:val="18"/>
                <w:szCs w:val="18"/>
              </w:rPr>
            </w:pPr>
            <w:r>
              <w:rPr>
                <w:rFonts w:ascii="微软雅黑"/>
                <w:sz w:val="18"/>
              </w:rPr>
              <w:t>100.00%</w:t>
            </w:r>
          </w:p>
        </w:tc>
      </w:tr>
    </w:tbl>
    <w:p>
      <w:pPr>
        <w:spacing w:line="240" w:lineRule="auto" w:before="2"/>
        <w:rPr>
          <w:rFonts w:ascii="宋体" w:hAnsi="宋体" w:cs="宋体" w:eastAsia="宋体" w:hint="default"/>
          <w:b/>
          <w:bCs/>
          <w:sz w:val="24"/>
          <w:szCs w:val="24"/>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企业薪酬成本情况</w:t>
      </w:r>
    </w:p>
    <w:p>
      <w:pPr>
        <w:spacing w:after="0"/>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702"/>
        <w:gridCol w:w="5855"/>
      </w:tblGrid>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58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5855"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1,348</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当期总体薪酬发生额（万元）</w:t>
            </w:r>
          </w:p>
        </w:tc>
        <w:tc>
          <w:tcPr>
            <w:tcW w:w="5855"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19,555</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总体薪酬占当期营业收入比例</w:t>
            </w:r>
          </w:p>
        </w:tc>
        <w:tc>
          <w:tcPr>
            <w:tcW w:w="5855"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49.51%</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高管人均薪酬金额（万元</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p>
        </w:tc>
        <w:tc>
          <w:tcPr>
            <w:tcW w:w="5855"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59.36</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所有员工人均薪酬金额（万元</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p>
        </w:tc>
        <w:tc>
          <w:tcPr>
            <w:tcW w:w="5855"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3488"/>
        <w:jc w:val="center"/>
        <w:rPr>
          <w:b w:val="0"/>
          <w:bCs w:val="0"/>
        </w:rPr>
      </w:pPr>
      <w:bookmarkStart w:name="_TOC_250002" w:id="123"/>
      <w:bookmarkStart w:name="第九节 公司治理" w:id="124"/>
      <w:r>
        <w:rPr>
          <w:b w:val="0"/>
          <w:bCs w:val="0"/>
        </w:rPr>
      </w:r>
      <w:r>
        <w:rPr/>
        <w:t>第九节</w:t>
      </w:r>
      <w:r>
        <w:rPr>
          <w:spacing w:val="-4"/>
        </w:rPr>
        <w:t> </w:t>
      </w:r>
      <w:r>
        <w:rPr/>
        <w:t>公司治理</w:t>
      </w:r>
      <w:bookmarkEnd w:id="123"/>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4"/>
        <w:spacing w:line="240" w:lineRule="auto" w:before="26"/>
        <w:ind w:right="103"/>
        <w:jc w:val="left"/>
        <w:rPr>
          <w:b w:val="0"/>
          <w:bCs w:val="0"/>
        </w:rPr>
      </w:pPr>
      <w:r>
        <w:rPr/>
        <w:t>一、公司治理</w:t>
      </w:r>
      <w:bookmarkStart w:name="一、公司治理的基本状况" w:id="125"/>
      <w:bookmarkEnd w:id="125"/>
      <w:r>
        <w:rPr/>
        <w:t>的</w:t>
      </w:r>
      <w:r>
        <w:rPr/>
        <w:t>基本状况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207" w:firstLine="420"/>
        <w:jc w:val="both"/>
      </w:pPr>
      <w:r>
        <w:rPr>
          <w:spacing w:val="-2"/>
        </w:rPr>
        <w:t>报告期内，公司严格按照《公司法》、《证券法》、《上市公司治理准则》、《深圳证券交易所创业</w:t>
      </w:r>
      <w:r>
        <w:rPr>
          <w:w w:val="100"/>
        </w:rPr>
        <w:t> </w:t>
      </w:r>
      <w:r>
        <w:rPr>
          <w:spacing w:val="-2"/>
        </w:rPr>
        <w:t>板股票上市规则》、《深圳证券交易所创业板上市公司规范运作指引》等法律、法规和中国证监会有关法</w:t>
      </w:r>
      <w:r>
        <w:rPr>
          <w:spacing w:val="-43"/>
        </w:rPr>
        <w:t> </w:t>
      </w:r>
      <w:r>
        <w:rPr>
          <w:spacing w:val="-43"/>
        </w:rPr>
      </w:r>
      <w:r>
        <w:rPr>
          <w:spacing w:val="-2"/>
        </w:rPr>
        <w:t>律法规等的要求，不断完善公司的法人治理结构，建立健全公司内部管理和控制制度，规范公司运作，提</w:t>
      </w:r>
      <w:r>
        <w:rPr>
          <w:spacing w:val="-47"/>
        </w:rPr>
        <w:t> </w:t>
      </w:r>
      <w:r>
        <w:rPr>
          <w:spacing w:val="-47"/>
        </w:rPr>
      </w:r>
      <w:r>
        <w:rPr/>
        <w:t>高公司治理水平。</w:t>
      </w:r>
    </w:p>
    <w:p>
      <w:pPr>
        <w:pStyle w:val="BodyText"/>
        <w:spacing w:line="408" w:lineRule="auto" w:before="46"/>
        <w:ind w:left="573" w:right="103" w:hanging="421"/>
        <w:jc w:val="left"/>
      </w:pPr>
      <w:r>
        <w:rPr/>
        <w:t>（一）</w:t>
      </w:r>
      <w:r>
        <w:rPr>
          <w:spacing w:val="-24"/>
        </w:rPr>
        <w:t> </w:t>
      </w:r>
      <w:r>
        <w:rPr/>
        <w:t>关于股东和股东大会</w:t>
      </w:r>
      <w:r>
        <w:rPr>
          <w:spacing w:val="-3"/>
          <w:w w:val="100"/>
        </w:rPr>
        <w:t> </w:t>
      </w:r>
      <w:r>
        <w:rPr>
          <w:spacing w:val="-3"/>
        </w:rPr>
        <w:t>公司严格按照《上市公司股东大会规则》、《公司章程》、《股东大会议事规则》等规定和要求，规</w:t>
      </w:r>
      <w:r>
        <w:rPr/>
      </w:r>
    </w:p>
    <w:p>
      <w:pPr>
        <w:pStyle w:val="BodyText"/>
        <w:spacing w:line="408" w:lineRule="auto" w:before="46"/>
        <w:ind w:right="103"/>
        <w:jc w:val="left"/>
      </w:pPr>
      <w:r>
        <w:rPr>
          <w:spacing w:val="-2"/>
        </w:rPr>
        <w:t>范地召集、召开股东大会，平等对待所有股东，并尽可能为股东参加股东大会提供便利，使其充分行使股</w:t>
      </w:r>
      <w:r>
        <w:rPr>
          <w:spacing w:val="-47"/>
        </w:rPr>
        <w:t> </w:t>
      </w:r>
      <w:r>
        <w:rPr>
          <w:spacing w:val="-47"/>
        </w:rPr>
      </w:r>
      <w:r>
        <w:rPr/>
        <w:t>东权利。</w:t>
      </w:r>
    </w:p>
    <w:p>
      <w:pPr>
        <w:pStyle w:val="BodyText"/>
        <w:spacing w:line="408" w:lineRule="auto" w:before="46"/>
        <w:ind w:right="207" w:firstLine="441"/>
        <w:jc w:val="both"/>
      </w:pPr>
      <w:r>
        <w:rPr>
          <w:spacing w:val="-3"/>
        </w:rPr>
        <w:t>报告期内，公司召开的股东大会均由公司董事会召集召开，董事长主持，邀请见证律师进行现场见证</w:t>
      </w:r>
      <w:r>
        <w:rPr>
          <w:w w:val="100"/>
        </w:rPr>
        <w:t> </w:t>
      </w:r>
      <w:r>
        <w:rPr>
          <w:spacing w:val="-2"/>
        </w:rPr>
        <w:t>并出具法律意见书。在股东大会上能够保证各位股东有充分的发言权，确保全体股东特别是中小股东享有</w:t>
      </w:r>
      <w:r>
        <w:rPr>
          <w:spacing w:val="-42"/>
        </w:rPr>
        <w:t> </w:t>
      </w:r>
      <w:r>
        <w:rPr>
          <w:spacing w:val="-42"/>
        </w:rPr>
      </w:r>
      <w:r>
        <w:rPr/>
        <w:t>平等地位，充分行使自己的权力。</w:t>
      </w:r>
    </w:p>
    <w:p>
      <w:pPr>
        <w:pStyle w:val="BodyText"/>
        <w:spacing w:line="398" w:lineRule="auto" w:before="46"/>
        <w:ind w:right="209" w:firstLine="441"/>
        <w:jc w:val="both"/>
      </w:pPr>
      <w:r>
        <w:rPr>
          <w:spacing w:val="-3"/>
        </w:rPr>
        <w:t>报告期内，本公司召开的股东大会不存在违反《上市公司股东大会规则》的情形，公司未发生单独或</w:t>
      </w:r>
      <w:r>
        <w:rPr>
          <w:w w:val="100"/>
        </w:rPr>
        <w:t> </w:t>
      </w:r>
      <w:r>
        <w:rPr>
          <w:spacing w:val="-2"/>
        </w:rPr>
        <w:t>合并持有本公司有表决权股份总数</w:t>
      </w:r>
      <w:r>
        <w:rPr>
          <w:rFonts w:ascii="Times New Roman" w:hAnsi="Times New Roman" w:cs="Times New Roman" w:eastAsia="Times New Roman" w:hint="default"/>
          <w:spacing w:val="-2"/>
        </w:rPr>
        <w:t>10%</w:t>
      </w:r>
      <w:r>
        <w:rPr>
          <w:spacing w:val="-2"/>
        </w:rPr>
        <w:t>以上的股东请求召开临时股东大会的情形，也无应监事会提议召开</w:t>
      </w:r>
      <w:r>
        <w:rPr>
          <w:spacing w:val="-18"/>
        </w:rPr>
        <w:t> </w:t>
      </w:r>
      <w:r>
        <w:rPr>
          <w:spacing w:val="-18"/>
        </w:rPr>
      </w:r>
      <w:r>
        <w:rPr/>
        <w:t>的股东大会。</w:t>
      </w:r>
    </w:p>
    <w:p>
      <w:pPr>
        <w:pStyle w:val="BodyText"/>
        <w:spacing w:line="408" w:lineRule="auto" w:before="54"/>
        <w:ind w:right="207" w:firstLine="441"/>
        <w:jc w:val="both"/>
      </w:pPr>
      <w:r>
        <w:rPr>
          <w:spacing w:val="-3"/>
        </w:rPr>
        <w:t>按照《公司法》、《公司章程》的规定应由股东大会审议的重大事项，本公司均按照相应的权限审批</w:t>
      </w:r>
      <w:r>
        <w:rPr>
          <w:w w:val="100"/>
        </w:rPr>
        <w:t> </w:t>
      </w:r>
      <w:r>
        <w:rPr/>
        <w:t>后交由股东大会审议，不存在绕过股东大会的情况，也不存在先实施后审议的情况。</w:t>
      </w:r>
    </w:p>
    <w:p>
      <w:pPr>
        <w:pStyle w:val="BodyText"/>
        <w:spacing w:line="408" w:lineRule="auto" w:before="46"/>
        <w:ind w:left="659" w:right="103" w:hanging="507"/>
        <w:jc w:val="left"/>
      </w:pPr>
      <w:r>
        <w:rPr/>
        <w:t>（二）关于公司与控股股东</w:t>
      </w:r>
      <w:r>
        <w:rPr>
          <w:w w:val="100"/>
        </w:rPr>
        <w:t> </w:t>
      </w:r>
      <w:r>
        <w:rPr>
          <w:spacing w:val="-2"/>
        </w:rPr>
        <w:t>公司控股股东和实际控制人严格按照《上市公司治理准则》、《深圳证券交易所创业板股票上市规</w:t>
      </w:r>
    </w:p>
    <w:p>
      <w:pPr>
        <w:pStyle w:val="BodyText"/>
        <w:spacing w:line="408" w:lineRule="auto" w:before="46"/>
        <w:ind w:right="103"/>
        <w:jc w:val="left"/>
      </w:pPr>
      <w:r>
        <w:rPr>
          <w:spacing w:val="-5"/>
        </w:rPr>
        <w:t>则》、《深圳证券交易所创业板上市公司规范运作指引》、《公司章程》等规定和要求，规范自己的行为，</w:t>
      </w:r>
      <w:r>
        <w:rPr>
          <w:spacing w:val="-4"/>
        </w:rPr>
        <w:t> </w:t>
      </w:r>
      <w:r>
        <w:rPr>
          <w:spacing w:val="-4"/>
        </w:rPr>
      </w:r>
      <w:r>
        <w:rPr>
          <w:spacing w:val="-2"/>
        </w:rPr>
        <w:t>没有超越股东大会直接或间接干预公司的决策和经营活动，未损害公司及其他股东的利益。公司不存在控</w:t>
      </w:r>
      <w:r>
        <w:rPr>
          <w:spacing w:val="-43"/>
        </w:rPr>
        <w:t> </w:t>
      </w:r>
      <w:r>
        <w:rPr>
          <w:spacing w:val="-43"/>
        </w:rPr>
      </w:r>
      <w:r>
        <w:rPr>
          <w:spacing w:val="-5"/>
        </w:rPr>
        <w:t>股股东占用公司资金的现象，亦无为控股股东提供担保的情形。公司拥有独立完整的业务和自主经营能力，</w:t>
      </w:r>
      <w:r>
        <w:rPr>
          <w:spacing w:val="-4"/>
        </w:rPr>
        <w:t> </w:t>
      </w:r>
      <w:r>
        <w:rPr>
          <w:spacing w:val="-4"/>
        </w:rPr>
      </w:r>
      <w:r>
        <w:rPr/>
        <w:t>在业务、人员、资产、机构、财务上独立于控股股东，公司董事会、监事会和内部机构独立运作。</w:t>
      </w:r>
    </w:p>
    <w:p>
      <w:pPr>
        <w:pStyle w:val="BodyText"/>
        <w:spacing w:line="408" w:lineRule="auto" w:before="46"/>
        <w:ind w:left="594" w:right="103" w:hanging="442"/>
        <w:jc w:val="left"/>
      </w:pPr>
      <w:r>
        <w:rPr/>
        <w:t>（三）</w:t>
      </w:r>
      <w:r>
        <w:rPr>
          <w:spacing w:val="-24"/>
        </w:rPr>
        <w:t> </w:t>
      </w:r>
      <w:r>
        <w:rPr/>
        <w:t>关于董事和董事会</w:t>
      </w:r>
      <w:r>
        <w:rPr>
          <w:spacing w:val="-101"/>
        </w:rPr>
        <w:t> </w:t>
      </w:r>
      <w:r>
        <w:rPr>
          <w:spacing w:val="-101"/>
        </w:rPr>
      </w:r>
      <w:r>
        <w:rPr>
          <w:spacing w:val="-4"/>
        </w:rPr>
        <w:t>报告期内，公司换届成立了公司第三届董事会，设董事</w:t>
      </w:r>
      <w:r>
        <w:rPr>
          <w:rFonts w:ascii="Times New Roman" w:hAnsi="Times New Roman" w:cs="Times New Roman" w:eastAsia="Times New Roman" w:hint="default"/>
          <w:spacing w:val="-4"/>
        </w:rPr>
        <w:t>9</w:t>
      </w:r>
      <w:r>
        <w:rPr>
          <w:spacing w:val="-4"/>
        </w:rPr>
        <w:t>名，独立董事</w:t>
      </w:r>
      <w:r>
        <w:rPr>
          <w:rFonts w:ascii="Times New Roman" w:hAnsi="Times New Roman" w:cs="Times New Roman" w:eastAsia="Times New Roman" w:hint="default"/>
          <w:spacing w:val="-4"/>
        </w:rPr>
        <w:t>3</w:t>
      </w:r>
      <w:r>
        <w:rPr>
          <w:spacing w:val="-4"/>
        </w:rPr>
        <w:t>名，超过董事总数的</w:t>
      </w:r>
      <w:r>
        <w:rPr>
          <w:rFonts w:ascii="Times New Roman" w:hAnsi="Times New Roman" w:cs="Times New Roman" w:eastAsia="Times New Roman" w:hint="default"/>
          <w:spacing w:val="-4"/>
        </w:rPr>
        <w:t>1/3</w:t>
      </w:r>
      <w:r>
        <w:rPr>
          <w:spacing w:val="-4"/>
        </w:rPr>
        <w:t>。董事</w:t>
      </w:r>
    </w:p>
    <w:p>
      <w:pPr>
        <w:pStyle w:val="BodyText"/>
        <w:spacing w:line="240" w:lineRule="auto" w:before="14"/>
        <w:ind w:right="103"/>
        <w:jc w:val="left"/>
      </w:pPr>
      <w:r>
        <w:rPr>
          <w:spacing w:val="-7"/>
        </w:rPr>
        <w:t>会的人数及人员构成符合法律、法规和《公司章程》的要求。各位董事能够依据《董事会议事规则》、《独</w:t>
      </w:r>
    </w:p>
    <w:p>
      <w:pPr>
        <w:spacing w:after="0" w:line="240" w:lineRule="auto"/>
        <w:jc w:val="left"/>
        <w:sectPr>
          <w:pgSz w:w="11910" w:h="16840"/>
          <w:pgMar w:header="745" w:footer="982" w:top="1060" w:bottom="1180" w:left="980" w:right="920"/>
        </w:sectPr>
      </w:pPr>
    </w:p>
    <w:p>
      <w:pPr>
        <w:spacing w:line="240" w:lineRule="auto" w:before="0"/>
        <w:rPr>
          <w:rFonts w:ascii="宋体" w:hAnsi="宋体" w:cs="宋体" w:eastAsia="宋体" w:hint="default"/>
          <w:sz w:val="20"/>
          <w:szCs w:val="20"/>
        </w:rPr>
      </w:pPr>
    </w:p>
    <w:p>
      <w:pPr>
        <w:pStyle w:val="BodyText"/>
        <w:spacing w:line="408" w:lineRule="auto" w:before="175"/>
        <w:ind w:left="0" w:right="187"/>
        <w:jc w:val="right"/>
      </w:pPr>
      <w:r>
        <w:rPr>
          <w:spacing w:val="-2"/>
        </w:rPr>
        <w:t>立董事工作制度》、《深圳证券交易所创业板上市公司规范运作指引》等要求开展工作，出席董事会、董</w:t>
      </w:r>
      <w:r>
        <w:rPr>
          <w:spacing w:val="-88"/>
        </w:rPr>
        <w:t> </w:t>
      </w:r>
      <w:r>
        <w:rPr>
          <w:spacing w:val="-88"/>
        </w:rPr>
      </w:r>
      <w:r>
        <w:rPr>
          <w:spacing w:val="-2"/>
        </w:rPr>
        <w:t>事会专门委员会和股东大会，勤勉尽责地履行职责和义务，同时积极参加相关培训，熟悉相关法律法规。</w:t>
      </w:r>
      <w:r>
        <w:rPr>
          <w:spacing w:val="-46"/>
        </w:rPr>
        <w:t> </w:t>
      </w:r>
      <w:r>
        <w:rPr>
          <w:spacing w:val="-46"/>
        </w:rPr>
      </w:r>
      <w:r>
        <w:rPr>
          <w:spacing w:val="-3"/>
        </w:rPr>
        <w:t>公司按照《深圳证券交易所创业板上市公司规范运作指引》的要求，董事会下设审计、战略发展、薪</w:t>
      </w:r>
      <w:r>
        <w:rPr/>
      </w:r>
    </w:p>
    <w:p>
      <w:pPr>
        <w:pStyle w:val="BodyText"/>
        <w:spacing w:line="408" w:lineRule="auto" w:before="46"/>
        <w:ind w:right="103"/>
        <w:jc w:val="left"/>
      </w:pPr>
      <w:r>
        <w:rPr>
          <w:spacing w:val="-5"/>
        </w:rPr>
        <w:t>酬与考核、提名四个委员会。为董事会的决策提供了科学和专业的意见和参考。各委员会依据《公司章程》</w:t>
      </w:r>
      <w:r>
        <w:rPr>
          <w:spacing w:val="-8"/>
        </w:rPr>
        <w:t> </w:t>
      </w:r>
      <w:r>
        <w:rPr>
          <w:spacing w:val="-8"/>
        </w:rPr>
      </w:r>
      <w:r>
        <w:rPr/>
        <w:t>和各委员会议事规则的规定履行职权，不受公司任何其他部门和个人的干预。</w:t>
      </w:r>
    </w:p>
    <w:p>
      <w:pPr>
        <w:pStyle w:val="BodyText"/>
        <w:spacing w:line="408" w:lineRule="auto" w:before="46"/>
        <w:ind w:right="103" w:firstLine="441"/>
        <w:jc w:val="left"/>
      </w:pPr>
      <w:r>
        <w:rPr>
          <w:spacing w:val="-3"/>
        </w:rPr>
        <w:t>报告期内，公司相关董事参加了相关培训，通过进一步学习、熟悉有关法律法规、学习其他上市公司</w:t>
      </w:r>
      <w:r>
        <w:rPr>
          <w:w w:val="100"/>
        </w:rPr>
        <w:t> </w:t>
      </w:r>
      <w:r>
        <w:rPr/>
        <w:t>的违法违规案例，切实提高履行董事职责的能力。</w:t>
      </w:r>
    </w:p>
    <w:p>
      <w:pPr>
        <w:pStyle w:val="BodyText"/>
        <w:spacing w:line="408" w:lineRule="auto" w:before="46"/>
        <w:ind w:left="594" w:right="103" w:hanging="442"/>
        <w:jc w:val="left"/>
      </w:pPr>
      <w:r>
        <w:rPr/>
        <w:t>（四）</w:t>
      </w:r>
      <w:r>
        <w:rPr>
          <w:spacing w:val="-24"/>
        </w:rPr>
        <w:t> </w:t>
      </w:r>
      <w:r>
        <w:rPr/>
        <w:t>关于监事和监事会</w:t>
      </w:r>
      <w:r>
        <w:rPr>
          <w:spacing w:val="-101"/>
        </w:rPr>
        <w:t> </w:t>
      </w:r>
      <w:r>
        <w:rPr>
          <w:spacing w:val="-101"/>
        </w:rPr>
      </w:r>
      <w:r>
        <w:rPr>
          <w:spacing w:val="-3"/>
        </w:rPr>
        <w:t>报告期内公司换届选举成立了第三届监事会设监事</w:t>
      </w:r>
      <w:r>
        <w:rPr>
          <w:rFonts w:ascii="Times New Roman" w:hAnsi="Times New Roman" w:cs="Times New Roman" w:eastAsia="Times New Roman" w:hint="default"/>
          <w:spacing w:val="-3"/>
        </w:rPr>
        <w:t>3</w:t>
      </w:r>
      <w:r>
        <w:rPr>
          <w:spacing w:val="-3"/>
        </w:rPr>
        <w:t>名，其中职工监事</w:t>
      </w:r>
      <w:r>
        <w:rPr>
          <w:rFonts w:ascii="Times New Roman" w:hAnsi="Times New Roman" w:cs="Times New Roman" w:eastAsia="Times New Roman" w:hint="default"/>
          <w:spacing w:val="-3"/>
        </w:rPr>
        <w:t>1</w:t>
      </w:r>
      <w:r>
        <w:rPr>
          <w:spacing w:val="-3"/>
        </w:rPr>
        <w:t>名，监事会的人数和构成符合</w:t>
      </w:r>
    </w:p>
    <w:p>
      <w:pPr>
        <w:pStyle w:val="BodyText"/>
        <w:spacing w:line="408" w:lineRule="auto" w:before="14"/>
        <w:ind w:right="185"/>
        <w:jc w:val="both"/>
      </w:pPr>
      <w:r>
        <w:rPr>
          <w:spacing w:val="-3"/>
        </w:rPr>
        <w:t>法律、法规的要求。各位监事能够按照《公司章程》、《监事会议事规则》等规定的要求，认真履行自己</w:t>
      </w:r>
      <w:r>
        <w:rPr>
          <w:spacing w:val="-7"/>
        </w:rPr>
        <w:t> </w:t>
      </w:r>
      <w:r>
        <w:rPr>
          <w:spacing w:val="-7"/>
        </w:rPr>
      </w:r>
      <w:r>
        <w:rPr>
          <w:spacing w:val="-2"/>
        </w:rPr>
        <w:t>的职责，对公司重大事项、关联交易、财务状况以及董事和高管人员履行职责的合法、合规性进行监督，</w:t>
      </w:r>
      <w:r>
        <w:rPr>
          <w:spacing w:val="-21"/>
        </w:rPr>
        <w:t> </w:t>
      </w:r>
      <w:r>
        <w:rPr>
          <w:spacing w:val="-21"/>
        </w:rPr>
      </w:r>
      <w:r>
        <w:rPr/>
        <w:t>维护公司及股东的合法权益。</w:t>
      </w:r>
    </w:p>
    <w:p>
      <w:pPr>
        <w:pStyle w:val="BodyText"/>
        <w:spacing w:line="408" w:lineRule="auto" w:before="46"/>
        <w:ind w:left="594" w:right="103" w:hanging="442"/>
        <w:jc w:val="left"/>
      </w:pPr>
      <w:r>
        <w:rPr/>
        <w:t>（五）</w:t>
      </w:r>
      <w:r>
        <w:rPr>
          <w:spacing w:val="-24"/>
        </w:rPr>
        <w:t> </w:t>
      </w:r>
      <w:r>
        <w:rPr/>
        <w:t>关于绩效评价与激励约束机制</w:t>
      </w:r>
      <w:r>
        <w:rPr>
          <w:spacing w:val="-101"/>
        </w:rPr>
        <w:t> </w:t>
      </w:r>
      <w:r>
        <w:rPr>
          <w:spacing w:val="-101"/>
        </w:rPr>
      </w:r>
      <w:r>
        <w:rPr>
          <w:spacing w:val="-3"/>
        </w:rPr>
        <w:t>公司建立并逐步完善公正、有效的高级管理人员的绩效评价标准和激励约束机制，公司高级管理人员</w:t>
      </w:r>
    </w:p>
    <w:p>
      <w:pPr>
        <w:pStyle w:val="BodyText"/>
        <w:spacing w:line="408" w:lineRule="auto" w:before="46"/>
        <w:ind w:right="207"/>
        <w:jc w:val="both"/>
      </w:pPr>
      <w:r>
        <w:rPr>
          <w:spacing w:val="-2"/>
        </w:rPr>
        <w:t>实行基本年薪与年终绩效考核相结合的薪酬制度。高级管理人员的聘任公开、透明，符合法律、法规的规</w:t>
      </w:r>
      <w:r>
        <w:rPr>
          <w:spacing w:val="-44"/>
        </w:rPr>
        <w:t> </w:t>
      </w:r>
      <w:r>
        <w:rPr>
          <w:spacing w:val="-44"/>
        </w:rPr>
      </w:r>
      <w:r>
        <w:rPr/>
        <w:t>定。</w:t>
      </w:r>
    </w:p>
    <w:p>
      <w:pPr>
        <w:pStyle w:val="BodyText"/>
        <w:spacing w:line="408" w:lineRule="auto" w:before="46"/>
        <w:ind w:left="488" w:right="103" w:hanging="337"/>
        <w:jc w:val="left"/>
      </w:pPr>
      <w:r>
        <w:rPr/>
        <w:t>（六）关于公司与投资者</w:t>
      </w:r>
      <w:r>
        <w:rPr>
          <w:w w:val="100"/>
        </w:rPr>
        <w:t> </w:t>
      </w:r>
      <w:r>
        <w:rPr>
          <w:spacing w:val="-2"/>
        </w:rPr>
        <w:t>公司严格按照有关法律法规以及《信息披露管理制度》、《投资者关系管理制度》等要求，真实、准</w:t>
      </w:r>
    </w:p>
    <w:p>
      <w:pPr>
        <w:pStyle w:val="BodyText"/>
        <w:spacing w:line="405" w:lineRule="auto" w:before="46"/>
        <w:ind w:right="103"/>
        <w:jc w:val="left"/>
      </w:pPr>
      <w:r>
        <w:rPr>
          <w:spacing w:val="-2"/>
        </w:rPr>
        <w:t>确、及时、公平、完整地披露有关信息。公司指定公司董事会秘书负责信息披露工作，协调公司与投资者</w:t>
      </w:r>
      <w:r>
        <w:rPr>
          <w:spacing w:val="-43"/>
        </w:rPr>
        <w:t> </w:t>
      </w:r>
      <w:r>
        <w:rPr>
          <w:spacing w:val="-43"/>
        </w:rPr>
      </w:r>
      <w:r>
        <w:rPr/>
        <w:t>的关系，接待股东来访，回答投资者咨询，向投资者提供公司已披露的资料；并指定巨潮资讯网</w:t>
      </w:r>
      <w:r>
        <w:rPr>
          <w:w w:val="100"/>
        </w:rPr>
        <w:t> </w:t>
      </w:r>
      <w:hyperlink r:id="rId19">
        <w:r>
          <w:rPr>
            <w:rFonts w:ascii="Times New Roman" w:hAnsi="Times New Roman" w:cs="Times New Roman" w:eastAsia="Times New Roman" w:hint="default"/>
            <w:spacing w:val="-3"/>
          </w:rPr>
          <w:t>www.cninfo.com.cn</w:t>
        </w:r>
        <w:r>
          <w:rPr>
            <w:spacing w:val="-3"/>
          </w:rPr>
          <w:t>为公司信息披露的指定网站，</w:t>
        </w:r>
      </w:hyperlink>
      <w:r>
        <w:rPr>
          <w:spacing w:val="-3"/>
        </w:rPr>
        <w:t>《上海证券报》、《证券时报》为公司定期报告披露的指</w:t>
      </w:r>
      <w:r>
        <w:rPr>
          <w:spacing w:val="-2"/>
        </w:rPr>
        <w:t> </w:t>
      </w:r>
      <w:r>
        <w:rPr>
          <w:spacing w:val="-2"/>
        </w:rPr>
        <w:t>定报刊，确保公司所有股东能够公平地获取公司信息。同时公司设立投资者电话专线、专用传真、专用邮</w:t>
      </w:r>
      <w:r>
        <w:rPr>
          <w:spacing w:val="-47"/>
        </w:rPr>
        <w:t> </w:t>
      </w:r>
      <w:r>
        <w:rPr>
          <w:spacing w:val="-47"/>
        </w:rPr>
      </w:r>
      <w:r>
        <w:rPr>
          <w:spacing w:val="-2"/>
        </w:rPr>
        <w:t>箱等多种渠道，采取积极回复投资者咨询、接受投资者来访与调研等多种形式。作为公众公司，在资本市</w:t>
      </w:r>
      <w:r>
        <w:rPr>
          <w:spacing w:val="-47"/>
        </w:rPr>
        <w:t> </w:t>
      </w:r>
      <w:r>
        <w:rPr>
          <w:spacing w:val="-47"/>
        </w:rPr>
      </w:r>
      <w:r>
        <w:rPr>
          <w:spacing w:val="-2"/>
        </w:rPr>
        <w:t>场需要与投资者建立良性互动的关系，公司仍需要进一步加强投资者关系管理工作，以提高公司信息透明</w:t>
      </w:r>
      <w:r>
        <w:rPr>
          <w:spacing w:val="-44"/>
        </w:rPr>
        <w:t> </w:t>
      </w:r>
      <w:r>
        <w:rPr>
          <w:spacing w:val="-44"/>
        </w:rPr>
      </w:r>
      <w:r>
        <w:rPr/>
        <w:t>度，保障全体股东的合法权益。</w:t>
      </w:r>
    </w:p>
    <w:p>
      <w:pPr>
        <w:pStyle w:val="BodyText"/>
        <w:spacing w:line="408" w:lineRule="auto" w:before="48"/>
        <w:ind w:left="594" w:right="103" w:hanging="442"/>
        <w:jc w:val="left"/>
      </w:pPr>
      <w:r>
        <w:rPr/>
        <w:t>（七）内部审计制度的建立和执行情况</w:t>
      </w:r>
      <w:r>
        <w:rPr>
          <w:w w:val="100"/>
        </w:rPr>
        <w:t> </w:t>
      </w:r>
      <w:r>
        <w:rPr>
          <w:spacing w:val="-8"/>
        </w:rPr>
        <w:t>为规范经营管理，控制风险，保证经营业务活动的正常开展，公司根据《公司法》、《证券法》、《企</w:t>
      </w:r>
    </w:p>
    <w:p>
      <w:pPr>
        <w:pStyle w:val="BodyText"/>
        <w:spacing w:line="408" w:lineRule="auto" w:before="46"/>
        <w:ind w:right="206"/>
        <w:jc w:val="both"/>
      </w:pPr>
      <w:r>
        <w:rPr>
          <w:spacing w:val="-2"/>
        </w:rPr>
        <w:t>业内部控制基本规范》等有关法律、法规和规章制度，结合公司的实际情况、自身特点和管理需要，制定</w:t>
      </w:r>
      <w:r>
        <w:rPr>
          <w:spacing w:val="-43"/>
        </w:rPr>
        <w:t> </w:t>
      </w:r>
      <w:r>
        <w:rPr>
          <w:spacing w:val="-43"/>
        </w:rPr>
      </w:r>
      <w:r>
        <w:rPr>
          <w:spacing w:val="-2"/>
        </w:rPr>
        <w:t>了贯穿于公司生产经营各层面、各环节的内部控制体系，并不断完善。通过对公司各项治理制度的规范和</w:t>
      </w:r>
      <w:r>
        <w:rPr>
          <w:spacing w:val="-45"/>
        </w:rPr>
        <w:t> </w:t>
      </w:r>
      <w:r>
        <w:rPr>
          <w:spacing w:val="-45"/>
        </w:rPr>
      </w:r>
      <w:r>
        <w:rPr/>
        <w:t>落实，公司的治理水平不断提高，有效地保证了公司各项经营目标的实现。</w:t>
      </w:r>
    </w:p>
    <w:p>
      <w:pPr>
        <w:spacing w:after="0" w:line="408" w:lineRule="auto"/>
        <w:jc w:val="both"/>
        <w:sectPr>
          <w:pgSz w:w="11910" w:h="16840"/>
          <w:pgMar w:header="745" w:footer="982" w:top="1060" w:bottom="1180" w:left="980" w:right="920"/>
        </w:sectPr>
      </w:pPr>
    </w:p>
    <w:p>
      <w:pPr>
        <w:spacing w:line="240" w:lineRule="auto" w:before="0"/>
        <w:rPr>
          <w:rFonts w:ascii="宋体" w:hAnsi="宋体" w:cs="宋体" w:eastAsia="宋体" w:hint="default"/>
          <w:sz w:val="20"/>
          <w:szCs w:val="20"/>
        </w:rPr>
      </w:pPr>
    </w:p>
    <w:p>
      <w:pPr>
        <w:pStyle w:val="BodyText"/>
        <w:spacing w:line="408" w:lineRule="auto" w:before="175"/>
        <w:ind w:right="146" w:firstLine="441"/>
        <w:jc w:val="both"/>
      </w:pPr>
      <w:bookmarkStart w:name="2、表决权恢复的优先股股东请求召开临时股东大会" w:id="126"/>
      <w:bookmarkEnd w:id="126"/>
      <w:r>
        <w:rPr/>
      </w:r>
      <w:bookmarkStart w:name="五、报告期内独立董事履行职责的情况" w:id="127"/>
      <w:bookmarkEnd w:id="127"/>
      <w:r>
        <w:rPr/>
      </w:r>
      <w:bookmarkStart w:name="1、独立董事出席董事会及股东大会的情况" w:id="128"/>
      <w:bookmarkEnd w:id="128"/>
      <w:r>
        <w:rPr/>
      </w:r>
      <w:r>
        <w:rPr>
          <w:spacing w:val="-3"/>
        </w:rPr>
        <w:t>公司董事会下设审计委员会，主要负责公司内部审计与外部审计之间进行沟通，并监督公司内部审计</w:t>
      </w:r>
      <w:r>
        <w:rPr>
          <w:w w:val="100"/>
        </w:rPr>
        <w:t> </w:t>
      </w:r>
      <w:r>
        <w:rPr>
          <w:spacing w:val="-2"/>
        </w:rPr>
        <w:t>制度的实施，审查公司内部控制制度的执行情况，审查公司的财务信息及披露正常等。审计委员会下设独</w:t>
      </w:r>
      <w:r>
        <w:rPr>
          <w:spacing w:val="-43"/>
        </w:rPr>
        <w:t> </w:t>
      </w:r>
      <w:r>
        <w:rPr>
          <w:spacing w:val="-43"/>
        </w:rPr>
      </w:r>
      <w:r>
        <w:rPr/>
        <w:t>立的内审部，内审部直接对审计委员会负责及报告工作。</w:t>
      </w:r>
    </w:p>
    <w:p>
      <w:pPr>
        <w:pStyle w:val="BodyText"/>
        <w:spacing w:line="408" w:lineRule="auto" w:before="46"/>
        <w:ind w:left="594" w:right="0" w:hanging="442"/>
        <w:jc w:val="left"/>
      </w:pPr>
      <w:r>
        <w:rPr/>
        <w:t>（八）</w:t>
      </w:r>
      <w:r>
        <w:rPr>
          <w:spacing w:val="-24"/>
        </w:rPr>
        <w:t> </w:t>
      </w:r>
      <w:r>
        <w:rPr/>
        <w:t>关于相关利益者</w:t>
      </w:r>
      <w:r>
        <w:rPr>
          <w:spacing w:val="-3"/>
          <w:w w:val="100"/>
        </w:rPr>
        <w:t> </w:t>
      </w:r>
      <w:r>
        <w:rPr>
          <w:spacing w:val="-3"/>
        </w:rPr>
        <w:t>公司充分尊重和维护相关利益者的合法权益，积极与相关利益者合作，加强与各方的沟通与交流，实</w:t>
      </w:r>
    </w:p>
    <w:p>
      <w:pPr>
        <w:pStyle w:val="BodyText"/>
        <w:spacing w:line="240" w:lineRule="auto" w:before="46"/>
        <w:ind w:right="0"/>
        <w:jc w:val="left"/>
      </w:pPr>
      <w:r>
        <w:rPr/>
        <w:t>现股东、员工、社会等各方利益的协调平衡，共同推动公司持续、健康的发展。</w:t>
      </w:r>
    </w:p>
    <w:p>
      <w:pPr>
        <w:spacing w:before="177"/>
        <w:ind w:left="152" w:right="0"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115"/>
        <w:ind w:left="152" w:right="257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spacing w:line="501" w:lineRule="auto" w:before="0"/>
        <w:ind w:left="152" w:right="1582" w:firstLine="0"/>
        <w:jc w:val="left"/>
        <w:rPr>
          <w:rFonts w:ascii="宋体" w:hAnsi="宋体" w:cs="宋体" w:eastAsia="宋体" w:hint="default"/>
          <w:sz w:val="24"/>
          <w:szCs w:val="24"/>
        </w:rPr>
      </w:pPr>
      <w:r>
        <w:rPr>
          <w:rFonts w:ascii="宋体" w:hAnsi="宋体" w:cs="宋体" w:eastAsia="宋体" w:hint="default"/>
          <w:b/>
          <w:bCs/>
          <w:sz w:val="24"/>
          <w:szCs w:val="24"/>
        </w:rPr>
        <w:t>二、公司相对于控股股东在业务、人</w:t>
      </w:r>
      <w:bookmarkStart w:name="二、公司相对于控股股东在业务、人员、资产、机构、财务等方面的独立情况" w:id="129"/>
      <w:bookmarkEnd w:id="129"/>
      <w:r>
        <w:rPr>
          <w:rFonts w:ascii="宋体" w:hAnsi="宋体" w:cs="宋体" w:eastAsia="宋体" w:hint="default"/>
          <w:b/>
          <w:bCs/>
          <w:sz w:val="24"/>
          <w:szCs w:val="24"/>
        </w:rPr>
        <w:t>员</w:t>
      </w:r>
      <w:r>
        <w:rPr>
          <w:rFonts w:ascii="宋体" w:hAnsi="宋体" w:cs="宋体" w:eastAsia="宋体" w:hint="default"/>
          <w:b/>
          <w:bCs/>
          <w:sz w:val="24"/>
          <w:szCs w:val="24"/>
        </w:rPr>
        <w:t>、资产、机构、财务等方面的独立情况</w:t>
      </w:r>
      <w:r>
        <w:rPr>
          <w:rFonts w:ascii="宋体" w:hAnsi="宋体" w:cs="宋体" w:eastAsia="宋体" w:hint="default"/>
          <w:b/>
          <w:bCs/>
          <w:w w:val="99"/>
          <w:sz w:val="24"/>
          <w:szCs w:val="24"/>
        </w:rPr>
        <w:t> </w:t>
      </w:r>
      <w:r>
        <w:rPr>
          <w:rFonts w:ascii="宋体" w:hAnsi="宋体" w:cs="宋体" w:eastAsia="宋体" w:hint="default"/>
          <w:sz w:val="21"/>
          <w:szCs w:val="21"/>
        </w:rPr>
        <w:t>公司相对于控股股东在业务、人员、资产、机构、财务等方面能够保证独立性。</w:t>
      </w:r>
      <w:r>
        <w:rPr>
          <w:rFonts w:ascii="宋体" w:hAnsi="宋体" w:cs="宋体" w:eastAsia="宋体" w:hint="default"/>
          <w:w w:val="100"/>
          <w:sz w:val="21"/>
          <w:szCs w:val="21"/>
        </w:rPr>
        <w:t> </w:t>
      </w:r>
      <w:r>
        <w:rPr>
          <w:rFonts w:ascii="宋体" w:hAnsi="宋体" w:cs="宋体" w:eastAsia="宋体" w:hint="default"/>
          <w:b/>
          <w:bCs/>
          <w:sz w:val="24"/>
          <w:szCs w:val="24"/>
        </w:rPr>
        <w:t>三、同业竞争情况</w:t>
      </w:r>
      <w:r>
        <w:rPr>
          <w:rFonts w:ascii="宋体" w:hAnsi="宋体" w:cs="宋体" w:eastAsia="宋体" w:hint="default"/>
          <w:sz w:val="24"/>
          <w:szCs w:val="24"/>
        </w:rPr>
      </w:r>
    </w:p>
    <w:p>
      <w:pPr>
        <w:spacing w:before="8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4"/>
        <w:spacing w:line="240" w:lineRule="auto"/>
        <w:ind w:right="0"/>
        <w:jc w:val="left"/>
        <w:rPr>
          <w:b w:val="0"/>
          <w:bCs w:val="0"/>
        </w:rPr>
      </w:pPr>
      <w:r>
        <w:rPr/>
        <w:t>四、报告期内召开的年度股东大会和临时股东大</w:t>
      </w:r>
      <w:bookmarkStart w:name="三、同业竞争情况" w:id="130"/>
      <w:bookmarkEnd w:id="130"/>
      <w:r>
        <w:rPr/>
        <w:t>会</w:t>
      </w:r>
      <w:r>
        <w:rPr/>
        <w:t>的有关情况</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702"/>
        <w:gridCol w:w="1488"/>
        <w:gridCol w:w="1594"/>
        <w:gridCol w:w="1596"/>
        <w:gridCol w:w="1594"/>
        <w:gridCol w:w="1594"/>
      </w:tblGrid>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4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377"/>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bookmarkStart w:name="四、报告期内召开的年度股东大会和临时股东大会的有关情况" w:id="131"/>
            <w:bookmarkEnd w:id="131"/>
            <w:r>
              <w:rPr/>
            </w:r>
            <w:bookmarkStart w:name="1、本报告期股东大会情况" w:id="132"/>
            <w:bookmarkEnd w:id="132"/>
            <w:r>
              <w:rPr/>
            </w: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72"/>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82.05%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3"/>
              <w:jc w:val="center"/>
              <w:rPr>
                <w:rFonts w:ascii="Times New Roman" w:hAnsi="Times New Roman" w:cs="Times New Roman" w:eastAsia="Times New Roman" w:hint="default"/>
                <w:sz w:val="18"/>
                <w:szCs w:val="18"/>
              </w:rPr>
            </w:pPr>
            <w:hyperlink r:id="rId15">
              <w:r>
                <w:rPr>
                  <w:rFonts w:ascii="Times New Roman"/>
                  <w:sz w:val="18"/>
                </w:rPr>
                <w:t>www.cninfo.com.cn</w:t>
              </w:r>
            </w:hyperlink>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年第一次临时股 东大会</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72"/>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83"/>
              <w:jc w:val="center"/>
              <w:rPr>
                <w:rFonts w:ascii="Times New Roman" w:hAnsi="Times New Roman" w:cs="Times New Roman" w:eastAsia="Times New Roman" w:hint="default"/>
                <w:sz w:val="18"/>
                <w:szCs w:val="18"/>
              </w:rPr>
            </w:pPr>
            <w:hyperlink r:id="rId15">
              <w:r>
                <w:rPr>
                  <w:rFonts w:ascii="Times New Roman"/>
                  <w:sz w:val="18"/>
                </w:rPr>
                <w:t>www.cninfo.com.cn</w:t>
              </w:r>
            </w:hyperlink>
          </w:p>
        </w:tc>
      </w:tr>
    </w:tbl>
    <w:p>
      <w:pPr>
        <w:spacing w:line="240" w:lineRule="auto" w:before="3"/>
        <w:rPr>
          <w:rFonts w:ascii="宋体" w:hAnsi="宋体" w:cs="宋体" w:eastAsia="宋体" w:hint="default"/>
          <w:b/>
          <w:bCs/>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4"/>
        <w:spacing w:line="240" w:lineRule="auto"/>
        <w:ind w:right="0"/>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2"/>
        <w:gridCol w:w="1325"/>
        <w:gridCol w:w="1325"/>
        <w:gridCol w:w="1322"/>
        <w:gridCol w:w="1325"/>
        <w:gridCol w:w="1325"/>
      </w:tblGrid>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06" w:right="24"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77" w:right="26"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3"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严义埙</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625"/>
        <w:gridCol w:w="1322"/>
        <w:gridCol w:w="1325"/>
        <w:gridCol w:w="1325"/>
        <w:gridCol w:w="1322"/>
        <w:gridCol w:w="1325"/>
        <w:gridCol w:w="1325"/>
      </w:tblGrid>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朱范予</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陈杰平</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黄钰昌</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徐宇舟</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姚宝敬</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w:t>
            </w:r>
          </w:p>
        </w:tc>
      </w:tr>
    </w:tbl>
    <w:p>
      <w:pPr>
        <w:spacing w:line="357" w:lineRule="auto" w:before="49"/>
        <w:ind w:left="152" w:right="4974"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报告期内未发生独立董事连续两次未亲自出席董事会的情况。</w:t>
      </w:r>
    </w:p>
    <w:p>
      <w:pPr>
        <w:spacing w:line="240" w:lineRule="auto" w:before="6"/>
        <w:rPr>
          <w:rFonts w:ascii="宋体" w:hAnsi="宋体" w:cs="宋体" w:eastAsia="宋体" w:hint="default"/>
          <w:sz w:val="20"/>
          <w:szCs w:val="20"/>
        </w:rPr>
      </w:pPr>
    </w:p>
    <w:p>
      <w:pPr>
        <w:pStyle w:val="Heading6"/>
        <w:spacing w:line="240" w:lineRule="auto"/>
        <w:ind w:right="103"/>
        <w:jc w:val="left"/>
        <w:rPr>
          <w:b w:val="0"/>
          <w:bCs w:val="0"/>
        </w:rPr>
      </w:pPr>
      <w:r>
        <w:rPr>
          <w:rFonts w:ascii="Times New Roman" w:hAnsi="Times New Roman" w:cs="Times New Roman" w:eastAsia="Times New Roman" w:hint="default"/>
        </w:rPr>
        <w:t>2</w:t>
      </w:r>
      <w:r>
        <w:rPr/>
        <w:t>、独立董事对公司有关事</w:t>
      </w:r>
      <w:bookmarkStart w:name="2、独立董事对公司有关事项提出异议的情况" w:id="133"/>
      <w:bookmarkEnd w:id="133"/>
      <w:r>
        <w:rPr/>
        <w:t>项提出异议的情况</w:t>
      </w:r>
      <w:r>
        <w:rPr>
          <w:b w:val="0"/>
          <w:bCs w:val="0"/>
        </w:rPr>
      </w:r>
    </w:p>
    <w:p>
      <w:pPr>
        <w:spacing w:line="240" w:lineRule="auto" w:before="4"/>
        <w:rPr>
          <w:rFonts w:ascii="宋体" w:hAnsi="宋体" w:cs="宋体" w:eastAsia="宋体" w:hint="default"/>
          <w:b/>
          <w:bCs/>
          <w:sz w:val="26"/>
          <w:szCs w:val="26"/>
        </w:rPr>
      </w:pPr>
    </w:p>
    <w:p>
      <w:pPr>
        <w:spacing w:before="0"/>
        <w:ind w:left="152" w:right="103"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7"/>
        <w:ind w:left="152" w:right="6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7"/>
        <w:rPr>
          <w:rFonts w:ascii="宋体" w:hAnsi="宋体" w:cs="宋体" w:eastAsia="宋体" w:hint="default"/>
          <w:sz w:val="21"/>
          <w:szCs w:val="21"/>
        </w:rPr>
      </w:pPr>
    </w:p>
    <w:p>
      <w:pPr>
        <w:pStyle w:val="Heading6"/>
        <w:spacing w:line="240" w:lineRule="auto"/>
        <w:ind w:right="10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spacing w:before="0"/>
        <w:ind w:left="152" w:right="103"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7"/>
        <w:ind w:left="152" w:right="587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独立董事对公司有关建议被采纳或未被采纳的说明</w:t>
      </w:r>
    </w:p>
    <w:p>
      <w:pPr>
        <w:pStyle w:val="BodyText"/>
        <w:spacing w:line="408" w:lineRule="auto" w:before="99"/>
        <w:ind w:right="206"/>
        <w:jc w:val="both"/>
      </w:pPr>
      <w:r>
        <w:rPr>
          <w:spacing w:val="-2"/>
        </w:rPr>
        <w:t>公司独立董事勤勉尽责，严格按照中国证监会的相关规</w:t>
      </w:r>
      <w:bookmarkStart w:name="3、独立董事履行职责的其他说明" w:id="134"/>
      <w:bookmarkEnd w:id="134"/>
      <w:r>
        <w:rPr>
          <w:spacing w:val="-2"/>
        </w:rPr>
        <w:t>定</w:t>
      </w:r>
      <w:r>
        <w:rPr>
          <w:spacing w:val="-2"/>
        </w:rPr>
        <w:t>及《公司章程》、《董事会议事规则》和《独立</w:t>
      </w:r>
      <w:r>
        <w:rPr>
          <w:spacing w:val="-44"/>
        </w:rPr>
        <w:t> </w:t>
      </w:r>
      <w:r>
        <w:rPr>
          <w:spacing w:val="-44"/>
        </w:rPr>
      </w:r>
      <w:r>
        <w:rPr>
          <w:spacing w:val="-2"/>
        </w:rPr>
        <w:t>董事制度》开展工作，关注公司运作，独立履行职责，对公司内部控制建设、管理体系建设、人才梯队建</w:t>
      </w:r>
      <w:r>
        <w:rPr>
          <w:spacing w:val="-42"/>
        </w:rPr>
        <w:t> </w:t>
      </w:r>
      <w:r>
        <w:rPr>
          <w:spacing w:val="-42"/>
        </w:rPr>
      </w:r>
      <w:r>
        <w:rPr>
          <w:spacing w:val="-2"/>
        </w:rPr>
        <w:t>设和重大决策等方面提出了很多宝贵的专业性建议，对公司财务及生产经营活动进行了有效监督，提高了</w:t>
      </w:r>
      <w:r>
        <w:rPr>
          <w:spacing w:val="-44"/>
        </w:rPr>
        <w:t> </w:t>
      </w:r>
      <w:r>
        <w:rPr>
          <w:spacing w:val="-44"/>
        </w:rPr>
      </w:r>
      <w:r>
        <w:rPr/>
        <w:t>公司决策的科学性，为完善公司监督机制，维护公司和全体股东的合法权益发挥了应有的作用。</w:t>
      </w:r>
    </w:p>
    <w:p>
      <w:pPr>
        <w:spacing w:line="240" w:lineRule="auto" w:before="8"/>
        <w:rPr>
          <w:rFonts w:ascii="宋体" w:hAnsi="宋体" w:cs="宋体" w:eastAsia="宋体" w:hint="default"/>
          <w:sz w:val="18"/>
          <w:szCs w:val="18"/>
        </w:rPr>
      </w:pPr>
    </w:p>
    <w:p>
      <w:pPr>
        <w:pStyle w:val="Heading4"/>
        <w:spacing w:line="240" w:lineRule="auto"/>
        <w:ind w:right="103"/>
        <w:jc w:val="left"/>
        <w:rPr>
          <w:b w:val="0"/>
          <w:bCs w:val="0"/>
        </w:rPr>
      </w:pPr>
      <w:r>
        <w:rPr/>
        <w:t>六、董事会下设专门委员会在报告期内履行职责情况</w:t>
      </w:r>
      <w:r>
        <w:rPr>
          <w:b w:val="0"/>
          <w:bCs w:val="0"/>
        </w:rPr>
      </w:r>
    </w:p>
    <w:p>
      <w:pPr>
        <w:spacing w:line="240" w:lineRule="auto" w:before="8"/>
        <w:rPr>
          <w:rFonts w:ascii="宋体" w:hAnsi="宋体" w:cs="宋体" w:eastAsia="宋体" w:hint="default"/>
          <w:b/>
          <w:bCs/>
          <w:sz w:val="30"/>
          <w:szCs w:val="30"/>
        </w:rPr>
      </w:pPr>
    </w:p>
    <w:p>
      <w:pPr>
        <w:pStyle w:val="BodyText"/>
        <w:spacing w:line="386" w:lineRule="auto"/>
        <w:ind w:left="572" w:right="103" w:hanging="421"/>
        <w:jc w:val="left"/>
      </w:pPr>
      <w:r>
        <w:rPr>
          <w:rFonts w:ascii="Times New Roman" w:hAnsi="Times New Roman" w:cs="Times New Roman" w:eastAsia="Times New Roman" w:hint="default"/>
        </w:rPr>
        <w:t>1</w:t>
      </w:r>
      <w:r>
        <w:rPr/>
        <w:t>、审计委员会的履职情况</w:t>
      </w:r>
      <w:r>
        <w:rPr>
          <w:spacing w:val="-3"/>
          <w:w w:val="100"/>
        </w:rPr>
        <w:t> </w:t>
      </w:r>
      <w:r>
        <w:rPr>
          <w:spacing w:val="-2"/>
        </w:rPr>
        <w:t>报告期内，根据《董事会审计委员会工作细则》，审计委员会充分发挥了审核与监督作用，</w:t>
      </w:r>
      <w:bookmarkStart w:name="六、董事会下设专门委员会在报告期内履行职责情况" w:id="135"/>
      <w:bookmarkEnd w:id="135"/>
      <w:r>
        <w:rPr>
          <w:spacing w:val="-2"/>
        </w:rPr>
        <w:t>主</w:t>
      </w:r>
      <w:r>
        <w:rPr>
          <w:spacing w:val="-2"/>
        </w:rPr>
        <w:t>要负责</w:t>
      </w:r>
    </w:p>
    <w:p>
      <w:pPr>
        <w:pStyle w:val="BodyText"/>
        <w:spacing w:line="398" w:lineRule="auto" w:before="65"/>
        <w:ind w:right="103"/>
        <w:jc w:val="left"/>
      </w:pPr>
      <w:r>
        <w:rPr>
          <w:spacing w:val="-2"/>
        </w:rPr>
        <w:t>公司财务监督和核查工作及外部审计机构的沟通、协调工作。审计委员会对公司</w:t>
      </w:r>
      <w:r>
        <w:rPr>
          <w:rFonts w:ascii="Times New Roman" w:hAnsi="Times New Roman" w:cs="Times New Roman" w:eastAsia="Times New Roman" w:hint="default"/>
          <w:spacing w:val="-2"/>
        </w:rPr>
        <w:t>2015</w:t>
      </w:r>
      <w:r>
        <w:rPr>
          <w:spacing w:val="-2"/>
        </w:rPr>
        <w:t>年内部控制情况进行</w:t>
      </w:r>
      <w:r>
        <w:rPr>
          <w:spacing w:val="-38"/>
        </w:rPr>
        <w:t> </w:t>
      </w:r>
      <w:r>
        <w:rPr>
          <w:spacing w:val="-38"/>
        </w:rPr>
      </w:r>
      <w:r>
        <w:rPr>
          <w:spacing w:val="-2"/>
        </w:rPr>
        <w:t>了核查，认为公司已经建立的内控制度体系符合相关法规的规定，并能有效控制相关风险。</w:t>
      </w:r>
      <w:r>
        <w:rPr>
          <w:rFonts w:ascii="Times New Roman" w:hAnsi="Times New Roman" w:cs="Times New Roman" w:eastAsia="Times New Roman" w:hint="default"/>
          <w:spacing w:val="-2"/>
        </w:rPr>
        <w:t>2015</w:t>
      </w:r>
      <w:r>
        <w:rPr>
          <w:spacing w:val="-2"/>
        </w:rPr>
        <w:t>年，审计</w:t>
      </w:r>
      <w:r>
        <w:rPr>
          <w:spacing w:val="-45"/>
        </w:rPr>
        <w:t> </w:t>
      </w:r>
      <w:r>
        <w:rPr>
          <w:spacing w:val="-45"/>
        </w:rPr>
      </w:r>
      <w:r>
        <w:rPr>
          <w:spacing w:val="-5"/>
        </w:rPr>
        <w:t>委员会共召开了四次会议，重点对公司定期财务报告、募集资金使用情况、监督公司内部审计制度及实施、</w:t>
      </w:r>
      <w:r>
        <w:rPr>
          <w:spacing w:val="-6"/>
        </w:rPr>
        <w:t> </w:t>
      </w:r>
      <w:r>
        <w:rPr>
          <w:spacing w:val="-6"/>
        </w:rPr>
      </w:r>
      <w:r>
        <w:rPr>
          <w:spacing w:val="-2"/>
        </w:rPr>
        <w:t>审查公司内部控制制度等事项进行审议。审计委员会就会计师事务所从事公司年度审计的工作进行了总结</w:t>
      </w:r>
      <w:r>
        <w:rPr>
          <w:spacing w:val="-43"/>
        </w:rPr>
        <w:t> </w:t>
      </w:r>
      <w:r>
        <w:rPr>
          <w:spacing w:val="-43"/>
        </w:rPr>
      </w:r>
      <w:r>
        <w:rPr/>
        <w:t>评价。</w:t>
      </w:r>
    </w:p>
    <w:p>
      <w:pPr>
        <w:pStyle w:val="BodyText"/>
        <w:spacing w:line="386" w:lineRule="auto" w:before="54"/>
        <w:ind w:left="572" w:right="103" w:hanging="420"/>
        <w:jc w:val="left"/>
      </w:pPr>
      <w:r>
        <w:rPr>
          <w:rFonts w:ascii="Times New Roman" w:hAnsi="Times New Roman" w:cs="Times New Roman" w:eastAsia="Times New Roman" w:hint="default"/>
        </w:rPr>
        <w:t>2</w:t>
      </w:r>
      <w:r>
        <w:rPr/>
        <w:t>、薪酬与考核委员会的履职情况</w:t>
      </w:r>
      <w:r>
        <w:rPr>
          <w:w w:val="100"/>
        </w:rPr>
        <w:t> </w:t>
      </w:r>
      <w:r>
        <w:rPr>
          <w:spacing w:val="-2"/>
        </w:rPr>
        <w:t>报告期内，公司董事会薪酬与考核委员会依照相关法规及《公司章程》、《董事会薪酬与考核委员会</w:t>
      </w:r>
    </w:p>
    <w:p>
      <w:pPr>
        <w:spacing w:after="0" w:line="386" w:lineRule="auto"/>
        <w:jc w:val="left"/>
        <w:sectPr>
          <w:pgSz w:w="11910" w:h="16840"/>
          <w:pgMar w:header="745" w:footer="982" w:top="1060" w:bottom="1180" w:left="980" w:right="920"/>
        </w:sectPr>
      </w:pPr>
    </w:p>
    <w:p>
      <w:pPr>
        <w:spacing w:line="240" w:lineRule="auto" w:before="0"/>
        <w:rPr>
          <w:rFonts w:ascii="宋体" w:hAnsi="宋体" w:cs="宋体" w:eastAsia="宋体" w:hint="default"/>
          <w:sz w:val="20"/>
          <w:szCs w:val="20"/>
        </w:rPr>
      </w:pPr>
    </w:p>
    <w:p>
      <w:pPr>
        <w:pStyle w:val="BodyText"/>
        <w:spacing w:line="398" w:lineRule="auto" w:before="175"/>
        <w:ind w:right="146"/>
        <w:jc w:val="both"/>
      </w:pPr>
      <w:bookmarkStart w:name="九、内部控制评价报告" w:id="136"/>
      <w:bookmarkEnd w:id="136"/>
      <w:r>
        <w:rPr/>
      </w:r>
      <w:bookmarkStart w:name="1、报告期内发现的内部控制重大缺陷的具体情况" w:id="137"/>
      <w:bookmarkEnd w:id="137"/>
      <w:r>
        <w:rPr/>
      </w:r>
      <w:bookmarkStart w:name="2、内控自我评价报告" w:id="138"/>
      <w:bookmarkEnd w:id="138"/>
      <w:r>
        <w:rPr/>
      </w:r>
      <w:r>
        <w:rPr>
          <w:spacing w:val="-2"/>
        </w:rPr>
        <w:t>工作细则》的规定履行了对公司股权激励计划进行管理、审查公司董事及高级管理人员的履行职责情况等</w:t>
      </w:r>
      <w:r>
        <w:rPr>
          <w:spacing w:val="-42"/>
        </w:rPr>
        <w:t> </w:t>
      </w:r>
      <w:r>
        <w:rPr>
          <w:spacing w:val="-42"/>
        </w:rPr>
      </w:r>
      <w:r>
        <w:rPr>
          <w:spacing w:val="-2"/>
        </w:rPr>
        <w:t>相关职责。</w:t>
      </w:r>
      <w:r>
        <w:rPr>
          <w:rFonts w:ascii="Times New Roman" w:hAnsi="Times New Roman" w:cs="Times New Roman" w:eastAsia="Times New Roman" w:hint="default"/>
          <w:spacing w:val="-2"/>
        </w:rPr>
        <w:t>2015</w:t>
      </w:r>
      <w:r>
        <w:rPr>
          <w:spacing w:val="-2"/>
        </w:rPr>
        <w:t>年度，薪酬与考核委员会共召开了两次次会议，重点对</w:t>
      </w:r>
      <w:r>
        <w:rPr>
          <w:rFonts w:ascii="Times New Roman" w:hAnsi="Times New Roman" w:cs="Times New Roman" w:eastAsia="Times New Roman" w:hint="default"/>
          <w:spacing w:val="-2"/>
        </w:rPr>
        <w:t>2015</w:t>
      </w:r>
      <w:r>
        <w:rPr>
          <w:spacing w:val="-2"/>
        </w:rPr>
        <w:t>年董事和高级管理人员薪酬情</w:t>
      </w:r>
      <w:r>
        <w:rPr>
          <w:spacing w:val="-36"/>
        </w:rPr>
        <w:t> </w:t>
      </w:r>
      <w:r>
        <w:rPr>
          <w:spacing w:val="-36"/>
        </w:rPr>
      </w:r>
      <w:r>
        <w:rPr/>
        <w:t>况、股权激励情况进行审核。</w:t>
      </w:r>
    </w:p>
    <w:p>
      <w:pPr>
        <w:pStyle w:val="BodyText"/>
        <w:spacing w:line="386" w:lineRule="auto" w:before="54"/>
        <w:ind w:left="572" w:right="0" w:hanging="421"/>
        <w:jc w:val="left"/>
      </w:pPr>
      <w:r>
        <w:rPr>
          <w:rFonts w:ascii="Times New Roman" w:hAnsi="Times New Roman" w:cs="Times New Roman" w:eastAsia="Times New Roman" w:hint="default"/>
        </w:rPr>
        <w:t>3</w:t>
      </w:r>
      <w:r>
        <w:rPr/>
        <w:t>、提名委员会的履职情况</w:t>
      </w:r>
      <w:r>
        <w:rPr>
          <w:spacing w:val="-3"/>
          <w:w w:val="100"/>
        </w:rPr>
        <w:t> </w:t>
      </w:r>
      <w:r>
        <w:rPr>
          <w:spacing w:val="-2"/>
        </w:rPr>
        <w:t>报告期内，公司董事会提名委员会依照相关法规及《公司章程》、《董事会提名委员会工作细则》的</w:t>
      </w:r>
    </w:p>
    <w:p>
      <w:pPr>
        <w:pStyle w:val="BodyText"/>
        <w:spacing w:line="398" w:lineRule="auto" w:before="65"/>
        <w:ind w:right="0"/>
        <w:jc w:val="left"/>
      </w:pPr>
      <w:r>
        <w:rPr>
          <w:spacing w:val="-2"/>
        </w:rPr>
        <w:t>规定，积极履行了职。</w:t>
      </w:r>
      <w:r>
        <w:rPr>
          <w:rFonts w:ascii="Times New Roman" w:hAnsi="Times New Roman" w:cs="Times New Roman" w:eastAsia="Times New Roman" w:hint="default"/>
          <w:spacing w:val="-2"/>
        </w:rPr>
        <w:t>2015</w:t>
      </w:r>
      <w:r>
        <w:rPr>
          <w:spacing w:val="-2"/>
        </w:rPr>
        <w:t>年度，提名委员会共召开了一次会议，重点对公司拟选举和聘任的独立董事任</w:t>
      </w:r>
      <w:r>
        <w:rPr>
          <w:spacing w:val="-44"/>
        </w:rPr>
        <w:t> </w:t>
      </w:r>
      <w:r>
        <w:rPr>
          <w:spacing w:val="-44"/>
        </w:rPr>
      </w:r>
      <w:r>
        <w:rPr/>
        <w:t>职资格进行审查，未发现《公司法》及相关法律法规禁止担任上市公司的独立董事的情形。</w:t>
      </w:r>
      <w:r>
        <w:rPr>
          <w:w w:val="100"/>
        </w:rPr>
        <w:t> </w:t>
      </w:r>
      <w:r>
        <w:rPr>
          <w:rFonts w:ascii="Times New Roman" w:hAnsi="Times New Roman" w:cs="Times New Roman" w:eastAsia="Times New Roman" w:hint="default"/>
        </w:rPr>
        <w:t>4</w:t>
      </w:r>
      <w:r>
        <w:rPr/>
        <w:t>、战略委员会的履职情况</w:t>
      </w:r>
    </w:p>
    <w:p>
      <w:pPr>
        <w:pStyle w:val="BodyText"/>
        <w:spacing w:line="408" w:lineRule="auto" w:before="24"/>
        <w:ind w:right="125" w:firstLine="420"/>
        <w:jc w:val="both"/>
      </w:pPr>
      <w:r>
        <w:rPr>
          <w:spacing w:val="-2"/>
        </w:rPr>
        <w:t>报告期内，公司战略委员会依照相关法规及《公司章程》及《董事会战略委员会工作细则》的规定，</w:t>
      </w:r>
      <w:r>
        <w:rPr>
          <w:w w:val="100"/>
        </w:rPr>
        <w:t> </w:t>
      </w:r>
      <w:r>
        <w:rPr>
          <w:spacing w:val="-2"/>
        </w:rPr>
        <w:t>报告期内召开了一次会议，重点对公司战略执行情况进行回顾总结，根据公司所处的行业和市场形式及时</w:t>
      </w:r>
      <w:r>
        <w:rPr>
          <w:spacing w:val="-44"/>
        </w:rPr>
        <w:t> </w:t>
      </w:r>
      <w:r>
        <w:rPr>
          <w:spacing w:val="-44"/>
        </w:rPr>
      </w:r>
      <w:r>
        <w:rPr/>
        <w:t>进行了战略规划研究，并对公司的发展战略提出了合理的建议。</w:t>
      </w:r>
    </w:p>
    <w:p>
      <w:pPr>
        <w:spacing w:line="240" w:lineRule="auto" w:before="8"/>
        <w:rPr>
          <w:rFonts w:ascii="宋体" w:hAnsi="宋体" w:cs="宋体" w:eastAsia="宋体" w:hint="default"/>
          <w:sz w:val="18"/>
          <w:szCs w:val="18"/>
        </w:rPr>
      </w:pPr>
    </w:p>
    <w:p>
      <w:pPr>
        <w:pStyle w:val="Heading4"/>
        <w:spacing w:line="240" w:lineRule="auto"/>
        <w:ind w:right="0"/>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监事会在报告期内的监督活动是否发现公司存在风险</w:t>
      </w:r>
    </w:p>
    <w:p>
      <w:pPr>
        <w:spacing w:line="340" w:lineRule="auto" w:before="115"/>
        <w:ind w:left="152" w:right="635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公司监事会对报告期内的监督事项无异议。</w:t>
      </w:r>
    </w:p>
    <w:p>
      <w:pPr>
        <w:spacing w:line="240" w:lineRule="auto" w:before="6"/>
        <w:rPr>
          <w:rFonts w:ascii="宋体" w:hAnsi="宋体" w:cs="宋体" w:eastAsia="宋体" w:hint="default"/>
          <w:sz w:val="19"/>
          <w:szCs w:val="19"/>
        </w:rPr>
      </w:pPr>
    </w:p>
    <w:p>
      <w:pPr>
        <w:pStyle w:val="Heading4"/>
        <w:spacing w:line="240" w:lineRule="auto"/>
        <w:ind w:right="0"/>
        <w:jc w:val="left"/>
        <w:rPr>
          <w:b w:val="0"/>
          <w:bCs w:val="0"/>
        </w:rPr>
      </w:pPr>
      <w:r>
        <w:rPr/>
        <w:t>八、高级管理人员的考评及激励情况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47" w:firstLine="420"/>
        <w:jc w:val="both"/>
      </w:pPr>
      <w:r>
        <w:rPr>
          <w:spacing w:val="-2"/>
        </w:rPr>
        <w:t>公司建立了完善的高级管理人员绩效管理体系，明确</w:t>
      </w:r>
      <w:bookmarkStart w:name="七、监事会工作情况" w:id="139"/>
      <w:bookmarkEnd w:id="139"/>
      <w:r>
        <w:rPr>
          <w:spacing w:val="-2"/>
        </w:rPr>
        <w:t>了</w:t>
      </w:r>
      <w:r>
        <w:rPr>
          <w:spacing w:val="-2"/>
        </w:rPr>
        <w:t>高级管理人员考核、</w:t>
      </w:r>
      <w:bookmarkStart w:name="八、高级管理人员的考评及激励情况" w:id="140"/>
      <w:bookmarkEnd w:id="140"/>
      <w:r>
        <w:rPr>
          <w:spacing w:val="-2"/>
        </w:rPr>
        <w:t>晋</w:t>
      </w:r>
      <w:r>
        <w:rPr>
          <w:spacing w:val="-2"/>
        </w:rPr>
        <w:t>升、培训和奖惩激励机</w:t>
      </w:r>
      <w:r>
        <w:rPr>
          <w:spacing w:val="-3"/>
          <w:w w:val="100"/>
        </w:rPr>
        <w:t> </w:t>
      </w:r>
      <w:r>
        <w:rPr>
          <w:spacing w:val="-2"/>
        </w:rPr>
        <w:t>制，有效的提升了公司治理水平，进一步完善高级管理人员绩效评价和激励、约束机制，最大限度地调动</w:t>
      </w:r>
      <w:r>
        <w:rPr>
          <w:spacing w:val="-47"/>
        </w:rPr>
        <w:t> </w:t>
      </w:r>
      <w:r>
        <w:rPr>
          <w:spacing w:val="-47"/>
        </w:rPr>
      </w:r>
      <w:r>
        <w:rPr>
          <w:spacing w:val="-2"/>
        </w:rPr>
        <w:t>公司高级管理人员的积极性及创造性，确保公司各项业务的顺利开展，促进了公司业绩稳定持续发展，更</w:t>
      </w:r>
      <w:r>
        <w:rPr>
          <w:spacing w:val="-42"/>
        </w:rPr>
        <w:t> </w:t>
      </w:r>
      <w:r>
        <w:rPr>
          <w:spacing w:val="-42"/>
        </w:rPr>
      </w:r>
      <w:r>
        <w:rPr/>
        <w:t>好维护广大投资者的根本利益。</w:t>
      </w:r>
    </w:p>
    <w:p>
      <w:pPr>
        <w:spacing w:line="240" w:lineRule="auto" w:before="8"/>
        <w:rPr>
          <w:rFonts w:ascii="宋体" w:hAnsi="宋体" w:cs="宋体" w:eastAsia="宋体" w:hint="default"/>
          <w:sz w:val="18"/>
          <w:szCs w:val="18"/>
        </w:rPr>
      </w:pPr>
    </w:p>
    <w:p>
      <w:pPr>
        <w:pStyle w:val="Heading4"/>
        <w:spacing w:line="240" w:lineRule="auto"/>
        <w:ind w:right="0"/>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3"/>
        <w:gridCol w:w="6374"/>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5">
              <w:r>
                <w:rPr>
                  <w:rFonts w:ascii="Times New Roman"/>
                  <w:sz w:val="18"/>
                </w:rPr>
                <w:t>www.cninfo.com.cn</w:t>
              </w:r>
            </w:hyperlink>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96.02%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b/>
          <w:bCs/>
          <w:sz w:val="20"/>
          <w:szCs w:val="20"/>
        </w:rPr>
      </w:pPr>
      <w:r>
        <w:rPr/>
        <w:pict>
          <v:shape style="position:absolute;margin-left:56.400002pt;margin-top:71.999985pt;width:479.2pt;height:686.2pt;mso-position-horizontal-relative:page;mso-position-vertical-relative:page;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340"/>
                    <w:gridCol w:w="3040"/>
                  </w:tblGrid>
                  <w:tr>
                    <w:trPr>
                      <w:trHeight w:val="362" w:hRule="exact"/>
                    </w:trPr>
                    <w:tc>
                      <w:tcPr>
                        <w:tcW w:w="31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财务报表资产总额的比例</w:t>
                        </w:r>
                      </w:p>
                    </w:tc>
                    <w:tc>
                      <w:tcPr>
                        <w:tcW w:w="6380" w:type="dxa"/>
                        <w:gridSpan w:val="2"/>
                        <w:tcBorders>
                          <w:top w:val="single" w:sz="4" w:space="0" w:color="000000"/>
                          <w:left w:val="single" w:sz="12" w:space="0" w:color="D4D4D4"/>
                          <w:bottom w:val="single" w:sz="4" w:space="0" w:color="000000"/>
                          <w:right w:val="single" w:sz="4" w:space="0" w:color="000000"/>
                        </w:tcBorders>
                      </w:tcPr>
                      <w:p>
                        <w:pPr/>
                      </w:p>
                    </w:tc>
                  </w:tr>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99.26%</w:t>
                        </w:r>
                      </w:p>
                    </w:tc>
                  </w:tr>
                  <w:tr>
                    <w:trPr>
                      <w:trHeight w:val="398"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31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8"/>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5722" w:hRule="exact"/>
                    </w:trPr>
                    <w:tc>
                      <w:tcPr>
                        <w:tcW w:w="3189" w:type="dxa"/>
                        <w:tcBorders>
                          <w:top w:val="single" w:sz="4" w:space="0" w:color="000000"/>
                          <w:left w:val="single" w:sz="4" w:space="0" w:color="000000"/>
                          <w:bottom w:val="nil" w:sz="6" w:space="0" w:color="auto"/>
                          <w:right w:val="single" w:sz="4" w:space="0" w:color="000000"/>
                        </w:tcBorders>
                        <w:shd w:val="clear" w:color="auto" w:fill="D4D4D4"/>
                      </w:tcPr>
                      <w:p>
                        <w:pPr/>
                      </w:p>
                    </w:tc>
                    <w:tc>
                      <w:tcPr>
                        <w:tcW w:w="3340" w:type="dxa"/>
                        <w:vMerge w:val="restart"/>
                        <w:tcBorders>
                          <w:top w:val="single" w:sz="4" w:space="0" w:color="000000"/>
                          <w:left w:val="single" w:sz="9" w:space="0" w:color="D4D4D4"/>
                          <w:right w:val="single" w:sz="1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36"/>
                          <w:jc w:val="left"/>
                          <w:rPr>
                            <w:rFonts w:ascii="宋体" w:hAnsi="宋体" w:cs="宋体" w:eastAsia="宋体" w:hint="default"/>
                            <w:sz w:val="18"/>
                            <w:szCs w:val="18"/>
                          </w:rPr>
                        </w:pPr>
                        <w:r>
                          <w:rPr>
                            <w:rFonts w:ascii="宋体" w:hAnsi="宋体" w:cs="宋体" w:eastAsia="宋体" w:hint="default"/>
                            <w:sz w:val="18"/>
                            <w:szCs w:val="18"/>
                          </w:rPr>
                          <w:t>财务报告内部控制缺陷定性标准具体如 下： </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、具有以下特征的缺陷，认定为重大缺陷：</w:t>
                        </w:r>
                        <w:r>
                          <w:rPr>
                            <w:rFonts w:ascii="宋体" w:hAnsi="宋体" w:cs="宋体" w:eastAsia="宋体" w:hint="default"/>
                            <w:sz w:val="18"/>
                            <w:szCs w:val="18"/>
                          </w:rPr>
                        </w:r>
                      </w:p>
                      <w:p>
                        <w:pPr>
                          <w:pStyle w:val="TableParagraph"/>
                          <w:spacing w:line="300" w:lineRule="auto"/>
                          <w:ind w:left="23" w:right="19"/>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）公司董事、监事和高级管理人员的舞</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弊行为；</w:t>
                        </w:r>
                      </w:p>
                      <w:p>
                        <w:pPr>
                          <w:pStyle w:val="TableParagraph"/>
                          <w:spacing w:line="300" w:lineRule="auto" w:before="72"/>
                          <w:ind w:left="23" w:right="19"/>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）对已经签发公告的财务报告出现的重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大差错进行错报更正；</w:t>
                        </w:r>
                      </w:p>
                      <w:p>
                        <w:pPr>
                          <w:pStyle w:val="TableParagraph"/>
                          <w:spacing w:line="300" w:lineRule="auto" w:before="31"/>
                          <w:ind w:left="23" w:right="19"/>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）当期财务报表存在重大错报，而内部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控制在运行过程中未能发现该错报；</w:t>
                        </w:r>
                      </w:p>
                      <w:p>
                        <w:pPr>
                          <w:pStyle w:val="TableParagraph"/>
                          <w:spacing w:line="300" w:lineRule="auto" w:before="31"/>
                          <w:ind w:left="23" w:right="19"/>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）审计委员会以及内部审计部门对财务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报告内部控制监督无效；</w:t>
                        </w:r>
                      </w:p>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）公司内部控制环境无效；</w:t>
                        </w:r>
                      </w:p>
                      <w:p>
                        <w:pPr>
                          <w:pStyle w:val="TableParagraph"/>
                          <w:spacing w:line="300" w:lineRule="auto" w:before="63"/>
                          <w:ind w:left="23" w:right="19"/>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）公司主要会计政策、会计估计变更或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会计差错更正事项未按规定披露的；</w:t>
                        </w:r>
                      </w:p>
                      <w:p>
                        <w:pPr>
                          <w:pStyle w:val="TableParagraph"/>
                          <w:spacing w:line="300" w:lineRule="auto" w:before="31"/>
                          <w:ind w:left="23" w:right="19"/>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7</w:t>
                        </w:r>
                        <w:r>
                          <w:rPr>
                            <w:rFonts w:ascii="宋体" w:hAnsi="宋体" w:cs="宋体" w:eastAsia="宋体" w:hint="default"/>
                            <w:spacing w:val="-4"/>
                            <w:sz w:val="18"/>
                            <w:szCs w:val="18"/>
                          </w:rPr>
                          <w:t>）公司合并财务报表范围信息披露不完</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整的；</w:t>
                        </w:r>
                      </w:p>
                      <w:p>
                        <w:pPr>
                          <w:pStyle w:val="TableParagraph"/>
                          <w:spacing w:line="300" w:lineRule="auto" w:before="70"/>
                          <w:ind w:left="23" w:right="13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）合并财务报表项目注释不充分完整 的。</w:t>
                        </w:r>
                      </w:p>
                      <w:p>
                        <w:pPr>
                          <w:pStyle w:val="TableParagraph"/>
                          <w:spacing w:line="300" w:lineRule="auto" w:before="72"/>
                          <w:ind w:left="23"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、具有以下特征的缺陷，认定为重要缺 陷：</w:t>
                        </w:r>
                      </w:p>
                      <w:p>
                        <w:pPr>
                          <w:pStyle w:val="TableParagraph"/>
                          <w:spacing w:line="300" w:lineRule="auto" w:before="72"/>
                          <w:ind w:left="23" w:right="19"/>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）未依照公认会计准则选择和应用会计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政策；</w:t>
                        </w:r>
                      </w:p>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）未建立反舞弊程序和控制措施；</w:t>
                        </w:r>
                      </w:p>
                      <w:p>
                        <w:pPr>
                          <w:pStyle w:val="TableParagraph"/>
                          <w:spacing w:line="309" w:lineRule="auto" w:before="63"/>
                          <w:ind w:left="23" w:right="19"/>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）对于非常规或特殊交易的账务处理没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有建立相应的控制机制或没有实施且没有 相应的补偿性控制；</w:t>
                        </w:r>
                      </w:p>
                      <w:p>
                        <w:pPr>
                          <w:pStyle w:val="TableParagraph"/>
                          <w:spacing w:line="309" w:lineRule="auto" w:before="24"/>
                          <w:ind w:left="23" w:right="19"/>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）对于期末财务报告过程的控制存在一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项或多项缺陷且不能合理保证编制的财务 报表达到真实、准确的目标。 </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、一般缺陷是指除上述重大缺陷、重要缺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陷之外的其他控制缺陷。</w:t>
                        </w:r>
                      </w:p>
                    </w:tc>
                    <w:tc>
                      <w:tcPr>
                        <w:tcW w:w="3040" w:type="dxa"/>
                        <w:vMerge w:val="restart"/>
                        <w:tcBorders>
                          <w:top w:val="single" w:sz="4" w:space="0" w:color="000000"/>
                          <w:left w:val="single" w:sz="14" w:space="0" w:color="FFFFFF"/>
                          <w:right w:val="single" w:sz="4" w:space="0" w:color="000000"/>
                        </w:tcBorders>
                      </w:tcPr>
                      <w:p>
                        <w:pPr>
                          <w:pStyle w:val="TableParagraph"/>
                          <w:spacing w:line="316" w:lineRule="auto" w:before="49"/>
                          <w:ind w:right="19"/>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性作判定。非财务报告的定性标准具体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如下：</w:t>
                        </w:r>
                      </w:p>
                      <w:p>
                        <w:pPr>
                          <w:pStyle w:val="TableParagraph"/>
                          <w:spacing w:line="314" w:lineRule="auto" w:before="19"/>
                          <w:ind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、重大缺陷的认定标准： </w:t>
                        </w:r>
                        <w:r>
                          <w:rPr>
                            <w:rFonts w:ascii="宋体" w:hAnsi="宋体" w:cs="宋体" w:eastAsia="宋体" w:hint="default"/>
                            <w:spacing w:val="-4"/>
                            <w:sz w:val="18"/>
                            <w:szCs w:val="18"/>
                          </w:rPr>
                          <w:t>如果缺陷发生的可能性高，会严重降低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工作效率或效果、或严重加大效果的不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确定性、或使之严重偏离预期目标为重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大缺陷。具有以下特征的缺陷，认定为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重大缺陷：</w:t>
                        </w:r>
                      </w:p>
                      <w:p>
                        <w:pPr>
                          <w:pStyle w:val="TableParagraph"/>
                          <w:spacing w:line="300" w:lineRule="auto" w:before="20"/>
                          <w:ind w:right="4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）公司经营活动严重违反国家法律 法规；</w:t>
                        </w:r>
                      </w:p>
                      <w:p>
                        <w:pPr>
                          <w:pStyle w:val="TableParagraph"/>
                          <w:spacing w:line="300" w:lineRule="auto" w:before="72"/>
                          <w:ind w:right="4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）媒体负面新闻频频曝光，对公司 声誉造成重大损害；</w:t>
                        </w:r>
                      </w:p>
                      <w:p>
                        <w:pPr>
                          <w:pStyle w:val="TableParagraph"/>
                          <w:spacing w:line="300" w:lineRule="auto" w:before="31"/>
                          <w:ind w:right="4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）中高级管理人员和高级技术人员 严重流失；</w:t>
                        </w:r>
                      </w:p>
                      <w:p>
                        <w:pPr>
                          <w:pStyle w:val="TableParagraph"/>
                          <w:spacing w:line="300" w:lineRule="auto" w:before="70"/>
                          <w:ind w:right="4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）重要业务缺乏制度控制或制度系 统性失效；</w:t>
                        </w:r>
                      </w:p>
                      <w:p>
                        <w:pPr>
                          <w:pStyle w:val="TableParagraph"/>
                          <w:spacing w:line="300" w:lineRule="auto" w:before="72"/>
                          <w:ind w:right="4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）内部控制评价的结果特别是重大 缺陷或重要缺陷未得到整改；</w:t>
                        </w:r>
                      </w:p>
                      <w:p>
                        <w:pPr>
                          <w:pStyle w:val="TableParagraph"/>
                          <w:spacing w:line="312" w:lineRule="auto" w:before="31"/>
                          <w:ind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）企业决策程序不科学，如重大决 策失误，给公司造成重大财产损失。 </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、重要缺陷的认定标准： </w:t>
                        </w:r>
                        <w:r>
                          <w:rPr>
                            <w:rFonts w:ascii="宋体" w:hAnsi="宋体" w:cs="宋体" w:eastAsia="宋体" w:hint="default"/>
                            <w:spacing w:val="-4"/>
                            <w:sz w:val="18"/>
                            <w:szCs w:val="18"/>
                          </w:rPr>
                          <w:t>如果缺陷发生的可能性较高，会显著降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低工作效率或效果、或显著加大效果的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不确定性、或使之显著偏离预期目标为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重要缺陷。具有以下特征的缺陷，认定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为重要缺陷：</w:t>
                        </w:r>
                      </w:p>
                      <w:p>
                        <w:pPr>
                          <w:pStyle w:val="TableParagraph"/>
                          <w:spacing w:line="300" w:lineRule="auto" w:before="22"/>
                          <w:ind w:right="4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）公司违反国家法律法规受到轻微 处罚；</w:t>
                        </w:r>
                      </w:p>
                      <w:p>
                        <w:pPr>
                          <w:pStyle w:val="TableParagraph"/>
                          <w:spacing w:line="240" w:lineRule="auto" w:before="72"/>
                          <w:ind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）关键岗位业务人员流失严重；</w:t>
                        </w:r>
                      </w:p>
                      <w:p>
                        <w:pPr>
                          <w:pStyle w:val="TableParagraph"/>
                          <w:spacing w:line="300" w:lineRule="auto" w:before="63"/>
                          <w:ind w:right="4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）媒体出现负面新闻，波及局部区 域；</w:t>
                        </w:r>
                      </w:p>
                      <w:p>
                        <w:pPr>
                          <w:pStyle w:val="TableParagraph"/>
                          <w:spacing w:line="300" w:lineRule="auto" w:before="70"/>
                          <w:ind w:right="4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）重要业务制度控制或系统存在缺 陷；</w:t>
                        </w:r>
                      </w:p>
                      <w:p>
                        <w:pPr>
                          <w:pStyle w:val="TableParagraph"/>
                          <w:spacing w:line="240" w:lineRule="auto" w:before="72"/>
                          <w:ind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）内部控制重要缺陷未得到整改；</w:t>
                        </w:r>
                      </w:p>
                      <w:p>
                        <w:pPr>
                          <w:pStyle w:val="TableParagraph"/>
                          <w:spacing w:line="240" w:lineRule="auto" w:before="63"/>
                          <w:ind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）公司决策程序导致出现一般失误</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0" w:type="dxa"/>
                        <w:vMerge/>
                        <w:tcBorders>
                          <w:left w:val="single" w:sz="9" w:space="0" w:color="D4D4D4"/>
                          <w:right w:val="single" w:sz="14" w:space="0" w:color="FFFFFF"/>
                        </w:tcBorders>
                      </w:tcPr>
                      <w:p>
                        <w:pPr/>
                      </w:p>
                    </w:tc>
                    <w:tc>
                      <w:tcPr>
                        <w:tcW w:w="3040" w:type="dxa"/>
                        <w:vMerge/>
                        <w:tcBorders>
                          <w:left w:val="single" w:sz="14" w:space="0" w:color="FFFFFF"/>
                          <w:right w:val="single" w:sz="4" w:space="0" w:color="000000"/>
                        </w:tcBorders>
                      </w:tcPr>
                      <w:p>
                        <w:pPr/>
                      </w:p>
                    </w:tc>
                  </w:tr>
                  <w:tr>
                    <w:trPr>
                      <w:trHeight w:val="5722" w:hRule="exact"/>
                    </w:trPr>
                    <w:tc>
                      <w:tcPr>
                        <w:tcW w:w="3189" w:type="dxa"/>
                        <w:tcBorders>
                          <w:top w:val="nil" w:sz="6" w:space="0" w:color="auto"/>
                          <w:left w:val="single" w:sz="4" w:space="0" w:color="000000"/>
                          <w:bottom w:val="single" w:sz="4" w:space="0" w:color="000000"/>
                          <w:right w:val="single" w:sz="4" w:space="0" w:color="000000"/>
                        </w:tcBorders>
                        <w:shd w:val="clear" w:color="auto" w:fill="D4D4D4"/>
                      </w:tcPr>
                      <w:p>
                        <w:pPr/>
                      </w:p>
                    </w:tc>
                    <w:tc>
                      <w:tcPr>
                        <w:tcW w:w="3340" w:type="dxa"/>
                        <w:vMerge/>
                        <w:tcBorders>
                          <w:left w:val="single" w:sz="9" w:space="0" w:color="D4D4D4"/>
                          <w:bottom w:val="single" w:sz="4" w:space="0" w:color="000000"/>
                          <w:right w:val="single" w:sz="14" w:space="0" w:color="FFFFFF"/>
                        </w:tcBorders>
                      </w:tcPr>
                      <w:p>
                        <w:pPr/>
                      </w:p>
                    </w:tc>
                    <w:tc>
                      <w:tcPr>
                        <w:tcW w:w="3040" w:type="dxa"/>
                        <w:vMerge/>
                        <w:tcBorders>
                          <w:left w:val="single" w:sz="14" w:space="0" w:color="FFFFFF"/>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line="312" w:lineRule="exact"/>
        <w:ind w:left="6700"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65pt;height:15.6pt;mso-position-horizontal-relative:char;mso-position-vertical-relative:line" coordorigin="0,0" coordsize="2993,312">
            <v:group style="position:absolute;left:0;top:0;width:2993;height:312" coordorigin="0,0" coordsize="2993,312">
              <v:shape style="position:absolute;left:0;top:0;width:2993;height:312" coordorigin="0,0" coordsize="2993,312" path="m0,312l2993,312,2993,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spacing w:before="0"/>
        <w:ind w:left="0" w:right="16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44"/>
        <w:ind w:left="0" w:right="160" w:firstLine="0"/>
        <w:jc w:val="right"/>
        <w:rPr>
          <w:rFonts w:ascii="宋体" w:hAnsi="宋体" w:cs="宋体" w:eastAsia="宋体" w:hint="default"/>
          <w:sz w:val="18"/>
          <w:szCs w:val="18"/>
        </w:rPr>
      </w:pPr>
      <w:r>
        <w:rPr/>
        <w:pict>
          <v:shape style="position:absolute;margin-left:56.459999pt;margin-top:-176.2883pt;width:479.1pt;height:597.1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3"/>
                    <w:gridCol w:w="3322"/>
                    <w:gridCol w:w="3053"/>
                  </w:tblGrid>
                  <w:tr>
                    <w:trPr>
                      <w:trHeight w:val="4889"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22"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6"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、一般缺陷的认定标准： </w:t>
                        </w:r>
                        <w:r>
                          <w:rPr>
                            <w:rFonts w:ascii="宋体" w:hAnsi="宋体" w:cs="宋体" w:eastAsia="宋体" w:hint="default"/>
                            <w:spacing w:val="-4"/>
                            <w:sz w:val="18"/>
                            <w:szCs w:val="18"/>
                          </w:rPr>
                          <w:t>如果缺陷发生的可能性较小，会降低工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作效率或效果、或加大效果的不确定 性、或使之偏离预期目标为一般缺陷。 具有以下特征的缺陷，认定为一般缺 陷：</w:t>
                        </w:r>
                      </w:p>
                      <w:p>
                        <w:pPr>
                          <w:pStyle w:val="TableParagraph"/>
                          <w:spacing w:line="240" w:lineRule="auto" w:before="61"/>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）公司决策程序效率不高；</w:t>
                        </w:r>
                      </w:p>
                      <w:p>
                        <w:pPr>
                          <w:pStyle w:val="TableParagraph"/>
                          <w:spacing w:line="300" w:lineRule="auto" w:before="63"/>
                          <w:ind w:left="26" w:right="4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）公司违反内部规章，但未形成损 失；</w:t>
                        </w:r>
                      </w:p>
                      <w:p>
                        <w:pPr>
                          <w:pStyle w:val="TableParagraph"/>
                          <w:spacing w:line="300" w:lineRule="auto" w:before="70"/>
                          <w:ind w:left="26" w:right="134" w:firstLine="9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）公司一般岗位业务人员流失严 重；</w:t>
                        </w:r>
                      </w:p>
                      <w:p>
                        <w:pPr>
                          <w:pStyle w:val="TableParagraph"/>
                          <w:spacing w:line="240" w:lineRule="auto" w:before="72"/>
                          <w:ind w:left="26"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）媒体出现负面新闻，但影响不大</w:t>
                        </w:r>
                      </w:p>
                      <w:p>
                        <w:pPr>
                          <w:pStyle w:val="TableParagraph"/>
                          <w:spacing w:line="300" w:lineRule="auto" w:before="63"/>
                          <w:ind w:left="26" w:right="4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）公司一般业务制度或系统存在缺 陷；</w:t>
                        </w:r>
                      </w:p>
                      <w:p>
                        <w:pPr>
                          <w:pStyle w:val="TableParagraph"/>
                          <w:spacing w:line="240" w:lineRule="auto" w:before="72"/>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）公司一般缺陷未得到整改。</w:t>
                        </w:r>
                      </w:p>
                    </w:tc>
                  </w:tr>
                  <w:tr>
                    <w:trPr>
                      <w:trHeight w:val="5436"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227"/>
                          <w:jc w:val="left"/>
                          <w:rPr>
                            <w:rFonts w:ascii="宋体" w:hAnsi="宋体" w:cs="宋体" w:eastAsia="宋体" w:hint="default"/>
                            <w:sz w:val="18"/>
                            <w:szCs w:val="18"/>
                          </w:rPr>
                        </w:pPr>
                        <w:r>
                          <w:rPr>
                            <w:rFonts w:ascii="宋体" w:hAnsi="宋体" w:cs="宋体" w:eastAsia="宋体" w:hint="default"/>
                            <w:sz w:val="18"/>
                            <w:szCs w:val="18"/>
                          </w:rPr>
                          <w:t>财务报告内部控制缺陷定量标准具体如 下：</w:t>
                        </w:r>
                      </w:p>
                      <w:p>
                        <w:pPr>
                          <w:pStyle w:val="TableParagraph"/>
                          <w:spacing w:line="309" w:lineRule="auto" w:before="1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、重大缺陷的认定标准： 当一个或一组内控缺陷的存在，有合理的 可能性导致无法及时地预防或发现财务报 告中出现大于公司年度税前利润的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的 错报时，被认定为重大缺陷； </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、重要缺陷的认定标准： 当一个或一组内控缺陷的存在，有合理的 可能性导致无法及时地预防或发现财务报 告中出现小于公司年度税前利润的</w:t>
                        </w:r>
                        <w:r>
                          <w:rPr>
                            <w:rFonts w:ascii="宋体" w:hAnsi="宋体" w:cs="宋体" w:eastAsia="宋体" w:hint="default"/>
                            <w:spacing w:val="-45"/>
                            <w:sz w:val="18"/>
                            <w:szCs w:val="18"/>
                          </w:rPr>
                          <w:t> </w:t>
                        </w:r>
                        <w:r>
                          <w:rPr>
                            <w:rFonts w:ascii="Times New Roman" w:hAnsi="Times New Roman" w:cs="Times New Roman" w:eastAsia="Times New Roman" w:hint="default"/>
                            <w:spacing w:val="-39"/>
                            <w:sz w:val="18"/>
                            <w:szCs w:val="18"/>
                          </w:rPr>
                          <w:t>6%</w:t>
                        </w:r>
                        <w:r>
                          <w:rPr>
                            <w:rFonts w:ascii="宋体" w:hAnsi="宋体" w:cs="宋体" w:eastAsia="宋体" w:hint="default"/>
                            <w:spacing w:val="-39"/>
                            <w:sz w:val="18"/>
                            <w:szCs w:val="18"/>
                          </w:rPr>
                          <w:t>，但</w:t>
                        </w:r>
                        <w:r>
                          <w:rPr>
                            <w:rFonts w:ascii="宋体" w:hAnsi="宋体" w:cs="宋体" w:eastAsia="宋体" w:hint="default"/>
                            <w:spacing w:val="-77"/>
                            <w:sz w:val="18"/>
                            <w:szCs w:val="18"/>
                          </w:rPr>
                          <w:t> </w:t>
                        </w:r>
                        <w:r>
                          <w:rPr>
                            <w:rFonts w:ascii="宋体" w:hAnsi="宋体" w:cs="宋体" w:eastAsia="宋体" w:hint="default"/>
                            <w:sz w:val="18"/>
                            <w:szCs w:val="18"/>
                          </w:rPr>
                          <w:t>大于公司年度税前利润的</w:t>
                        </w:r>
                        <w:r>
                          <w:rPr>
                            <w:rFonts w:ascii="宋体" w:hAnsi="宋体" w:cs="宋体" w:eastAsia="宋体" w:hint="default"/>
                            <w:spacing w:val="-44"/>
                            <w:sz w:val="18"/>
                            <w:szCs w:val="18"/>
                          </w:rPr>
                          <w:t> </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的错报时，被</w:t>
                        </w:r>
                        <w:r>
                          <w:rPr>
                            <w:rFonts w:ascii="宋体" w:hAnsi="宋体" w:cs="宋体" w:eastAsia="宋体" w:hint="default"/>
                            <w:sz w:val="18"/>
                            <w:szCs w:val="18"/>
                          </w:rPr>
                          <w:t> 认定为重要缺陷； </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、一般缺陷的认定标准： 对不构成重大缺陷和重要缺陷之外的其他 缺陷，可能导致的错报小于公司年度税前 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，会被视为一般缺陷。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6" w:right="19"/>
                          <w:jc w:val="left"/>
                          <w:rPr>
                            <w:rFonts w:ascii="宋体" w:hAnsi="宋体" w:cs="宋体" w:eastAsia="宋体" w:hint="default"/>
                            <w:sz w:val="18"/>
                            <w:szCs w:val="18"/>
                          </w:rPr>
                        </w:pPr>
                        <w:r>
                          <w:rPr>
                            <w:rFonts w:ascii="宋体" w:hAnsi="宋体" w:cs="宋体" w:eastAsia="宋体" w:hint="default"/>
                            <w:sz w:val="18"/>
                            <w:szCs w:val="18"/>
                          </w:rPr>
                          <w:t>非财务报告的定量标准具体如下： </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、重大缺陷的认定标准： </w:t>
                        </w:r>
                        <w:r>
                          <w:rPr>
                            <w:rFonts w:ascii="宋体" w:hAnsi="宋体" w:cs="宋体" w:eastAsia="宋体" w:hint="default"/>
                            <w:spacing w:val="-4"/>
                            <w:sz w:val="18"/>
                            <w:szCs w:val="18"/>
                          </w:rPr>
                          <w:t>当一个或一组内控缺陷的存在，有合理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的可能性导致造成公司直接财产损失 大于公司资产总额的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宋体" w:hAnsi="宋体" w:cs="宋体" w:eastAsia="宋体" w:hint="default"/>
                            <w:sz w:val="18"/>
                            <w:szCs w:val="18"/>
                          </w:rPr>
                          <w:t>％时，被认定 为重大缺陷； </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、重要缺陷的认定标准： </w:t>
                        </w:r>
                        <w:r>
                          <w:rPr>
                            <w:rFonts w:ascii="宋体" w:hAnsi="宋体" w:cs="宋体" w:eastAsia="宋体" w:hint="default"/>
                            <w:spacing w:val="-4"/>
                            <w:sz w:val="18"/>
                            <w:szCs w:val="18"/>
                          </w:rPr>
                          <w:t>当一个或一组内控缺陷的存在，有合理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的可能性导致造成公司直接财产损失 大于公司资产总额的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％，但小于公 司资产总额的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宋体" w:hAnsi="宋体" w:cs="宋体" w:eastAsia="宋体" w:hint="default"/>
                            <w:sz w:val="18"/>
                            <w:szCs w:val="18"/>
                          </w:rPr>
                          <w:t>％时，被认定为重要 缺陷；</w:t>
                        </w:r>
                      </w:p>
                      <w:p>
                        <w:pPr>
                          <w:pStyle w:val="TableParagraph"/>
                          <w:spacing w:line="309" w:lineRule="auto" w:before="65"/>
                          <w:ind w:left="26"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、一般缺陷的认定标准： 对不构成重大缺陷和重要缺陷之外的 </w:t>
                        </w:r>
                        <w:r>
                          <w:rPr>
                            <w:rFonts w:ascii="宋体" w:hAnsi="宋体" w:cs="宋体" w:eastAsia="宋体" w:hint="default"/>
                            <w:spacing w:val="-4"/>
                            <w:sz w:val="18"/>
                            <w:szCs w:val="18"/>
                          </w:rPr>
                          <w:t>其他缺陷，可能导致的直接财产损失小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于公司年度资产总额的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，会被视 为一般缺陷。</w:t>
                        </w: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bookmarkStart w:name="十、内部控制审计报告或鉴证报告" w:id="141"/>
      <w:bookmarkEnd w:id="141"/>
      <w:r>
        <w:rPr/>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Heading4"/>
        <w:spacing w:line="240" w:lineRule="auto" w:before="26"/>
        <w:ind w:right="0"/>
        <w:jc w:val="left"/>
        <w:rPr>
          <w:b w:val="0"/>
          <w:bCs w:val="0"/>
        </w:rPr>
      </w:pPr>
      <w:r>
        <w:rPr/>
        <w:t>十、内部控制审计报告或鉴证报告</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750" w:right="3850"/>
        <w:jc w:val="center"/>
        <w:rPr>
          <w:b w:val="0"/>
          <w:bCs w:val="0"/>
        </w:rPr>
      </w:pPr>
      <w:bookmarkStart w:name="_TOC_250001" w:id="142"/>
      <w:bookmarkStart w:name="第十节 财务报告" w:id="143"/>
      <w:r>
        <w:rPr>
          <w:b w:val="0"/>
          <w:bCs w:val="0"/>
        </w:rPr>
      </w:r>
      <w:r>
        <w:rPr/>
        <w:t>第十节</w:t>
      </w:r>
      <w:r>
        <w:rPr>
          <w:spacing w:val="-4"/>
        </w:rPr>
        <w:t> </w:t>
      </w:r>
      <w:r>
        <w:rPr/>
        <w:t>财务报告</w:t>
      </w:r>
      <w:bookmarkEnd w:id="14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4"/>
        <w:spacing w:line="240" w:lineRule="auto" w:before="26"/>
        <w:ind w:right="102"/>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bookmarkStart w:name="一、审计报告" w:id="144"/>
            <w:bookmarkEnd w:id="144"/>
            <w:r>
              <w:rPr/>
            </w:r>
            <w:r>
              <w:rPr>
                <w:rFonts w:ascii="宋体" w:hAnsi="宋体" w:cs="宋体" w:eastAsia="宋体" w:hint="default"/>
                <w:sz w:val="18"/>
                <w:szCs w:val="18"/>
              </w:rPr>
              <w:t>标准无保留审计意见</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110621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朱育勤、张洪</w:t>
            </w:r>
          </w:p>
        </w:tc>
      </w:tr>
    </w:tbl>
    <w:p>
      <w:pPr>
        <w:spacing w:before="49"/>
        <w:ind w:left="3750" w:right="3850"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9"/>
        <w:rPr>
          <w:rFonts w:ascii="宋体" w:hAnsi="宋体" w:cs="宋体" w:eastAsia="宋体" w:hint="default"/>
          <w:sz w:val="14"/>
          <w:szCs w:val="14"/>
        </w:rPr>
      </w:pPr>
    </w:p>
    <w:p>
      <w:pPr>
        <w:spacing w:line="408" w:lineRule="auto" w:before="0"/>
        <w:ind w:left="711" w:right="102" w:hanging="560"/>
        <w:jc w:val="left"/>
        <w:rPr>
          <w:rFonts w:ascii="宋体" w:hAnsi="宋体" w:cs="宋体" w:eastAsia="宋体" w:hint="default"/>
          <w:sz w:val="28"/>
          <w:szCs w:val="28"/>
        </w:rPr>
      </w:pPr>
      <w:r>
        <w:rPr>
          <w:rFonts w:ascii="宋体" w:hAnsi="宋体" w:cs="宋体" w:eastAsia="宋体" w:hint="default"/>
          <w:b/>
          <w:bCs/>
          <w:sz w:val="28"/>
          <w:szCs w:val="28"/>
        </w:rPr>
        <w:t>上海天玑科技股份有限公司全体股东：</w:t>
      </w:r>
      <w:r>
        <w:rPr>
          <w:rFonts w:ascii="宋体" w:hAnsi="宋体" w:cs="宋体" w:eastAsia="宋体" w:hint="default"/>
          <w:b/>
          <w:bCs/>
          <w:w w:val="99"/>
          <w:sz w:val="28"/>
          <w:szCs w:val="28"/>
        </w:rPr>
        <w:t> </w:t>
      </w:r>
      <w:r>
        <w:rPr>
          <w:rFonts w:ascii="宋体" w:hAnsi="宋体" w:cs="宋体" w:eastAsia="宋体" w:hint="default"/>
          <w:spacing w:val="2"/>
          <w:sz w:val="28"/>
          <w:szCs w:val="28"/>
        </w:rPr>
        <w:t>我们审计了后附的上海天玑科技股份有限公司（以下简称贵公司）的财务</w:t>
      </w:r>
    </w:p>
    <w:p>
      <w:pPr>
        <w:pStyle w:val="Heading3"/>
        <w:spacing w:line="398" w:lineRule="auto"/>
        <w:ind w:left="153" w:right="250" w:hanging="1"/>
        <w:jc w:val="both"/>
      </w:pPr>
      <w:r>
        <w:rPr/>
        <w:t>报表，包括</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日的合并及公司资产负债表、</w:t>
      </w:r>
      <w:r>
        <w:rPr>
          <w:rFonts w:ascii="Times New Roman" w:hAnsi="Times New Roman" w:cs="Times New Roman" w:eastAsia="Times New Roman" w:hint="default"/>
        </w:rPr>
        <w:t>2015</w:t>
      </w:r>
      <w:r>
        <w:rPr/>
        <w:t>年度的合并及公司</w:t>
      </w:r>
      <w:r>
        <w:rPr>
          <w:spacing w:val="-42"/>
        </w:rPr>
        <w:t> </w:t>
      </w:r>
      <w:r>
        <w:rPr>
          <w:spacing w:val="-42"/>
        </w:rPr>
      </w:r>
      <w:r>
        <w:rPr>
          <w:spacing w:val="2"/>
        </w:rPr>
        <w:t>利润表、合并及公司现金流量表、合并及公司所有者权益变动表以及财务报表</w:t>
      </w:r>
      <w:r>
        <w:rPr>
          <w:spacing w:val="-107"/>
        </w:rPr>
        <w:t> </w:t>
      </w:r>
      <w:r>
        <w:rPr>
          <w:spacing w:val="-107"/>
        </w:rPr>
      </w:r>
      <w:r>
        <w:rPr/>
        <w:t>附注。</w:t>
      </w:r>
    </w:p>
    <w:p>
      <w:pPr>
        <w:spacing w:line="408" w:lineRule="auto" w:before="73"/>
        <w:ind w:left="711" w:right="102" w:hanging="560"/>
        <w:jc w:val="left"/>
        <w:rPr>
          <w:rFonts w:ascii="宋体" w:hAnsi="宋体" w:cs="宋体" w:eastAsia="宋体" w:hint="default"/>
          <w:sz w:val="28"/>
          <w:szCs w:val="28"/>
        </w:rPr>
      </w:pPr>
      <w:r>
        <w:rPr>
          <w:rFonts w:ascii="宋体" w:hAnsi="宋体" w:cs="宋体" w:eastAsia="宋体" w:hint="default"/>
          <w:b/>
          <w:bCs/>
          <w:sz w:val="28"/>
          <w:szCs w:val="28"/>
        </w:rPr>
        <w:t>一、管理层对财务报表的责任</w:t>
      </w:r>
      <w:r>
        <w:rPr>
          <w:rFonts w:ascii="宋体" w:hAnsi="宋体" w:cs="宋体" w:eastAsia="宋体" w:hint="default"/>
          <w:b/>
          <w:bCs/>
          <w:w w:val="99"/>
          <w:sz w:val="28"/>
          <w:szCs w:val="28"/>
        </w:rPr>
        <w:t> </w:t>
      </w:r>
      <w:r>
        <w:rPr>
          <w:rFonts w:ascii="宋体" w:hAnsi="宋体" w:cs="宋体" w:eastAsia="宋体" w:hint="default"/>
          <w:spacing w:val="-2"/>
          <w:sz w:val="28"/>
          <w:szCs w:val="28"/>
        </w:rPr>
        <w:t>编制和公允列报财务报表是贵公司管理层的责任。这种责任包括：（</w:t>
      </w:r>
      <w:r>
        <w:rPr>
          <w:rFonts w:ascii="Times New Roman" w:hAnsi="Times New Roman" w:cs="Times New Roman" w:eastAsia="Times New Roman" w:hint="default"/>
          <w:spacing w:val="-2"/>
          <w:sz w:val="28"/>
          <w:szCs w:val="28"/>
        </w:rPr>
        <w:t>1</w:t>
      </w:r>
      <w:r>
        <w:rPr>
          <w:rFonts w:ascii="宋体" w:hAnsi="宋体" w:cs="宋体" w:eastAsia="宋体" w:hint="default"/>
          <w:spacing w:val="-2"/>
          <w:sz w:val="28"/>
          <w:szCs w:val="28"/>
        </w:rPr>
        <w:t>）按</w:t>
      </w:r>
      <w:r>
        <w:rPr>
          <w:rFonts w:ascii="宋体" w:hAnsi="宋体" w:cs="宋体" w:eastAsia="宋体" w:hint="default"/>
          <w:sz w:val="28"/>
          <w:szCs w:val="28"/>
        </w:rPr>
      </w:r>
    </w:p>
    <w:p>
      <w:pPr>
        <w:pStyle w:val="Heading3"/>
        <w:spacing w:line="398" w:lineRule="auto" w:before="19"/>
        <w:ind w:right="102" w:firstLine="0"/>
        <w:jc w:val="left"/>
        <w:rPr>
          <w:rFonts w:ascii="宋体" w:hAnsi="宋体" w:cs="宋体" w:eastAsia="宋体" w:hint="default"/>
        </w:rPr>
      </w:pPr>
      <w:r>
        <w:rPr/>
        <w:t>照企业会计准则的规定编制财务报表，并使其实现公允反映；（</w:t>
      </w:r>
      <w:r>
        <w:rPr>
          <w:rFonts w:ascii="Times New Roman" w:hAnsi="Times New Roman" w:cs="Times New Roman" w:eastAsia="Times New Roman" w:hint="default"/>
        </w:rPr>
        <w:t>2</w:t>
      </w:r>
      <w:r>
        <w:rPr/>
        <w:t>）设计、执行</w:t>
      </w:r>
      <w:r>
        <w:rPr>
          <w:w w:val="100"/>
        </w:rPr>
        <w:t> </w:t>
      </w:r>
      <w:r>
        <w:rPr>
          <w:spacing w:val="-2"/>
        </w:rPr>
        <w:t>和维护必要的内部控制，以使财务报表不存在由于舞弊或错误导致的重大错报。</w:t>
      </w:r>
      <w:r>
        <w:rPr>
          <w:spacing w:val="-100"/>
        </w:rPr>
        <w:t> </w:t>
      </w:r>
      <w:r>
        <w:rPr>
          <w:spacing w:val="-100"/>
        </w:rPr>
      </w:r>
      <w:r>
        <w:rPr>
          <w:rFonts w:ascii="宋体" w:hAnsi="宋体" w:cs="宋体" w:eastAsia="宋体" w:hint="default"/>
          <w:b/>
          <w:bCs/>
        </w:rPr>
        <w:t>二、注册会计师的责任</w:t>
      </w:r>
      <w:r>
        <w:rPr>
          <w:rFonts w:ascii="宋体" w:hAnsi="宋体" w:cs="宋体" w:eastAsia="宋体" w:hint="default"/>
        </w:rPr>
      </w:r>
    </w:p>
    <w:p>
      <w:pPr>
        <w:pStyle w:val="Heading3"/>
        <w:spacing w:line="408" w:lineRule="auto" w:before="72"/>
        <w:ind w:right="251"/>
        <w:jc w:val="both"/>
      </w:pPr>
      <w:r>
        <w:rPr>
          <w:spacing w:val="2"/>
        </w:rPr>
        <w:t>我们的责任是在执行审计工作的基础上对财务报表发表审计意见。我们按</w:t>
      </w:r>
      <w:r>
        <w:rPr>
          <w:w w:val="100"/>
        </w:rPr>
        <w:t> </w:t>
      </w:r>
      <w:r>
        <w:rPr>
          <w:spacing w:val="2"/>
        </w:rPr>
        <w:t>照中国注册会计师审计准则的规定执行了审计工作。中国注册会计师审计准则</w:t>
      </w:r>
      <w:r>
        <w:rPr>
          <w:spacing w:val="-106"/>
        </w:rPr>
        <w:t> </w:t>
      </w:r>
      <w:r>
        <w:rPr>
          <w:spacing w:val="-106"/>
        </w:rPr>
      </w:r>
      <w:r>
        <w:rPr>
          <w:spacing w:val="2"/>
        </w:rPr>
        <w:t>要求我们遵守中国注册会计师职业道德守则，计划和执行审计工作以对财务报</w:t>
      </w:r>
      <w:r>
        <w:rPr>
          <w:spacing w:val="-106"/>
        </w:rPr>
        <w:t> </w:t>
      </w:r>
      <w:r>
        <w:rPr>
          <w:spacing w:val="-106"/>
        </w:rPr>
      </w:r>
      <w:r>
        <w:rPr/>
        <w:t>表是否不存在重大错报获取合理保证。</w:t>
      </w:r>
    </w:p>
    <w:p>
      <w:pPr>
        <w:spacing w:after="0" w:line="408" w:lineRule="auto"/>
        <w:jc w:val="both"/>
        <w:sectPr>
          <w:pgSz w:w="11910" w:h="16840"/>
          <w:pgMar w:header="745" w:footer="982" w:top="1060" w:bottom="1180" w:left="980" w:right="8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3"/>
        <w:spacing w:line="408" w:lineRule="auto" w:before="14"/>
        <w:ind w:right="102"/>
        <w:jc w:val="left"/>
      </w:pPr>
      <w:r>
        <w:rPr>
          <w:spacing w:val="-2"/>
        </w:rPr>
        <w:t>审计工作涉及实施审计程序，以获取有关财务报表金额和披露的审计证据。</w:t>
      </w:r>
      <w:r>
        <w:rPr>
          <w:w w:val="100"/>
        </w:rPr>
        <w:t> </w:t>
      </w:r>
      <w:r>
        <w:rPr>
          <w:spacing w:val="2"/>
        </w:rPr>
        <w:t>选择的审计程序取决于注册会计师的判断，包括对由于舞弊或错误导致的财务</w:t>
      </w:r>
      <w:r>
        <w:rPr>
          <w:spacing w:val="-106"/>
        </w:rPr>
        <w:t> </w:t>
      </w:r>
      <w:r>
        <w:rPr>
          <w:spacing w:val="-106"/>
        </w:rPr>
      </w:r>
      <w:r>
        <w:rPr>
          <w:spacing w:val="2"/>
        </w:rPr>
        <w:t>报表重大错报风险的评估。在进行风险评估时，注册会计师考虑与财务报表编</w:t>
      </w:r>
      <w:r>
        <w:rPr>
          <w:spacing w:val="-108"/>
        </w:rPr>
        <w:t> </w:t>
      </w:r>
      <w:r>
        <w:rPr>
          <w:spacing w:val="-108"/>
        </w:rPr>
      </w:r>
      <w:r>
        <w:rPr>
          <w:spacing w:val="2"/>
        </w:rPr>
        <w:t>制和公允列报相关的内部控制，以设计恰当的审计程序，但目的并非对内部控</w:t>
      </w:r>
      <w:r>
        <w:rPr>
          <w:spacing w:val="-106"/>
        </w:rPr>
        <w:t> </w:t>
      </w:r>
      <w:r>
        <w:rPr>
          <w:spacing w:val="-106"/>
        </w:rPr>
      </w:r>
      <w:r>
        <w:rPr>
          <w:spacing w:val="2"/>
        </w:rPr>
        <w:t>制的有效性发表意见。审计工作还包括评价管理层选用会计政策的恰当性和作</w:t>
      </w:r>
      <w:r>
        <w:rPr>
          <w:spacing w:val="-106"/>
        </w:rPr>
        <w:t> </w:t>
      </w:r>
      <w:r>
        <w:rPr>
          <w:spacing w:val="-106"/>
        </w:rPr>
      </w:r>
      <w:r>
        <w:rPr/>
        <w:t>出会计估计的合理性，以及评价财务报表的总体列报。</w:t>
      </w:r>
    </w:p>
    <w:p>
      <w:pPr>
        <w:pStyle w:val="Heading3"/>
        <w:spacing w:line="408" w:lineRule="auto"/>
        <w:ind w:right="102"/>
        <w:jc w:val="left"/>
      </w:pPr>
      <w:r>
        <w:rPr>
          <w:spacing w:val="2"/>
        </w:rPr>
        <w:t>我们相信，我们获取的审计证据是充分、适当的，为发表审计意见提供了</w:t>
      </w:r>
      <w:r>
        <w:rPr>
          <w:w w:val="100"/>
        </w:rPr>
        <w:t> </w:t>
      </w:r>
      <w:r>
        <w:rPr/>
        <w:t>基础。</w:t>
      </w:r>
    </w:p>
    <w:p>
      <w:pPr>
        <w:pStyle w:val="Heading2"/>
        <w:spacing w:line="240" w:lineRule="auto" w:before="62"/>
        <w:ind w:right="102"/>
        <w:jc w:val="left"/>
        <w:rPr>
          <w:b w:val="0"/>
          <w:bCs w:val="0"/>
        </w:rPr>
      </w:pPr>
      <w:r>
        <w:rPr/>
        <w:t>三、审计意见</w:t>
      </w:r>
      <w:r>
        <w:rPr>
          <w:b w:val="0"/>
          <w:bCs w:val="0"/>
        </w:rPr>
      </w:r>
    </w:p>
    <w:p>
      <w:pPr>
        <w:spacing w:line="240" w:lineRule="auto" w:before="9"/>
        <w:rPr>
          <w:rFonts w:ascii="宋体" w:hAnsi="宋体" w:cs="宋体" w:eastAsia="宋体" w:hint="default"/>
          <w:b/>
          <w:bCs/>
          <w:sz w:val="19"/>
          <w:szCs w:val="19"/>
        </w:rPr>
      </w:pPr>
    </w:p>
    <w:p>
      <w:pPr>
        <w:pStyle w:val="Heading3"/>
        <w:spacing w:line="398" w:lineRule="auto" w:before="0"/>
        <w:ind w:right="102"/>
        <w:jc w:val="left"/>
      </w:pPr>
      <w:r>
        <w:rPr>
          <w:spacing w:val="-2"/>
        </w:rPr>
        <w:t>我们认为，贵公司财务报表在所有重大方面按照企业会计准则的规定编制，</w:t>
      </w:r>
      <w:r>
        <w:rPr>
          <w:w w:val="100"/>
        </w:rPr>
        <w:t> </w:t>
      </w:r>
      <w:r>
        <w:rPr/>
        <w:t>公允反映了贵公司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日的合并及公司财务状况以及</w:t>
      </w:r>
      <w:r>
        <w:rPr>
          <w:rFonts w:ascii="Times New Roman" w:hAnsi="Times New Roman" w:cs="Times New Roman" w:eastAsia="Times New Roman" w:hint="default"/>
        </w:rPr>
        <w:t>2015</w:t>
      </w:r>
      <w:r>
        <w:rPr/>
        <w:t>年度的合并</w:t>
      </w:r>
      <w:r>
        <w:rPr>
          <w:spacing w:val="-44"/>
        </w:rPr>
        <w:t> </w:t>
      </w:r>
      <w:r>
        <w:rPr>
          <w:spacing w:val="-44"/>
        </w:rPr>
      </w:r>
      <w:r>
        <w:rPr/>
        <w:t>及公司经营成果和现金流量。</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8"/>
        <w:rPr>
          <w:rFonts w:ascii="宋体" w:hAnsi="宋体" w:cs="宋体" w:eastAsia="宋体" w:hint="default"/>
          <w:sz w:val="36"/>
          <w:szCs w:val="36"/>
        </w:rPr>
      </w:pPr>
    </w:p>
    <w:p>
      <w:pPr>
        <w:pStyle w:val="Heading2"/>
        <w:tabs>
          <w:tab w:pos="6678" w:val="left" w:leader="none"/>
        </w:tabs>
        <w:spacing w:line="240" w:lineRule="auto"/>
        <w:ind w:left="714" w:right="102"/>
        <w:jc w:val="left"/>
        <w:rPr>
          <w:b w:val="0"/>
          <w:bCs w:val="0"/>
        </w:rPr>
      </w:pPr>
      <w:r>
        <w:rPr>
          <w:w w:val="95"/>
        </w:rPr>
        <w:t>立信会计师事务所</w:t>
        <w:tab/>
      </w:r>
      <w:r>
        <w:rPr/>
        <w:t>中国注册会计师：朱育勤</w:t>
      </w:r>
      <w:r>
        <w:rPr>
          <w:b w:val="0"/>
          <w:bCs w:val="0"/>
        </w:rPr>
      </w:r>
    </w:p>
    <w:p>
      <w:pPr>
        <w:spacing w:line="240" w:lineRule="auto" w:before="9"/>
        <w:rPr>
          <w:rFonts w:ascii="宋体" w:hAnsi="宋体" w:cs="宋体" w:eastAsia="宋体" w:hint="default"/>
          <w:b/>
          <w:bCs/>
          <w:sz w:val="19"/>
          <w:szCs w:val="19"/>
        </w:rPr>
      </w:pPr>
    </w:p>
    <w:p>
      <w:pPr>
        <w:pStyle w:val="Heading2"/>
        <w:spacing w:line="240" w:lineRule="auto"/>
        <w:ind w:left="714" w:right="102"/>
        <w:jc w:val="left"/>
        <w:rPr>
          <w:b w:val="0"/>
          <w:bCs w:val="0"/>
        </w:rPr>
      </w:pPr>
      <w:r>
        <w:rPr/>
        <w:t>（特殊普通合伙）</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2"/>
        <w:spacing w:line="240" w:lineRule="auto"/>
        <w:ind w:left="0" w:right="325"/>
        <w:jc w:val="right"/>
        <w:rPr>
          <w:b w:val="0"/>
          <w:bCs w:val="0"/>
        </w:rPr>
      </w:pPr>
      <w:r>
        <w:rPr/>
        <w:t>中国注册会计师：张洪</w:t>
      </w:r>
      <w:r>
        <w:rPr>
          <w:b w:val="0"/>
          <w:bCs w:val="0"/>
        </w:rPr>
      </w:r>
    </w:p>
    <w:p>
      <w:pPr>
        <w:spacing w:after="0" w:line="240" w:lineRule="auto"/>
        <w:jc w:val="right"/>
        <w:sectPr>
          <w:pgSz w:w="11910" w:h="16840"/>
          <w:pgMar w:header="745" w:footer="982" w:top="1060" w:bottom="1180" w:left="980" w:right="880"/>
        </w:sectPr>
      </w:pPr>
    </w:p>
    <w:p>
      <w:pPr>
        <w:spacing w:line="240" w:lineRule="auto" w:before="8"/>
        <w:rPr>
          <w:rFonts w:ascii="宋体" w:hAnsi="宋体" w:cs="宋体" w:eastAsia="宋体" w:hint="default"/>
          <w:b/>
          <w:bCs/>
          <w:sz w:val="23"/>
          <w:szCs w:val="23"/>
        </w:rPr>
      </w:pPr>
    </w:p>
    <w:p>
      <w:pPr>
        <w:pStyle w:val="Heading4"/>
        <w:spacing w:line="240" w:lineRule="auto" w:before="26"/>
        <w:ind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bookmarkStart w:name="二、财务报表" w:id="145"/>
      <w:bookmarkEnd w:id="145"/>
      <w:r>
        <w:rPr/>
      </w: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1</w:t>
      </w:r>
      <w:bookmarkStart w:name="1、合并资产负债表" w:id="146"/>
      <w:bookmarkEnd w:id="146"/>
      <w:r>
        <w:rPr>
          <w:rFonts w:ascii="Times New Roman" w:hAnsi="Times New Roman" w:cs="Times New Roman" w:eastAsia="Times New Roman" w:hint="default"/>
        </w:rPr>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8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编制单位：上海天玑科技股份有限公司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2" w:right="-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3" w:equalWidth="0">
            <w:col w:w="3213" w:space="862"/>
            <w:col w:w="1641" w:space="3202"/>
            <w:col w:w="1032"/>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396,557,162.20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474,166,158.40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1,142,200.00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1,463,000.00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154,455,687.06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145,906,218.68</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4,704,980.70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897,429.36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679,533.66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3,798,619.15</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18,017,915.28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7,030,436.39</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32,194,840.47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31,257,779.22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607,752,319.37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664,519,641.20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13,022,703.32</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78,107,182.52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92,558,085.80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16,063.61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27,402.65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24,302,015.94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24,302,015.94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3,325,344.68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4,296,976.62</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1,461,920.79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1,207,151.90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67,927,420.00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208,162,650.86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122,391,632.91</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815,914,970.23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786,911,274.11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2,050,000.00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23,573,189.67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20,325,228.82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20,427,221.88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21,523,910.11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34,847,489.63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26,743,062.98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11,370,399.49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18,816,021.54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9,165.14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4,134.17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6,648,203.85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383,650.00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14,431,771.94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1,188,389.65</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116,307,441.60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91,034,397.27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158,684.37</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3,850,000.00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4,930,000.00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4,008,684.37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4,930,000.00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120,316,125.97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95,964,397.27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272,680,395.00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181,966,460.00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136,555,406.70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229,489,114.05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12,577,560.00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-51,864.19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-205,988.47</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35,711,719.80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29,564,455.56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250,322,437.14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229,350,926.01</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682,640,534.45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670,164,967.15</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12,958,309.81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20,781,909.69</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695,598,844.26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690,946,876.84</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815,914,970.23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786,911,274.11</w:t>
            </w:r>
          </w:p>
        </w:tc>
      </w:tr>
    </w:tbl>
    <w:p>
      <w:pPr>
        <w:spacing w:line="240" w:lineRule="auto" w:before="11"/>
        <w:rPr>
          <w:rFonts w:ascii="Times New Roman" w:hAnsi="Times New Roman" w:cs="Times New Roman" w:eastAsia="Times New Roman" w:hint="default"/>
          <w:sz w:val="22"/>
          <w:szCs w:val="22"/>
        </w:rPr>
      </w:pPr>
    </w:p>
    <w:p>
      <w:pPr>
        <w:tabs>
          <w:tab w:pos="3424" w:val="left" w:leader="none"/>
          <w:tab w:pos="7567" w:val="left" w:leader="none"/>
        </w:tabs>
        <w:spacing w:before="44"/>
        <w:ind w:left="0" w:right="243" w:firstLine="0"/>
        <w:jc w:val="right"/>
        <w:rPr>
          <w:rFonts w:ascii="宋体" w:hAnsi="宋体" w:cs="宋体" w:eastAsia="宋体" w:hint="default"/>
          <w:sz w:val="18"/>
          <w:szCs w:val="18"/>
        </w:rPr>
      </w:pPr>
      <w:r>
        <w:rPr>
          <w:rFonts w:ascii="宋体" w:hAnsi="宋体" w:cs="宋体" w:eastAsia="宋体" w:hint="default"/>
          <w:sz w:val="18"/>
          <w:szCs w:val="18"/>
        </w:rPr>
        <w:t>法定代表人：陆文雄</w:t>
        <w:tab/>
      </w:r>
      <w:r>
        <w:rPr>
          <w:rFonts w:ascii="宋体" w:hAnsi="宋体" w:cs="宋体" w:eastAsia="宋体" w:hint="default"/>
          <w:spacing w:val="-1"/>
          <w:sz w:val="18"/>
          <w:szCs w:val="18"/>
        </w:rPr>
        <w:t>主管会计工作负责人：陆廷洁</w:t>
        <w:tab/>
      </w:r>
      <w:r>
        <w:rPr>
          <w:rFonts w:ascii="宋体" w:hAnsi="宋体" w:cs="宋体" w:eastAsia="宋体" w:hint="default"/>
          <w:sz w:val="18"/>
          <w:szCs w:val="18"/>
        </w:rPr>
        <w:t>会计机构负责人：李思琪</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spacing w:before="0"/>
        <w:ind w:left="0" w:right="153" w:firstLine="0"/>
        <w:jc w:val="right"/>
        <w:rPr>
          <w:rFonts w:ascii="宋体" w:hAnsi="宋体" w:cs="宋体" w:eastAsia="宋体" w:hint="default"/>
          <w:sz w:val="18"/>
          <w:szCs w:val="18"/>
        </w:rPr>
      </w:pPr>
      <w:bookmarkStart w:name="2、母公司资产负债表" w:id="147"/>
      <w:bookmarkEnd w:id="147"/>
      <w:r>
        <w:rPr/>
      </w: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352,296,620.27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420,401,878.84</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1,142,200.00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1,463,000.00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113,487,586.85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123,380,672.09</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3,950,161.46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643,986.83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679,533.66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3,798,619.15</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11,506,994.42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23,964,588.31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22,117,367.57</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29,476,538.75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24,568,703.86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536,504,223.72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596,374,228.34</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126,354,649.99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80,938,820.00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13,022,703.32</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62,830,103.31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81,363,037.49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337,052.56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704,269.96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3,204,789.13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4,239,713.57</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1,222,535.07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1,211,504.82</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34,134,760.00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251,106,593.38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168,457,345.84</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787,610,817.10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764,831,574.18</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31,346,542.34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46,735,664.06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19,807,081.55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20,908,579.77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23,971,011.26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19,009,083.82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6,575,040.42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13,985,830.64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528,440.00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383,650.00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13,687,554.71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314,292.48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95,915,670.28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101,337,100.77</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158,684.37</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3,350,000.00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3,800,000.00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3,508,684.37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3,800,000.00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99,424,354.65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105,137,100.77</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272,680,395.00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181,966,460.00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136,555406.70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229,489,114.05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12,577,560.00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35,711,719.80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29,564,455.56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255,816,500.95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218,674,443.80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688,186,462.45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659,694,473.41</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787,610,817.10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764,831,574.18</w:t>
            </w:r>
            <w:r>
              <w:rPr>
                <w:rFonts w:ascii="Times New Roman"/>
                <w:sz w:val="18"/>
              </w:rPr>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3、合并利润表" w:id="148"/>
      <w:bookmarkEnd w:id="148"/>
      <w:r>
        <w:rPr/>
      </w: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6"/>
        <w:gridCol w:w="3222"/>
        <w:gridCol w:w="3276"/>
      </w:tblGrid>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394,995,623.83</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409,040,721.43</w:t>
            </w:r>
            <w:r>
              <w:rPr>
                <w:rFonts w:ascii="Times New Roman"/>
                <w:sz w:val="18"/>
              </w:rPr>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394,995,623.83</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409,040,721.43</w:t>
            </w:r>
            <w:r>
              <w:rPr>
                <w:rFonts w:ascii="Times New Roman"/>
                <w:sz w:val="18"/>
              </w:rPr>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361,767,607.64</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328,879,987.19</w:t>
            </w:r>
            <w:r>
              <w:rPr>
                <w:rFonts w:ascii="Times New Roman"/>
                <w:sz w:val="18"/>
              </w:rPr>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237,007,485.28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225,514,116.48</w:t>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0.960007pt;margin-top:400.139984pt;width:158.9pt;height:20.65pt;mso-position-horizontal-relative:page;mso-position-vertical-relative:page;z-index:-905896" coordorigin="4219,8003" coordsize="3178,413">
            <v:group style="position:absolute;left:4230;top:8014;width:2;height:392" coordorigin="4230,8014" coordsize="2,392">
              <v:shape style="position:absolute;left:4230;top:8014;width:2;height:392" coordorigin="4230,8014" coordsize="0,392" path="m4230,8014l4230,8405e" filled="false" stroked="true" strokeweight="1.08pt" strokecolor="#ffffff">
                <v:path arrowok="t"/>
              </v:shape>
            </v:group>
            <v:group style="position:absolute;left:4241;top:8014;width:3156;height:392" coordorigin="4241,8014" coordsize="3156,392">
              <v:shape style="position:absolute;left:4241;top:8014;width:3156;height:392" coordorigin="4241,8014" coordsize="3156,392" path="m4241,8405l7397,8405,7397,8014,4241,8014,4241,8405xe" filled="true" fillcolor="#ffffff" stroked="false">
                <v:path arrowok="t"/>
                <v:fill type="solid"/>
              </v:shape>
            </v:group>
            <w10:wrap type="none"/>
          </v:group>
        </w:pict>
      </w:r>
      <w:r>
        <w:rPr/>
        <w:pict>
          <v:group style="position:absolute;margin-left:210.960007pt;margin-top:520.73999pt;width:158.9pt;height:20.65pt;mso-position-horizontal-relative:page;mso-position-vertical-relative:page;z-index:-905872" coordorigin="4219,10415" coordsize="3178,413">
            <v:group style="position:absolute;left:4230;top:10426;width:2;height:392" coordorigin="4230,10426" coordsize="2,392">
              <v:shape style="position:absolute;left:4230;top:10426;width:2;height:392" coordorigin="4230,10426" coordsize="0,392" path="m4230,10426l4230,10817e" filled="false" stroked="true" strokeweight="1.08pt" strokecolor="#ffffff">
                <v:path arrowok="t"/>
              </v:shape>
            </v:group>
            <v:group style="position:absolute;left:4241;top:10426;width:3156;height:392" coordorigin="4241,10426" coordsize="3156,392">
              <v:shape style="position:absolute;left:4241;top:10426;width:3156;height:392" coordorigin="4241,10426" coordsize="3156,392" path="m4241,10817l7397,10817,7397,10426,4241,10426,4241,10817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7"/>
        <w:gridCol w:w="1117"/>
        <w:gridCol w:w="2105"/>
        <w:gridCol w:w="3276"/>
      </w:tblGrid>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2,226,256.60</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1,416,916.77</w:t>
            </w:r>
            <w:r>
              <w:rPr>
                <w:rFonts w:ascii="Times New Roman"/>
                <w:sz w:val="18"/>
              </w:rPr>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27,484,568.16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24,265,666.11</w:t>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101,012,060.85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87,213,351.68</w:t>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-7,347,464.95</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-11,013,650.02</w:t>
            </w:r>
            <w:r>
              <w:rPr>
                <w:rFonts w:ascii="Times New Roman"/>
                <w:sz w:val="18"/>
              </w:rPr>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1,384,701.70</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1,483,586.17</w:t>
            </w:r>
            <w:r>
              <w:rPr>
                <w:rFonts w:ascii="Times New Roman"/>
                <w:sz w:val="18"/>
              </w:rPr>
            </w:r>
          </w:p>
        </w:tc>
      </w:tr>
      <w:tr>
        <w:trPr>
          <w:trHeight w:val="715"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-158,684.37</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8"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13"/>
              <w:jc w:val="righ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33,069,331.82</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80,160,734.24</w:t>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13,470,695.67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6,686,490.87</w:t>
            </w:r>
            <w:r>
              <w:rPr>
                <w:rFonts w:ascii="Times New Roman"/>
                <w:sz w:val="18"/>
              </w:rPr>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15,130.30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60,633.98</w:t>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826,250.30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157,845.67</w:t>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662,424.04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118,649.90</w:t>
            </w:r>
            <w:r>
              <w:rPr>
                <w:rFonts w:ascii="Times New Roman"/>
                <w:sz w:val="18"/>
              </w:rPr>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17" w:type="dxa"/>
            <w:tcBorders>
              <w:top w:val="single" w:sz="4" w:space="0" w:color="000000"/>
              <w:left w:val="single" w:sz="10" w:space="0" w:color="D4D4D4"/>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1" w:right="0"/>
              <w:jc w:val="left"/>
              <w:rPr>
                <w:rFonts w:ascii="Times New Roman" w:hAnsi="Times New Roman" w:cs="Times New Roman" w:eastAsia="Times New Roman" w:hint="default"/>
                <w:sz w:val="18"/>
                <w:szCs w:val="18"/>
              </w:rPr>
            </w:pPr>
            <w:r>
              <w:rPr>
                <w:rFonts w:ascii="Times New Roman"/>
                <w:sz w:val="18"/>
              </w:rPr>
              <w:t>45,713,777.19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86,689,379.44</w:t>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2,815,516.85</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11,562,914.61</w:t>
            </w:r>
            <w:r>
              <w:rPr>
                <w:rFonts w:ascii="Times New Roman"/>
                <w:sz w:val="18"/>
              </w:rPr>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42,898,260.34</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75,126,464.83</w:t>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45,302,096.37</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72,347,373.04</w:t>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-2,403,836.03</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2,779,091.79</w:t>
            </w:r>
            <w:r>
              <w:rPr>
                <w:rFonts w:ascii="Times New Roman"/>
                <w:sz w:val="18"/>
              </w:rPr>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154,124.28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9,198.31</w:t>
            </w:r>
          </w:p>
        </w:tc>
      </w:tr>
      <w:tr>
        <w:trPr>
          <w:trHeight w:val="71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52"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154,124.28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9,198.31</w:t>
            </w:r>
          </w:p>
        </w:tc>
      </w:tr>
      <w:tr>
        <w:trPr>
          <w:trHeight w:val="715"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8" w:firstLine="340"/>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right="1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权益法下在被投资单位不</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6"/>
        <w:gridCol w:w="3222"/>
        <w:gridCol w:w="3276"/>
      </w:tblGrid>
      <w:tr>
        <w:trPr>
          <w:trHeight w:val="674"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12" w:right="152"/>
              <w:jc w:val="left"/>
              <w:rPr>
                <w:rFonts w:ascii="宋体" w:hAnsi="宋体" w:cs="宋体" w:eastAsia="宋体" w:hint="default"/>
                <w:sz w:val="18"/>
                <w:szCs w:val="18"/>
              </w:rPr>
            </w:pPr>
            <w:r>
              <w:rPr>
                <w:rFonts w:ascii="宋体" w:hAnsi="宋体" w:cs="宋体" w:eastAsia="宋体" w:hint="default"/>
                <w:sz w:val="18"/>
                <w:szCs w:val="18"/>
              </w:rPr>
              <w:t>能重分类进损益的其他综合收益中享 有的份额</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firstLine="340"/>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154,124.28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9,198.31</w:t>
            </w:r>
          </w:p>
        </w:tc>
      </w:tr>
      <w:tr>
        <w:trPr>
          <w:trHeight w:val="1027"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154,124.28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9,198.31</w:t>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52"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43,052,384.62</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75,135,663.14</w:t>
            </w:r>
          </w:p>
        </w:tc>
      </w:tr>
      <w:tr>
        <w:trPr>
          <w:trHeight w:val="715"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52"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45,456,220.65</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72,356,571.35</w:t>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52"/>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-2,403,836.03</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2,779,091.79</w:t>
            </w:r>
            <w:r>
              <w:rPr>
                <w:rFonts w:ascii="Times New Roman"/>
                <w:sz w:val="18"/>
              </w:rPr>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0.17</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0.27</w:t>
            </w:r>
            <w:r>
              <w:rPr>
                <w:rFonts w:ascii="Times New Roman"/>
                <w:sz w:val="18"/>
              </w:rPr>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0.17</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0.27</w:t>
            </w:r>
            <w:r>
              <w:rPr>
                <w:rFonts w:ascii="Times New Roman"/>
                <w:sz w:val="18"/>
              </w:rPr>
            </w:r>
          </w:p>
        </w:tc>
      </w:tr>
    </w:tbl>
    <w:p>
      <w:pPr>
        <w:tabs>
          <w:tab w:pos="3577" w:val="left" w:leader="none"/>
          <w:tab w:pos="7720" w:val="left" w:leader="none"/>
        </w:tabs>
        <w:spacing w:line="621" w:lineRule="auto" w:before="49"/>
        <w:ind w:left="152" w:right="243" w:firstLine="0"/>
        <w:jc w:val="left"/>
        <w:rPr>
          <w:rFonts w:ascii="宋体" w:hAnsi="宋体" w:cs="宋体" w:eastAsia="宋体" w:hint="default"/>
          <w:sz w:val="18"/>
          <w:szCs w:val="18"/>
        </w:rPr>
      </w:pPr>
      <w:bookmarkStart w:name="4、母公司利润表" w:id="149"/>
      <w:bookmarkEnd w:id="149"/>
      <w:r>
        <w:rPr/>
      </w:r>
      <w:r>
        <w:rPr>
          <w:rFonts w:ascii="宋体" w:hAnsi="宋体" w:cs="宋体" w:eastAsia="宋体" w:hint="default"/>
          <w:sz w:val="18"/>
          <w:szCs w:val="18"/>
        </w:rPr>
        <w:t>本期发生同一控制下企业合并的，被合并方在合并前实现的净利润为：元，上期被合并方实现的净利润为：元。 法定代表人：陆文雄</w:t>
        <w:tab/>
      </w:r>
      <w:r>
        <w:rPr>
          <w:rFonts w:ascii="宋体" w:hAnsi="宋体" w:cs="宋体" w:eastAsia="宋体" w:hint="default"/>
          <w:spacing w:val="-1"/>
          <w:sz w:val="18"/>
          <w:szCs w:val="18"/>
        </w:rPr>
        <w:t>主管会计工作负责人：陆廷洁</w:t>
        <w:tab/>
      </w:r>
      <w:r>
        <w:rPr>
          <w:rFonts w:ascii="宋体" w:hAnsi="宋体" w:cs="宋体" w:eastAsia="宋体" w:hint="default"/>
          <w:sz w:val="18"/>
          <w:szCs w:val="18"/>
        </w:rPr>
        <w:t>会计机构负责人：李思琪</w:t>
      </w:r>
    </w:p>
    <w:p>
      <w:pPr>
        <w:pStyle w:val="Heading6"/>
        <w:spacing w:line="240" w:lineRule="auto" w:before="69"/>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spacing w:before="0"/>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315,105,553.15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350,173,177.98</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194,248,168.18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205,045,939.05</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1,318,681.18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937,663.55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23,467,614.97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21,943,312.86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59,779,552.73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61,150,245.74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-7,147,831.86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-11,022,752.08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73,534.97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1,898,099.03</w:t>
            </w:r>
            <w:r>
              <w:rPr>
                <w:rFonts w:ascii="Times New Roman"/>
                <w:sz w:val="18"/>
              </w:rPr>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11,348,310.05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5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54,714,143.03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70,220,669.83</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10,682,965.56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5,944,988.29</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15,130.30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60,633.98</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978,065.77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157,823.53</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828,034.51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15,811.39</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64,419,042.82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76,007,834.59</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2,946,400.43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10,302,495.97</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61,472,642.39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65,705,338.62</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50"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22" w:right="50"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50"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22" w:right="50"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9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61,472642.39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65,705,338.62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6"/>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5、合并现金流量表" w:id="150"/>
      <w:bookmarkEnd w:id="150"/>
      <w:r>
        <w:rPr/>
      </w: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419,672,037.28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417,154,814.92</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15,129,171.32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18,844,609.46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434,801,208.60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435,999,424.38</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147,814,789.56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169,160,553.43</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188,102,018.57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154,402,515.10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32,470,521.55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29,317,385.51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32,442,153.17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29,168,595.52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400,829,482.85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382,049,049.56</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33,971,725.75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53,950,374.82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35,290.00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8,834,350.00</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35,290.00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8,834,350.00</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75,987,630.57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4,849,947.24</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4,280,000.00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95,987,630.57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9,129,947.24</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-95,952,340.57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-295,597.24</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13,281,202.00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5,500,000.00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4,050,000.00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5,700,000.00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17,331,202.00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2,050,000.00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18,125,028.89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13,670,593.05</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1,206,422.34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21,381,451.23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15,670,593.05</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-15,681,451.23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1,660,608.95</w:t>
            </w:r>
            <w:r>
              <w:rPr>
                <w:rFonts w:ascii="Times New Roman"/>
                <w:sz w:val="18"/>
              </w:rPr>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148,746.38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3,605.16</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-77,513,319.67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55,318,991.69</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471,842,681.84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416,523,690.15</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394,329,362.17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471,842,681.84</w:t>
            </w:r>
            <w:r>
              <w:rPr>
                <w:rFonts w:ascii="Times New Roman"/>
                <w:sz w:val="18"/>
              </w:rPr>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6"/>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6、母公司现金流量表" w:id="151"/>
      <w:bookmarkEnd w:id="151"/>
      <w:r>
        <w:rPr/>
      </w: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350,027,669.59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354,287,478.20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25,218,292.05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19,352,530.62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375,245,961.64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373,640,008.82</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165,884,035.44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161,613,297.17</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115,444,503.40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101,118,287.74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23,578,396.97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23,327,846.41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25,444,120.62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23,448,554.69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330,351,056.43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309,507,986.01</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44,894,905.21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64,132,022.81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33,290.00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8,834,350.00</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33,290.00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8,834,350.00</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38,023,660.41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5,280,224.39</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55,550,000.00</w:t>
            </w: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28,780,000.00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93,573,660.41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34,060,224.39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-93,540,370.41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-25,225,874.39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7,781,202.00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7,781,202.00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18,038,531.00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13,548,770.00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1,206,422.34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19,244,953.34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13,548,770.00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-19,244,953.34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-5,767,568.00</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-67,890,418.54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33,138,580.42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418,176,748.78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385,038,168.36</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350,286,330.24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418,176,748.78</w:t>
            </w:r>
            <w:r>
              <w:rPr>
                <w:rFonts w:ascii="Times New Roman"/>
                <w:sz w:val="18"/>
              </w:rPr>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53" w:firstLine="0"/>
        <w:jc w:val="right"/>
        <w:rPr>
          <w:rFonts w:ascii="宋体" w:hAnsi="宋体" w:cs="宋体" w:eastAsia="宋体" w:hint="default"/>
          <w:sz w:val="18"/>
          <w:szCs w:val="18"/>
        </w:rPr>
      </w:pPr>
      <w:bookmarkStart w:name="7、合并所有者权益变动表" w:id="152"/>
      <w:bookmarkEnd w:id="152"/>
      <w:r>
        <w:rPr/>
      </w: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3"/>
        <w:gridCol w:w="530"/>
        <w:gridCol w:w="530"/>
        <w:gridCol w:w="665"/>
        <w:gridCol w:w="665"/>
        <w:gridCol w:w="665"/>
        <w:gridCol w:w="665"/>
        <w:gridCol w:w="665"/>
        <w:gridCol w:w="665"/>
        <w:gridCol w:w="665"/>
        <w:gridCol w:w="665"/>
        <w:gridCol w:w="660"/>
      </w:tblGrid>
      <w:tr>
        <w:trPr>
          <w:trHeight w:val="401" w:hRule="exact"/>
        </w:trPr>
        <w:tc>
          <w:tcPr>
            <w:tcW w:w="1426" w:type="dxa"/>
            <w:vMerge w:val="restart"/>
            <w:tcBorders>
              <w:top w:val="single" w:sz="4" w:space="0" w:color="000000"/>
              <w:left w:val="single" w:sz="4" w:space="0" w:color="000000"/>
              <w:right w:val="single" w:sz="4" w:space="0" w:color="000000"/>
            </w:tcBorders>
            <w:shd w:val="clear" w:color="auto" w:fill="D4D4D4"/>
          </w:tcPr>
          <w:p>
            <w:pPr/>
          </w:p>
        </w:tc>
        <w:tc>
          <w:tcPr>
            <w:tcW w:w="8134"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2" w:hRule="exact"/>
        </w:trPr>
        <w:tc>
          <w:tcPr>
            <w:tcW w:w="1426" w:type="dxa"/>
            <w:vMerge/>
            <w:tcBorders>
              <w:left w:val="single" w:sz="4" w:space="0" w:color="000000"/>
              <w:right w:val="single" w:sz="4" w:space="0" w:color="000000"/>
            </w:tcBorders>
            <w:shd w:val="clear" w:color="auto" w:fill="D4D4D4"/>
          </w:tcPr>
          <w:p>
            <w:pPr/>
          </w:p>
        </w:tc>
        <w:tc>
          <w:tcPr>
            <w:tcW w:w="6809" w:type="dxa"/>
            <w:gridSpan w:val="11"/>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4D4D4"/>
          </w:tcPr>
          <w:p>
            <w:pPr/>
          </w:p>
        </w:tc>
        <w:tc>
          <w:tcPr>
            <w:tcW w:w="660"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4D4D4"/>
          </w:tcPr>
          <w:p>
            <w:pPr/>
          </w:p>
        </w:tc>
        <w:tc>
          <w:tcPr>
            <w:tcW w:w="6809" w:type="dxa"/>
            <w:gridSpan w:val="11"/>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0"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4" w:hRule="exact"/>
        </w:trPr>
        <w:tc>
          <w:tcPr>
            <w:tcW w:w="142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4D4D4"/>
          </w:tcPr>
          <w:p>
            <w:pPr/>
          </w:p>
        </w:tc>
        <w:tc>
          <w:tcPr>
            <w:tcW w:w="1594"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4D4D4"/>
          </w:tcPr>
          <w:p>
            <w:pPr/>
          </w:p>
        </w:tc>
      </w:tr>
      <w:tr>
        <w:trPr>
          <w:trHeight w:val="174" w:hRule="exact"/>
        </w:trPr>
        <w:tc>
          <w:tcPr>
            <w:tcW w:w="1426" w:type="dxa"/>
            <w:vMerge/>
            <w:tcBorders>
              <w:left w:val="single" w:sz="4" w:space="0" w:color="000000"/>
              <w:bottom w:val="nil" w:sz="6" w:space="0" w:color="auto"/>
              <w:right w:val="single" w:sz="4" w:space="0" w:color="000000"/>
            </w:tcBorders>
            <w:shd w:val="clear" w:color="auto" w:fill="D4D4D4"/>
          </w:tcPr>
          <w:p>
            <w:pPr/>
          </w:p>
        </w:tc>
        <w:tc>
          <w:tcPr>
            <w:tcW w:w="562" w:type="dxa"/>
            <w:vMerge/>
            <w:tcBorders>
              <w:left w:val="single" w:sz="4" w:space="0" w:color="000000"/>
              <w:bottom w:val="nil" w:sz="6" w:space="0" w:color="auto"/>
              <w:right w:val="single" w:sz="4" w:space="0" w:color="000000"/>
            </w:tcBorders>
            <w:shd w:val="clear" w:color="auto" w:fill="D4D4D4"/>
          </w:tcPr>
          <w:p>
            <w:pPr/>
          </w:p>
        </w:tc>
        <w:tc>
          <w:tcPr>
            <w:tcW w:w="1594" w:type="dxa"/>
            <w:gridSpan w:val="3"/>
            <w:vMerge/>
            <w:tcBorders>
              <w:left w:val="single" w:sz="4" w:space="0" w:color="000000"/>
              <w:bottom w:val="single" w:sz="4" w:space="0" w:color="000000"/>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4D4D4"/>
          </w:tcPr>
          <w:p>
            <w:pPr/>
          </w:p>
        </w:tc>
        <w:tc>
          <w:tcPr>
            <w:tcW w:w="660" w:type="dxa"/>
            <w:vMerge/>
            <w:tcBorders>
              <w:left w:val="single" w:sz="4" w:space="0" w:color="000000"/>
              <w:right w:val="single" w:sz="4" w:space="0" w:color="000000"/>
            </w:tcBorders>
            <w:shd w:val="clear" w:color="auto" w:fill="D4D4D4"/>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4D4D4"/>
          </w:tcPr>
          <w:p>
            <w:pPr/>
          </w:p>
        </w:tc>
        <w:tc>
          <w:tcPr>
            <w:tcW w:w="5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31"/>
              <w:ind w:left="9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7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0" w:type="dxa"/>
            <w:vMerge/>
            <w:tcBorders>
              <w:left w:val="single" w:sz="4" w:space="0" w:color="000000"/>
              <w:right w:val="single" w:sz="4" w:space="0" w:color="000000"/>
            </w:tcBorders>
            <w:shd w:val="clear" w:color="auto" w:fill="D4D4D4"/>
          </w:tcPr>
          <w:p>
            <w:pPr/>
          </w:p>
        </w:tc>
      </w:tr>
      <w:tr>
        <w:trPr>
          <w:trHeight w:val="169" w:hRule="exact"/>
        </w:trPr>
        <w:tc>
          <w:tcPr>
            <w:tcW w:w="1426" w:type="dxa"/>
            <w:vMerge/>
            <w:tcBorders>
              <w:left w:val="single" w:sz="4" w:space="0" w:color="000000"/>
              <w:right w:val="single" w:sz="4" w:space="0" w:color="000000"/>
            </w:tcBorders>
            <w:shd w:val="clear" w:color="auto" w:fill="D4D4D4"/>
          </w:tcPr>
          <w:p>
            <w:pPr/>
          </w:p>
        </w:tc>
        <w:tc>
          <w:tcPr>
            <w:tcW w:w="562" w:type="dxa"/>
            <w:vMerge/>
            <w:tcBorders>
              <w:left w:val="single" w:sz="4" w:space="0" w:color="000000"/>
              <w:bottom w:val="nil" w:sz="6" w:space="0" w:color="auto"/>
              <w:right w:val="single" w:sz="4" w:space="0" w:color="000000"/>
            </w:tcBorders>
            <w:shd w:val="clear" w:color="auto" w:fill="D4D4D4"/>
          </w:tcPr>
          <w:p>
            <w:pPr/>
          </w:p>
        </w:tc>
        <w:tc>
          <w:tcPr>
            <w:tcW w:w="533"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0" w:type="dxa"/>
            <w:vMerge/>
            <w:tcBorders>
              <w:left w:val="single" w:sz="4" w:space="0" w:color="000000"/>
              <w:right w:val="single" w:sz="4" w:space="0" w:color="000000"/>
            </w:tcBorders>
            <w:shd w:val="clear" w:color="auto" w:fill="D4D4D4"/>
          </w:tcPr>
          <w:p>
            <w:pPr/>
          </w:p>
        </w:tc>
      </w:tr>
      <w:tr>
        <w:trPr>
          <w:trHeight w:val="156" w:hRule="exact"/>
        </w:trPr>
        <w:tc>
          <w:tcPr>
            <w:tcW w:w="1426" w:type="dxa"/>
            <w:vMerge/>
            <w:tcBorders>
              <w:left w:val="single" w:sz="4" w:space="0" w:color="000000"/>
              <w:right w:val="single" w:sz="4" w:space="0" w:color="000000"/>
            </w:tcBorders>
            <w:shd w:val="clear" w:color="auto" w:fill="D4D4D4"/>
          </w:tcPr>
          <w:p>
            <w:pPr/>
          </w:p>
        </w:tc>
        <w:tc>
          <w:tcPr>
            <w:tcW w:w="562" w:type="dxa"/>
            <w:vMerge w:val="restart"/>
            <w:tcBorders>
              <w:top w:val="nil" w:sz="6" w:space="0" w:color="auto"/>
              <w:left w:val="single" w:sz="4" w:space="0" w:color="000000"/>
              <w:right w:val="single" w:sz="4" w:space="0" w:color="000000"/>
            </w:tcBorders>
            <w:shd w:val="clear" w:color="auto" w:fill="D4D4D4"/>
          </w:tcPr>
          <w:p>
            <w:pPr/>
          </w:p>
        </w:tc>
        <w:tc>
          <w:tcPr>
            <w:tcW w:w="533"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
        </w:tc>
        <w:tc>
          <w:tcPr>
            <w:tcW w:w="660" w:type="dxa"/>
            <w:vMerge/>
            <w:tcBorders>
              <w:left w:val="single" w:sz="4" w:space="0" w:color="000000"/>
              <w:bottom w:val="nil" w:sz="6" w:space="0" w:color="auto"/>
              <w:right w:val="single" w:sz="4" w:space="0" w:color="000000"/>
            </w:tcBorders>
            <w:shd w:val="clear" w:color="auto" w:fill="D4D4D4"/>
          </w:tcPr>
          <w:p>
            <w:pPr/>
          </w:p>
        </w:tc>
      </w:tr>
      <w:tr>
        <w:trPr>
          <w:trHeight w:val="229" w:hRule="exact"/>
        </w:trPr>
        <w:tc>
          <w:tcPr>
            <w:tcW w:w="1426" w:type="dxa"/>
            <w:vMerge/>
            <w:tcBorders>
              <w:left w:val="single" w:sz="4" w:space="0" w:color="000000"/>
              <w:bottom w:val="single" w:sz="4" w:space="0" w:color="000000"/>
              <w:right w:val="single" w:sz="4" w:space="0" w:color="000000"/>
            </w:tcBorders>
            <w:shd w:val="clear" w:color="auto" w:fill="D4D4D4"/>
          </w:tcPr>
          <w:p>
            <w:pPr/>
          </w:p>
        </w:tc>
        <w:tc>
          <w:tcPr>
            <w:tcW w:w="562" w:type="dxa"/>
            <w:vMerge/>
            <w:tcBorders>
              <w:left w:val="single" w:sz="4" w:space="0" w:color="000000"/>
              <w:bottom w:val="single" w:sz="4" w:space="0" w:color="000000"/>
              <w:right w:val="single" w:sz="4" w:space="0" w:color="000000"/>
            </w:tcBorders>
            <w:shd w:val="clear" w:color="auto" w:fill="D4D4D4"/>
          </w:tcPr>
          <w:p>
            <w:pPr/>
          </w:p>
        </w:tc>
        <w:tc>
          <w:tcPr>
            <w:tcW w:w="533" w:type="dxa"/>
            <w:vMerge/>
            <w:tcBorders>
              <w:left w:val="single" w:sz="4" w:space="0" w:color="000000"/>
              <w:bottom w:val="single" w:sz="4" w:space="0" w:color="000000"/>
              <w:right w:val="single" w:sz="4" w:space="0" w:color="000000"/>
            </w:tcBorders>
            <w:shd w:val="clear" w:color="auto" w:fill="D4D4D4"/>
          </w:tcPr>
          <w:p>
            <w:pPr/>
          </w:p>
        </w:tc>
        <w:tc>
          <w:tcPr>
            <w:tcW w:w="530" w:type="dxa"/>
            <w:vMerge/>
            <w:tcBorders>
              <w:left w:val="single" w:sz="4" w:space="0" w:color="000000"/>
              <w:bottom w:val="single" w:sz="4" w:space="0" w:color="000000"/>
              <w:right w:val="single" w:sz="4" w:space="0" w:color="000000"/>
            </w:tcBorders>
            <w:shd w:val="clear" w:color="auto" w:fill="D4D4D4"/>
          </w:tcPr>
          <w:p>
            <w:pPr/>
          </w:p>
        </w:tc>
        <w:tc>
          <w:tcPr>
            <w:tcW w:w="530"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0"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10" w:space="0" w:color="D4D4D4"/>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181,96</w:t>
            </w:r>
          </w:p>
          <w:p>
            <w:pPr>
              <w:pStyle w:val="TableParagraph"/>
              <w:spacing w:line="240" w:lineRule="auto" w:before="102"/>
              <w:ind w:left="72" w:right="0"/>
              <w:jc w:val="left"/>
              <w:rPr>
                <w:rFonts w:ascii="Times New Roman" w:hAnsi="Times New Roman" w:cs="Times New Roman" w:eastAsia="Times New Roman" w:hint="default"/>
                <w:sz w:val="18"/>
                <w:szCs w:val="18"/>
              </w:rPr>
            </w:pPr>
            <w:r>
              <w:rPr>
                <w:rFonts w:ascii="Times New Roman"/>
                <w:sz w:val="18"/>
              </w:rPr>
              <w:t>6,460.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229,489</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,114.05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-205,98</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8.47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29,564,</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455.56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229,350</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,926.01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20,781,</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909.69</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690,946</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,876.84</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D4D4D4"/>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4D4D4"/>
          </w:tcPr>
          <w:p>
            <w:pPr/>
          </w:p>
        </w:tc>
        <w:tc>
          <w:tcPr>
            <w:tcW w:w="562" w:type="dxa"/>
            <w:vMerge/>
            <w:tcBorders>
              <w:left w:val="single" w:sz="10" w:space="0" w:color="D4D4D4"/>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 w:right="0"/>
              <w:jc w:val="left"/>
              <w:rPr>
                <w:rFonts w:ascii="Times New Roman" w:hAnsi="Times New Roman" w:cs="Times New Roman" w:eastAsia="Times New Roman" w:hint="default"/>
                <w:sz w:val="18"/>
                <w:szCs w:val="18"/>
              </w:rPr>
            </w:pPr>
            <w:r>
              <w:rPr>
                <w:rFonts w:ascii="Times New Roman"/>
                <w:sz w:val="18"/>
              </w:rPr>
              <w:t>181,96</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6,460.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229,489</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,114.05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-205,98</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8.47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29,564,</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455.56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229,350</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,926.01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20,781,</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909.69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690,946</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,876.84</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1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90,713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,935.0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-92,933,</w:t>
            </w:r>
          </w:p>
          <w:p>
            <w:pPr>
              <w:pStyle w:val="TableParagraph"/>
              <w:spacing w:line="240" w:lineRule="auto" w:before="105"/>
              <w:ind w:left="112" w:right="0"/>
              <w:jc w:val="center"/>
              <w:rPr>
                <w:rFonts w:ascii="Times New Roman" w:hAnsi="Times New Roman" w:cs="Times New Roman" w:eastAsia="Times New Roman" w:hint="default"/>
                <w:sz w:val="18"/>
                <w:szCs w:val="18"/>
              </w:rPr>
            </w:pPr>
            <w:r>
              <w:rPr>
                <w:rFonts w:ascii="Times New Roman"/>
                <w:sz w:val="18"/>
              </w:rPr>
              <w:t>707.35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12,577,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560.00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154,124</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.28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6,147,2</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64.24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20,971,</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511.13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-7,823,5</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99.88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4,651,9</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67.42</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154,124</w:t>
            </w:r>
          </w:p>
          <w:p>
            <w:pPr>
              <w:pStyle w:val="TableParagraph"/>
              <w:spacing w:line="240" w:lineRule="auto" w:before="102"/>
              <w:ind w:left="407" w:right="0"/>
              <w:jc w:val="left"/>
              <w:rPr>
                <w:rFonts w:ascii="Times New Roman" w:hAnsi="Times New Roman" w:cs="Times New Roman" w:eastAsia="Times New Roman" w:hint="default"/>
                <w:sz w:val="18"/>
                <w:szCs w:val="18"/>
              </w:rPr>
            </w:pPr>
            <w:r>
              <w:rPr>
                <w:rFonts w:ascii="Times New Roman"/>
                <w:sz w:val="18"/>
              </w:rPr>
              <w:t>.28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45,302,</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096.37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-2,403,8</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36.03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43,052,</w:t>
            </w:r>
          </w:p>
          <w:p>
            <w:pPr>
              <w:pStyle w:val="TableParagraph"/>
              <w:spacing w:line="240" w:lineRule="auto" w:before="102"/>
              <w:ind w:left="132" w:right="0"/>
              <w:jc w:val="left"/>
              <w:rPr>
                <w:rFonts w:ascii="Times New Roman" w:hAnsi="Times New Roman" w:cs="Times New Roman" w:eastAsia="Times New Roman" w:hint="default"/>
                <w:sz w:val="18"/>
                <w:szCs w:val="18"/>
              </w:rPr>
            </w:pPr>
            <w:r>
              <w:rPr>
                <w:rFonts w:ascii="Times New Roman"/>
                <w:sz w:val="18"/>
              </w:rPr>
              <w:t>384.62</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-202,6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-2,017,1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02.35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12,577,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700,000</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-14,097,</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332.35</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-202,6</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70.00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-1,003,7</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52.34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12,577,</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560.00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700,000</w:t>
            </w:r>
          </w:p>
          <w:p>
            <w:pPr>
              <w:pStyle w:val="TableParagraph"/>
              <w:spacing w:line="240" w:lineRule="auto" w:before="102"/>
              <w:ind w:left="407" w:right="0"/>
              <w:jc w:val="left"/>
              <w:rPr>
                <w:rFonts w:ascii="Times New Roman" w:hAnsi="Times New Roman" w:cs="Times New Roman" w:eastAsia="Times New Roman" w:hint="default"/>
                <w:sz w:val="18"/>
                <w:szCs w:val="18"/>
              </w:rPr>
            </w:pPr>
            <w:r>
              <w:rPr>
                <w:rFonts w:ascii="Times New Roman"/>
                <w:sz w:val="18"/>
              </w:rPr>
              <w:t>.00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-13,083,</w:t>
            </w:r>
          </w:p>
          <w:p>
            <w:pPr>
              <w:pStyle w:val="TableParagraph"/>
              <w:spacing w:line="240" w:lineRule="auto" w:before="102"/>
              <w:ind w:left="107" w:right="0"/>
              <w:jc w:val="center"/>
              <w:rPr>
                <w:rFonts w:ascii="Times New Roman" w:hAnsi="Times New Roman" w:cs="Times New Roman" w:eastAsia="Times New Roman" w:hint="default"/>
                <w:sz w:val="18"/>
                <w:szCs w:val="18"/>
              </w:rPr>
            </w:pPr>
            <w:r>
              <w:rPr>
                <w:rFonts w:ascii="Times New Roman"/>
                <w:sz w:val="18"/>
              </w:rPr>
              <w:t>982.34</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-1,013,3</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50.01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-1,013,3</w:t>
            </w:r>
          </w:p>
          <w:p>
            <w:pPr>
              <w:pStyle w:val="TableParagraph"/>
              <w:spacing w:line="240" w:lineRule="auto" w:before="102"/>
              <w:ind w:left="198" w:right="0"/>
              <w:jc w:val="center"/>
              <w:rPr>
                <w:rFonts w:ascii="Times New Roman" w:hAnsi="Times New Roman" w:cs="Times New Roman" w:eastAsia="Times New Roman" w:hint="default"/>
                <w:sz w:val="18"/>
                <w:szCs w:val="18"/>
              </w:rPr>
            </w:pPr>
            <w:r>
              <w:rPr>
                <w:rFonts w:ascii="Times New Roman"/>
                <w:sz w:val="18"/>
              </w:rPr>
              <w:t>50.01</w:t>
            </w: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8" w:right="0"/>
              <w:jc w:val="center"/>
              <w:rPr>
                <w:rFonts w:ascii="Times New Roman" w:hAnsi="Times New Roman" w:cs="Times New Roman" w:eastAsia="Times New Roman" w:hint="default"/>
                <w:sz w:val="18"/>
                <w:szCs w:val="18"/>
              </w:rPr>
            </w:pPr>
            <w:r>
              <w:rPr>
                <w:rFonts w:ascii="Times New Roman"/>
                <w:sz w:val="18"/>
              </w:rPr>
              <w:t>6,147,2</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64.24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-24,330,</w:t>
            </w:r>
          </w:p>
          <w:p>
            <w:pPr>
              <w:pStyle w:val="TableParagraph"/>
              <w:spacing w:line="240" w:lineRule="auto" w:before="102"/>
              <w:ind w:left="117" w:right="0"/>
              <w:jc w:val="center"/>
              <w:rPr>
                <w:rFonts w:ascii="Times New Roman" w:hAnsi="Times New Roman" w:cs="Times New Roman" w:eastAsia="Times New Roman" w:hint="default"/>
                <w:sz w:val="18"/>
                <w:szCs w:val="18"/>
              </w:rPr>
            </w:pPr>
            <w:r>
              <w:rPr>
                <w:rFonts w:ascii="Times New Roman"/>
                <w:sz w:val="18"/>
              </w:rPr>
              <w:t>585.24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-6,119,7</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63.85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-24,303,</w:t>
            </w:r>
          </w:p>
          <w:p>
            <w:pPr>
              <w:pStyle w:val="TableParagraph"/>
              <w:spacing w:line="240" w:lineRule="auto" w:before="102"/>
              <w:ind w:left="107" w:right="0"/>
              <w:jc w:val="center"/>
              <w:rPr>
                <w:rFonts w:ascii="Times New Roman" w:hAnsi="Times New Roman" w:cs="Times New Roman" w:eastAsia="Times New Roman" w:hint="default"/>
                <w:sz w:val="18"/>
                <w:szCs w:val="18"/>
              </w:rPr>
            </w:pPr>
            <w:r>
              <w:rPr>
                <w:rFonts w:ascii="Times New Roman"/>
                <w:sz w:val="18"/>
              </w:rPr>
              <w:t>084.85</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6,147,2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64.24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-6,147,2</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64.24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-18,183,</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321.00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-6,119,7</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63.85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-24,303,</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084.85</w:t>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90,916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,605.0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-90,916,</w:t>
            </w:r>
          </w:p>
          <w:p>
            <w:pPr>
              <w:pStyle w:val="TableParagraph"/>
              <w:spacing w:line="240" w:lineRule="auto" w:before="105"/>
              <w:ind w:left="112" w:right="0"/>
              <w:jc w:val="center"/>
              <w:rPr>
                <w:rFonts w:ascii="Times New Roman" w:hAnsi="Times New Roman" w:cs="Times New Roman" w:eastAsia="Times New Roman" w:hint="default"/>
                <w:sz w:val="18"/>
                <w:szCs w:val="18"/>
              </w:rPr>
            </w:pPr>
            <w:r>
              <w:rPr>
                <w:rFonts w:ascii="Times New Roman"/>
                <w:sz w:val="18"/>
              </w:rPr>
              <w:t>605.00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90,916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,605.0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-90,916,</w:t>
            </w:r>
          </w:p>
          <w:p>
            <w:pPr>
              <w:pStyle w:val="TableParagraph"/>
              <w:spacing w:line="240" w:lineRule="auto" w:before="102"/>
              <w:ind w:left="112" w:right="0"/>
              <w:jc w:val="center"/>
              <w:rPr>
                <w:rFonts w:ascii="Times New Roman" w:hAnsi="Times New Roman" w:cs="Times New Roman" w:eastAsia="Times New Roman" w:hint="default"/>
                <w:sz w:val="18"/>
                <w:szCs w:val="18"/>
              </w:rPr>
            </w:pPr>
            <w:r>
              <w:rPr>
                <w:rFonts w:ascii="Times New Roman"/>
                <w:sz w:val="18"/>
              </w:rPr>
              <w:t>605.00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362"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6" w:right="0"/>
              <w:jc w:val="left"/>
              <w:rPr>
                <w:rFonts w:ascii="Times New Roman" w:hAnsi="Times New Roman" w:cs="Times New Roman" w:eastAsia="Times New Roman" w:hint="default"/>
                <w:sz w:val="18"/>
                <w:szCs w:val="18"/>
              </w:rPr>
            </w:pPr>
            <w:r>
              <w:rPr>
                <w:rFonts w:ascii="Times New Roman"/>
                <w:sz w:val="18"/>
              </w:rPr>
              <w:t>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9" w:right="0"/>
              <w:jc w:val="left"/>
              <w:rPr>
                <w:rFonts w:ascii="Times New Roman" w:hAnsi="Times New Roman" w:cs="Times New Roman" w:eastAsia="Times New Roman" w:hint="default"/>
                <w:sz w:val="18"/>
                <w:szCs w:val="18"/>
              </w:rPr>
            </w:pPr>
            <w:r>
              <w:rPr>
                <w:rFonts w:ascii="Times New Roman"/>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272,68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0,395.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136,555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,406.70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12,577,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560.00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-51,864.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35,711,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719.80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250,322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,437.14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12,958,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309.81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695,598</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,844.26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0"/>
        <w:gridCol w:w="530"/>
        <w:gridCol w:w="533"/>
        <w:gridCol w:w="662"/>
        <w:gridCol w:w="665"/>
        <w:gridCol w:w="667"/>
        <w:gridCol w:w="665"/>
        <w:gridCol w:w="662"/>
        <w:gridCol w:w="665"/>
        <w:gridCol w:w="679"/>
        <w:gridCol w:w="653"/>
        <w:gridCol w:w="658"/>
      </w:tblGrid>
      <w:tr>
        <w:trPr>
          <w:trHeight w:val="402" w:hRule="exact"/>
        </w:trPr>
        <w:tc>
          <w:tcPr>
            <w:tcW w:w="1426" w:type="dxa"/>
            <w:vMerge w:val="restart"/>
            <w:tcBorders>
              <w:top w:val="single" w:sz="4" w:space="0" w:color="000000"/>
              <w:left w:val="single" w:sz="4" w:space="0" w:color="000000"/>
              <w:right w:val="single" w:sz="4" w:space="0" w:color="000000"/>
            </w:tcBorders>
            <w:shd w:val="clear" w:color="auto" w:fill="D4D4D4"/>
          </w:tcPr>
          <w:p>
            <w:pPr/>
          </w:p>
        </w:tc>
        <w:tc>
          <w:tcPr>
            <w:tcW w:w="8131"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2" w:hRule="exact"/>
        </w:trPr>
        <w:tc>
          <w:tcPr>
            <w:tcW w:w="1426" w:type="dxa"/>
            <w:vMerge/>
            <w:tcBorders>
              <w:left w:val="single" w:sz="4" w:space="0" w:color="000000"/>
              <w:right w:val="single" w:sz="4" w:space="0" w:color="000000"/>
            </w:tcBorders>
            <w:shd w:val="clear" w:color="auto" w:fill="D4D4D4"/>
          </w:tcPr>
          <w:p>
            <w:pPr/>
          </w:p>
        </w:tc>
        <w:tc>
          <w:tcPr>
            <w:tcW w:w="6821" w:type="dxa"/>
            <w:gridSpan w:val="11"/>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4D4D4"/>
          </w:tcPr>
          <w:p>
            <w:pPr/>
          </w:p>
        </w:tc>
        <w:tc>
          <w:tcPr>
            <w:tcW w:w="65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0" w:hRule="exact"/>
        </w:trPr>
        <w:tc>
          <w:tcPr>
            <w:tcW w:w="1426" w:type="dxa"/>
            <w:vMerge/>
            <w:tcBorders>
              <w:left w:val="single" w:sz="4" w:space="0" w:color="000000"/>
              <w:bottom w:val="nil" w:sz="6" w:space="0" w:color="auto"/>
              <w:right w:val="single" w:sz="4" w:space="0" w:color="000000"/>
            </w:tcBorders>
            <w:shd w:val="clear" w:color="auto" w:fill="D4D4D4"/>
          </w:tcPr>
          <w:p>
            <w:pPr/>
          </w:p>
        </w:tc>
        <w:tc>
          <w:tcPr>
            <w:tcW w:w="6821" w:type="dxa"/>
            <w:gridSpan w:val="11"/>
            <w:vMerge/>
            <w:tcBorders>
              <w:left w:val="single" w:sz="4" w:space="0" w:color="000000"/>
              <w:bottom w:val="single" w:sz="4" w:space="0" w:color="000000"/>
              <w:right w:val="single" w:sz="4" w:space="0" w:color="000000"/>
            </w:tcBorders>
            <w:shd w:val="clear" w:color="auto" w:fill="D4D4D4"/>
          </w:tcPr>
          <w:p>
            <w:pPr/>
          </w:p>
        </w:tc>
        <w:tc>
          <w:tcPr>
            <w:tcW w:w="653" w:type="dxa"/>
            <w:vMerge/>
            <w:tcBorders>
              <w:left w:val="single" w:sz="4" w:space="0" w:color="000000"/>
              <w:bottom w:val="nil" w:sz="6" w:space="0" w:color="auto"/>
              <w:right w:val="single" w:sz="4" w:space="0" w:color="000000"/>
            </w:tcBorders>
            <w:shd w:val="clear" w:color="auto" w:fill="D4D4D4"/>
          </w:tcPr>
          <w:p>
            <w:pPr/>
          </w:p>
        </w:tc>
        <w:tc>
          <w:tcPr>
            <w:tcW w:w="658"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5" w:hRule="exact"/>
        </w:trPr>
        <w:tc>
          <w:tcPr>
            <w:tcW w:w="142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4D4D4"/>
          </w:tcPr>
          <w:p>
            <w:pPr/>
          </w:p>
        </w:tc>
        <w:tc>
          <w:tcPr>
            <w:tcW w:w="1594"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7"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2"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79" w:type="dxa"/>
            <w:tcBorders>
              <w:top w:val="single" w:sz="4" w:space="0" w:color="000000"/>
              <w:left w:val="single" w:sz="4" w:space="0" w:color="000000"/>
              <w:bottom w:val="nil" w:sz="6" w:space="0" w:color="auto"/>
              <w:right w:val="single" w:sz="4" w:space="0" w:color="000000"/>
            </w:tcBorders>
            <w:shd w:val="clear" w:color="auto" w:fill="D4D4D4"/>
          </w:tcPr>
          <w:p>
            <w:pPr/>
          </w:p>
        </w:tc>
        <w:tc>
          <w:tcPr>
            <w:tcW w:w="653"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55"/>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4D4D4"/>
          </w:tcPr>
          <w:p>
            <w:pPr/>
          </w:p>
        </w:tc>
      </w:tr>
      <w:tr>
        <w:trPr>
          <w:trHeight w:val="174" w:hRule="exact"/>
        </w:trPr>
        <w:tc>
          <w:tcPr>
            <w:tcW w:w="1426" w:type="dxa"/>
            <w:vMerge/>
            <w:tcBorders>
              <w:left w:val="single" w:sz="4" w:space="0" w:color="000000"/>
              <w:bottom w:val="nil" w:sz="6" w:space="0" w:color="auto"/>
              <w:right w:val="single" w:sz="4" w:space="0" w:color="000000"/>
            </w:tcBorders>
            <w:shd w:val="clear" w:color="auto" w:fill="D4D4D4"/>
          </w:tcPr>
          <w:p>
            <w:pPr/>
          </w:p>
        </w:tc>
        <w:tc>
          <w:tcPr>
            <w:tcW w:w="562" w:type="dxa"/>
            <w:vMerge/>
            <w:tcBorders>
              <w:left w:val="single" w:sz="4" w:space="0" w:color="000000"/>
              <w:bottom w:val="nil" w:sz="6" w:space="0" w:color="auto"/>
              <w:right w:val="single" w:sz="4" w:space="0" w:color="000000"/>
            </w:tcBorders>
            <w:shd w:val="clear" w:color="auto" w:fill="D4D4D4"/>
          </w:tcPr>
          <w:p>
            <w:pPr/>
          </w:p>
        </w:tc>
        <w:tc>
          <w:tcPr>
            <w:tcW w:w="1594" w:type="dxa"/>
            <w:gridSpan w:val="3"/>
            <w:vMerge/>
            <w:tcBorders>
              <w:left w:val="single" w:sz="4" w:space="0" w:color="000000"/>
              <w:bottom w:val="single" w:sz="4" w:space="0" w:color="000000"/>
              <w:right w:val="single" w:sz="4" w:space="0" w:color="000000"/>
            </w:tcBorders>
            <w:shd w:val="clear" w:color="auto" w:fill="D4D4D4"/>
          </w:tcPr>
          <w:p>
            <w:pPr/>
          </w:p>
        </w:tc>
        <w:tc>
          <w:tcPr>
            <w:tcW w:w="662"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7"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60"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9"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4D4D4"/>
          </w:tcPr>
          <w:p>
            <w:pPr/>
          </w:p>
        </w:tc>
        <w:tc>
          <w:tcPr>
            <w:tcW w:w="658" w:type="dxa"/>
            <w:vMerge/>
            <w:tcBorders>
              <w:left w:val="single" w:sz="4" w:space="0" w:color="000000"/>
              <w:right w:val="single" w:sz="4" w:space="0" w:color="000000"/>
            </w:tcBorders>
            <w:shd w:val="clear" w:color="auto" w:fill="D4D4D4"/>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4D4D4"/>
          </w:tcPr>
          <w:p>
            <w:pPr/>
          </w:p>
        </w:tc>
        <w:tc>
          <w:tcPr>
            <w:tcW w:w="5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31"/>
              <w:ind w:left="9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4D4D4"/>
          </w:tcPr>
          <w:p>
            <w:pP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7"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79" w:type="dxa"/>
            <w:vMerge/>
            <w:tcBorders>
              <w:left w:val="single" w:sz="4" w:space="0" w:color="000000"/>
              <w:right w:val="single" w:sz="4" w:space="0" w:color="000000"/>
            </w:tcBorders>
            <w:shd w:val="clear" w:color="auto" w:fill="D4D4D4"/>
          </w:tcPr>
          <w:p>
            <w:pPr/>
          </w:p>
        </w:tc>
        <w:tc>
          <w:tcPr>
            <w:tcW w:w="653" w:type="dxa"/>
            <w:vMerge/>
            <w:tcBorders>
              <w:left w:val="single" w:sz="4" w:space="0" w:color="000000"/>
              <w:right w:val="single" w:sz="4" w:space="0" w:color="000000"/>
            </w:tcBorders>
            <w:shd w:val="clear" w:color="auto" w:fill="D4D4D4"/>
          </w:tcPr>
          <w:p>
            <w:pPr/>
          </w:p>
        </w:tc>
        <w:tc>
          <w:tcPr>
            <w:tcW w:w="658" w:type="dxa"/>
            <w:vMerge/>
            <w:tcBorders>
              <w:left w:val="single" w:sz="4" w:space="0" w:color="000000"/>
              <w:right w:val="single" w:sz="4" w:space="0" w:color="000000"/>
            </w:tcBorders>
            <w:shd w:val="clear" w:color="auto" w:fill="D4D4D4"/>
          </w:tcPr>
          <w:p>
            <w:pPr/>
          </w:p>
        </w:tc>
      </w:tr>
      <w:tr>
        <w:trPr>
          <w:trHeight w:val="169" w:hRule="exact"/>
        </w:trPr>
        <w:tc>
          <w:tcPr>
            <w:tcW w:w="1426" w:type="dxa"/>
            <w:vMerge/>
            <w:tcBorders>
              <w:left w:val="single" w:sz="4" w:space="0" w:color="000000"/>
              <w:right w:val="single" w:sz="4" w:space="0" w:color="000000"/>
            </w:tcBorders>
            <w:shd w:val="clear" w:color="auto" w:fill="D4D4D4"/>
          </w:tcPr>
          <w:p>
            <w:pPr/>
          </w:p>
        </w:tc>
        <w:tc>
          <w:tcPr>
            <w:tcW w:w="562" w:type="dxa"/>
            <w:vMerge/>
            <w:tcBorders>
              <w:left w:val="single" w:sz="4" w:space="0" w:color="000000"/>
              <w:bottom w:val="nil" w:sz="6" w:space="0" w:color="auto"/>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7"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79" w:type="dxa"/>
            <w:vMerge/>
            <w:tcBorders>
              <w:left w:val="single" w:sz="4" w:space="0" w:color="000000"/>
              <w:right w:val="single" w:sz="4" w:space="0" w:color="000000"/>
            </w:tcBorders>
            <w:shd w:val="clear" w:color="auto" w:fill="D4D4D4"/>
          </w:tcPr>
          <w:p>
            <w:pPr/>
          </w:p>
        </w:tc>
        <w:tc>
          <w:tcPr>
            <w:tcW w:w="653" w:type="dxa"/>
            <w:vMerge/>
            <w:tcBorders>
              <w:left w:val="single" w:sz="4" w:space="0" w:color="000000"/>
              <w:bottom w:val="nil" w:sz="6" w:space="0" w:color="auto"/>
              <w:right w:val="single" w:sz="4" w:space="0" w:color="000000"/>
            </w:tcBorders>
            <w:shd w:val="clear" w:color="auto" w:fill="D4D4D4"/>
          </w:tcPr>
          <w:p>
            <w:pPr/>
          </w:p>
        </w:tc>
        <w:tc>
          <w:tcPr>
            <w:tcW w:w="658" w:type="dxa"/>
            <w:vMerge/>
            <w:tcBorders>
              <w:left w:val="single" w:sz="4" w:space="0" w:color="000000"/>
              <w:right w:val="single" w:sz="4" w:space="0" w:color="000000"/>
            </w:tcBorders>
            <w:shd w:val="clear" w:color="auto" w:fill="D4D4D4"/>
          </w:tcPr>
          <w:p>
            <w:pPr/>
          </w:p>
        </w:tc>
      </w:tr>
      <w:tr>
        <w:trPr>
          <w:trHeight w:val="156" w:hRule="exact"/>
        </w:trPr>
        <w:tc>
          <w:tcPr>
            <w:tcW w:w="1426" w:type="dxa"/>
            <w:vMerge/>
            <w:tcBorders>
              <w:left w:val="single" w:sz="4" w:space="0" w:color="000000"/>
              <w:right w:val="single" w:sz="4" w:space="0" w:color="000000"/>
            </w:tcBorders>
            <w:shd w:val="clear" w:color="auto" w:fill="D4D4D4"/>
          </w:tcPr>
          <w:p>
            <w:pPr/>
          </w:p>
        </w:tc>
        <w:tc>
          <w:tcPr>
            <w:tcW w:w="562" w:type="dxa"/>
            <w:vMerge w:val="restart"/>
            <w:tcBorders>
              <w:top w:val="nil" w:sz="6" w:space="0" w:color="auto"/>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3" w:type="dxa"/>
            <w:vMerge/>
            <w:tcBorders>
              <w:left w:val="single" w:sz="4" w:space="0" w:color="000000"/>
              <w:bottom w:val="nil" w:sz="6" w:space="0" w:color="auto"/>
              <w:right w:val="single" w:sz="4" w:space="0" w:color="000000"/>
            </w:tcBorders>
            <w:shd w:val="clear" w:color="auto" w:fill="D4D4D4"/>
          </w:tcPr>
          <w:p>
            <w:pPr/>
          </w:p>
        </w:tc>
        <w:tc>
          <w:tcPr>
            <w:tcW w:w="662"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7"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2"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79" w:type="dxa"/>
            <w:vMerge/>
            <w:tcBorders>
              <w:left w:val="single" w:sz="4" w:space="0" w:color="000000"/>
              <w:bottom w:val="nil" w:sz="6" w:space="0" w:color="auto"/>
              <w:right w:val="single" w:sz="4" w:space="0" w:color="000000"/>
            </w:tcBorders>
            <w:shd w:val="clear" w:color="auto" w:fill="D4D4D4"/>
          </w:tcPr>
          <w:p>
            <w:pPr/>
          </w:p>
        </w:tc>
        <w:tc>
          <w:tcPr>
            <w:tcW w:w="653" w:type="dxa"/>
            <w:vMerge w:val="restart"/>
            <w:tcBorders>
              <w:top w:val="nil" w:sz="6" w:space="0" w:color="auto"/>
              <w:left w:val="single" w:sz="4" w:space="0" w:color="000000"/>
              <w:right w:val="single" w:sz="4" w:space="0" w:color="000000"/>
            </w:tcBorders>
            <w:shd w:val="clear" w:color="auto" w:fill="D4D4D4"/>
          </w:tcPr>
          <w:p>
            <w:pPr/>
          </w:p>
        </w:tc>
        <w:tc>
          <w:tcPr>
            <w:tcW w:w="658" w:type="dxa"/>
            <w:vMerge/>
            <w:tcBorders>
              <w:left w:val="single" w:sz="4" w:space="0" w:color="000000"/>
              <w:bottom w:val="nil" w:sz="6" w:space="0" w:color="auto"/>
              <w:right w:val="single" w:sz="4" w:space="0" w:color="000000"/>
            </w:tcBorders>
            <w:shd w:val="clear" w:color="auto" w:fill="D4D4D4"/>
          </w:tcPr>
          <w:p>
            <w:pPr/>
          </w:p>
        </w:tc>
      </w:tr>
      <w:tr>
        <w:trPr>
          <w:trHeight w:val="227" w:hRule="exact"/>
        </w:trPr>
        <w:tc>
          <w:tcPr>
            <w:tcW w:w="1426" w:type="dxa"/>
            <w:vMerge/>
            <w:tcBorders>
              <w:left w:val="single" w:sz="4" w:space="0" w:color="000000"/>
              <w:bottom w:val="single" w:sz="4" w:space="0" w:color="000000"/>
              <w:right w:val="single" w:sz="4" w:space="0" w:color="000000"/>
            </w:tcBorders>
            <w:shd w:val="clear" w:color="auto" w:fill="D4D4D4"/>
          </w:tcPr>
          <w:p>
            <w:pPr/>
          </w:p>
        </w:tc>
        <w:tc>
          <w:tcPr>
            <w:tcW w:w="562" w:type="dxa"/>
            <w:vMerge/>
            <w:tcBorders>
              <w:left w:val="single" w:sz="4" w:space="0" w:color="000000"/>
              <w:bottom w:val="single" w:sz="4" w:space="0" w:color="000000"/>
              <w:right w:val="single" w:sz="4" w:space="0" w:color="000000"/>
            </w:tcBorders>
            <w:shd w:val="clear" w:color="auto" w:fill="D4D4D4"/>
          </w:tcPr>
          <w:p>
            <w:pPr/>
          </w:p>
        </w:tc>
        <w:tc>
          <w:tcPr>
            <w:tcW w:w="530" w:type="dxa"/>
            <w:vMerge/>
            <w:tcBorders>
              <w:left w:val="single" w:sz="4" w:space="0" w:color="000000"/>
              <w:bottom w:val="single" w:sz="4" w:space="0" w:color="000000"/>
              <w:right w:val="single" w:sz="4" w:space="0" w:color="000000"/>
            </w:tcBorders>
            <w:shd w:val="clear" w:color="auto" w:fill="D4D4D4"/>
          </w:tcPr>
          <w:p>
            <w:pPr/>
          </w:p>
        </w:tc>
        <w:tc>
          <w:tcPr>
            <w:tcW w:w="530" w:type="dxa"/>
            <w:vMerge/>
            <w:tcBorders>
              <w:left w:val="single" w:sz="4" w:space="0" w:color="000000"/>
              <w:bottom w:val="single" w:sz="4" w:space="0" w:color="000000"/>
              <w:right w:val="single" w:sz="4" w:space="0" w:color="000000"/>
            </w:tcBorders>
            <w:shd w:val="clear" w:color="auto" w:fill="D4D4D4"/>
          </w:tcPr>
          <w:p>
            <w:pPr/>
          </w:p>
        </w:tc>
        <w:tc>
          <w:tcPr>
            <w:tcW w:w="533" w:type="dxa"/>
            <w:tcBorders>
              <w:top w:val="nil" w:sz="6" w:space="0" w:color="auto"/>
              <w:left w:val="single" w:sz="4" w:space="0" w:color="000000"/>
              <w:bottom w:val="single" w:sz="4" w:space="0" w:color="000000"/>
              <w:right w:val="single" w:sz="4" w:space="0" w:color="000000"/>
            </w:tcBorders>
            <w:shd w:val="clear" w:color="auto" w:fill="D4D4D4"/>
          </w:tcPr>
          <w:p>
            <w:pPr/>
          </w:p>
        </w:tc>
        <w:tc>
          <w:tcPr>
            <w:tcW w:w="66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7"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79" w:type="dxa"/>
            <w:tcBorders>
              <w:top w:val="nil" w:sz="6" w:space="0" w:color="auto"/>
              <w:left w:val="single" w:sz="4" w:space="0" w:color="000000"/>
              <w:bottom w:val="single" w:sz="4" w:space="0" w:color="000000"/>
              <w:right w:val="single" w:sz="4" w:space="0" w:color="000000"/>
            </w:tcBorders>
            <w:shd w:val="clear" w:color="auto" w:fill="D4D4D4"/>
          </w:tcPr>
          <w:p>
            <w:pPr/>
          </w:p>
        </w:tc>
        <w:tc>
          <w:tcPr>
            <w:tcW w:w="653" w:type="dxa"/>
            <w:vMerge/>
            <w:tcBorders>
              <w:left w:val="single" w:sz="4" w:space="0" w:color="000000"/>
              <w:bottom w:val="single" w:sz="4" w:space="0" w:color="000000"/>
              <w:right w:val="single" w:sz="4" w:space="0" w:color="000000"/>
            </w:tcBorders>
            <w:shd w:val="clear" w:color="auto" w:fill="D4D4D4"/>
          </w:tcPr>
          <w:p>
            <w:pPr/>
          </w:p>
        </w:tc>
        <w:tc>
          <w:tcPr>
            <w:tcW w:w="65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19" w:hRule="exact"/>
        </w:trPr>
        <w:tc>
          <w:tcPr>
            <w:tcW w:w="1426"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9" w:space="0" w:color="D4D4D4"/>
              <w:right w:val="single" w:sz="4" w:space="0" w:color="000000"/>
            </w:tcBorders>
          </w:tcPr>
          <w:p>
            <w:pPr>
              <w:pStyle w:val="TableParagraph"/>
              <w:spacing w:line="240" w:lineRule="auto" w:before="93"/>
              <w:ind w:left="30" w:right="0"/>
              <w:jc w:val="left"/>
              <w:rPr>
                <w:rFonts w:ascii="Times New Roman" w:hAnsi="Times New Roman" w:cs="Times New Roman" w:eastAsia="Times New Roman" w:hint="default"/>
                <w:sz w:val="18"/>
                <w:szCs w:val="18"/>
              </w:rPr>
            </w:pPr>
            <w:r>
              <w:rPr>
                <w:rFonts w:ascii="Times New Roman"/>
                <w:sz w:val="18"/>
              </w:rPr>
              <w:t>139,53</w:t>
            </w:r>
          </w:p>
          <w:p>
            <w:pPr>
              <w:pStyle w:val="TableParagraph"/>
              <w:spacing w:line="240" w:lineRule="auto" w:before="102"/>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5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0.00</w:t>
            </w: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256,846</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,939.47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-215,18</w:t>
            </w:r>
          </w:p>
          <w:p>
            <w:pPr>
              <w:pStyle w:val="TableParagraph"/>
              <w:spacing w:line="240" w:lineRule="auto" w:before="102"/>
              <w:ind w:left="321" w:right="0"/>
              <w:jc w:val="left"/>
              <w:rPr>
                <w:rFonts w:ascii="Times New Roman" w:hAnsi="Times New Roman" w:cs="Times New Roman" w:eastAsia="Times New Roman" w:hint="default"/>
                <w:sz w:val="18"/>
                <w:szCs w:val="18"/>
              </w:rPr>
            </w:pPr>
            <w:r>
              <w:rPr>
                <w:rFonts w:ascii="Times New Roman"/>
                <w:sz w:val="18"/>
              </w:rPr>
              <w:t>6.78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22,993,</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921.70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177,513</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,586.83</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12,502,</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817.90</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609,172</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,079.12</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4D4D4"/>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4D4D4"/>
          </w:tcPr>
          <w:p>
            <w:pPr/>
          </w:p>
        </w:tc>
        <w:tc>
          <w:tcPr>
            <w:tcW w:w="562" w:type="dxa"/>
            <w:vMerge/>
            <w:tcBorders>
              <w:left w:val="single" w:sz="9" w:space="0" w:color="D4D4D4"/>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9" w:space="0" w:color="D4D4D4"/>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139,53</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5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0.00</w:t>
            </w: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256,846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,939.47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-215,18</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6.78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22,993,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921.70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177,513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,586.83</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12,502,</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817.90</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609,172</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,079.12</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4D4D4"/>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4D4D4"/>
          </w:tcPr>
          <w:p>
            <w:pPr/>
          </w:p>
        </w:tc>
        <w:tc>
          <w:tcPr>
            <w:tcW w:w="562" w:type="dxa"/>
            <w:vMerge/>
            <w:tcBorders>
              <w:left w:val="single" w:sz="9" w:space="0" w:color="D4D4D4"/>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027"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1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42,436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-27,357,</w:t>
            </w:r>
          </w:p>
          <w:p>
            <w:pPr>
              <w:pStyle w:val="TableParagraph"/>
              <w:spacing w:line="240" w:lineRule="auto" w:before="102"/>
              <w:ind w:left="115" w:right="0"/>
              <w:jc w:val="center"/>
              <w:rPr>
                <w:rFonts w:ascii="Times New Roman" w:hAnsi="Times New Roman" w:cs="Times New Roman" w:eastAsia="Times New Roman" w:hint="default"/>
                <w:sz w:val="18"/>
                <w:szCs w:val="18"/>
              </w:rPr>
            </w:pPr>
            <w:r>
              <w:rPr>
                <w:rFonts w:ascii="Times New Roman"/>
                <w:sz w:val="18"/>
              </w:rPr>
              <w:t>825.42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9,198.3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6,570,5</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33.86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51,837,</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339.18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8,279,0</w:t>
            </w:r>
          </w:p>
          <w:p>
            <w:pPr>
              <w:pStyle w:val="TableParagraph"/>
              <w:spacing w:line="240" w:lineRule="auto" w:before="102"/>
              <w:ind w:left="192" w:right="0"/>
              <w:jc w:val="center"/>
              <w:rPr>
                <w:rFonts w:ascii="Times New Roman" w:hAnsi="Times New Roman" w:cs="Times New Roman" w:eastAsia="Times New Roman" w:hint="default"/>
                <w:sz w:val="18"/>
                <w:szCs w:val="18"/>
              </w:rPr>
            </w:pPr>
            <w:r>
              <w:rPr>
                <w:rFonts w:ascii="Times New Roman"/>
                <w:sz w:val="18"/>
              </w:rPr>
              <w:t>91.79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81,774,</w:t>
            </w:r>
          </w:p>
          <w:p>
            <w:pPr>
              <w:pStyle w:val="TableParagraph"/>
              <w:spacing w:line="240" w:lineRule="auto" w:before="102"/>
              <w:ind w:left="132" w:right="0"/>
              <w:jc w:val="left"/>
              <w:rPr>
                <w:rFonts w:ascii="Times New Roman" w:hAnsi="Times New Roman" w:cs="Times New Roman" w:eastAsia="Times New Roman" w:hint="default"/>
                <w:sz w:val="18"/>
                <w:szCs w:val="18"/>
              </w:rPr>
            </w:pPr>
            <w:r>
              <w:rPr>
                <w:rFonts w:ascii="Times New Roman"/>
                <w:sz w:val="18"/>
              </w:rPr>
              <w:t>797.72</w:t>
            </w: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9,198.3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72,347,</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373.04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2,779,0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91.79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75,135,</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663.14</w:t>
            </w: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617,96</w:t>
            </w:r>
          </w:p>
          <w:p>
            <w:pPr>
              <w:pStyle w:val="TableParagraph"/>
              <w:spacing w:line="240" w:lineRule="auto" w:before="102"/>
              <w:ind w:left="188"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14,453,</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594.58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 w:right="0"/>
              <w:jc w:val="center"/>
              <w:rPr>
                <w:rFonts w:ascii="Times New Roman" w:hAnsi="Times New Roman" w:cs="Times New Roman" w:eastAsia="Times New Roman" w:hint="default"/>
                <w:sz w:val="18"/>
                <w:szCs w:val="18"/>
              </w:rPr>
            </w:pPr>
            <w:r>
              <w:rPr>
                <w:rFonts w:ascii="Times New Roman"/>
                <w:sz w:val="18"/>
              </w:rPr>
              <w:t>5,500,0</w:t>
            </w:r>
          </w:p>
          <w:p>
            <w:pPr>
              <w:pStyle w:val="TableParagraph"/>
              <w:spacing w:line="240" w:lineRule="auto" w:before="102"/>
              <w:ind w:left="192" w:right="0"/>
              <w:jc w:val="center"/>
              <w:rPr>
                <w:rFonts w:ascii="Times New Roman" w:hAnsi="Times New Roman" w:cs="Times New Roman" w:eastAsia="Times New Roman" w:hint="default"/>
                <w:sz w:val="18"/>
                <w:szCs w:val="18"/>
              </w:rPr>
            </w:pPr>
            <w:r>
              <w:rPr>
                <w:rFonts w:ascii="Times New Roman"/>
                <w:sz w:val="18"/>
              </w:rPr>
              <w:t>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20,571,</w:t>
            </w:r>
          </w:p>
          <w:p>
            <w:pPr>
              <w:pStyle w:val="TableParagraph"/>
              <w:spacing w:line="240" w:lineRule="auto" w:before="102"/>
              <w:ind w:left="132" w:right="0"/>
              <w:jc w:val="left"/>
              <w:rPr>
                <w:rFonts w:ascii="Times New Roman" w:hAnsi="Times New Roman" w:cs="Times New Roman" w:eastAsia="Times New Roman" w:hint="default"/>
                <w:sz w:val="18"/>
                <w:szCs w:val="18"/>
              </w:rPr>
            </w:pPr>
            <w:r>
              <w:rPr>
                <w:rFonts w:ascii="Times New Roman"/>
                <w:sz w:val="18"/>
              </w:rPr>
              <w:t>554.58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0"/>
        <w:gridCol w:w="530"/>
        <w:gridCol w:w="533"/>
        <w:gridCol w:w="662"/>
        <w:gridCol w:w="665"/>
        <w:gridCol w:w="667"/>
        <w:gridCol w:w="665"/>
        <w:gridCol w:w="662"/>
        <w:gridCol w:w="665"/>
        <w:gridCol w:w="679"/>
        <w:gridCol w:w="653"/>
        <w:gridCol w:w="658"/>
      </w:tblGrid>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617,96</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7,163,2</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42.00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5,500,0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13,281,</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202.00</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7,290,3</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52.58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7,290,3</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52.58</w:t>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6,570,5</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33.86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-20,510,</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033.86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-13,939,</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500.00</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6,570,5</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33.86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-6,570,5</w:t>
            </w:r>
          </w:p>
          <w:p>
            <w:pPr>
              <w:pStyle w:val="TableParagraph"/>
              <w:spacing w:line="240" w:lineRule="auto" w:before="102"/>
              <w:ind w:left="218" w:right="0"/>
              <w:jc w:val="center"/>
              <w:rPr>
                <w:rFonts w:ascii="Times New Roman" w:hAnsi="Times New Roman" w:cs="Times New Roman" w:eastAsia="Times New Roman" w:hint="default"/>
                <w:sz w:val="18"/>
                <w:szCs w:val="18"/>
              </w:rPr>
            </w:pPr>
            <w:r>
              <w:rPr>
                <w:rFonts w:ascii="Times New Roman"/>
                <w:sz w:val="18"/>
              </w:rPr>
              <w:t>33.86</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-13,939,</w:t>
            </w:r>
          </w:p>
          <w:p>
            <w:pPr>
              <w:pStyle w:val="TableParagraph"/>
              <w:spacing w:line="240" w:lineRule="auto" w:before="102"/>
              <w:ind w:left="127" w:right="0"/>
              <w:jc w:val="center"/>
              <w:rPr>
                <w:rFonts w:ascii="Times New Roman" w:hAnsi="Times New Roman" w:cs="Times New Roman" w:eastAsia="Times New Roman" w:hint="default"/>
                <w:sz w:val="18"/>
                <w:szCs w:val="18"/>
              </w:rPr>
            </w:pPr>
            <w:r>
              <w:rPr>
                <w:rFonts w:ascii="Times New Roman"/>
                <w:sz w:val="18"/>
              </w:rPr>
              <w:t>500.00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-13,939,</w:t>
            </w:r>
          </w:p>
          <w:p>
            <w:pPr>
              <w:pStyle w:val="TableParagraph"/>
              <w:spacing w:line="240" w:lineRule="auto" w:before="102"/>
              <w:ind w:left="110" w:right="0"/>
              <w:jc w:val="center"/>
              <w:rPr>
                <w:rFonts w:ascii="Times New Roman" w:hAnsi="Times New Roman" w:cs="Times New Roman" w:eastAsia="Times New Roman" w:hint="default"/>
                <w:sz w:val="18"/>
                <w:szCs w:val="18"/>
              </w:rPr>
            </w:pPr>
            <w:r>
              <w:rPr>
                <w:rFonts w:ascii="Times New Roman"/>
                <w:sz w:val="18"/>
              </w:rPr>
              <w:t>500.00</w:t>
            </w: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41,818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-41,818,</w:t>
            </w:r>
          </w:p>
          <w:p>
            <w:pPr>
              <w:pStyle w:val="TableParagraph"/>
              <w:spacing w:line="240" w:lineRule="auto" w:before="102"/>
              <w:ind w:left="115" w:right="0"/>
              <w:jc w:val="center"/>
              <w:rPr>
                <w:rFonts w:ascii="Times New Roman" w:hAnsi="Times New Roman" w:cs="Times New Roman" w:eastAsia="Times New Roman" w:hint="default"/>
                <w:sz w:val="18"/>
                <w:szCs w:val="18"/>
              </w:rPr>
            </w:pPr>
            <w:r>
              <w:rPr>
                <w:rFonts w:ascii="Times New Roman"/>
                <w:sz w:val="18"/>
              </w:rPr>
              <w:t>500.00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41,818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-41,818,</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500.00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1"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7,080.0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7,080.0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181,96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6,460.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229,489</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,114.05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-205,98</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8.47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29,564,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455.56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229,350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,926.01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20,781,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909.69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690,946</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,876.84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2"/>
        <w:rPr>
          <w:rFonts w:ascii="Times New Roman" w:hAnsi="Times New Roman" w:cs="Times New Roman" w:eastAsia="Times New Roman" w:hint="default"/>
          <w:sz w:val="28"/>
          <w:szCs w:val="28"/>
        </w:rPr>
      </w:pPr>
    </w:p>
    <w:p>
      <w:pPr>
        <w:pStyle w:val="Heading6"/>
        <w:spacing w:line="240" w:lineRule="auto" w:before="36"/>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bookmarkStart w:name="8、母公司所有者权益变动表" w:id="153"/>
      <w:bookmarkEnd w:id="153"/>
      <w:r>
        <w:rPr/>
      </w:r>
      <w:r>
        <w:rPr>
          <w:rFonts w:ascii="宋体" w:hAnsi="宋体" w:cs="宋体" w:eastAsia="宋体" w:hint="default"/>
          <w:sz w:val="18"/>
          <w:szCs w:val="18"/>
        </w:rPr>
        <w:t>本期金额</w:t>
      </w:r>
    </w:p>
    <w:p>
      <w:pPr>
        <w:spacing w:before="115"/>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799"/>
        <w:gridCol w:w="797"/>
        <w:gridCol w:w="677"/>
        <w:gridCol w:w="780"/>
      </w:tblGrid>
      <w:tr>
        <w:trPr>
          <w:trHeight w:val="396" w:hRule="exact"/>
        </w:trPr>
        <w:tc>
          <w:tcPr>
            <w:tcW w:w="1428" w:type="dxa"/>
            <w:tcBorders>
              <w:top w:val="single" w:sz="4" w:space="0" w:color="000000"/>
              <w:left w:val="single" w:sz="4" w:space="0" w:color="000000"/>
              <w:bottom w:val="nil" w:sz="6" w:space="0" w:color="auto"/>
              <w:right w:val="single" w:sz="4" w:space="0" w:color="000000"/>
            </w:tcBorders>
            <w:shd w:val="clear" w:color="auto" w:fill="D4D4D4"/>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6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4D4D4"/>
          </w:tcPr>
          <w:p>
            <w:pPr/>
          </w:p>
        </w:tc>
        <w:tc>
          <w:tcPr>
            <w:tcW w:w="1997"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67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8" w:type="dxa"/>
            <w:vMerge/>
            <w:tcBorders>
              <w:left w:val="single" w:sz="4" w:space="0" w:color="000000"/>
              <w:bottom w:val="nil" w:sz="6" w:space="0" w:color="auto"/>
              <w:right w:val="single" w:sz="4" w:space="0" w:color="000000"/>
            </w:tcBorders>
            <w:shd w:val="clear" w:color="auto" w:fill="D4D4D4"/>
          </w:tcPr>
          <w:p>
            <w:pPr/>
          </w:p>
        </w:tc>
        <w:tc>
          <w:tcPr>
            <w:tcW w:w="69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202" w:hRule="exact"/>
        </w:trPr>
        <w:tc>
          <w:tcPr>
            <w:tcW w:w="1428" w:type="dxa"/>
            <w:vMerge w:val="restart"/>
            <w:tcBorders>
              <w:top w:val="nil" w:sz="6" w:space="0" w:color="auto"/>
              <w:left w:val="single" w:sz="4" w:space="0" w:color="000000"/>
              <w:right w:val="single" w:sz="4" w:space="0" w:color="000000"/>
            </w:tcBorders>
            <w:shd w:val="clear" w:color="auto" w:fill="D4D4D4"/>
          </w:tcPr>
          <w:p>
            <w:pPr/>
          </w:p>
        </w:tc>
        <w:tc>
          <w:tcPr>
            <w:tcW w:w="691" w:type="dxa"/>
            <w:vMerge/>
            <w:tcBorders>
              <w:left w:val="single" w:sz="4" w:space="0" w:color="000000"/>
              <w:bottom w:val="nil" w:sz="6" w:space="0" w:color="auto"/>
              <w:right w:val="single" w:sz="4" w:space="0" w:color="000000"/>
            </w:tcBorders>
            <w:shd w:val="clear" w:color="auto" w:fill="D4D4D4"/>
          </w:tcPr>
          <w:p>
            <w:pP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204" w:hRule="exact"/>
        </w:trPr>
        <w:tc>
          <w:tcPr>
            <w:tcW w:w="1428" w:type="dxa"/>
            <w:vMerge/>
            <w:tcBorders>
              <w:left w:val="single" w:sz="4" w:space="0" w:color="000000"/>
              <w:bottom w:val="single" w:sz="4" w:space="0" w:color="000000"/>
              <w:right w:val="single" w:sz="4" w:space="0" w:color="000000"/>
            </w:tcBorders>
            <w:shd w:val="clear" w:color="auto" w:fill="D4D4D4"/>
          </w:tcPr>
          <w:p>
            <w:pPr/>
          </w:p>
        </w:tc>
        <w:tc>
          <w:tcPr>
            <w:tcW w:w="691"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7"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9"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677" w:type="dxa"/>
            <w:vMerge/>
            <w:tcBorders>
              <w:left w:val="single" w:sz="4" w:space="0" w:color="000000"/>
              <w:bottom w:val="single" w:sz="4" w:space="0" w:color="000000"/>
              <w:right w:val="single" w:sz="4" w:space="0" w:color="000000"/>
            </w:tcBorders>
            <w:shd w:val="clear" w:color="auto" w:fill="D4D4D4"/>
          </w:tcPr>
          <w:p>
            <w:pPr/>
          </w:p>
        </w:tc>
        <w:tc>
          <w:tcPr>
            <w:tcW w:w="780" w:type="dxa"/>
            <w:vMerge/>
            <w:tcBorders>
              <w:left w:val="single" w:sz="4" w:space="0" w:color="000000"/>
              <w:bottom w:val="single" w:sz="4" w:space="0" w:color="000000"/>
              <w:right w:val="single" w:sz="4" w:space="0" w:color="000000"/>
            </w:tcBorders>
            <w:shd w:val="clear" w:color="auto" w:fill="D4D4D4"/>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4D4D4"/>
          </w:tcPr>
          <w:p>
            <w:pPr/>
          </w:p>
        </w:tc>
        <w:tc>
          <w:tcPr>
            <w:tcW w:w="691" w:type="dxa"/>
            <w:vMerge w:val="restart"/>
            <w:tcBorders>
              <w:top w:val="single" w:sz="4" w:space="0" w:color="000000"/>
              <w:left w:val="single" w:sz="10" w:space="0" w:color="D4D4D4"/>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181,966,</w:t>
            </w:r>
          </w:p>
          <w:p>
            <w:pPr>
              <w:pStyle w:val="TableParagraph"/>
              <w:spacing w:line="240" w:lineRule="auto" w:before="102"/>
              <w:ind w:left="141" w:right="0"/>
              <w:jc w:val="center"/>
              <w:rPr>
                <w:rFonts w:ascii="Times New Roman" w:hAnsi="Times New Roman" w:cs="Times New Roman" w:eastAsia="Times New Roman" w:hint="default"/>
                <w:sz w:val="18"/>
                <w:szCs w:val="18"/>
              </w:rPr>
            </w:pPr>
            <w:r>
              <w:rPr>
                <w:rFonts w:ascii="Times New Roman"/>
                <w:sz w:val="18"/>
              </w:rPr>
              <w:t>460.00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229,489,1</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14.05</w:t>
            </w:r>
          </w:p>
        </w:tc>
        <w:tc>
          <w:tcPr>
            <w:tcW w:w="797" w:type="dxa"/>
            <w:vMerge w:val="restart"/>
            <w:tcBorders>
              <w:top w:val="single" w:sz="17" w:space="0" w:color="D4D4D4"/>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17" w:space="0" w:color="D4D4D4"/>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29,564,45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5.56</w:t>
            </w:r>
          </w:p>
        </w:tc>
        <w:tc>
          <w:tcPr>
            <w:tcW w:w="677" w:type="dxa"/>
            <w:vMerge w:val="restart"/>
            <w:tcBorders>
              <w:top w:val="single" w:sz="17" w:space="0" w:color="D4D4D4"/>
              <w:left w:val="single" w:sz="4" w:space="0" w:color="000000"/>
              <w:right w:val="single" w:sz="4" w:space="0" w:color="000000"/>
            </w:tcBorders>
          </w:tcPr>
          <w:p>
            <w:pPr>
              <w:pStyle w:val="TableParagraph"/>
              <w:spacing w:line="240" w:lineRule="auto" w:before="76"/>
              <w:ind w:left="57" w:right="0"/>
              <w:jc w:val="left"/>
              <w:rPr>
                <w:rFonts w:ascii="Times New Roman" w:hAnsi="Times New Roman" w:cs="Times New Roman" w:eastAsia="Times New Roman" w:hint="default"/>
                <w:sz w:val="18"/>
                <w:szCs w:val="18"/>
              </w:rPr>
            </w:pPr>
            <w:r>
              <w:rPr>
                <w:rFonts w:ascii="Times New Roman"/>
                <w:sz w:val="18"/>
              </w:rPr>
              <w:t>218,674</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,443.80</w:t>
            </w:r>
          </w:p>
        </w:tc>
        <w:tc>
          <w:tcPr>
            <w:tcW w:w="780" w:type="dxa"/>
            <w:vMerge w:val="restart"/>
            <w:tcBorders>
              <w:top w:val="single" w:sz="17" w:space="0" w:color="D4D4D4"/>
              <w:left w:val="single" w:sz="4" w:space="0" w:color="000000"/>
              <w:right w:val="single" w:sz="4" w:space="0" w:color="000000"/>
            </w:tcBorders>
          </w:tcPr>
          <w:p>
            <w:pPr>
              <w:pStyle w:val="TableParagraph"/>
              <w:spacing w:line="240" w:lineRule="auto" w:before="76"/>
              <w:ind w:left="28" w:right="0"/>
              <w:jc w:val="left"/>
              <w:rPr>
                <w:rFonts w:ascii="Times New Roman" w:hAnsi="Times New Roman" w:cs="Times New Roman" w:eastAsia="Times New Roman" w:hint="default"/>
                <w:sz w:val="18"/>
                <w:szCs w:val="18"/>
              </w:rPr>
            </w:pPr>
            <w:r>
              <w:rPr>
                <w:rFonts w:ascii="Times New Roman"/>
                <w:sz w:val="18"/>
              </w:rPr>
              <w:t>659,694,4</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73.41</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4D4D4"/>
          </w:tcPr>
          <w:p>
            <w:pPr/>
          </w:p>
        </w:tc>
        <w:tc>
          <w:tcPr>
            <w:tcW w:w="691"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4D4D4"/>
          </w:tcPr>
          <w:p>
            <w:pPr/>
          </w:p>
        </w:tc>
        <w:tc>
          <w:tcPr>
            <w:tcW w:w="691" w:type="dxa"/>
            <w:vMerge w:val="restart"/>
            <w:tcBorders>
              <w:top w:val="single" w:sz="4" w:space="0" w:color="000000"/>
              <w:left w:val="single" w:sz="10" w:space="0" w:color="D4D4D4"/>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181,966,</w:t>
            </w:r>
          </w:p>
          <w:p>
            <w:pPr>
              <w:pStyle w:val="TableParagraph"/>
              <w:spacing w:line="240" w:lineRule="auto" w:before="102"/>
              <w:ind w:left="141" w:right="0"/>
              <w:jc w:val="center"/>
              <w:rPr>
                <w:rFonts w:ascii="Times New Roman" w:hAnsi="Times New Roman" w:cs="Times New Roman" w:eastAsia="Times New Roman" w:hint="default"/>
                <w:sz w:val="18"/>
                <w:szCs w:val="18"/>
              </w:rPr>
            </w:pPr>
            <w:r>
              <w:rPr>
                <w:rFonts w:ascii="Times New Roman"/>
                <w:sz w:val="18"/>
              </w:rPr>
              <w:t>460.00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229,489,1</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14.05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29,564,45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5.56</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218,674</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,443.80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659,694,4</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73.41</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4D4D4"/>
          </w:tcPr>
          <w:p>
            <w:pPr/>
          </w:p>
        </w:tc>
        <w:tc>
          <w:tcPr>
            <w:tcW w:w="691"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90,713,9</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35.00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-92,933,7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07.35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12,577,56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6,147,264</w:t>
            </w:r>
            <w:r>
              <w:rPr>
                <w:rFonts w:ascii="Times New Roman"/>
                <w:sz w:val="18"/>
              </w:rPr>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37,142,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057.15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28,491,98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9.04</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61,472,</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642.39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61,472,64</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2.39</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-202,67</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-2,017,10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12,577,56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-14,797,3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32.35</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-202,67</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-1,003,75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12,577,56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-13,783,9</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82.34</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-1,013,35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-1,013,35</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0.01</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4D4D4"/>
          </w:tcPr>
          <w:p>
            <w:pPr/>
          </w:p>
        </w:tc>
        <w:tc>
          <w:tcPr>
            <w:tcW w:w="691" w:type="dxa"/>
            <w:vMerge w:val="restart"/>
            <w:tcBorders>
              <w:top w:val="single" w:sz="4" w:space="0" w:color="000000"/>
              <w:left w:val="single" w:sz="10" w:space="0" w:color="D4D4D4"/>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6,147,264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.24</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-24,330,</w:t>
            </w:r>
          </w:p>
          <w:p>
            <w:pPr>
              <w:pStyle w:val="TableParagraph"/>
              <w:spacing w:line="240" w:lineRule="auto" w:before="102"/>
              <w:ind w:left="124" w:right="0"/>
              <w:jc w:val="center"/>
              <w:rPr>
                <w:rFonts w:ascii="Times New Roman" w:hAnsi="Times New Roman" w:cs="Times New Roman" w:eastAsia="Times New Roman" w:hint="default"/>
                <w:sz w:val="18"/>
                <w:szCs w:val="18"/>
              </w:rPr>
            </w:pPr>
            <w:r>
              <w:rPr>
                <w:rFonts w:ascii="Times New Roman"/>
                <w:sz w:val="18"/>
              </w:rPr>
              <w:t>585.24</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-18,183,3</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21.00</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4D4D4"/>
          </w:tcPr>
          <w:p>
            <w:pPr/>
          </w:p>
        </w:tc>
        <w:tc>
          <w:tcPr>
            <w:tcW w:w="691"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4D4D4"/>
          </w:tcPr>
          <w:p>
            <w:pPr/>
          </w:p>
        </w:tc>
        <w:tc>
          <w:tcPr>
            <w:tcW w:w="691" w:type="dxa"/>
            <w:vMerge w:val="restart"/>
            <w:tcBorders>
              <w:top w:val="single" w:sz="4" w:space="0" w:color="000000"/>
              <w:left w:val="single" w:sz="10" w:space="0" w:color="D4D4D4"/>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6,147,264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.24</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-6,147,2</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64.24</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4D4D4"/>
          </w:tcPr>
          <w:p>
            <w:pPr/>
          </w:p>
        </w:tc>
        <w:tc>
          <w:tcPr>
            <w:tcW w:w="691"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-18,183,</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321.00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-18,183,3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21.00</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90,916,6</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-90,916,6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90,916,6</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-90,916,6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05.00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8"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272,680,</w:t>
            </w:r>
          </w:p>
          <w:p>
            <w:pPr>
              <w:pStyle w:val="TableParagraph"/>
              <w:spacing w:line="240" w:lineRule="auto" w:before="102"/>
              <w:ind w:left="148" w:right="0"/>
              <w:jc w:val="center"/>
              <w:rPr>
                <w:rFonts w:ascii="Times New Roman" w:hAnsi="Times New Roman" w:cs="Times New Roman" w:eastAsia="Times New Roman" w:hint="default"/>
                <w:sz w:val="18"/>
                <w:szCs w:val="18"/>
              </w:rPr>
            </w:pPr>
            <w:r>
              <w:rPr>
                <w:rFonts w:ascii="Times New Roman"/>
                <w:sz w:val="18"/>
              </w:rPr>
              <w:t>395.00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136,555,4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06.70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12,577,56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35,711,71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9.80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255,816</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,500.95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688,186,4</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62.45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29"/>
        <w:gridCol w:w="702"/>
        <w:gridCol w:w="665"/>
        <w:gridCol w:w="667"/>
        <w:gridCol w:w="665"/>
        <w:gridCol w:w="797"/>
        <w:gridCol w:w="797"/>
        <w:gridCol w:w="797"/>
        <w:gridCol w:w="799"/>
        <w:gridCol w:w="797"/>
        <w:gridCol w:w="677"/>
        <w:gridCol w:w="780"/>
      </w:tblGrid>
      <w:tr>
        <w:trPr>
          <w:trHeight w:val="398" w:hRule="exact"/>
        </w:trPr>
        <w:tc>
          <w:tcPr>
            <w:tcW w:w="1429"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2"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2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8"/>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2" w:type="dxa"/>
            <w:tcBorders>
              <w:top w:val="single" w:sz="4" w:space="0" w:color="000000"/>
              <w:left w:val="single" w:sz="4" w:space="0" w:color="000000"/>
              <w:bottom w:val="nil" w:sz="6" w:space="0" w:color="auto"/>
              <w:right w:val="single" w:sz="4" w:space="0" w:color="000000"/>
            </w:tcBorders>
            <w:shd w:val="clear" w:color="auto" w:fill="D4D4D4"/>
          </w:tcPr>
          <w:p>
            <w:pPr/>
          </w:p>
        </w:tc>
        <w:tc>
          <w:tcPr>
            <w:tcW w:w="1997"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99"/>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677"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1429" w:type="dxa"/>
            <w:vMerge/>
            <w:tcBorders>
              <w:left w:val="single" w:sz="4" w:space="0" w:color="000000"/>
              <w:bottom w:val="nil" w:sz="6" w:space="0" w:color="auto"/>
              <w:right w:val="single" w:sz="4" w:space="0" w:color="000000"/>
            </w:tcBorders>
            <w:shd w:val="clear" w:color="auto" w:fill="D4D4D4"/>
          </w:tcPr>
          <w:p>
            <w:pPr/>
          </w:p>
        </w:tc>
        <w:tc>
          <w:tcPr>
            <w:tcW w:w="70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202" w:hRule="exact"/>
        </w:trPr>
        <w:tc>
          <w:tcPr>
            <w:tcW w:w="1429" w:type="dxa"/>
            <w:vMerge w:val="restart"/>
            <w:tcBorders>
              <w:top w:val="nil" w:sz="6" w:space="0" w:color="auto"/>
              <w:left w:val="single" w:sz="4" w:space="0" w:color="000000"/>
              <w:right w:val="single" w:sz="4" w:space="0" w:color="000000"/>
            </w:tcBorders>
            <w:shd w:val="clear" w:color="auto" w:fill="D4D4D4"/>
          </w:tcPr>
          <w:p>
            <w:pPr/>
          </w:p>
        </w:tc>
        <w:tc>
          <w:tcPr>
            <w:tcW w:w="702" w:type="dxa"/>
            <w:vMerge/>
            <w:tcBorders>
              <w:left w:val="single" w:sz="4" w:space="0" w:color="000000"/>
              <w:bottom w:val="nil" w:sz="6" w:space="0" w:color="auto"/>
              <w:right w:val="single" w:sz="4" w:space="0" w:color="000000"/>
            </w:tcBorders>
            <w:shd w:val="clear" w:color="auto" w:fill="D4D4D4"/>
          </w:tcPr>
          <w:p>
            <w:pP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206" w:hRule="exact"/>
        </w:trPr>
        <w:tc>
          <w:tcPr>
            <w:tcW w:w="1429" w:type="dxa"/>
            <w:vMerge/>
            <w:tcBorders>
              <w:left w:val="single" w:sz="4" w:space="0" w:color="000000"/>
              <w:bottom w:val="single" w:sz="4" w:space="0" w:color="000000"/>
              <w:right w:val="single" w:sz="4" w:space="0" w:color="000000"/>
            </w:tcBorders>
            <w:shd w:val="clear" w:color="auto" w:fill="D4D4D4"/>
          </w:tcPr>
          <w:p>
            <w:pPr/>
          </w:p>
        </w:tc>
        <w:tc>
          <w:tcPr>
            <w:tcW w:w="70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7"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9"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677" w:type="dxa"/>
            <w:vMerge/>
            <w:tcBorders>
              <w:left w:val="single" w:sz="4" w:space="0" w:color="000000"/>
              <w:bottom w:val="single" w:sz="4" w:space="0" w:color="000000"/>
              <w:right w:val="single" w:sz="4" w:space="0" w:color="000000"/>
            </w:tcBorders>
            <w:shd w:val="clear" w:color="auto" w:fill="D4D4D4"/>
          </w:tcPr>
          <w:p>
            <w:pPr/>
          </w:p>
        </w:tc>
        <w:tc>
          <w:tcPr>
            <w:tcW w:w="780"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1429" w:type="dxa"/>
            <w:tcBorders>
              <w:top w:val="single" w:sz="4" w:space="0" w:color="000000"/>
              <w:left w:val="single" w:sz="4" w:space="0" w:color="000000"/>
              <w:bottom w:val="nil" w:sz="6" w:space="0" w:color="auto"/>
              <w:right w:val="single" w:sz="4" w:space="0" w:color="000000"/>
            </w:tcBorders>
            <w:shd w:val="clear" w:color="auto" w:fill="D4D4D4"/>
          </w:tcPr>
          <w:p>
            <w:pPr/>
          </w:p>
        </w:tc>
        <w:tc>
          <w:tcPr>
            <w:tcW w:w="702" w:type="dxa"/>
            <w:vMerge w:val="restart"/>
            <w:tcBorders>
              <w:top w:val="single" w:sz="4" w:space="0" w:color="000000"/>
              <w:left w:val="single" w:sz="10" w:space="0" w:color="D4D4D4"/>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139,530,</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256,846,9</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39.47</w:t>
            </w:r>
          </w:p>
        </w:tc>
        <w:tc>
          <w:tcPr>
            <w:tcW w:w="797" w:type="dxa"/>
            <w:vMerge w:val="restart"/>
            <w:tcBorders>
              <w:top w:val="single" w:sz="22" w:space="0" w:color="D4D4D4"/>
              <w:left w:val="single" w:sz="4" w:space="0" w:color="000000"/>
              <w:right w:val="single" w:sz="4" w:space="0" w:color="000000"/>
            </w:tcBorders>
          </w:tcPr>
          <w:p>
            <w:pPr/>
          </w:p>
        </w:tc>
        <w:tc>
          <w:tcPr>
            <w:tcW w:w="797" w:type="dxa"/>
            <w:vMerge w:val="restart"/>
            <w:tcBorders>
              <w:top w:val="single" w:sz="22" w:space="0" w:color="D4D4D4"/>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22,993,92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1.70</w:t>
            </w:r>
          </w:p>
        </w:tc>
        <w:tc>
          <w:tcPr>
            <w:tcW w:w="677" w:type="dxa"/>
            <w:vMerge w:val="restart"/>
            <w:tcBorders>
              <w:top w:val="single" w:sz="22" w:space="0" w:color="D4D4D4"/>
              <w:left w:val="single" w:sz="4" w:space="0" w:color="000000"/>
              <w:right w:val="single" w:sz="4" w:space="0" w:color="000000"/>
            </w:tcBorders>
          </w:tcPr>
          <w:p>
            <w:pPr>
              <w:pStyle w:val="TableParagraph"/>
              <w:spacing w:line="240" w:lineRule="auto" w:before="68"/>
              <w:ind w:left="57" w:right="0"/>
              <w:jc w:val="left"/>
              <w:rPr>
                <w:rFonts w:ascii="Times New Roman" w:hAnsi="Times New Roman" w:cs="Times New Roman" w:eastAsia="Times New Roman" w:hint="default"/>
                <w:sz w:val="18"/>
                <w:szCs w:val="18"/>
              </w:rPr>
            </w:pPr>
            <w:r>
              <w:rPr>
                <w:rFonts w:ascii="Times New Roman"/>
                <w:sz w:val="18"/>
              </w:rPr>
              <w:t>173,479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,139.04</w:t>
            </w:r>
          </w:p>
        </w:tc>
        <w:tc>
          <w:tcPr>
            <w:tcW w:w="780" w:type="dxa"/>
            <w:vMerge w:val="restart"/>
            <w:tcBorders>
              <w:top w:val="single" w:sz="22" w:space="0" w:color="D4D4D4"/>
              <w:left w:val="single" w:sz="4" w:space="0" w:color="000000"/>
              <w:right w:val="single" w:sz="4" w:space="0" w:color="000000"/>
            </w:tcBorders>
          </w:tcPr>
          <w:p>
            <w:pPr>
              <w:pStyle w:val="TableParagraph"/>
              <w:spacing w:line="240" w:lineRule="auto" w:before="68"/>
              <w:ind w:left="28" w:right="0"/>
              <w:jc w:val="left"/>
              <w:rPr>
                <w:rFonts w:ascii="Times New Roman" w:hAnsi="Times New Roman" w:cs="Times New Roman" w:eastAsia="Times New Roman" w:hint="default"/>
                <w:sz w:val="18"/>
                <w:szCs w:val="18"/>
              </w:rPr>
            </w:pPr>
            <w:r>
              <w:rPr>
                <w:rFonts w:ascii="Times New Roman"/>
                <w:sz w:val="18"/>
              </w:rPr>
              <w:t>592,850,0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00.21</w:t>
            </w:r>
          </w:p>
        </w:tc>
      </w:tr>
      <w:tr>
        <w:trPr>
          <w:trHeight w:val="391" w:hRule="exact"/>
        </w:trPr>
        <w:tc>
          <w:tcPr>
            <w:tcW w:w="142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2"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9" w:type="dxa"/>
            <w:tcBorders>
              <w:top w:val="nil" w:sz="6" w:space="0" w:color="auto"/>
              <w:left w:val="single" w:sz="4" w:space="0" w:color="000000"/>
              <w:bottom w:val="single" w:sz="4" w:space="0" w:color="000000"/>
              <w:right w:val="single" w:sz="4" w:space="0" w:color="000000"/>
            </w:tcBorders>
            <w:shd w:val="clear" w:color="auto" w:fill="D4D4D4"/>
          </w:tcPr>
          <w:p>
            <w:pPr/>
          </w:p>
        </w:tc>
        <w:tc>
          <w:tcPr>
            <w:tcW w:w="702"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8"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1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161" w:hRule="exact"/>
        </w:trPr>
        <w:tc>
          <w:tcPr>
            <w:tcW w:w="1429" w:type="dxa"/>
            <w:tcBorders>
              <w:top w:val="single" w:sz="4" w:space="0" w:color="000000"/>
              <w:left w:val="single" w:sz="4" w:space="0" w:color="000000"/>
              <w:bottom w:val="nil" w:sz="6" w:space="0" w:color="auto"/>
              <w:right w:val="single" w:sz="4" w:space="0" w:color="000000"/>
            </w:tcBorders>
            <w:shd w:val="clear" w:color="auto" w:fill="D4D4D4"/>
          </w:tcPr>
          <w:p>
            <w:pPr/>
          </w:p>
        </w:tc>
        <w:tc>
          <w:tcPr>
            <w:tcW w:w="702" w:type="dxa"/>
            <w:vMerge w:val="restart"/>
            <w:tcBorders>
              <w:top w:val="single" w:sz="4" w:space="0" w:color="000000"/>
              <w:left w:val="single" w:sz="10" w:space="0" w:color="D4D4D4"/>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139,530,</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256,846,9</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39.47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22,993,92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1.70</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173,479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,139.04</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592,850,0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00.21</w:t>
            </w:r>
          </w:p>
        </w:tc>
      </w:tr>
      <w:tr>
        <w:trPr>
          <w:trHeight w:val="391" w:hRule="exact"/>
        </w:trPr>
        <w:tc>
          <w:tcPr>
            <w:tcW w:w="142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2"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9" w:type="dxa"/>
            <w:tcBorders>
              <w:top w:val="nil" w:sz="6" w:space="0" w:color="auto"/>
              <w:left w:val="single" w:sz="4" w:space="0" w:color="000000"/>
              <w:bottom w:val="single" w:sz="4" w:space="0" w:color="000000"/>
              <w:right w:val="single" w:sz="4" w:space="0" w:color="000000"/>
            </w:tcBorders>
            <w:shd w:val="clear" w:color="auto" w:fill="D4D4D4"/>
          </w:tcPr>
          <w:p>
            <w:pPr/>
          </w:p>
        </w:tc>
        <w:tc>
          <w:tcPr>
            <w:tcW w:w="702"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7" w:hRule="exact"/>
        </w:trPr>
        <w:tc>
          <w:tcPr>
            <w:tcW w:w="1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4" w:right="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7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42,436,4</w:t>
            </w:r>
          </w:p>
          <w:p>
            <w:pPr>
              <w:pStyle w:val="TableParagraph"/>
              <w:spacing w:line="240" w:lineRule="auto" w:before="105"/>
              <w:ind w:left="260" w:right="0"/>
              <w:jc w:val="left"/>
              <w:rPr>
                <w:rFonts w:ascii="Times New Roman" w:hAnsi="Times New Roman" w:cs="Times New Roman" w:eastAsia="Times New Roman" w:hint="default"/>
                <w:sz w:val="18"/>
                <w:szCs w:val="18"/>
              </w:rPr>
            </w:pPr>
            <w:r>
              <w:rPr>
                <w:rFonts w:ascii="Times New Roman"/>
                <w:sz w:val="18"/>
              </w:rPr>
              <w:t>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-27,357,8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25.42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6,570,533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45,195,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304.76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66,844,47</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3.20</w:t>
            </w:r>
          </w:p>
        </w:tc>
      </w:tr>
      <w:tr>
        <w:trPr>
          <w:trHeight w:val="713" w:hRule="exact"/>
        </w:trPr>
        <w:tc>
          <w:tcPr>
            <w:tcW w:w="1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4" w:right="8"/>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65,705,</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338.62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65,705,33</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8.62</w:t>
            </w:r>
          </w:p>
        </w:tc>
      </w:tr>
      <w:tr>
        <w:trPr>
          <w:trHeight w:val="715" w:hRule="exact"/>
        </w:trPr>
        <w:tc>
          <w:tcPr>
            <w:tcW w:w="1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8"/>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617,960.</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14,453,59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8"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15,071,55</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4.58</w:t>
            </w:r>
          </w:p>
        </w:tc>
      </w:tr>
      <w:tr>
        <w:trPr>
          <w:trHeight w:val="401" w:hRule="exact"/>
        </w:trPr>
        <w:tc>
          <w:tcPr>
            <w:tcW w:w="1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p>
        </w:tc>
        <w:tc>
          <w:tcPr>
            <w:tcW w:w="7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10"/>
              <w:ind w:left="34" w:right="0"/>
              <w:jc w:val="left"/>
              <w:rPr>
                <w:rFonts w:ascii="Times New Roman" w:hAnsi="Times New Roman" w:cs="Times New Roman" w:eastAsia="Times New Roman" w:hint="default"/>
                <w:sz w:val="18"/>
                <w:szCs w:val="18"/>
              </w:rPr>
            </w:pPr>
            <w:r>
              <w:rPr>
                <w:rFonts w:ascii="Times New Roman"/>
                <w:sz w:val="18"/>
              </w:rPr>
              <w:t>617,960.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7,163,242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7,781,202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7,290,352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7,290,352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.58</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6,570,533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-20,510,</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033.86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-13,939,5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6,570,533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-6,570,5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33.86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-13,939,</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500.00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-13,939,5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41,818,5</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-41,818,5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41,818,5</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-41,818,5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7,080.00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7,080.00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181,966,</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460.00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229,489,1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14.05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29,564,45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5.56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218,674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,443.80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659,694,4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73.41</w:t>
            </w:r>
          </w:p>
        </w:tc>
      </w:tr>
    </w:tbl>
    <w:p>
      <w:pPr>
        <w:spacing w:line="240" w:lineRule="auto" w:before="1"/>
        <w:rPr>
          <w:rFonts w:ascii="宋体" w:hAnsi="宋体" w:cs="宋体" w:eastAsia="宋体" w:hint="default"/>
          <w:sz w:val="18"/>
          <w:szCs w:val="18"/>
        </w:rPr>
      </w:pPr>
    </w:p>
    <w:p>
      <w:pPr>
        <w:pStyle w:val="Heading4"/>
        <w:spacing w:line="240" w:lineRule="auto" w:before="26"/>
        <w:ind w:right="0"/>
        <w:jc w:val="left"/>
        <w:rPr>
          <w:b w:val="0"/>
          <w:bCs w:val="0"/>
        </w:rPr>
      </w:pPr>
      <w:bookmarkStart w:name="三、公司基本情况" w:id="154"/>
      <w:bookmarkEnd w:id="154"/>
      <w:r>
        <w:rPr>
          <w:b w:val="0"/>
          <w:bCs w:val="0"/>
        </w:rPr>
      </w:r>
      <w:r>
        <w:rPr/>
        <w:t>三、公司基本情况</w:t>
      </w:r>
      <w:r>
        <w:rPr>
          <w:b w:val="0"/>
          <w:bCs w:val="0"/>
        </w:rPr>
      </w:r>
    </w:p>
    <w:p>
      <w:pPr>
        <w:spacing w:line="240" w:lineRule="auto" w:before="12"/>
        <w:rPr>
          <w:rFonts w:ascii="宋体" w:hAnsi="宋体" w:cs="宋体" w:eastAsia="宋体" w:hint="default"/>
          <w:b/>
          <w:bCs/>
          <w:sz w:val="24"/>
          <w:szCs w:val="24"/>
        </w:rPr>
      </w:pPr>
    </w:p>
    <w:p>
      <w:pPr>
        <w:pStyle w:val="BodyText"/>
        <w:spacing w:line="261" w:lineRule="auto"/>
        <w:ind w:right="146" w:firstLine="420"/>
        <w:jc w:val="both"/>
      </w:pPr>
      <w:r>
        <w:rPr>
          <w:spacing w:val="-1"/>
        </w:rPr>
        <w:t>上海天玑科技股份有限公司（以下简称</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）前身系上海天玑科技有限责任公司，由陆</w:t>
      </w:r>
      <w:r>
        <w:rPr>
          <w:w w:val="100"/>
        </w:rPr>
        <w:t> </w:t>
      </w:r>
      <w:r>
        <w:rPr>
          <w:spacing w:val="-2"/>
        </w:rPr>
        <w:t>文雄等</w:t>
      </w:r>
      <w:r>
        <w:rPr>
          <w:rFonts w:ascii="Times New Roman" w:hAnsi="Times New Roman" w:cs="Times New Roman" w:eastAsia="Times New Roman" w:hint="default"/>
          <w:spacing w:val="-2"/>
        </w:rPr>
        <w:t>7</w:t>
      </w:r>
      <w:r>
        <w:rPr>
          <w:spacing w:val="-2"/>
        </w:rPr>
        <w:t>个自然人于</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10</w:t>
      </w:r>
      <w:r>
        <w:rPr>
          <w:spacing w:val="-2"/>
        </w:rPr>
        <w:t>月共同出资设立。</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6</w:t>
      </w:r>
      <w:r>
        <w:rPr>
          <w:spacing w:val="-2"/>
        </w:rPr>
        <w:t>月，根据公司发起人协议及章程的规定，原上海天</w:t>
      </w:r>
      <w:r>
        <w:rPr>
          <w:spacing w:val="-39"/>
        </w:rPr>
        <w:t> </w:t>
      </w:r>
      <w:r>
        <w:rPr>
          <w:spacing w:val="-39"/>
        </w:rPr>
      </w:r>
      <w:r>
        <w:rPr>
          <w:spacing w:val="-2"/>
        </w:rPr>
        <w:t>玑科技有限责任公司以其净资产折股整体变更为上海天玑科技股份有限公司。公司的企业法人营业执照注</w:t>
      </w:r>
      <w:r>
        <w:rPr>
          <w:spacing w:val="-43"/>
        </w:rPr>
        <w:t> </w:t>
      </w:r>
      <w:r>
        <w:rPr>
          <w:spacing w:val="-43"/>
        </w:rPr>
      </w:r>
      <w:r>
        <w:rPr/>
        <w:t>册号：</w:t>
      </w:r>
      <w:r>
        <w:rPr>
          <w:rFonts w:ascii="Times New Roman" w:hAnsi="Times New Roman" w:cs="Times New Roman" w:eastAsia="Times New Roman" w:hint="default"/>
        </w:rPr>
        <w:t>310229000614545</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日在深圳证券交易所上市交易。所属行业为信息技术服务业。</w:t>
      </w:r>
    </w:p>
    <w:p>
      <w:pPr>
        <w:pStyle w:val="BodyText"/>
        <w:spacing w:line="256" w:lineRule="auto"/>
        <w:ind w:left="153" w:right="150" w:firstLine="420"/>
        <w:jc w:val="both"/>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日，本公司累计发行股本总数</w:t>
      </w:r>
      <w:r>
        <w:rPr>
          <w:rFonts w:ascii="宋体" w:hAnsi="宋体" w:cs="宋体" w:eastAsia="宋体" w:hint="default"/>
        </w:rPr>
        <w:t>272,680,395</w:t>
      </w:r>
      <w:r>
        <w:rPr/>
        <w:t>股，注册资本为</w:t>
      </w:r>
      <w:r>
        <w:rPr>
          <w:rFonts w:ascii="宋体" w:hAnsi="宋体" w:cs="宋体" w:eastAsia="宋体" w:hint="default"/>
        </w:rPr>
        <w:t>272,680,395.00</w:t>
      </w:r>
      <w:r>
        <w:rPr/>
        <w:t>元，注</w:t>
      </w:r>
      <w:r>
        <w:rPr>
          <w:w w:val="100"/>
        </w:rPr>
        <w:t> </w:t>
      </w:r>
      <w:r>
        <w:rPr/>
        <w:t>册地：上海市青浦区清河湾路</w:t>
      </w:r>
      <w:r>
        <w:rPr>
          <w:rFonts w:ascii="宋体" w:hAnsi="宋体" w:cs="宋体" w:eastAsia="宋体" w:hint="default"/>
        </w:rPr>
        <w:t>1200</w:t>
      </w:r>
      <w:r>
        <w:rPr/>
        <w:t>号</w:t>
      </w:r>
      <w:r>
        <w:rPr>
          <w:rFonts w:ascii="宋体" w:hAnsi="宋体" w:cs="宋体" w:eastAsia="宋体" w:hint="default"/>
        </w:rPr>
        <w:t>1008</w:t>
      </w:r>
      <w:r>
        <w:rPr/>
        <w:t>室；总部地址：</w:t>
      </w:r>
      <w:hyperlink r:id="rId20">
        <w:r>
          <w:rPr/>
          <w:t>上海市徐汇区桂林路</w:t>
        </w:r>
        <w:r>
          <w:rPr>
            <w:rFonts w:ascii="宋体" w:hAnsi="宋体" w:cs="宋体" w:eastAsia="宋体" w:hint="default"/>
          </w:rPr>
          <w:t>406</w:t>
        </w:r>
        <w:r>
          <w:rPr/>
          <w:t>号</w:t>
        </w:r>
        <w:r>
          <w:rPr>
            <w:rFonts w:ascii="宋体" w:hAnsi="宋体" w:cs="宋体" w:eastAsia="宋体" w:hint="default"/>
          </w:rPr>
          <w:t>2</w:t>
        </w:r>
        <w:r>
          <w:rPr/>
          <w:t>号楼</w:t>
        </w:r>
        <w:r>
          <w:rPr>
            <w:rFonts w:ascii="宋体" w:hAnsi="宋体" w:cs="宋体" w:eastAsia="宋体" w:hint="default"/>
          </w:rPr>
          <w:t>11</w:t>
        </w:r>
        <w:r>
          <w:rPr/>
          <w:t>楼</w:t>
        </w:r>
      </w:hyperlink>
      <w:r>
        <w:rPr/>
        <w:t>。</w:t>
      </w:r>
    </w:p>
    <w:p>
      <w:pPr>
        <w:pStyle w:val="BodyText"/>
        <w:spacing w:line="240" w:lineRule="auto" w:before="22"/>
        <w:ind w:left="573" w:right="0"/>
        <w:jc w:val="left"/>
      </w:pPr>
      <w:r>
        <w:rPr/>
        <w:t>本公司主要经营活动为：计算机软硬件开发、销售、维修，系统集成，通讯设备的销售及维修，提供</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BodyText"/>
        <w:spacing w:line="273" w:lineRule="auto" w:before="36"/>
        <w:ind w:right="0"/>
        <w:jc w:val="left"/>
      </w:pPr>
      <w:bookmarkStart w:name="2、持续经营" w:id="155"/>
      <w:bookmarkEnd w:id="155"/>
      <w:r>
        <w:rPr/>
      </w:r>
      <w:bookmarkStart w:name="五、重要会计政策及会计估计" w:id="156"/>
      <w:bookmarkEnd w:id="156"/>
      <w:r>
        <w:rPr/>
      </w:r>
      <w:r>
        <w:rPr>
          <w:spacing w:val="-2"/>
        </w:rPr>
        <w:t>相关的技术咨询、服务，自有设备租赁，从事货物及技术进出口业务。【依法须经批准的项目，经相关部</w:t>
      </w:r>
      <w:r>
        <w:rPr>
          <w:spacing w:val="-42"/>
        </w:rPr>
        <w:t> </w:t>
      </w:r>
      <w:r>
        <w:rPr>
          <w:spacing w:val="-42"/>
        </w:rPr>
      </w:r>
      <w:r>
        <w:rPr/>
        <w:t>门批准后方可开展经营活动】</w:t>
      </w:r>
    </w:p>
    <w:p>
      <w:pPr>
        <w:pStyle w:val="BodyText"/>
        <w:spacing w:line="264" w:lineRule="auto" w:before="7"/>
        <w:ind w:left="572" w:right="308"/>
        <w:jc w:val="left"/>
      </w:pPr>
      <w:r>
        <w:rPr>
          <w:spacing w:val="-2"/>
        </w:rPr>
        <w:t>公司提供的主要服务包括</w:t>
      </w:r>
      <w:r>
        <w:rPr>
          <w:rFonts w:ascii="Times New Roman" w:hAnsi="Times New Roman" w:cs="Times New Roman" w:eastAsia="Times New Roman" w:hint="default"/>
          <w:spacing w:val="-2"/>
        </w:rPr>
        <w:t>IT</w:t>
      </w:r>
      <w:r>
        <w:rPr>
          <w:spacing w:val="-2"/>
        </w:rPr>
        <w:t>支持与维护服务、</w:t>
      </w:r>
      <w:r>
        <w:rPr>
          <w:rFonts w:ascii="Times New Roman" w:hAnsi="Times New Roman" w:cs="Times New Roman" w:eastAsia="Times New Roman" w:hint="default"/>
          <w:spacing w:val="-2"/>
        </w:rPr>
        <w:t>IT</w:t>
      </w:r>
      <w:r>
        <w:rPr>
          <w:spacing w:val="-2"/>
        </w:rPr>
        <w:t>外包服务、</w:t>
      </w:r>
      <w:r>
        <w:rPr>
          <w:rFonts w:ascii="Times New Roman" w:hAnsi="Times New Roman" w:cs="Times New Roman" w:eastAsia="Times New Roman" w:hint="default"/>
          <w:spacing w:val="-2"/>
        </w:rPr>
        <w:t>IT</w:t>
      </w:r>
      <w:r>
        <w:rPr>
          <w:spacing w:val="-2"/>
        </w:rPr>
        <w:t>专业服务、</w:t>
      </w:r>
      <w:r>
        <w:rPr>
          <w:rFonts w:ascii="Times New Roman" w:hAnsi="Times New Roman" w:cs="Times New Roman" w:eastAsia="Times New Roman" w:hint="default"/>
          <w:spacing w:val="-2"/>
        </w:rPr>
        <w:t>IT</w:t>
      </w:r>
      <w:r>
        <w:rPr>
          <w:spacing w:val="-2"/>
        </w:rPr>
        <w:t>软件服务等技术服务。</w:t>
      </w:r>
      <w:r>
        <w:rPr>
          <w:spacing w:val="-23"/>
        </w:rPr>
        <w:t> </w:t>
      </w:r>
      <w:r>
        <w:rPr>
          <w:spacing w:val="-23"/>
        </w:rPr>
      </w:r>
      <w:r>
        <w:rPr/>
        <w:t>本公司的实际控制人为陆文雄。</w:t>
      </w:r>
      <w:r>
        <w:rPr>
          <w:w w:val="100"/>
        </w:rPr>
        <w:t> </w:t>
      </w:r>
      <w:r>
        <w:rPr/>
        <w:t>本财务报表业经公司全体董事（董事会）于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日批准报出。</w:t>
      </w:r>
    </w:p>
    <w:p>
      <w:pPr>
        <w:spacing w:line="240" w:lineRule="auto" w:before="9"/>
        <w:rPr>
          <w:rFonts w:ascii="宋体" w:hAnsi="宋体" w:cs="宋体" w:eastAsia="宋体" w:hint="default"/>
          <w:sz w:val="23"/>
          <w:szCs w:val="23"/>
        </w:rPr>
      </w:pPr>
    </w:p>
    <w:p>
      <w:pPr>
        <w:pStyle w:val="BodyText"/>
        <w:spacing w:line="240" w:lineRule="auto"/>
        <w:ind w:left="870" w:right="0"/>
        <w:jc w:val="left"/>
      </w:pP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日，本公司合并财务报表范围内子公司如下：</w:t>
      </w:r>
    </w:p>
    <w:p>
      <w:pPr>
        <w:spacing w:line="240" w:lineRule="auto" w:before="8"/>
        <w:rPr>
          <w:rFonts w:ascii="宋体" w:hAnsi="宋体" w:cs="宋体" w:eastAsia="宋体" w:hint="default"/>
          <w:sz w:val="2"/>
          <w:szCs w:val="2"/>
        </w:rPr>
      </w:pPr>
    </w:p>
    <w:tbl>
      <w:tblPr>
        <w:tblW w:w="0" w:type="auto"/>
        <w:jc w:val="left"/>
        <w:tblInd w:w="762" w:type="dxa"/>
        <w:tblLayout w:type="fixed"/>
        <w:tblCellMar>
          <w:top w:w="0" w:type="dxa"/>
          <w:left w:w="0" w:type="dxa"/>
          <w:bottom w:w="0" w:type="dxa"/>
          <w:right w:w="0" w:type="dxa"/>
        </w:tblCellMar>
        <w:tblLook w:val="01E0"/>
      </w:tblPr>
      <w:tblGrid>
        <w:gridCol w:w="7721"/>
      </w:tblGrid>
      <w:tr>
        <w:trPr>
          <w:trHeight w:val="355" w:hRule="exact"/>
        </w:trPr>
        <w:tc>
          <w:tcPr>
            <w:tcW w:w="7721" w:type="dxa"/>
            <w:tcBorders>
              <w:top w:val="single" w:sz="6" w:space="0" w:color="000000"/>
              <w:left w:val="nil" w:sz="6" w:space="0" w:color="auto"/>
              <w:bottom w:val="single" w:sz="12"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50" w:hRule="exact"/>
        </w:trPr>
        <w:tc>
          <w:tcPr>
            <w:tcW w:w="77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极品数据系统公司（</w:t>
            </w:r>
            <w:r>
              <w:rPr>
                <w:rFonts w:ascii="Times New Roman" w:hAnsi="Times New Roman" w:cs="Times New Roman" w:eastAsia="Times New Roman" w:hint="default"/>
                <w:sz w:val="18"/>
                <w:szCs w:val="18"/>
              </w:rPr>
              <w:t>TopDataSystemsInc.</w:t>
            </w:r>
            <w:r>
              <w:rPr>
                <w:rFonts w:ascii="宋体" w:hAnsi="宋体" w:cs="宋体" w:eastAsia="宋体" w:hint="default"/>
                <w:sz w:val="18"/>
                <w:szCs w:val="18"/>
              </w:rPr>
              <w:t>）</w:t>
            </w:r>
          </w:p>
        </w:tc>
      </w:tr>
      <w:tr>
        <w:trPr>
          <w:trHeight w:val="353" w:hRule="exact"/>
        </w:trPr>
        <w:tc>
          <w:tcPr>
            <w:tcW w:w="77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上海力克数码科技有限公司</w:t>
            </w:r>
          </w:p>
        </w:tc>
      </w:tr>
      <w:tr>
        <w:trPr>
          <w:trHeight w:val="353" w:hRule="exact"/>
        </w:trPr>
        <w:tc>
          <w:tcPr>
            <w:tcW w:w="77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极品数据系统（香港）有限公司</w:t>
            </w:r>
          </w:p>
        </w:tc>
      </w:tr>
      <w:tr>
        <w:trPr>
          <w:trHeight w:val="350" w:hRule="exact"/>
        </w:trPr>
        <w:tc>
          <w:tcPr>
            <w:tcW w:w="77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上海领卓企业管理咨询有限公司</w:t>
            </w:r>
          </w:p>
        </w:tc>
      </w:tr>
      <w:tr>
        <w:trPr>
          <w:trHeight w:val="353" w:hRule="exact"/>
        </w:trPr>
        <w:tc>
          <w:tcPr>
            <w:tcW w:w="77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上海复深蓝信息技术有限公司</w:t>
            </w:r>
          </w:p>
        </w:tc>
      </w:tr>
      <w:tr>
        <w:trPr>
          <w:trHeight w:val="353" w:hRule="exact"/>
        </w:trPr>
        <w:tc>
          <w:tcPr>
            <w:tcW w:w="77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上海天玑数据技术有限公司</w:t>
            </w:r>
          </w:p>
        </w:tc>
      </w:tr>
      <w:tr>
        <w:trPr>
          <w:trHeight w:val="350" w:hRule="exact"/>
        </w:trPr>
        <w:tc>
          <w:tcPr>
            <w:tcW w:w="77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北京天玑力拓信息技术有限公司</w:t>
            </w:r>
          </w:p>
        </w:tc>
      </w:tr>
      <w:tr>
        <w:trPr>
          <w:trHeight w:val="353" w:hRule="exact"/>
        </w:trPr>
        <w:tc>
          <w:tcPr>
            <w:tcW w:w="77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杭州平民软件有限公司</w:t>
            </w:r>
          </w:p>
        </w:tc>
      </w:tr>
      <w:tr>
        <w:trPr>
          <w:trHeight w:val="353" w:hRule="exact"/>
        </w:trPr>
        <w:tc>
          <w:tcPr>
            <w:tcW w:w="77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上海缔塔科技有限公司</w:t>
            </w:r>
          </w:p>
        </w:tc>
      </w:tr>
      <w:tr>
        <w:trPr>
          <w:trHeight w:val="350" w:hRule="exact"/>
        </w:trPr>
        <w:tc>
          <w:tcPr>
            <w:tcW w:w="77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上海卓之联信息科技有限公司</w:t>
            </w:r>
          </w:p>
        </w:tc>
      </w:tr>
      <w:tr>
        <w:trPr>
          <w:trHeight w:val="353" w:hRule="exact"/>
        </w:trPr>
        <w:tc>
          <w:tcPr>
            <w:tcW w:w="77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杭州广捷科技有限公司</w:t>
            </w:r>
          </w:p>
        </w:tc>
      </w:tr>
      <w:tr>
        <w:trPr>
          <w:trHeight w:val="353" w:hRule="exact"/>
        </w:trPr>
        <w:tc>
          <w:tcPr>
            <w:tcW w:w="77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杭州鸿昇科技有限公司</w:t>
            </w:r>
          </w:p>
        </w:tc>
      </w:tr>
    </w:tbl>
    <w:p>
      <w:pPr>
        <w:pStyle w:val="BodyText"/>
        <w:spacing w:line="256" w:lineRule="auto"/>
        <w:ind w:right="0" w:firstLine="419"/>
        <w:jc w:val="left"/>
      </w:pPr>
      <w:r>
        <w:rPr>
          <w:spacing w:val="-4"/>
        </w:rPr>
        <w:t>本年合并财务报表范围及其变化情况详见本报告第十节</w:t>
      </w:r>
      <w:r>
        <w:rPr>
          <w:rFonts w:ascii="Times New Roman" w:hAnsi="Times New Roman" w:cs="Times New Roman" w:eastAsia="Times New Roman" w:hint="default"/>
          <w:spacing w:val="-4"/>
        </w:rPr>
        <w:t>“</w:t>
      </w:r>
      <w:r>
        <w:rPr>
          <w:spacing w:val="-4"/>
        </w:rPr>
        <w:t>八、合并范围的变更</w:t>
      </w:r>
      <w:r>
        <w:rPr>
          <w:rFonts w:ascii="Times New Roman" w:hAnsi="Times New Roman" w:cs="Times New Roman" w:eastAsia="Times New Roman" w:hint="default"/>
          <w:spacing w:val="-4"/>
        </w:rPr>
        <w:t>”</w:t>
      </w:r>
      <w:r>
        <w:rPr>
          <w:spacing w:val="-4"/>
        </w:rPr>
        <w:t>和</w:t>
      </w:r>
      <w:r>
        <w:rPr>
          <w:rFonts w:ascii="Times New Roman" w:hAnsi="Times New Roman" w:cs="Times New Roman" w:eastAsia="Times New Roman" w:hint="default"/>
          <w:spacing w:val="-4"/>
        </w:rPr>
        <w:t>“</w:t>
      </w:r>
      <w:r>
        <w:rPr>
          <w:spacing w:val="-4"/>
        </w:rPr>
        <w:t>九、在其他主体中的</w:t>
      </w:r>
      <w:r>
        <w:rPr>
          <w:w w:val="100"/>
        </w:rPr>
        <w:t> </w:t>
      </w:r>
      <w:r>
        <w:rPr/>
        <w:t>权益</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21"/>
          <w:szCs w:val="21"/>
        </w:rPr>
      </w:pPr>
    </w:p>
    <w:p>
      <w:pPr>
        <w:pStyle w:val="Heading4"/>
        <w:spacing w:line="240" w:lineRule="auto"/>
        <w:ind w:right="0"/>
        <w:jc w:val="both"/>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6"/>
        <w:rPr>
          <w:rFonts w:ascii="宋体" w:hAnsi="宋体" w:cs="宋体" w:eastAsia="宋体" w:hint="default"/>
          <w:b/>
          <w:bCs/>
          <w:sz w:val="30"/>
          <w:szCs w:val="30"/>
        </w:rPr>
      </w:pPr>
    </w:p>
    <w:p>
      <w:pPr>
        <w:pStyle w:val="BodyText"/>
        <w:spacing w:line="386" w:lineRule="auto"/>
        <w:ind w:right="130"/>
        <w:jc w:val="both"/>
      </w:pPr>
      <w:r>
        <w:rPr>
          <w:spacing w:val="-2"/>
        </w:rPr>
        <w:t>公司以持续经营为基础，根据实际发生的交易和事项，按照财政部颁布的《企业会</w:t>
      </w:r>
      <w:bookmarkStart w:name="四、财务报表的编制基础" w:id="157"/>
      <w:bookmarkEnd w:id="157"/>
      <w:r>
        <w:rPr>
          <w:spacing w:val="-2"/>
        </w:rPr>
        <w:t>计</w:t>
      </w:r>
      <w:r>
        <w:rPr>
          <w:spacing w:val="-2"/>
        </w:rPr>
        <w:t>准则</w:t>
      </w:r>
      <w:r>
        <w:rPr>
          <w:rFonts w:ascii="Times New Roman" w:hAnsi="Times New Roman" w:cs="Times New Roman" w:eastAsia="Times New Roman" w:hint="default"/>
          <w:spacing w:val="-2"/>
        </w:rPr>
        <w:t>——</w:t>
      </w:r>
      <w:bookmarkStart w:name="1、编制基础" w:id="158"/>
      <w:bookmarkEnd w:id="158"/>
      <w:r>
        <w:rPr>
          <w:rFonts w:ascii="Times New Roman" w:hAnsi="Times New Roman" w:cs="Times New Roman" w:eastAsia="Times New Roman" w:hint="default"/>
          <w:spacing w:val="-2"/>
        </w:rPr>
      </w:r>
      <w:r>
        <w:rPr>
          <w:spacing w:val="-2"/>
        </w:rPr>
        <w:t>基本准则》</w:t>
      </w:r>
      <w:r>
        <w:rPr>
          <w:spacing w:val="-26"/>
        </w:rPr>
        <w:t> </w:t>
      </w:r>
      <w:r>
        <w:rPr>
          <w:spacing w:val="-26"/>
        </w:rPr>
      </w:r>
      <w:r>
        <w:rPr/>
        <w:t>和各项具体会计准则、企业会计准则应用指南、企业会计准则解释及其他相关规定（以下合称</w:t>
      </w:r>
      <w:r>
        <w:rPr>
          <w:rFonts w:ascii="Times New Roman" w:hAnsi="Times New Roman" w:cs="Times New Roman" w:eastAsia="Times New Roman" w:hint="default"/>
        </w:rPr>
        <w:t>“</w:t>
      </w:r>
      <w:r>
        <w:rPr/>
        <w:t>企业会计</w:t>
      </w:r>
      <w:r>
        <w:rPr>
          <w:spacing w:val="-17"/>
        </w:rPr>
        <w:t> </w:t>
      </w:r>
      <w:r>
        <w:rPr>
          <w:spacing w:val="-17"/>
        </w:rPr>
      </w:r>
      <w:r>
        <w:rPr/>
        <w:t>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w:t>
      </w:r>
      <w:r>
        <w:rPr>
          <w:spacing w:val="-17"/>
        </w:rPr>
        <w:t> </w:t>
      </w:r>
      <w:r>
        <w:rPr>
          <w:spacing w:val="-17"/>
        </w:rPr>
      </w:r>
      <w:r>
        <w:rPr/>
        <w:t>一般规定》的披露规定编制财务报表。</w:t>
      </w:r>
    </w:p>
    <w:p>
      <w:pPr>
        <w:spacing w:line="240" w:lineRule="auto" w:before="0"/>
        <w:rPr>
          <w:rFonts w:ascii="宋体" w:hAnsi="宋体" w:cs="宋体" w:eastAsia="宋体" w:hint="default"/>
          <w:sz w:val="22"/>
          <w:szCs w:val="22"/>
        </w:rPr>
      </w:pPr>
    </w:p>
    <w:p>
      <w:pPr>
        <w:pStyle w:val="BodyText"/>
        <w:spacing w:line="571" w:lineRule="auto"/>
        <w:ind w:right="1134"/>
        <w:jc w:val="left"/>
      </w:pPr>
      <w:r>
        <w:rPr>
          <w:rFonts w:ascii="Times New Roman" w:hAnsi="Times New Roman" w:cs="Times New Roman" w:eastAsia="Times New Roman" w:hint="default"/>
          <w:b/>
          <w:bCs/>
        </w:rPr>
        <w:t>2</w:t>
      </w:r>
      <w:r>
        <w:rPr>
          <w:rFonts w:ascii="宋体" w:hAnsi="宋体" w:cs="宋体" w:eastAsia="宋体" w:hint="default"/>
          <w:b/>
          <w:bCs/>
        </w:rPr>
        <w:t>、持续经营</w:t>
      </w:r>
      <w:r>
        <w:rPr>
          <w:rFonts w:ascii="宋体" w:hAnsi="宋体" w:cs="宋体" w:eastAsia="宋体" w:hint="default"/>
          <w:b/>
          <w:bCs/>
          <w:spacing w:val="-104"/>
        </w:rPr>
        <w:t> </w:t>
      </w:r>
      <w:r>
        <w:rPr>
          <w:spacing w:val="-2"/>
        </w:rPr>
        <w:t>公司自本报告期末至少</w:t>
      </w:r>
      <w:r>
        <w:rPr>
          <w:rFonts w:ascii="宋体" w:hAnsi="宋体" w:cs="宋体" w:eastAsia="宋体" w:hint="default"/>
          <w:spacing w:val="-2"/>
        </w:rPr>
        <w:t>12</w:t>
      </w:r>
      <w:r>
        <w:rPr>
          <w:spacing w:val="-2"/>
        </w:rPr>
        <w:t>个月内具备持续经营能力，无影响持续经营能力的重大事项。</w:t>
      </w:r>
    </w:p>
    <w:p>
      <w:pPr>
        <w:pStyle w:val="Heading4"/>
        <w:spacing w:line="240" w:lineRule="auto" w:before="101"/>
        <w:ind w:right="0"/>
        <w:jc w:val="both"/>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7254"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 无变更</w:t>
      </w:r>
    </w:p>
    <w:p>
      <w:pPr>
        <w:spacing w:after="0" w:line="36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103"/>
        <w:jc w:val="left"/>
        <w:rPr>
          <w:b w:val="0"/>
          <w:bCs w:val="0"/>
        </w:rPr>
      </w:pPr>
      <w:bookmarkStart w:name="6、合并财务报表的编制方法" w:id="159"/>
      <w:bookmarkEnd w:id="159"/>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03"/>
        <w:jc w:val="left"/>
      </w:pPr>
      <w:bookmarkStart w:name="1、遵循企业会计准则的声明" w:id="160"/>
      <w:bookmarkEnd w:id="160"/>
      <w:r>
        <w:rPr/>
      </w:r>
      <w:r>
        <w:rPr>
          <w:spacing w:val="-5"/>
        </w:rPr>
        <w:t>公司所编制的财务报表符合企业会计准则的要求，真实、完整地反映了报告期公司的财务状况、经营成果、</w:t>
      </w:r>
      <w:r>
        <w:rPr>
          <w:spacing w:val="-3"/>
        </w:rPr>
        <w:t> </w:t>
      </w:r>
      <w:r>
        <w:rPr>
          <w:spacing w:val="-3"/>
        </w:rPr>
      </w:r>
      <w:r>
        <w:rPr/>
        <w:t>现金流量等有关信息。</w:t>
      </w:r>
    </w:p>
    <w:p>
      <w:pPr>
        <w:spacing w:line="240" w:lineRule="auto" w:before="8"/>
        <w:rPr>
          <w:rFonts w:ascii="宋体" w:hAnsi="宋体" w:cs="宋体" w:eastAsia="宋体" w:hint="default"/>
          <w:sz w:val="20"/>
          <w:szCs w:val="20"/>
        </w:rPr>
      </w:pPr>
    </w:p>
    <w:p>
      <w:pPr>
        <w:spacing w:line="585" w:lineRule="auto" w:before="0"/>
        <w:ind w:left="152" w:right="53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pacing w:val="-2"/>
          <w:sz w:val="21"/>
          <w:szCs w:val="21"/>
        </w:rPr>
        <w:t>自公历</w:t>
      </w:r>
      <w:r>
        <w:rPr>
          <w:rFonts w:ascii="宋体" w:hAnsi="宋体" w:cs="宋体" w:eastAsia="宋体" w:hint="default"/>
          <w:spacing w:val="-2"/>
          <w:sz w:val="21"/>
          <w:szCs w:val="21"/>
        </w:rPr>
        <w:t>1</w:t>
      </w:r>
      <w:r>
        <w:rPr>
          <w:rFonts w:ascii="宋体" w:hAnsi="宋体" w:cs="宋体" w:eastAsia="宋体" w:hint="default"/>
          <w:spacing w:val="-2"/>
          <w:sz w:val="21"/>
          <w:szCs w:val="21"/>
        </w:rPr>
        <w:t>月</w:t>
      </w:r>
      <w:r>
        <w:rPr>
          <w:rFonts w:ascii="宋体" w:hAnsi="宋体" w:cs="宋体" w:eastAsia="宋体" w:hint="default"/>
          <w:spacing w:val="-2"/>
          <w:sz w:val="21"/>
          <w:szCs w:val="21"/>
        </w:rPr>
        <w:t>1</w:t>
      </w:r>
      <w:r>
        <w:rPr>
          <w:rFonts w:ascii="宋体" w:hAnsi="宋体" w:cs="宋体" w:eastAsia="宋体" w:hint="default"/>
          <w:spacing w:val="-2"/>
          <w:sz w:val="21"/>
          <w:szCs w:val="21"/>
        </w:rPr>
        <w:t>日至</w:t>
      </w:r>
      <w:r>
        <w:rPr>
          <w:rFonts w:ascii="宋体" w:hAnsi="宋体" w:cs="宋体" w:eastAsia="宋体" w:hint="default"/>
          <w:spacing w:val="-2"/>
          <w:sz w:val="21"/>
          <w:szCs w:val="21"/>
        </w:rPr>
        <w:t>12</w:t>
      </w:r>
      <w:bookmarkStart w:name="2、会计期间" w:id="161"/>
      <w:bookmarkEnd w:id="161"/>
      <w:r>
        <w:rPr>
          <w:rFonts w:ascii="宋体" w:hAnsi="宋体" w:cs="宋体" w:eastAsia="宋体" w:hint="default"/>
          <w:spacing w:val="-2"/>
          <w:sz w:val="21"/>
          <w:szCs w:val="21"/>
        </w:rPr>
      </w:r>
      <w:r>
        <w:rPr>
          <w:rFonts w:ascii="宋体" w:hAnsi="宋体" w:cs="宋体" w:eastAsia="宋体" w:hint="default"/>
          <w:spacing w:val="-2"/>
          <w:sz w:val="21"/>
          <w:szCs w:val="21"/>
        </w:rPr>
        <w:t>月</w:t>
      </w:r>
      <w:r>
        <w:rPr>
          <w:rFonts w:ascii="宋体" w:hAnsi="宋体" w:cs="宋体" w:eastAsia="宋体" w:hint="default"/>
          <w:spacing w:val="-2"/>
          <w:sz w:val="21"/>
          <w:szCs w:val="21"/>
        </w:rPr>
        <w:t>31</w:t>
      </w:r>
      <w:r>
        <w:rPr>
          <w:rFonts w:ascii="宋体" w:hAnsi="宋体" w:cs="宋体" w:eastAsia="宋体" w:hint="default"/>
          <w:spacing w:val="-2"/>
          <w:sz w:val="21"/>
          <w:szCs w:val="21"/>
        </w:rPr>
        <w:t>日止为一个会计年度。</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65"/>
        <w:ind w:right="103"/>
        <w:jc w:val="left"/>
      </w:pPr>
      <w:r>
        <w:rPr/>
        <w:t>本公司营业周期为</w:t>
      </w:r>
      <w:r>
        <w:rPr>
          <w:rFonts w:ascii="宋体" w:hAnsi="宋体" w:cs="宋体" w:eastAsia="宋体" w:hint="default"/>
        </w:rPr>
        <w:t>12</w:t>
      </w:r>
      <w:r>
        <w:rPr/>
        <w:t>个月。</w:t>
      </w:r>
    </w:p>
    <w:p>
      <w:pPr>
        <w:spacing w:line="670" w:lineRule="atLeast" w:before="37"/>
        <w:ind w:left="152" w:right="605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本公司采用人民币为记账本位币。</w:t>
      </w:r>
    </w:p>
    <w:p>
      <w:pPr>
        <w:spacing w:line="240" w:lineRule="auto" w:before="10"/>
        <w:rPr>
          <w:rFonts w:ascii="宋体" w:hAnsi="宋体" w:cs="宋体" w:eastAsia="宋体" w:hint="default"/>
          <w:sz w:val="14"/>
          <w:szCs w:val="14"/>
        </w:rPr>
      </w:pPr>
    </w:p>
    <w:p>
      <w:pPr>
        <w:pStyle w:val="BodyText"/>
        <w:spacing w:line="240" w:lineRule="auto"/>
        <w:ind w:right="103"/>
        <w:jc w:val="left"/>
      </w:pPr>
      <w:r>
        <w:rPr/>
        <w:t>境外子公司以其经营所处的主要</w:t>
      </w:r>
      <w:bookmarkStart w:name="3、营业周期" w:id="162"/>
      <w:bookmarkEnd w:id="162"/>
      <w:r>
        <w:rPr/>
        <w:t>经</w:t>
      </w:r>
      <w:r>
        <w:rPr/>
        <w:t>济环境中的货币</w:t>
      </w:r>
      <w:bookmarkStart w:name="4、记账本位币" w:id="163"/>
      <w:bookmarkEnd w:id="163"/>
      <w:r>
        <w:rPr/>
        <w:t>为记</w:t>
      </w:r>
      <w:r>
        <w:rPr/>
        <w:t>账本位币。</w:t>
      </w:r>
    </w:p>
    <w:p>
      <w:pPr>
        <w:spacing w:line="240" w:lineRule="auto" w:before="0"/>
        <w:rPr>
          <w:rFonts w:ascii="宋体" w:hAnsi="宋体" w:cs="宋体" w:eastAsia="宋体" w:hint="default"/>
          <w:sz w:val="20"/>
          <w:szCs w:val="20"/>
        </w:rPr>
      </w:pPr>
    </w:p>
    <w:p>
      <w:pPr>
        <w:pStyle w:val="Heading6"/>
        <w:spacing w:line="240" w:lineRule="auto" w:before="154"/>
        <w:ind w:right="103"/>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03"/>
        <w:jc w:val="left"/>
      </w:pPr>
      <w:r>
        <w:rPr>
          <w:spacing w:val="-2"/>
        </w:rPr>
        <w:t>同一控制下企业合并：本公司在企业合并中取得的资产和负债，按照</w:t>
      </w:r>
      <w:bookmarkStart w:name="5、同一控制下和非同一控制下企业合并的会计处理方法" w:id="164"/>
      <w:bookmarkEnd w:id="164"/>
      <w:r>
        <w:rPr>
          <w:spacing w:val="-2"/>
        </w:rPr>
        <w:t>合</w:t>
      </w:r>
      <w:r>
        <w:rPr>
          <w:spacing w:val="-2"/>
        </w:rPr>
        <w:t>并日在被合并方资产、负债（包括</w:t>
      </w:r>
      <w:r>
        <w:rPr>
          <w:spacing w:val="-47"/>
        </w:rPr>
        <w:t> </w:t>
      </w:r>
      <w:r>
        <w:rPr>
          <w:spacing w:val="-47"/>
        </w:rPr>
      </w:r>
      <w:r>
        <w:rPr>
          <w:spacing w:val="-2"/>
        </w:rPr>
        <w:t>最终控制方收购被合并方而形成的商誉）在最终控制方合并财务报表中的账面价值计量。在合并中取得的</w:t>
      </w:r>
      <w:r>
        <w:rPr>
          <w:spacing w:val="-43"/>
        </w:rPr>
        <w:t> </w:t>
      </w:r>
      <w:r>
        <w:rPr>
          <w:spacing w:val="-43"/>
        </w:rPr>
      </w:r>
      <w:r>
        <w:rPr>
          <w:spacing w:val="-5"/>
        </w:rPr>
        <w:t>净资产账面价值与支付的合并对价账面价值（或发行股份面值总额）的差额，调整资本公积中的股本溢价，</w:t>
      </w:r>
      <w:r>
        <w:rPr>
          <w:spacing w:val="-6"/>
        </w:rPr>
        <w:t> </w:t>
      </w:r>
      <w:r>
        <w:rPr>
          <w:spacing w:val="-6"/>
        </w:rPr>
      </w:r>
      <w:r>
        <w:rPr/>
        <w:t>资本公积中的股本溢价不足冲减的，调整留存收益。</w:t>
      </w:r>
      <w:r>
        <w:rPr>
          <w:w w:val="100"/>
        </w:rPr>
        <w:t> </w:t>
      </w:r>
      <w:r>
        <w:rPr>
          <w:spacing w:val="-2"/>
        </w:rPr>
        <w:t>非同一控制下企业合并：本公司在购买日对作为企业合并对价付出的资产、发生或承担的负债按照公允价</w:t>
      </w:r>
      <w:r>
        <w:rPr>
          <w:spacing w:val="-42"/>
        </w:rPr>
        <w:t> </w:t>
      </w:r>
      <w:r>
        <w:rPr>
          <w:spacing w:val="-42"/>
        </w:rPr>
      </w:r>
      <w:r>
        <w:rPr>
          <w:spacing w:val="-2"/>
        </w:rPr>
        <w:t>值计量，公允价值与其账面价值的差额，计入当期损益。本公司对合并成本大于合并中取得的被购买方可</w:t>
      </w:r>
      <w:r>
        <w:rPr>
          <w:spacing w:val="-44"/>
        </w:rPr>
        <w:t> </w:t>
      </w:r>
      <w:r>
        <w:rPr>
          <w:spacing w:val="-44"/>
        </w:rPr>
      </w:r>
      <w:r>
        <w:rPr>
          <w:spacing w:val="-2"/>
        </w:rPr>
        <w:t>辨认净资产公允价值份额的差额，确认为商誉；合并成本小于合并中取得的被购买方可辨认净资产公允价</w:t>
      </w:r>
      <w:r>
        <w:rPr>
          <w:spacing w:val="-43"/>
        </w:rPr>
        <w:t> </w:t>
      </w:r>
      <w:r>
        <w:rPr>
          <w:spacing w:val="-43"/>
        </w:rPr>
      </w:r>
      <w:r>
        <w:rPr/>
        <w:t>值份额的差额，经复核后，计入当期损益。</w:t>
      </w:r>
      <w:r>
        <w:rPr>
          <w:w w:val="100"/>
        </w:rPr>
        <w:t> </w:t>
      </w:r>
      <w:r>
        <w:rPr>
          <w:spacing w:val="-5"/>
        </w:rPr>
        <w:t>为企业合并发生的审计、法律服务、评估咨询等中介费用以及其他直接相关费用，于发生时计入当期损益；</w:t>
      </w:r>
      <w:r>
        <w:rPr>
          <w:spacing w:val="-3"/>
        </w:rPr>
        <w:t> </w:t>
      </w:r>
      <w:r>
        <w:rPr>
          <w:spacing w:val="-3"/>
        </w:rPr>
      </w:r>
      <w:r>
        <w:rPr/>
        <w:t>为企业合并而发行权益性证券的交易费用，冲减权益。</w:t>
      </w:r>
    </w:p>
    <w:p>
      <w:pPr>
        <w:spacing w:line="240" w:lineRule="auto" w:before="8"/>
        <w:rPr>
          <w:rFonts w:ascii="宋体" w:hAnsi="宋体" w:cs="宋体" w:eastAsia="宋体" w:hint="default"/>
          <w:sz w:val="20"/>
          <w:szCs w:val="20"/>
        </w:rPr>
      </w:pPr>
    </w:p>
    <w:p>
      <w:pPr>
        <w:pStyle w:val="Heading6"/>
        <w:spacing w:line="240" w:lineRule="auto"/>
        <w:ind w:right="103"/>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6"/>
        <w:rPr>
          <w:rFonts w:ascii="宋体" w:hAnsi="宋体" w:cs="宋体" w:eastAsia="宋体" w:hint="default"/>
          <w:b/>
          <w:bCs/>
          <w:sz w:val="30"/>
          <w:szCs w:val="30"/>
        </w:rPr>
      </w:pPr>
    </w:p>
    <w:p>
      <w:pPr>
        <w:pStyle w:val="BodyText"/>
        <w:spacing w:line="386" w:lineRule="auto"/>
        <w:ind w:left="212" w:right="103" w:hanging="5"/>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58"/>
        </w:rPr>
        <w:t> </w:t>
      </w:r>
      <w:r>
        <w:rPr>
          <w:rFonts w:ascii="宋体" w:hAnsi="宋体" w:cs="宋体" w:eastAsia="宋体" w:hint="default"/>
          <w:b/>
          <w:bCs/>
        </w:rPr>
        <w:t>合并范围</w:t>
      </w:r>
      <w:r>
        <w:rPr>
          <w:rFonts w:ascii="宋体" w:hAnsi="宋体" w:cs="宋体" w:eastAsia="宋体" w:hint="default"/>
          <w:b/>
          <w:bCs/>
          <w:spacing w:val="-104"/>
        </w:rPr>
        <w:t> </w:t>
      </w:r>
      <w:r>
        <w:rPr>
          <w:rFonts w:ascii="宋体" w:hAnsi="宋体" w:cs="宋体" w:eastAsia="宋体" w:hint="default"/>
          <w:b/>
          <w:bCs/>
          <w:spacing w:val="-104"/>
        </w:rPr>
      </w:r>
      <w:r>
        <w:rPr>
          <w:spacing w:val="-4"/>
        </w:rPr>
        <w:t>本公司合并财务报表的合并范围以控制为基础确定，所有子公司（包括本公司所控制的被投资方可分割的</w:t>
      </w:r>
    </w:p>
    <w:p>
      <w:pPr>
        <w:spacing w:after="0" w:line="386" w:lineRule="auto"/>
        <w:jc w:val="left"/>
        <w:sectPr>
          <w:pgSz w:w="11910" w:h="16840"/>
          <w:pgMar w:header="745" w:footer="982" w:top="1060" w:bottom="1180" w:left="980" w:right="920"/>
        </w:sectPr>
      </w:pPr>
    </w:p>
    <w:p>
      <w:pPr>
        <w:spacing w:line="240" w:lineRule="auto" w:before="0"/>
        <w:rPr>
          <w:rFonts w:ascii="宋体" w:hAnsi="宋体" w:cs="宋体" w:eastAsia="宋体" w:hint="default"/>
          <w:sz w:val="20"/>
          <w:szCs w:val="20"/>
        </w:rPr>
      </w:pPr>
    </w:p>
    <w:p>
      <w:pPr>
        <w:pStyle w:val="BodyText"/>
        <w:spacing w:line="240" w:lineRule="auto" w:before="175"/>
        <w:ind w:left="212" w:right="114"/>
        <w:jc w:val="left"/>
      </w:pPr>
      <w:r>
        <w:rPr/>
        <w:t>部分）均纳入合并财务报表。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05" w:lineRule="auto" w:before="137"/>
        <w:ind w:left="212" w:right="114" w:hanging="5"/>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58"/>
        </w:rPr>
        <w:t> </w:t>
      </w:r>
      <w:r>
        <w:rPr>
          <w:rFonts w:ascii="宋体" w:hAnsi="宋体" w:cs="宋体" w:eastAsia="宋体" w:hint="default"/>
          <w:b/>
          <w:bCs/>
        </w:rPr>
        <w:t>合并程序</w:t>
      </w:r>
      <w:r>
        <w:rPr>
          <w:rFonts w:ascii="宋体" w:hAnsi="宋体" w:cs="宋体" w:eastAsia="宋体" w:hint="default"/>
          <w:b/>
          <w:bCs/>
          <w:spacing w:val="-104"/>
        </w:rPr>
        <w:t> </w:t>
      </w:r>
      <w:r>
        <w:rPr>
          <w:rFonts w:ascii="宋体" w:hAnsi="宋体" w:cs="宋体" w:eastAsia="宋体" w:hint="default"/>
          <w:b/>
          <w:bCs/>
          <w:spacing w:val="-104"/>
        </w:rPr>
      </w:r>
      <w:r>
        <w:rPr>
          <w:spacing w:val="-4"/>
        </w:rPr>
        <w:t>本公司以自身和各子公司的财务报表为基础，根据其他有关资料，编制合并财务报表。本公司编制合并财</w:t>
      </w:r>
      <w:r>
        <w:rPr>
          <w:spacing w:val="-21"/>
        </w:rPr>
        <w:t> </w:t>
      </w:r>
      <w:r>
        <w:rPr>
          <w:spacing w:val="-21"/>
        </w:rPr>
      </w:r>
      <w:r>
        <w:rPr>
          <w:spacing w:val="-4"/>
        </w:rPr>
        <w:t>务报表，将整个企业集团视为一个会计主体，依据相关企业会计准则的确认、计量和列报要求，按照统一</w:t>
      </w:r>
      <w:r>
        <w:rPr>
          <w:spacing w:val="-19"/>
        </w:rPr>
        <w:t> </w:t>
      </w:r>
      <w:r>
        <w:rPr>
          <w:spacing w:val="-19"/>
        </w:rPr>
      </w:r>
      <w:r>
        <w:rPr/>
        <w:t>的会计政策，反映本企业集团整体财务状况、经营成果和现金流量。</w:t>
      </w:r>
      <w:r>
        <w:rPr>
          <w:w w:val="100"/>
        </w:rPr>
        <w:t> </w:t>
      </w:r>
      <w:r>
        <w:rPr>
          <w:spacing w:val="-4"/>
        </w:rPr>
        <w:t>所有纳入合并财务报表合并范围的子公司所采用的会计政策、会计期间与本公司一致，如子公司采用的会</w:t>
      </w:r>
      <w:r>
        <w:rPr>
          <w:spacing w:val="-19"/>
        </w:rPr>
        <w:t> </w:t>
      </w:r>
      <w:r>
        <w:rPr>
          <w:spacing w:val="-19"/>
        </w:rPr>
      </w:r>
      <w:r>
        <w:rPr>
          <w:spacing w:val="-4"/>
        </w:rPr>
        <w:t>计政策、会计期间与本公司不一致的，在编制合并财务报表时，按本公司的会计政策、会计期间进行必要</w:t>
      </w:r>
      <w:r>
        <w:rPr>
          <w:spacing w:val="-19"/>
        </w:rPr>
        <w:t> </w:t>
      </w:r>
      <w:r>
        <w:rPr>
          <w:spacing w:val="-19"/>
        </w:rPr>
      </w:r>
      <w:r>
        <w:rPr>
          <w:spacing w:val="-4"/>
        </w:rPr>
        <w:t>的调整。对于非同一控制下企业合并取得的子公司，以购买日可辨认净资产公允价值为基础对其财务报表</w:t>
      </w:r>
      <w:r>
        <w:rPr>
          <w:spacing w:val="-19"/>
        </w:rPr>
        <w:t> </w:t>
      </w:r>
      <w:r>
        <w:rPr>
          <w:spacing w:val="-19"/>
        </w:rPr>
      </w:r>
      <w:r>
        <w:rPr>
          <w:spacing w:val="-4"/>
        </w:rPr>
        <w:t>进行调整。对于同一控制下企业合并取得的子公司，以其资产、负债（包括最终控制方收购该子公司而形</w:t>
      </w:r>
      <w:r>
        <w:rPr>
          <w:spacing w:val="-16"/>
        </w:rPr>
        <w:t> </w:t>
      </w:r>
      <w:r>
        <w:rPr>
          <w:spacing w:val="-16"/>
        </w:rPr>
      </w:r>
      <w:r>
        <w:rPr/>
        <w:t>成的商誉）在最终控制方财务报表中的账面价值为基础对其财务报表进行调整。</w:t>
      </w:r>
      <w:r>
        <w:rPr>
          <w:w w:val="100"/>
        </w:rPr>
        <w:t> </w:t>
      </w:r>
      <w:r>
        <w:rPr>
          <w:spacing w:val="-4"/>
        </w:rPr>
        <w:t>子公司所有者权益、当期净损益和当期综合收益中属于少数股东的份额分别在合并资产负债表中所有者权</w:t>
      </w:r>
      <w:r>
        <w:rPr>
          <w:spacing w:val="-22"/>
        </w:rPr>
        <w:t> </w:t>
      </w:r>
      <w:r>
        <w:rPr>
          <w:spacing w:val="-22"/>
        </w:rPr>
      </w:r>
      <w:r>
        <w:rPr>
          <w:spacing w:val="-4"/>
        </w:rPr>
        <w:t>益项目下、合并利润表中净利润项目下和综合收益总额项目下单独列示。子公司少数股东分担的当期亏损</w:t>
      </w:r>
      <w:r>
        <w:rPr>
          <w:spacing w:val="-20"/>
        </w:rPr>
        <w:t> </w:t>
      </w:r>
      <w:r>
        <w:rPr>
          <w:spacing w:val="-20"/>
        </w:rPr>
      </w:r>
      <w:r>
        <w:rPr/>
        <w:t>超过了少数股东在该子公司期初所有者权益中所享有份额而形成的余额，冲减少数股东权益。</w:t>
      </w:r>
    </w:p>
    <w:p>
      <w:pPr>
        <w:pStyle w:val="BodyText"/>
        <w:spacing w:line="408" w:lineRule="auto" w:before="48"/>
        <w:ind w:left="212" w:right="114" w:hanging="60"/>
        <w:jc w:val="left"/>
      </w:pPr>
      <w:r>
        <w:rPr/>
        <w:t>（</w:t>
      </w:r>
      <w:r>
        <w:rPr>
          <w:rFonts w:ascii="Times New Roman" w:hAnsi="Times New Roman" w:cs="Times New Roman" w:eastAsia="Times New Roman" w:hint="default"/>
        </w:rPr>
        <w:t>1</w:t>
      </w:r>
      <w:r>
        <w:rPr/>
        <w:t>）增加子公司或业务</w:t>
      </w:r>
      <w:r>
        <w:rPr>
          <w:w w:val="100"/>
        </w:rPr>
        <w:t> </w:t>
      </w:r>
      <w:r>
        <w:rPr>
          <w:spacing w:val="-4"/>
        </w:rPr>
        <w:t>在报告期内，若因同一控制下企业合并增加子公司或业务的，则调整合并资产负债表的期初数；将子公司</w:t>
      </w:r>
      <w:r>
        <w:rPr>
          <w:spacing w:val="-75"/>
        </w:rPr>
        <w:t> </w:t>
      </w:r>
      <w:r>
        <w:rPr>
          <w:spacing w:val="-75"/>
        </w:rPr>
      </w:r>
      <w:r>
        <w:rPr>
          <w:spacing w:val="-4"/>
        </w:rPr>
        <w:t>或业务合并当期期初至报告期末的收入、费用、利润纳入合并利润表；将子公司或业务合并当期期初至报</w:t>
      </w:r>
      <w:r>
        <w:rPr>
          <w:spacing w:val="-73"/>
        </w:rPr>
        <w:t> </w:t>
      </w:r>
      <w:r>
        <w:rPr>
          <w:spacing w:val="-73"/>
        </w:rPr>
      </w:r>
      <w:r>
        <w:rPr>
          <w:spacing w:val="-4"/>
        </w:rPr>
        <w:t>告期末的现金流量纳入合并现金流量表，同时对比较报表的相关项目进行调整，视同合并后的报告主体自</w:t>
      </w:r>
      <w:r>
        <w:rPr>
          <w:spacing w:val="-74"/>
        </w:rPr>
        <w:t> </w:t>
      </w:r>
      <w:r>
        <w:rPr>
          <w:spacing w:val="-74"/>
        </w:rPr>
      </w:r>
      <w:r>
        <w:rPr/>
        <w:t>最终控制方开始控制时点起一直存在。</w:t>
      </w:r>
      <w:r>
        <w:rPr>
          <w:w w:val="100"/>
        </w:rPr>
        <w:t> </w:t>
      </w:r>
      <w:r>
        <w:rPr>
          <w:spacing w:val="-4"/>
        </w:rPr>
        <w:t>因追加投资等原因能够对同一控制下的被投资方实施控制的，视同参与合并的各方在最终控制方开始控制</w:t>
      </w:r>
      <w:r>
        <w:rPr>
          <w:spacing w:val="-77"/>
        </w:rPr>
        <w:t> </w:t>
      </w:r>
      <w:r>
        <w:rPr>
          <w:spacing w:val="-77"/>
        </w:rPr>
      </w:r>
      <w:r>
        <w:rPr>
          <w:spacing w:val="-4"/>
        </w:rPr>
        <w:t>时即以目前的状态存在进行调整。在取得被合并方控制权之前持有的股权投资，在取得原股权之日与合并</w:t>
      </w:r>
      <w:r>
        <w:rPr>
          <w:spacing w:val="-74"/>
        </w:rPr>
        <w:t> </w:t>
      </w:r>
      <w:r>
        <w:rPr>
          <w:spacing w:val="-74"/>
        </w:rPr>
      </w:r>
      <w:r>
        <w:rPr>
          <w:spacing w:val="-4"/>
        </w:rPr>
        <w:t>方和被合并方同处于同一控制之日孰晚日起至合并日之间已确认有关损益、其他综合收益以及其他净资产</w:t>
      </w:r>
      <w:r>
        <w:rPr>
          <w:spacing w:val="-77"/>
        </w:rPr>
        <w:t> </w:t>
      </w:r>
      <w:r>
        <w:rPr>
          <w:spacing w:val="-77"/>
        </w:rPr>
      </w:r>
      <w:r>
        <w:rPr/>
        <w:t>变动，分别冲减比较报表期间的期初留存收益或当期损益。</w:t>
      </w:r>
      <w:r>
        <w:rPr>
          <w:w w:val="100"/>
        </w:rPr>
        <w:t> </w:t>
      </w:r>
      <w:r>
        <w:rPr>
          <w:spacing w:val="-4"/>
        </w:rPr>
        <w:t>在报告期内，若因非同一控制下企业合并增加子公司或业务的，则不调整合并资产负债表期初数；将该子</w:t>
      </w:r>
      <w:r>
        <w:rPr>
          <w:spacing w:val="-73"/>
        </w:rPr>
        <w:t> </w:t>
      </w:r>
      <w:r>
        <w:rPr>
          <w:spacing w:val="-73"/>
        </w:rPr>
      </w:r>
      <w:r>
        <w:rPr>
          <w:spacing w:val="-4"/>
        </w:rPr>
        <w:t>公司或业务自购买日至报告期末的收入、费用、利润纳入合并利润表；该子公司或业务自购买日至报告期</w:t>
      </w:r>
      <w:r>
        <w:rPr>
          <w:spacing w:val="-73"/>
        </w:rPr>
        <w:t> </w:t>
      </w:r>
      <w:r>
        <w:rPr>
          <w:spacing w:val="-73"/>
        </w:rPr>
      </w:r>
      <w:r>
        <w:rPr/>
        <w:t>末的现金流量纳入合并现金流量表。</w:t>
      </w:r>
      <w:r>
        <w:rPr>
          <w:w w:val="100"/>
        </w:rPr>
        <w:t> </w:t>
      </w:r>
      <w:r>
        <w:rPr>
          <w:spacing w:val="-2"/>
        </w:rPr>
        <w:t>因追加投资等原因能够对非同一控制下的被投资方实施控制的，对于购买日之前持有的被购买方的股权，</w:t>
      </w:r>
      <w:r>
        <w:rPr>
          <w:spacing w:val="-81"/>
        </w:rPr>
        <w:t> </w:t>
      </w:r>
      <w:r>
        <w:rPr>
          <w:spacing w:val="-81"/>
        </w:rPr>
      </w:r>
      <w:r>
        <w:rPr>
          <w:spacing w:val="-2"/>
        </w:rPr>
        <w:t>本公司按照该股权在购买日的公允价值进行重新计量，公允价值与其账面价值的差额计入当期投资收益。</w:t>
      </w:r>
      <w:r>
        <w:rPr>
          <w:spacing w:val="-81"/>
        </w:rPr>
        <w:t> </w:t>
      </w:r>
      <w:r>
        <w:rPr>
          <w:spacing w:val="-81"/>
        </w:rPr>
      </w:r>
      <w:r>
        <w:rPr>
          <w:spacing w:val="-4"/>
          <w:w w:val="100"/>
        </w:rPr>
        <w:t>购买日之前持有的被购买方的股权涉及权益法核算下的其他综合收益以及除净损益、其他综合收益和利润</w:t>
      </w:r>
      <w:r>
        <w:rPr>
          <w:w w:val="100"/>
        </w:rPr>
        <w:t> </w:t>
      </w:r>
      <w:r>
        <w:rPr>
          <w:spacing w:val="-4"/>
        </w:rPr>
        <w:t>分配之外的其他所有者权益变动的，与其相关的其他综合收益、其他所有者权益变动转为购买日所属当期</w:t>
      </w:r>
    </w:p>
    <w:p>
      <w:pPr>
        <w:spacing w:after="0" w:line="408" w:lineRule="auto"/>
        <w:jc w:val="left"/>
        <w:sectPr>
          <w:footerReference w:type="default" r:id="rId21"/>
          <w:pgSz w:w="11910" w:h="16840"/>
          <w:pgMar w:footer="982" w:header="745" w:top="1060" w:bottom="1180" w:left="980" w:right="940"/>
        </w:sectPr>
      </w:pPr>
    </w:p>
    <w:p>
      <w:pPr>
        <w:spacing w:line="240" w:lineRule="auto" w:before="0"/>
        <w:rPr>
          <w:rFonts w:ascii="宋体" w:hAnsi="宋体" w:cs="宋体" w:eastAsia="宋体" w:hint="default"/>
          <w:sz w:val="20"/>
          <w:szCs w:val="20"/>
        </w:rPr>
      </w:pPr>
    </w:p>
    <w:p>
      <w:pPr>
        <w:pStyle w:val="BodyText"/>
        <w:spacing w:line="240" w:lineRule="auto" w:before="175"/>
        <w:ind w:left="212" w:right="114"/>
        <w:jc w:val="left"/>
      </w:pPr>
      <w:r>
        <w:rPr/>
        <w:t>投资收益，由于被投资方重新计量设定受益计划净负债或净资产变动而产生的其他综合收益除外。</w:t>
      </w:r>
    </w:p>
    <w:p>
      <w:pPr>
        <w:spacing w:line="240" w:lineRule="auto" w:before="10"/>
        <w:rPr>
          <w:rFonts w:ascii="宋体" w:hAnsi="宋体" w:cs="宋体" w:eastAsia="宋体" w:hint="default"/>
          <w:sz w:val="14"/>
          <w:szCs w:val="14"/>
        </w:rPr>
      </w:pPr>
    </w:p>
    <w:p>
      <w:pPr>
        <w:pStyle w:val="BodyText"/>
        <w:spacing w:line="240" w:lineRule="auto"/>
        <w:ind w:right="114"/>
        <w:jc w:val="left"/>
      </w:pPr>
      <w:r>
        <w:rPr/>
        <w:t>（</w:t>
      </w:r>
      <w:r>
        <w:rPr>
          <w:rFonts w:ascii="Times New Roman" w:hAnsi="Times New Roman" w:cs="Times New Roman" w:eastAsia="Times New Roman" w:hint="default"/>
        </w:rPr>
        <w:t>2</w:t>
      </w:r>
      <w:r>
        <w:rPr/>
        <w:t>）处置子公司或业务</w:t>
      </w:r>
    </w:p>
    <w:p>
      <w:pPr>
        <w:pStyle w:val="BodyText"/>
        <w:spacing w:line="408" w:lineRule="auto" w:before="177"/>
        <w:ind w:left="212" w:right="114"/>
        <w:jc w:val="left"/>
      </w:pPr>
      <w:r>
        <w:rPr/>
        <w:t>①一般处理方法</w:t>
      </w:r>
      <w:r>
        <w:rPr>
          <w:spacing w:val="-103"/>
        </w:rPr>
        <w:t> </w:t>
      </w:r>
      <w:r>
        <w:rPr>
          <w:spacing w:val="-103"/>
        </w:rPr>
      </w:r>
      <w:r>
        <w:rPr>
          <w:spacing w:val="-4"/>
        </w:rPr>
        <w:t>在报告期内，本公司处置子公司或业务，则该子公司或业务期初至处置日的收入、费用、利润纳入合并利</w:t>
      </w:r>
      <w:r>
        <w:rPr>
          <w:spacing w:val="-14"/>
        </w:rPr>
        <w:t> </w:t>
      </w:r>
      <w:r>
        <w:rPr>
          <w:spacing w:val="-14"/>
        </w:rPr>
      </w:r>
      <w:r>
        <w:rPr/>
        <w:t>润表；该子公司或业务期初至处置日的现金流量纳入合并现金流量表。</w:t>
      </w:r>
      <w:r>
        <w:rPr>
          <w:w w:val="100"/>
        </w:rPr>
        <w:t> </w:t>
      </w:r>
      <w:r>
        <w:rPr>
          <w:spacing w:val="-4"/>
        </w:rPr>
        <w:t>因处置部分股权投资或其他原因丧失了对被投资方控制权时，对于处置后的剩余股权投资，本公司按照其</w:t>
      </w:r>
      <w:r>
        <w:rPr>
          <w:spacing w:val="-14"/>
        </w:rPr>
        <w:t> </w:t>
      </w:r>
      <w:r>
        <w:rPr>
          <w:spacing w:val="-14"/>
        </w:rPr>
      </w:r>
      <w:r>
        <w:rPr>
          <w:spacing w:val="-4"/>
        </w:rPr>
        <w:t>在丧失控制权日的公允价值进行重新计量。处置股权取得的对价与剩余股权公允价值之和，减去按原持股</w:t>
      </w:r>
      <w:r>
        <w:rPr>
          <w:spacing w:val="-14"/>
        </w:rPr>
        <w:t> </w:t>
      </w:r>
      <w:r>
        <w:rPr>
          <w:spacing w:val="-14"/>
        </w:rPr>
      </w:r>
      <w:r>
        <w:rPr>
          <w:spacing w:val="-4"/>
        </w:rPr>
        <w:t>比例计算应享有原有子公司自购买日或合并日开始持续计算的净资产的份额与商誉之和的差额，计入丧失</w:t>
      </w:r>
      <w:r>
        <w:rPr>
          <w:spacing w:val="-17"/>
        </w:rPr>
        <w:t> </w:t>
      </w:r>
      <w:r>
        <w:rPr>
          <w:spacing w:val="-17"/>
        </w:rPr>
      </w:r>
      <w:r>
        <w:rPr>
          <w:spacing w:val="-4"/>
        </w:rPr>
        <w:t>控制权当期的投资收益。与原有子公司股权投资相关的其他综合收益或除净损益、其他综合收益及利润分</w:t>
      </w:r>
      <w:r>
        <w:rPr>
          <w:spacing w:val="-14"/>
        </w:rPr>
        <w:t> </w:t>
      </w:r>
      <w:r>
        <w:rPr>
          <w:spacing w:val="-14"/>
        </w:rPr>
      </w:r>
      <w:r>
        <w:rPr>
          <w:spacing w:val="-4"/>
        </w:rPr>
        <w:t>配之外的其他所有者权益变动，在丧失控制权时转为当期投资收益，由于被投资方重新计量设定受益计划</w:t>
      </w:r>
      <w:r>
        <w:rPr>
          <w:spacing w:val="-14"/>
        </w:rPr>
        <w:t> </w:t>
      </w:r>
      <w:r>
        <w:rPr>
          <w:spacing w:val="-14"/>
        </w:rPr>
      </w:r>
      <w:r>
        <w:rPr/>
        <w:t>净负债或净资产变动而产生的其他综合收益除外。</w:t>
      </w:r>
      <w:r>
        <w:rPr>
          <w:w w:val="100"/>
        </w:rPr>
        <w:t> </w:t>
      </w:r>
      <w:r>
        <w:rPr>
          <w:spacing w:val="-2"/>
        </w:rPr>
        <w:t>因其他投资方对子公司增资而导致本公司持股比例下降从而丧失控制权的，按照上述原则进行会计处理。</w:t>
      </w:r>
    </w:p>
    <w:p>
      <w:pPr>
        <w:pStyle w:val="BodyText"/>
        <w:spacing w:line="408" w:lineRule="auto" w:before="46"/>
        <w:ind w:left="212" w:right="114"/>
        <w:jc w:val="left"/>
      </w:pPr>
      <w:r>
        <w:rPr/>
        <w:t>②分步处置子公司</w:t>
      </w:r>
      <w:r>
        <w:rPr>
          <w:w w:val="100"/>
        </w:rPr>
        <w:t> </w:t>
      </w:r>
      <w:r>
        <w:rPr>
          <w:spacing w:val="-2"/>
        </w:rPr>
        <w:t>通过多次交易分步处置对子公司股权投资直至丧失控制权的，处置对子公司股权投资的各项交易的条款、</w:t>
      </w:r>
      <w:r>
        <w:rPr>
          <w:spacing w:val="-21"/>
        </w:rPr>
        <w:t> </w:t>
      </w:r>
      <w:r>
        <w:rPr>
          <w:spacing w:val="-21"/>
        </w:rPr>
      </w:r>
      <w:r>
        <w:rPr>
          <w:spacing w:val="-2"/>
        </w:rPr>
        <w:t>条件以及经济影响符合以下一种或多种情况，通常表明应将多次交易事项作为一揽子交易进行会计处理：</w:t>
      </w:r>
      <w:r>
        <w:rPr>
          <w:spacing w:val="-24"/>
        </w:rPr>
        <w:t> </w:t>
      </w:r>
      <w:r>
        <w:rPr>
          <w:spacing w:val="-24"/>
        </w:rPr>
      </w:r>
      <w:r>
        <w:rPr/>
        <w:t>ⅰ．这些交易是同时或者在考虑了彼此影响的情况下订立的；</w:t>
      </w:r>
      <w:r>
        <w:rPr>
          <w:w w:val="100"/>
        </w:rPr>
        <w:t> </w:t>
      </w:r>
      <w:r>
        <w:rPr/>
        <w:t>ⅱ．这些交易整体才能达成一项完整的商业结果；</w:t>
      </w:r>
      <w:r>
        <w:rPr>
          <w:w w:val="100"/>
        </w:rPr>
        <w:t> </w:t>
      </w:r>
      <w:r>
        <w:rPr/>
        <w:t>ⅲ．一项交易的发生取决于其他至少一项交易的发生；</w:t>
      </w:r>
      <w:r>
        <w:rPr>
          <w:w w:val="100"/>
        </w:rPr>
        <w:t> </w:t>
      </w:r>
      <w:r>
        <w:rPr/>
        <w:t>ⅳ．一项交易单独看是不经济的，但是和其他交易一并考虑时是经济的。</w:t>
      </w:r>
      <w:r>
        <w:rPr>
          <w:w w:val="100"/>
        </w:rPr>
        <w:t> </w:t>
      </w:r>
      <w:r>
        <w:rPr>
          <w:spacing w:val="-4"/>
        </w:rPr>
        <w:t>处置对子公司股权投资直至丧失控制权的各项交易属于一揽子交易的，本公司将各项交易作为一项处置子</w:t>
      </w:r>
      <w:r>
        <w:rPr>
          <w:spacing w:val="-17"/>
        </w:rPr>
        <w:t> </w:t>
      </w:r>
      <w:r>
        <w:rPr>
          <w:spacing w:val="-17"/>
        </w:rPr>
      </w:r>
      <w:r>
        <w:rPr>
          <w:spacing w:val="-4"/>
        </w:rPr>
        <w:t>公司并丧失控制权的交易进行会计处理；但是，在丧失控制权之前每一次处置价款与处置投资对应的享有</w:t>
      </w:r>
      <w:r>
        <w:rPr>
          <w:spacing w:val="-14"/>
        </w:rPr>
        <w:t> </w:t>
      </w:r>
      <w:r>
        <w:rPr>
          <w:spacing w:val="-14"/>
        </w:rPr>
      </w:r>
      <w:r>
        <w:rPr>
          <w:spacing w:val="-4"/>
        </w:rPr>
        <w:t>该子公司净资产份额的差额，在合并财务报表中确认为其他综合收益，在丧失控制权时一并转入丧失控制</w:t>
      </w:r>
      <w:r>
        <w:rPr>
          <w:spacing w:val="-14"/>
        </w:rPr>
        <w:t> </w:t>
      </w:r>
      <w:r>
        <w:rPr>
          <w:spacing w:val="-14"/>
        </w:rPr>
      </w:r>
      <w:r>
        <w:rPr/>
        <w:t>权当期的损益。</w:t>
      </w:r>
      <w:r>
        <w:rPr>
          <w:spacing w:val="-103"/>
        </w:rPr>
        <w:t> </w:t>
      </w:r>
      <w:r>
        <w:rPr>
          <w:spacing w:val="-103"/>
        </w:rPr>
      </w:r>
      <w:r>
        <w:rPr>
          <w:spacing w:val="-4"/>
        </w:rPr>
        <w:t>处置对子公司股权投资直至丧失控制权的各项交易不属于一揽子交易的，在丧失控制权之前，按不丧失控</w:t>
      </w:r>
      <w:r>
        <w:rPr>
          <w:spacing w:val="-15"/>
        </w:rPr>
        <w:t> </w:t>
      </w:r>
      <w:r>
        <w:rPr>
          <w:spacing w:val="-15"/>
        </w:rPr>
      </w:r>
      <w:r>
        <w:rPr>
          <w:spacing w:val="-4"/>
        </w:rPr>
        <w:t>制权的情况下部分处置对子公司的股权投资的相关政策进行会计处理；在丧失控制权时，按处置子公司一</w:t>
      </w:r>
      <w:r>
        <w:rPr>
          <w:spacing w:val="-14"/>
        </w:rPr>
        <w:t> </w:t>
      </w:r>
      <w:r>
        <w:rPr>
          <w:spacing w:val="-14"/>
        </w:rPr>
      </w:r>
      <w:r>
        <w:rPr/>
        <w:t>般处理方法进行会计处理。</w:t>
      </w:r>
    </w:p>
    <w:p>
      <w:pPr>
        <w:pStyle w:val="BodyText"/>
        <w:spacing w:line="400" w:lineRule="auto" w:before="46"/>
        <w:ind w:left="212" w:right="114" w:hanging="60"/>
        <w:jc w:val="left"/>
      </w:pPr>
      <w:r>
        <w:rPr/>
        <w:t>（</w:t>
      </w:r>
      <w:r>
        <w:rPr>
          <w:rFonts w:ascii="Times New Roman" w:hAnsi="Times New Roman" w:cs="Times New Roman" w:eastAsia="Times New Roman" w:hint="default"/>
        </w:rPr>
        <w:t>3</w:t>
      </w:r>
      <w:r>
        <w:rPr/>
        <w:t>）购买子公司少数股权</w:t>
      </w:r>
      <w:r>
        <w:rPr>
          <w:spacing w:val="-3"/>
          <w:w w:val="100"/>
        </w:rPr>
        <w:t> </w:t>
      </w:r>
      <w:r>
        <w:rPr/>
        <w:t>本公司因购买少数股权新取得的长期股权投资与按照新增持股比例计算应享有子公司自购买日（或合并</w:t>
      </w:r>
      <w:r>
        <w:rPr>
          <w:spacing w:val="-48"/>
        </w:rPr>
        <w:t> </w:t>
      </w:r>
      <w:r>
        <w:rPr>
          <w:spacing w:val="-48"/>
        </w:rPr>
      </w:r>
      <w:r>
        <w:rPr>
          <w:spacing w:val="-4"/>
        </w:rPr>
        <w:t>日）开始持续计算的净资产份额之间的差额，调整合并资产负债表中的资本公积中的股本溢价，资本公积</w:t>
      </w:r>
      <w:r>
        <w:rPr>
          <w:spacing w:val="-75"/>
        </w:rPr>
        <w:t> </w:t>
      </w:r>
      <w:r>
        <w:rPr>
          <w:spacing w:val="-75"/>
        </w:rPr>
      </w:r>
      <w:r>
        <w:rPr/>
        <w:t>中的股本溢价不足冲减的，调整留存收益。</w:t>
      </w:r>
    </w:p>
    <w:p>
      <w:pPr>
        <w:spacing w:after="0" w:line="400" w:lineRule="auto"/>
        <w:jc w:val="left"/>
        <w:sectPr>
          <w:footerReference w:type="default" r:id="rId22"/>
          <w:pgSz w:w="11910" w:h="16840"/>
          <w:pgMar w:footer="982" w:header="745" w:top="1060" w:bottom="1180" w:left="980" w:right="940"/>
        </w:sectPr>
      </w:pPr>
    </w:p>
    <w:p>
      <w:pPr>
        <w:spacing w:line="240" w:lineRule="auto" w:before="0"/>
        <w:rPr>
          <w:rFonts w:ascii="宋体" w:hAnsi="宋体" w:cs="宋体" w:eastAsia="宋体" w:hint="default"/>
          <w:sz w:val="20"/>
          <w:szCs w:val="20"/>
        </w:rPr>
      </w:pPr>
    </w:p>
    <w:p>
      <w:pPr>
        <w:pStyle w:val="BodyText"/>
        <w:spacing w:line="400" w:lineRule="auto" w:before="175"/>
        <w:ind w:right="0"/>
        <w:jc w:val="left"/>
      </w:pPr>
      <w:r>
        <w:rPr/>
        <w:t>（</w:t>
      </w:r>
      <w:r>
        <w:rPr>
          <w:rFonts w:ascii="Times New Roman" w:hAnsi="Times New Roman" w:cs="Times New Roman" w:eastAsia="Times New Roman" w:hint="default"/>
        </w:rPr>
        <w:t>4</w:t>
      </w:r>
      <w:r>
        <w:rPr/>
        <w:t>）不丧失控制权的情况下部分处置对子公司的股权投资</w:t>
      </w:r>
      <w:r>
        <w:rPr>
          <w:w w:val="100"/>
        </w:rPr>
        <w:t> </w:t>
      </w:r>
      <w:r>
        <w:rPr/>
        <w:t>在不丧失控制权的情况下因部分处置对子公司的长期股权投资而取得的处置价款与处置长期股权投资相</w:t>
      </w:r>
      <w:r>
        <w:rPr>
          <w:spacing w:val="14"/>
        </w:rPr>
        <w:t> </w:t>
      </w:r>
      <w:r>
        <w:rPr>
          <w:spacing w:val="14"/>
        </w:rPr>
      </w:r>
      <w:r>
        <w:rPr>
          <w:spacing w:val="-4"/>
        </w:rPr>
        <w:t>对应享有子公司自购买日或合并日开始持续计算的净资产份额之间的差额，调整合并资产负债表中的资本</w:t>
      </w:r>
      <w:r>
        <w:rPr>
          <w:spacing w:val="-17"/>
        </w:rPr>
        <w:t> </w:t>
      </w:r>
      <w:r>
        <w:rPr>
          <w:spacing w:val="-17"/>
        </w:rPr>
      </w:r>
      <w:r>
        <w:rPr/>
        <w:t>公积中的股本溢价，资本公积中的股本溢价不足冲减的，调整留存收益。</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7</w:t>
      </w:r>
      <w:r>
        <w:rPr/>
        <w:t>、合营安排分类及</w:t>
      </w:r>
      <w:bookmarkStart w:name="7、合营安排分类及共同经营会计处理方法" w:id="165"/>
      <w:bookmarkEnd w:id="165"/>
      <w:r>
        <w:rPr/>
        <w:t>共同</w:t>
      </w:r>
      <w:r>
        <w:rPr/>
        <w:t>经营会计处理方法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0"/>
        <w:jc w:val="left"/>
      </w:pPr>
      <w:r>
        <w:rPr/>
        <w:t>合营安排分为共同经营和合营企业。</w:t>
      </w:r>
      <w:r>
        <w:rPr>
          <w:w w:val="100"/>
        </w:rPr>
        <w:t> </w:t>
      </w:r>
      <w:r>
        <w:rPr/>
        <w:t>当本公司是合营安排的合营方，享有该安排相关资产且承担该安排相关负债时，为共同经营。</w:t>
      </w:r>
      <w:r>
        <w:rPr>
          <w:w w:val="100"/>
        </w:rPr>
        <w:t> </w:t>
      </w:r>
      <w:r>
        <w:rPr>
          <w:spacing w:val="-2"/>
        </w:rPr>
        <w:t>本公司确认与共同经营中利益份额相关的下列项目，并按照相关企业会计准则的规定进行会计处理：</w:t>
      </w:r>
    </w:p>
    <w:p>
      <w:pPr>
        <w:pStyle w:val="BodyText"/>
        <w:spacing w:line="240" w:lineRule="auto" w:before="46"/>
        <w:ind w:right="0"/>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177"/>
        <w:ind w:right="0"/>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177"/>
        <w:ind w:right="0"/>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177"/>
        <w:ind w:right="0"/>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386" w:lineRule="auto" w:before="177"/>
        <w:ind w:right="0"/>
        <w:jc w:val="left"/>
      </w:pPr>
      <w:r>
        <w:rPr/>
        <w:t>（</w:t>
      </w:r>
      <w:r>
        <w:rPr>
          <w:rFonts w:ascii="Times New Roman" w:hAnsi="Times New Roman" w:cs="Times New Roman" w:eastAsia="Times New Roman" w:hint="default"/>
        </w:rPr>
        <w:t>5</w:t>
      </w:r>
      <w:r>
        <w:rPr/>
        <w:t>）确认单独所发生的费用，以及按本公司份额确认共同经营发生的费用。</w:t>
      </w:r>
      <w:r>
        <w:rPr>
          <w:w w:val="100"/>
        </w:rPr>
        <w:t> </w:t>
      </w:r>
      <w:r>
        <w:rPr/>
        <w:t>本公司对合营企业投资的会计政策见本报告第十节</w:t>
      </w:r>
      <w:r>
        <w:rPr>
          <w:rFonts w:ascii="Times New Roman" w:hAnsi="Times New Roman" w:cs="Times New Roman" w:eastAsia="Times New Roman" w:hint="default"/>
        </w:rPr>
        <w:t>“</w:t>
      </w:r>
      <w:r>
        <w:rPr/>
        <w:t>五、</w:t>
      </w:r>
      <w:r>
        <w:rPr>
          <w:rFonts w:ascii="宋体" w:hAnsi="宋体" w:cs="宋体" w:eastAsia="宋体" w:hint="default"/>
        </w:rPr>
        <w:t>14</w:t>
      </w:r>
      <w:r>
        <w:rPr>
          <w:rFonts w:ascii="宋体" w:hAnsi="宋体" w:cs="宋体" w:eastAsia="宋体" w:hint="default"/>
          <w:spacing w:val="-8"/>
        </w:rPr>
        <w:t> </w:t>
      </w:r>
      <w:r>
        <w:rPr/>
        <w:t>长期股权投资</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19"/>
          <w:szCs w:val="19"/>
        </w:rPr>
      </w:pPr>
    </w:p>
    <w:p>
      <w:pPr>
        <w:pStyle w:val="Heading6"/>
        <w:spacing w:line="240" w:lineRule="auto"/>
        <w:ind w:right="0"/>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48"/>
        <w:jc w:val="both"/>
      </w:pPr>
      <w:r>
        <w:rPr>
          <w:spacing w:val="-7"/>
        </w:rPr>
        <w:t>在编制现金流量表时，将本公司库存现金以及可以随时用于支付的存款确认为</w:t>
      </w:r>
      <w:bookmarkStart w:name="8、现金及现金等价物的确定标准" w:id="166"/>
      <w:bookmarkEnd w:id="166"/>
      <w:r>
        <w:rPr>
          <w:spacing w:val="-7"/>
        </w:rPr>
        <w:t>现</w:t>
      </w:r>
      <w:r>
        <w:rPr>
          <w:spacing w:val="-7"/>
        </w:rPr>
        <w:t>金。将同时具备期限短（从</w:t>
      </w:r>
      <w:r>
        <w:rPr>
          <w:spacing w:val="-20"/>
        </w:rPr>
        <w:t> </w:t>
      </w:r>
      <w:r>
        <w:rPr>
          <w:spacing w:val="-20"/>
        </w:rPr>
      </w:r>
      <w:r>
        <w:rPr>
          <w:spacing w:val="-2"/>
        </w:rPr>
        <w:t>购买日起三个月内到期）、流动性强、易于转换为已知现金、价值变动风险很小四个条件的投资，确定为</w:t>
      </w:r>
      <w:r>
        <w:rPr>
          <w:spacing w:val="-44"/>
        </w:rPr>
        <w:t> </w:t>
      </w:r>
      <w:r>
        <w:rPr>
          <w:spacing w:val="-44"/>
        </w:rPr>
      </w:r>
      <w:r>
        <w:rPr/>
        <w:t>现金等价物。</w:t>
      </w:r>
    </w:p>
    <w:p>
      <w:pPr>
        <w:spacing w:line="240" w:lineRule="auto" w:before="8"/>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8"/>
        <w:rPr>
          <w:rFonts w:ascii="宋体" w:hAnsi="宋体" w:cs="宋体" w:eastAsia="宋体" w:hint="default"/>
          <w:b/>
          <w:bCs/>
          <w:sz w:val="30"/>
          <w:szCs w:val="30"/>
        </w:rPr>
      </w:pPr>
    </w:p>
    <w:p>
      <w:pPr>
        <w:pStyle w:val="BodyText"/>
        <w:spacing w:line="386" w:lineRule="auto"/>
        <w:ind w:left="212" w:right="2574" w:hanging="5"/>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58"/>
        </w:rPr>
        <w:t> </w:t>
      </w:r>
      <w:r>
        <w:rPr>
          <w:rFonts w:ascii="宋体" w:hAnsi="宋体" w:cs="宋体" w:eastAsia="宋体" w:hint="default"/>
          <w:b/>
          <w:bCs/>
        </w:rPr>
        <w:t>外币业务</w:t>
      </w:r>
      <w:r>
        <w:rPr>
          <w:rFonts w:ascii="宋体" w:hAnsi="宋体" w:cs="宋体" w:eastAsia="宋体" w:hint="default"/>
          <w:b/>
          <w:bCs/>
          <w:spacing w:val="-104"/>
        </w:rPr>
        <w:t> </w:t>
      </w:r>
      <w:r>
        <w:rPr>
          <w:rFonts w:ascii="宋体" w:hAnsi="宋体" w:cs="宋体" w:eastAsia="宋体" w:hint="default"/>
          <w:b/>
          <w:bCs/>
          <w:spacing w:val="-104"/>
        </w:rPr>
      </w:r>
      <w:r>
        <w:rPr>
          <w:spacing w:val="-2"/>
        </w:rPr>
        <w:t>外币业务采用交易发生当月的月初汇率作为折算汇率，折合成人民币记账。</w:t>
      </w:r>
    </w:p>
    <w:p>
      <w:pPr>
        <w:pStyle w:val="BodyText"/>
        <w:spacing w:line="408" w:lineRule="auto" w:before="65"/>
        <w:ind w:left="212" w:right="0"/>
        <w:jc w:val="left"/>
      </w:pPr>
      <w:r>
        <w:rPr>
          <w:spacing w:val="-4"/>
        </w:rPr>
        <w:t>外币货币性项目余额按资产负债表日即期汇率折算，由此产生的汇兑差额，除属于与购建符合资</w:t>
      </w:r>
      <w:bookmarkStart w:name="9、外币业务和外币报表折算" w:id="167"/>
      <w:bookmarkEnd w:id="167"/>
      <w:r>
        <w:rPr>
          <w:spacing w:val="-4"/>
        </w:rPr>
        <w:t>本化条件</w:t>
      </w:r>
      <w:r>
        <w:rPr>
          <w:spacing w:val="-17"/>
        </w:rPr>
        <w:t> </w:t>
      </w:r>
      <w:r>
        <w:rPr>
          <w:spacing w:val="-17"/>
        </w:rPr>
      </w:r>
      <w:r>
        <w:rPr>
          <w:spacing w:val="-4"/>
        </w:rPr>
        <w:t>的资产相关的外币专门借款产生的汇兑差额按照借款费用资本化的原则处理外，均计入当期损益。以历史</w:t>
      </w:r>
      <w:r>
        <w:rPr>
          <w:spacing w:val="-14"/>
        </w:rPr>
        <w:t> </w:t>
      </w:r>
      <w:r>
        <w:rPr>
          <w:spacing w:val="-14"/>
        </w:rPr>
      </w:r>
      <w:r>
        <w:rPr/>
        <w:t>成本计量的外币非货币性项目，仍采用交易发生日的即期汇率折算，不改变其记账本位币金额。以</w:t>
      </w:r>
      <w:r>
        <w:rPr>
          <w:w w:val="100"/>
        </w:rPr>
        <w:t> </w:t>
      </w:r>
      <w:r>
        <w:rPr>
          <w:spacing w:val="-4"/>
        </w:rPr>
        <w:t>公允价值计量的外币非货币性项目，采用公允价值确定日的即期汇率折算，由此产生的汇兑差额计入当期</w:t>
      </w:r>
      <w:r>
        <w:rPr>
          <w:spacing w:val="-14"/>
        </w:rPr>
        <w:t> </w:t>
      </w:r>
      <w:r>
        <w:rPr>
          <w:spacing w:val="-14"/>
        </w:rPr>
      </w:r>
      <w:r>
        <w:rPr/>
        <w:t>损益或资本公积。</w:t>
      </w:r>
    </w:p>
    <w:p>
      <w:pPr>
        <w:pStyle w:val="Heading6"/>
        <w:spacing w:line="240" w:lineRule="auto" w:before="46"/>
        <w:ind w:left="207" w:right="0"/>
        <w:jc w:val="left"/>
        <w:rPr>
          <w:b w:val="0"/>
          <w:bCs w:val="0"/>
        </w:rPr>
      </w:pPr>
      <w:r>
        <w:rPr>
          <w:rFonts w:ascii="Times New Roman" w:hAnsi="Times New Roman" w:cs="Times New Roman" w:eastAsia="Times New Roman" w:hint="default"/>
        </w:rPr>
        <w:t>2</w:t>
      </w:r>
      <w:r>
        <w:rPr/>
        <w:t>、</w:t>
      </w:r>
      <w:r>
        <w:rPr>
          <w:spacing w:val="-54"/>
        </w:rPr>
        <w:t> </w:t>
      </w:r>
      <w:r>
        <w:rPr/>
        <w:t>外币财务报表的折算</w:t>
      </w:r>
      <w:r>
        <w:rPr>
          <w:b w:val="0"/>
          <w:bCs w:val="0"/>
        </w:rPr>
      </w:r>
    </w:p>
    <w:p>
      <w:pPr>
        <w:spacing w:after="0" w:line="240" w:lineRule="auto"/>
        <w:jc w:val="left"/>
        <w:sectPr>
          <w:footerReference w:type="default" r:id="rId23"/>
          <w:pgSz w:w="11910" w:h="16840"/>
          <w:pgMar w:footer="982" w:header="745" w:top="1060" w:bottom="1180" w:left="980" w:right="980"/>
        </w:sectPr>
      </w:pPr>
    </w:p>
    <w:p>
      <w:pPr>
        <w:spacing w:line="240" w:lineRule="auto" w:before="0"/>
        <w:rPr>
          <w:rFonts w:ascii="宋体" w:hAnsi="宋体" w:cs="宋体" w:eastAsia="宋体" w:hint="default"/>
          <w:b/>
          <w:bCs/>
          <w:sz w:val="20"/>
          <w:szCs w:val="20"/>
        </w:rPr>
      </w:pPr>
    </w:p>
    <w:p>
      <w:pPr>
        <w:pStyle w:val="BodyText"/>
        <w:spacing w:line="403" w:lineRule="auto" w:before="175"/>
        <w:ind w:left="212" w:right="103"/>
        <w:jc w:val="left"/>
      </w:pP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rFonts w:ascii="Times New Roman" w:hAnsi="Times New Roman" w:cs="Times New Roman" w:eastAsia="Times New Roman" w:hint="default"/>
          <w:spacing w:val="33"/>
        </w:rPr>
        <w:t> </w:t>
      </w:r>
      <w:r>
        <w:rPr>
          <w:spacing w:val="-6"/>
        </w:rPr>
        <w:t>项目外，其他项目采用发生时即期汇率折算。利润表中的收入和费用项目，采用交易年度的平均汇率折算。</w:t>
      </w:r>
      <w:r>
        <w:rPr>
          <w:spacing w:val="-17"/>
        </w:rPr>
        <w:t> </w:t>
      </w:r>
      <w:r>
        <w:rPr>
          <w:spacing w:val="-17"/>
        </w:rPr>
      </w:r>
      <w:r>
        <w:rPr/>
        <w:t>按照上述折算产生的外币财务报表折算差额，在资产负债表所有者权益项目下单独列示。</w:t>
      </w:r>
      <w:r>
        <w:rPr>
          <w:w w:val="100"/>
        </w:rPr>
        <w:t> </w:t>
      </w:r>
      <w:r>
        <w:rPr>
          <w:spacing w:val="-6"/>
          <w:w w:val="100"/>
        </w:rPr>
        <w:t>处置境外经营时，将资产负债表中所有者权益项目下列示的、与该境外经营相关的外币财务报表折算差额，</w:t>
      </w:r>
      <w:r>
        <w:rPr>
          <w:spacing w:val="-81"/>
          <w:w w:val="100"/>
        </w:rPr>
        <w:t> </w:t>
      </w:r>
      <w:r>
        <w:rPr>
          <w:spacing w:val="-81"/>
          <w:w w:val="100"/>
        </w:rPr>
      </w:r>
      <w:r>
        <w:rPr>
          <w:spacing w:val="-4"/>
        </w:rPr>
        <w:t>自所有者权益项目转入处置当期损益；部分处置境外经营的，按处置的比例计算处置部分的外币财务报表</w:t>
      </w:r>
      <w:r>
        <w:rPr>
          <w:spacing w:val="-14"/>
        </w:rPr>
        <w:t> </w:t>
      </w:r>
      <w:r>
        <w:rPr>
          <w:spacing w:val="-14"/>
        </w:rPr>
      </w:r>
      <w:r>
        <w:rPr/>
        <w:t>折算差额，转入处置当期损益。</w:t>
      </w:r>
    </w:p>
    <w:p>
      <w:pPr>
        <w:spacing w:line="240" w:lineRule="auto" w:before="12"/>
        <w:rPr>
          <w:rFonts w:ascii="宋体" w:hAnsi="宋体" w:cs="宋体" w:eastAsia="宋体" w:hint="default"/>
          <w:sz w:val="20"/>
          <w:szCs w:val="20"/>
        </w:rPr>
      </w:pPr>
    </w:p>
    <w:p>
      <w:pPr>
        <w:pStyle w:val="Heading6"/>
        <w:spacing w:line="240" w:lineRule="auto"/>
        <w:ind w:right="103"/>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103"/>
        <w:jc w:val="left"/>
      </w:pPr>
      <w:r>
        <w:rPr/>
        <w:t>金融工具包括金融资产、金融负</w:t>
      </w:r>
      <w:bookmarkStart w:name="10、金融工具" w:id="168"/>
      <w:bookmarkEnd w:id="168"/>
      <w:r>
        <w:rPr/>
        <w:t>债</w:t>
      </w:r>
      <w:r>
        <w:rPr/>
        <w:t>和权益工具。</w:t>
      </w:r>
    </w:p>
    <w:p>
      <w:pPr>
        <w:spacing w:line="240" w:lineRule="auto" w:before="10"/>
        <w:rPr>
          <w:rFonts w:ascii="宋体" w:hAnsi="宋体" w:cs="宋体" w:eastAsia="宋体" w:hint="default"/>
          <w:sz w:val="14"/>
          <w:szCs w:val="14"/>
        </w:rPr>
      </w:pPr>
    </w:p>
    <w:p>
      <w:pPr>
        <w:pStyle w:val="BodyText"/>
        <w:spacing w:line="400" w:lineRule="auto"/>
        <w:ind w:right="103" w:hanging="1"/>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金融工具的分类</w:t>
      </w:r>
      <w:r>
        <w:rPr>
          <w:rFonts w:ascii="宋体" w:hAnsi="宋体" w:cs="宋体" w:eastAsia="宋体" w:hint="default"/>
          <w:b/>
          <w:bCs/>
          <w:spacing w:val="-103"/>
        </w:rPr>
        <w:t> </w:t>
      </w:r>
      <w:r>
        <w:rPr>
          <w:rFonts w:ascii="宋体" w:hAnsi="宋体" w:cs="宋体" w:eastAsia="宋体" w:hint="default"/>
          <w:b/>
          <w:bCs/>
          <w:spacing w:val="-103"/>
        </w:rPr>
      </w:r>
      <w:r>
        <w:rPr>
          <w:spacing w:val="-2"/>
        </w:rPr>
        <w:t>管理层按照取得持有金融资产和承担金融负债的目的，将其划分为：以公允价值计量且其变动计入当期损</w:t>
      </w:r>
      <w:r>
        <w:rPr>
          <w:spacing w:val="-44"/>
        </w:rPr>
        <w:t> </w:t>
      </w:r>
      <w:r>
        <w:rPr>
          <w:spacing w:val="-44"/>
        </w:rPr>
      </w:r>
      <w:r>
        <w:rPr>
          <w:spacing w:val="-2"/>
        </w:rPr>
        <w:t>益的金融资产或金融负债，包括交易性金融资产或金融负债和直接指定为以公允价值计量且其变动计入当</w:t>
      </w:r>
      <w:r>
        <w:rPr>
          <w:spacing w:val="-44"/>
        </w:rPr>
        <w:t> </w:t>
      </w:r>
      <w:r>
        <w:rPr>
          <w:spacing w:val="-44"/>
        </w:rPr>
      </w:r>
      <w:r>
        <w:rPr/>
        <w:t>期损益的金融资产或金融负债；应收款项；其他金融负债等。</w:t>
      </w:r>
    </w:p>
    <w:p>
      <w:pPr>
        <w:pStyle w:val="Heading6"/>
        <w:spacing w:line="240" w:lineRule="auto" w:before="52"/>
        <w:ind w:right="103"/>
        <w:jc w:val="left"/>
        <w:rPr>
          <w:b w:val="0"/>
          <w:bCs w:val="0"/>
        </w:rPr>
      </w:pPr>
      <w:r>
        <w:rPr>
          <w:rFonts w:ascii="Times New Roman" w:hAnsi="Times New Roman" w:cs="Times New Roman" w:eastAsia="Times New Roman" w:hint="default"/>
        </w:rPr>
        <w:t>2</w:t>
      </w:r>
      <w:r>
        <w:rPr/>
        <w:t>、</w:t>
      </w:r>
      <w:r>
        <w:rPr>
          <w:spacing w:val="-4"/>
        </w:rPr>
        <w:t> </w:t>
      </w:r>
      <w:r>
        <w:rPr/>
        <w:t>金融工具的确认依据和计量方法</w:t>
      </w:r>
      <w:r>
        <w:rPr>
          <w:b w:val="0"/>
          <w:bCs w:val="0"/>
        </w:rPr>
      </w:r>
    </w:p>
    <w:p>
      <w:pPr>
        <w:pStyle w:val="BodyText"/>
        <w:spacing w:line="403" w:lineRule="auto" w:before="177"/>
        <w:ind w:right="103"/>
        <w:jc w:val="left"/>
      </w:pPr>
      <w:r>
        <w:rPr/>
        <w:t>（</w:t>
      </w:r>
      <w:r>
        <w:rPr>
          <w:rFonts w:ascii="Times New Roman" w:hAnsi="Times New Roman" w:cs="Times New Roman" w:eastAsia="Times New Roman" w:hint="default"/>
        </w:rPr>
        <w:t>1</w:t>
      </w:r>
      <w:r>
        <w:rPr/>
        <w:t>）以公允价值计量且其变动计入当期损益的金融资产（金融负债）</w:t>
      </w:r>
      <w:r>
        <w:rPr>
          <w:spacing w:val="-3"/>
          <w:w w:val="100"/>
        </w:rPr>
        <w:t> </w:t>
      </w:r>
      <w:r>
        <w:rPr>
          <w:spacing w:val="-2"/>
        </w:rPr>
        <w:t>取得时以公允价值（扣除已宣告但尚未发放的现金股利或已到付息期但尚未领取的债券利息）作为初始确</w:t>
      </w:r>
      <w:r>
        <w:rPr>
          <w:spacing w:val="-44"/>
        </w:rPr>
        <w:t> </w:t>
      </w:r>
      <w:r>
        <w:rPr>
          <w:spacing w:val="-44"/>
        </w:rPr>
      </w:r>
      <w:r>
        <w:rPr/>
        <w:t>认金额，相关的交易费用计入当期损益。</w:t>
      </w:r>
      <w:r>
        <w:rPr>
          <w:w w:val="100"/>
        </w:rPr>
        <w:t> </w:t>
      </w:r>
      <w:r>
        <w:rPr/>
        <w:t>持有期间将取得的利息或现金股利确认为投资收益，期末将公允价值变动计入当期损益。</w:t>
      </w:r>
      <w:r>
        <w:rPr>
          <w:w w:val="100"/>
        </w:rPr>
        <w:t> </w:t>
      </w:r>
      <w:r>
        <w:rPr/>
        <w:t>处置时，其公允价值与初始入账金额之间的差额确认为投资收益，同时调整公允价值变动损益。</w:t>
      </w:r>
    </w:p>
    <w:p>
      <w:pPr>
        <w:pStyle w:val="BodyText"/>
        <w:spacing w:line="403" w:lineRule="auto" w:before="50"/>
        <w:ind w:right="103"/>
        <w:jc w:val="left"/>
      </w:pPr>
      <w:r>
        <w:rPr/>
        <w:t>（</w:t>
      </w:r>
      <w:r>
        <w:rPr>
          <w:rFonts w:ascii="Times New Roman" w:hAnsi="Times New Roman" w:cs="Times New Roman" w:eastAsia="Times New Roman" w:hint="default"/>
        </w:rPr>
        <w:t>2</w:t>
      </w:r>
      <w:r>
        <w:rPr/>
        <w:t>）应收款项</w:t>
      </w:r>
      <w:r>
        <w:rPr>
          <w:w w:val="100"/>
        </w:rPr>
        <w:t> </w:t>
      </w:r>
      <w:r>
        <w:rPr>
          <w:spacing w:val="-2"/>
        </w:rPr>
        <w:t>公司对外销售商品或提供劳务形成的应收债权，以及公司持有的其他企业的不包括在活跃市场上有报价的</w:t>
      </w:r>
      <w:r>
        <w:rPr>
          <w:spacing w:val="-43"/>
        </w:rPr>
        <w:t> </w:t>
      </w:r>
      <w:r>
        <w:rPr>
          <w:spacing w:val="-43"/>
        </w:rPr>
      </w:r>
      <w:r>
        <w:rPr/>
        <w:t>债务工具的债权，包括应收账款、应收票据、预付</w:t>
      </w:r>
      <w:r>
        <w:rPr>
          <w:w w:val="100"/>
        </w:rPr>
        <w:t> </w:t>
      </w:r>
      <w:r>
        <w:rPr/>
        <w:t>账款、其他应收款、长期应收款等，以向购货方应收的合同或协议价款作为初始确认金额。</w:t>
      </w:r>
      <w:r>
        <w:rPr>
          <w:w w:val="100"/>
        </w:rPr>
        <w:t> </w:t>
      </w:r>
      <w:r>
        <w:rPr/>
        <w:t>收回或处置时，将取得的价款与该应收款项账面价值之间的差额计入当期损益。</w:t>
      </w:r>
    </w:p>
    <w:p>
      <w:pPr>
        <w:spacing w:line="398" w:lineRule="auto" w:before="50"/>
        <w:ind w:left="152" w:right="209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）其他金融负债</w:t>
      </w:r>
      <w:r>
        <w:rPr>
          <w:rFonts w:ascii="宋体" w:hAnsi="宋体" w:cs="宋体" w:eastAsia="宋体" w:hint="default"/>
          <w:w w:val="100"/>
          <w:sz w:val="21"/>
          <w:szCs w:val="21"/>
        </w:rPr>
        <w:t> </w:t>
      </w:r>
      <w:r>
        <w:rPr>
          <w:rFonts w:ascii="宋体" w:hAnsi="宋体" w:cs="宋体" w:eastAsia="宋体" w:hint="default"/>
          <w:spacing w:val="-2"/>
          <w:sz w:val="21"/>
          <w:szCs w:val="21"/>
        </w:rPr>
        <w:t>按其公允价值和相关交易费用之和作为初始确认金额。采用摊余成本进行后续计量。</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金融资产转移的确认依据和计量方法</w:t>
      </w:r>
      <w:r>
        <w:rPr>
          <w:rFonts w:ascii="宋体" w:hAnsi="宋体" w:cs="宋体" w:eastAsia="宋体" w:hint="default"/>
          <w:sz w:val="21"/>
          <w:szCs w:val="21"/>
        </w:rPr>
      </w:r>
    </w:p>
    <w:p>
      <w:pPr>
        <w:pStyle w:val="BodyText"/>
        <w:spacing w:line="408" w:lineRule="auto" w:before="23"/>
        <w:ind w:right="103"/>
        <w:jc w:val="left"/>
      </w:pPr>
      <w:r>
        <w:rPr>
          <w:spacing w:val="-2"/>
        </w:rPr>
        <w:t>公司发生金融资产转移时，如已将金融资产所有权上几乎所有的风险和报酬转移给转入方，则终止确认该</w:t>
      </w:r>
      <w:r>
        <w:rPr>
          <w:spacing w:val="-43"/>
        </w:rPr>
        <w:t> </w:t>
      </w:r>
      <w:r>
        <w:rPr>
          <w:spacing w:val="-43"/>
        </w:rPr>
      </w:r>
      <w:r>
        <w:rPr/>
        <w:t>金融资产；如保留了金融资产所有权上几乎所有的风险和报酬的，则不终止确认该金融资产。</w:t>
      </w:r>
      <w:r>
        <w:rPr>
          <w:w w:val="100"/>
        </w:rPr>
        <w:t> </w:t>
      </w:r>
      <w:r>
        <w:rPr>
          <w:spacing w:val="-2"/>
        </w:rPr>
        <w:t>在判断金融资产转移是否满足上述金融资产终止确认条件时，采用实质重于形式的原则。公司将金融资产</w:t>
      </w:r>
    </w:p>
    <w:p>
      <w:pPr>
        <w:spacing w:after="0" w:line="408" w:lineRule="auto"/>
        <w:jc w:val="left"/>
        <w:sectPr>
          <w:footerReference w:type="default" r:id="rId24"/>
          <w:pgSz w:w="11910" w:h="16840"/>
          <w:pgMar w:footer="982" w:header="745" w:top="1060" w:bottom="1180" w:left="980" w:right="920"/>
        </w:sectPr>
      </w:pPr>
    </w:p>
    <w:p>
      <w:pPr>
        <w:spacing w:line="240" w:lineRule="auto" w:before="0"/>
        <w:rPr>
          <w:rFonts w:ascii="宋体" w:hAnsi="宋体" w:cs="宋体" w:eastAsia="宋体" w:hint="default"/>
          <w:sz w:val="20"/>
          <w:szCs w:val="20"/>
        </w:rPr>
      </w:pPr>
    </w:p>
    <w:p>
      <w:pPr>
        <w:pStyle w:val="BodyText"/>
        <w:spacing w:line="408" w:lineRule="auto" w:before="175"/>
        <w:ind w:right="103"/>
        <w:jc w:val="left"/>
      </w:pPr>
      <w:r>
        <w:rPr>
          <w:spacing w:val="-2"/>
        </w:rPr>
        <w:t>转移区分为金融资产整体转移和部分转移。金融资产整体转移满足终止确认条件的，将下列两项金额的差</w:t>
      </w:r>
      <w:r>
        <w:rPr>
          <w:spacing w:val="-44"/>
        </w:rPr>
        <w:t> </w:t>
      </w:r>
      <w:r>
        <w:rPr>
          <w:spacing w:val="-44"/>
        </w:rPr>
      </w:r>
      <w:r>
        <w:rPr/>
        <w:t>额计入当期损益：</w:t>
      </w:r>
    </w:p>
    <w:p>
      <w:pPr>
        <w:pStyle w:val="BodyText"/>
        <w:spacing w:line="240" w:lineRule="auto" w:before="46"/>
        <w:ind w:right="103"/>
        <w:jc w:val="left"/>
      </w:pPr>
      <w:r>
        <w:rPr/>
        <w:t>（</w:t>
      </w:r>
      <w:r>
        <w:rPr>
          <w:rFonts w:ascii="Times New Roman" w:hAnsi="Times New Roman" w:cs="Times New Roman" w:eastAsia="Times New Roman" w:hint="default"/>
        </w:rPr>
        <w:t>1</w:t>
      </w:r>
      <w:r>
        <w:rPr/>
        <w:t>）所转移金融资产的账面价值；</w:t>
      </w:r>
    </w:p>
    <w:p>
      <w:pPr>
        <w:pStyle w:val="BodyText"/>
        <w:spacing w:line="400" w:lineRule="auto" w:before="177"/>
        <w:ind w:right="103"/>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w:t>
      </w:r>
      <w:r>
        <w:rPr>
          <w:spacing w:val="-25"/>
        </w:rPr>
        <w:t> </w:t>
      </w:r>
      <w:r>
        <w:rPr>
          <w:spacing w:val="-25"/>
        </w:rPr>
      </w:r>
      <w:r>
        <w:rPr/>
        <w:t>供出售金融资产的情形）之和。</w:t>
      </w:r>
      <w:r>
        <w:rPr>
          <w:w w:val="100"/>
        </w:rPr>
        <w:t> </w:t>
      </w:r>
      <w:r>
        <w:rPr>
          <w:spacing w:val="-2"/>
        </w:rPr>
        <w:t>金融资产部分转移满足终止确认条件的，将所转移金融资产整体的账面价值，在终止确认部分和未终止确</w:t>
      </w:r>
      <w:r>
        <w:rPr>
          <w:spacing w:val="-43"/>
        </w:rPr>
        <w:t> </w:t>
      </w:r>
      <w:r>
        <w:rPr>
          <w:spacing w:val="-43"/>
        </w:rPr>
      </w:r>
      <w:r>
        <w:rPr/>
        <w:t>认部分之间，按照各自的相对公允价值进行分摊，并将下列两项金额的差额计入当期损益：</w:t>
      </w:r>
    </w:p>
    <w:p>
      <w:pPr>
        <w:pStyle w:val="BodyText"/>
        <w:spacing w:line="240" w:lineRule="auto" w:before="52"/>
        <w:ind w:right="103"/>
        <w:jc w:val="left"/>
      </w:pPr>
      <w:r>
        <w:rPr/>
        <w:t>（</w:t>
      </w:r>
      <w:r>
        <w:rPr>
          <w:rFonts w:ascii="Times New Roman" w:hAnsi="Times New Roman" w:cs="Times New Roman" w:eastAsia="Times New Roman" w:hint="default"/>
        </w:rPr>
        <w:t>1</w:t>
      </w:r>
      <w:r>
        <w:rPr/>
        <w:t>）终止确认部分的账面价值；</w:t>
      </w:r>
    </w:p>
    <w:p>
      <w:pPr>
        <w:pStyle w:val="BodyText"/>
        <w:spacing w:line="240" w:lineRule="auto" w:before="177"/>
        <w:ind w:right="103"/>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w:t>
      </w:r>
    </w:p>
    <w:p>
      <w:pPr>
        <w:pStyle w:val="BodyText"/>
        <w:spacing w:line="408" w:lineRule="auto" w:before="177"/>
        <w:ind w:right="614"/>
        <w:jc w:val="left"/>
        <w:rPr>
          <w:rFonts w:ascii="宋体" w:hAnsi="宋体" w:cs="宋体" w:eastAsia="宋体" w:hint="default"/>
        </w:rPr>
      </w:pPr>
      <w:r>
        <w:rPr/>
        <w:t>（涉及转移的金融资产为可供出售金融资产的情形）之和。</w:t>
      </w:r>
      <w:r>
        <w:rPr>
          <w:w w:val="100"/>
        </w:rPr>
        <w:t> </w:t>
      </w:r>
      <w:r>
        <w:rPr>
          <w:spacing w:val="-2"/>
        </w:rPr>
        <w:t>金融资产转移不满足终止确认条件的，继续确认该金融资产，所收到的对价确认为一项金融负债。</w:t>
      </w:r>
      <w:r>
        <w:rPr>
          <w:spacing w:val="-25"/>
        </w:rPr>
        <w:t> </w:t>
      </w:r>
      <w:r>
        <w:rPr>
          <w:spacing w:val="-25"/>
        </w:rPr>
      </w:r>
      <w:r>
        <w:rPr>
          <w:rFonts w:ascii="Times New Roman" w:hAnsi="Times New Roman" w:cs="Times New Roman" w:eastAsia="Times New Roman" w:hint="default"/>
          <w:b/>
          <w:bCs/>
        </w:rPr>
        <w:t>4</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金融负债终止确认条件</w:t>
      </w:r>
      <w:r>
        <w:rPr>
          <w:rFonts w:ascii="宋体" w:hAnsi="宋体" w:cs="宋体" w:eastAsia="宋体" w:hint="default"/>
        </w:rPr>
      </w:r>
    </w:p>
    <w:p>
      <w:pPr>
        <w:pStyle w:val="BodyText"/>
        <w:spacing w:line="408" w:lineRule="auto" w:before="14"/>
        <w:ind w:right="103"/>
        <w:jc w:val="left"/>
      </w:pPr>
      <w:r>
        <w:rPr>
          <w:spacing w:val="-2"/>
        </w:rPr>
        <w:t>金融负债的现时义务全部或部分已经解除的，则终止确认该金融负债或其一部分；本公司若与债权人签定</w:t>
      </w:r>
      <w:r>
        <w:rPr>
          <w:spacing w:val="-42"/>
        </w:rPr>
        <w:t> </w:t>
      </w:r>
      <w:r>
        <w:rPr>
          <w:spacing w:val="-42"/>
        </w:rPr>
      </w:r>
      <w:r>
        <w:rPr>
          <w:spacing w:val="-5"/>
        </w:rPr>
        <w:t>协议，以承担新金融负债方式替换现存金融负债，且新金融负债与现存金融负债的合同条款实质上不同的， </w:t>
      </w:r>
      <w:r>
        <w:rPr>
          <w:spacing w:val="-5"/>
        </w:rPr>
      </w:r>
      <w:r>
        <w:rPr/>
        <w:t>则终止确认现存金融负债，并同时确认新金融负债。</w:t>
      </w:r>
      <w:r>
        <w:rPr>
          <w:w w:val="100"/>
        </w:rPr>
        <w:t> </w:t>
      </w:r>
      <w:r>
        <w:rPr>
          <w:spacing w:val="-2"/>
        </w:rPr>
        <w:t>对现存金融负债全部或部分合同条款作出实质性修改的，则终止确认现存金融负债或其一部分，同时将修</w:t>
      </w:r>
      <w:r>
        <w:rPr>
          <w:spacing w:val="-42"/>
        </w:rPr>
        <w:t> </w:t>
      </w:r>
      <w:r>
        <w:rPr>
          <w:spacing w:val="-42"/>
        </w:rPr>
      </w:r>
      <w:r>
        <w:rPr/>
        <w:t>改条款后的金融负债确认为一项新金融负债。</w:t>
      </w:r>
      <w:r>
        <w:rPr>
          <w:w w:val="100"/>
        </w:rPr>
        <w:t> </w:t>
      </w:r>
      <w:r>
        <w:rPr>
          <w:spacing w:val="-2"/>
        </w:rPr>
        <w:t>金融负债全部或部分终止确认时，终止确认的金融负债账面价值与支付对价（包括转出的非现金资产或承</w:t>
      </w:r>
      <w:r>
        <w:rPr>
          <w:spacing w:val="-43"/>
        </w:rPr>
        <w:t> </w:t>
      </w:r>
      <w:r>
        <w:rPr>
          <w:spacing w:val="-43"/>
        </w:rPr>
      </w:r>
      <w:r>
        <w:rPr/>
        <w:t>担的新金融负债）之间的差额，计入当期损益。</w:t>
      </w:r>
      <w:r>
        <w:rPr>
          <w:w w:val="100"/>
        </w:rPr>
        <w:t> </w:t>
      </w:r>
      <w:r>
        <w:rPr>
          <w:spacing w:val="-2"/>
        </w:rPr>
        <w:t>本公司若回购部分金融负债的，在回购日按照继续确认部分与终止确认部分的相对公允价值，将该金融负</w:t>
      </w:r>
      <w:r>
        <w:rPr>
          <w:spacing w:val="-43"/>
        </w:rPr>
        <w:t> </w:t>
      </w:r>
      <w:r>
        <w:rPr>
          <w:spacing w:val="-43"/>
        </w:rPr>
      </w:r>
      <w:r>
        <w:rPr>
          <w:spacing w:val="-2"/>
        </w:rPr>
        <w:t>债整体的账面价值进行分配。分配给终止确认部分的账面价值与支付的对价（包括转出的非现金资产或承</w:t>
      </w:r>
      <w:r>
        <w:rPr>
          <w:spacing w:val="-43"/>
        </w:rPr>
        <w:t> </w:t>
      </w:r>
      <w:r>
        <w:rPr>
          <w:spacing w:val="-43"/>
        </w:rPr>
      </w:r>
      <w:r>
        <w:rPr/>
        <w:t>担的新金融负债）之间的差额，计入当期损益。</w:t>
      </w:r>
    </w:p>
    <w:p>
      <w:pPr>
        <w:pStyle w:val="BodyText"/>
        <w:spacing w:line="403" w:lineRule="auto" w:before="46"/>
        <w:ind w:right="103"/>
        <w:jc w:val="left"/>
      </w:pPr>
      <w:r>
        <w:rPr>
          <w:rFonts w:ascii="Times New Roman" w:hAnsi="Times New Roman" w:cs="Times New Roman" w:eastAsia="Times New Roman" w:hint="default"/>
          <w:b/>
          <w:bCs/>
        </w:rPr>
        <w:t>5</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金融资产和金融负债的公允价值的确定方法</w:t>
      </w:r>
      <w:r>
        <w:rPr>
          <w:rFonts w:ascii="宋体" w:hAnsi="宋体" w:cs="宋体" w:eastAsia="宋体" w:hint="default"/>
          <w:b/>
          <w:bCs/>
          <w:spacing w:val="-104"/>
        </w:rPr>
        <w:t> </w:t>
      </w:r>
      <w:r>
        <w:rPr>
          <w:rFonts w:ascii="宋体" w:hAnsi="宋体" w:cs="宋体" w:eastAsia="宋体" w:hint="default"/>
          <w:b/>
          <w:bCs/>
          <w:spacing w:val="-104"/>
        </w:rPr>
      </w:r>
      <w:r>
        <w:rPr>
          <w:spacing w:val="-2"/>
        </w:rPr>
        <w:t>存在活跃市场的金融工具，以活跃市场中的报价确定其公允价值。不存在活跃市场的金融工具，采用估值</w:t>
      </w:r>
      <w:r>
        <w:rPr>
          <w:spacing w:val="-44"/>
        </w:rPr>
        <w:t> </w:t>
      </w:r>
      <w:r>
        <w:rPr>
          <w:spacing w:val="-44"/>
        </w:rPr>
      </w:r>
      <w:r>
        <w:rPr>
          <w:spacing w:val="-2"/>
        </w:rPr>
        <w:t>技术确定其公允价值。在估值时，本公司采用在当前情况下适用并且有足够可利用数据和其他信息支持的</w:t>
      </w:r>
      <w:r>
        <w:rPr>
          <w:spacing w:val="-45"/>
        </w:rPr>
        <w:t> </w:t>
      </w:r>
      <w:r>
        <w:rPr>
          <w:spacing w:val="-45"/>
        </w:rPr>
      </w:r>
      <w:r>
        <w:rPr>
          <w:spacing w:val="-2"/>
        </w:rPr>
        <w:t>估值技术，选择与市场参与者在相关资产或负债的交易中所考虑的资产或负债特征相一致的输入值，并优</w:t>
      </w:r>
      <w:r>
        <w:rPr>
          <w:spacing w:val="-42"/>
        </w:rPr>
        <w:t> </w:t>
      </w:r>
      <w:r>
        <w:rPr>
          <w:spacing w:val="-42"/>
        </w:rPr>
      </w:r>
      <w:r>
        <w:rPr>
          <w:spacing w:val="-2"/>
        </w:rPr>
        <w:t>先使用相关可观察输入值。只有在相关可观察输入值无法取得或取得不切实可行的情况下，才使用不可观</w:t>
      </w:r>
      <w:r>
        <w:rPr>
          <w:spacing w:val="-43"/>
        </w:rPr>
        <w:t> </w:t>
      </w:r>
      <w:r>
        <w:rPr>
          <w:spacing w:val="-43"/>
        </w:rPr>
      </w:r>
      <w:r>
        <w:rPr/>
        <w:t>察输入值。</w:t>
      </w:r>
    </w:p>
    <w:p>
      <w:pPr>
        <w:spacing w:line="386" w:lineRule="auto" w:before="50"/>
        <w:ind w:left="152" w:right="103"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金融资产（不含应收款项）减值的测试方法及会计处理方法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除以公允价值计量且其变动计入当期损益的金融资产外，本公司于资产负债表日对金融资产的账面价值进</w:t>
      </w:r>
    </w:p>
    <w:p>
      <w:pPr>
        <w:spacing w:after="0" w:line="386" w:lineRule="auto"/>
        <w:jc w:val="left"/>
        <w:rPr>
          <w:rFonts w:ascii="宋体" w:hAnsi="宋体" w:cs="宋体" w:eastAsia="宋体" w:hint="default"/>
          <w:sz w:val="21"/>
          <w:szCs w:val="21"/>
        </w:rPr>
        <w:sectPr>
          <w:footerReference w:type="default" r:id="rId25"/>
          <w:pgSz w:w="11910" w:h="16840"/>
          <w:pgMar w:footer="982" w:header="745" w:top="1060" w:bottom="1180" w:left="980" w:right="920"/>
          <w:pgNumType w:start="104"/>
        </w:sectPr>
      </w:pPr>
    </w:p>
    <w:p>
      <w:pPr>
        <w:spacing w:line="240" w:lineRule="auto" w:before="0"/>
        <w:rPr>
          <w:rFonts w:ascii="宋体" w:hAnsi="宋体" w:cs="宋体" w:eastAsia="宋体" w:hint="default"/>
          <w:sz w:val="20"/>
          <w:szCs w:val="20"/>
        </w:rPr>
      </w:pPr>
    </w:p>
    <w:p>
      <w:pPr>
        <w:pStyle w:val="BodyText"/>
        <w:spacing w:line="240" w:lineRule="auto" w:before="175"/>
        <w:ind w:right="0"/>
        <w:jc w:val="left"/>
      </w:pPr>
      <w:r>
        <w:rPr/>
        <w:t>行检查，如果有客观证据表明某项金融资产发生减值的，计提减值准备。</w:t>
      </w:r>
    </w:p>
    <w:p>
      <w:pPr>
        <w:spacing w:line="240" w:lineRule="auto" w:before="10"/>
        <w:rPr>
          <w:rFonts w:ascii="宋体" w:hAnsi="宋体" w:cs="宋体" w:eastAsia="宋体" w:hint="default"/>
          <w:sz w:val="14"/>
          <w:szCs w:val="14"/>
        </w:rPr>
      </w:pPr>
    </w:p>
    <w:p>
      <w:pPr>
        <w:pStyle w:val="BodyText"/>
        <w:spacing w:line="405" w:lineRule="auto"/>
        <w:ind w:right="0"/>
        <w:jc w:val="left"/>
      </w:pPr>
      <w:r>
        <w:rPr/>
        <w:t>（</w:t>
      </w:r>
      <w:r>
        <w:rPr>
          <w:rFonts w:ascii="Times New Roman" w:hAnsi="Times New Roman" w:cs="Times New Roman" w:eastAsia="Times New Roman" w:hint="default"/>
        </w:rPr>
        <w:t>1</w:t>
      </w:r>
      <w:r>
        <w:rPr/>
        <w:t>）可供出售金融资产的减值准备：</w:t>
      </w:r>
      <w:r>
        <w:rPr>
          <w:w w:val="100"/>
        </w:rPr>
        <w:t> </w:t>
      </w:r>
      <w:r>
        <w:rPr>
          <w:spacing w:val="-2"/>
        </w:rPr>
        <w:t>期末如果可供出售金融资产的公允价值发生严重下降，或在综合考虑各种相关因素后，预期这种下降趋势</w:t>
      </w:r>
      <w:r>
        <w:rPr>
          <w:spacing w:val="-43"/>
        </w:rPr>
        <w:t> </w:t>
      </w:r>
      <w:r>
        <w:rPr>
          <w:spacing w:val="-43"/>
        </w:rPr>
      </w:r>
      <w:r>
        <w:rPr>
          <w:spacing w:val="-2"/>
        </w:rPr>
        <w:t>属于非暂时性的，就认定其已发生减值，将原直接计入所有者权益的公允价值下降形成的累计损失一并转</w:t>
      </w:r>
      <w:r>
        <w:rPr>
          <w:spacing w:val="-43"/>
        </w:rPr>
        <w:t> </w:t>
      </w:r>
      <w:r>
        <w:rPr>
          <w:spacing w:val="-43"/>
        </w:rPr>
      </w:r>
      <w:r>
        <w:rPr/>
        <w:t>出，确认减值损失。</w:t>
      </w:r>
      <w:r>
        <w:rPr>
          <w:w w:val="100"/>
        </w:rPr>
        <w:t> </w:t>
      </w:r>
      <w:r>
        <w:rPr>
          <w:spacing w:val="-2"/>
        </w:rPr>
        <w:t>对于已确认减值损失的可供出售债务工具，在随后的会计期间公允价值已上升且客观上与确认原减值损失</w:t>
      </w:r>
      <w:r>
        <w:rPr>
          <w:spacing w:val="-43"/>
        </w:rPr>
        <w:t> </w:t>
      </w:r>
      <w:r>
        <w:rPr>
          <w:spacing w:val="-43"/>
        </w:rPr>
      </w:r>
      <w:r>
        <w:rPr/>
        <w:t>确认后发生的事项有关的，原确认的减值损失予以转回，计入当期损益。</w:t>
      </w:r>
      <w:r>
        <w:rPr>
          <w:w w:val="100"/>
        </w:rPr>
        <w:t> </w:t>
      </w:r>
      <w:r>
        <w:rPr/>
        <w:t>可供出售权益工具投资发生的减值损失，不通过损益转回。</w:t>
      </w:r>
    </w:p>
    <w:p>
      <w:pPr>
        <w:pStyle w:val="BodyText"/>
        <w:spacing w:line="386" w:lineRule="auto" w:before="48"/>
        <w:ind w:right="1134"/>
        <w:jc w:val="left"/>
      </w:pPr>
      <w:r>
        <w:rPr/>
        <w:t>（</w:t>
      </w:r>
      <w:r>
        <w:rPr>
          <w:rFonts w:ascii="Times New Roman" w:hAnsi="Times New Roman" w:cs="Times New Roman" w:eastAsia="Times New Roman" w:hint="default"/>
        </w:rPr>
        <w:t>2</w:t>
      </w:r>
      <w:r>
        <w:rPr/>
        <w:t>）持有至到期投资的减值准备：</w:t>
      </w:r>
      <w:r>
        <w:rPr>
          <w:spacing w:val="-3"/>
          <w:w w:val="100"/>
        </w:rPr>
        <w:t> </w:t>
      </w:r>
      <w:r>
        <w:rPr>
          <w:spacing w:val="-2"/>
        </w:rPr>
        <w:t>持有至到期投资减值损失的计量比照应收款项减值损失计量方法处理。</w:t>
      </w:r>
    </w:p>
    <w:p>
      <w:pPr>
        <w:spacing w:line="240" w:lineRule="auto" w:before="0"/>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bookmarkStart w:name="11、应收款项" w:id="169"/>
            <w:bookmarkEnd w:id="169"/>
            <w:r>
              <w:rPr/>
            </w:r>
            <w:bookmarkStart w:name="（1）单项金额重大并单独计提坏账准备的应收款项" w:id="170"/>
            <w:bookmarkEnd w:id="170"/>
            <w:r>
              <w:rPr/>
            </w:r>
            <w:r>
              <w:rPr>
                <w:rFonts w:ascii="宋体" w:hAnsi="宋体" w:cs="宋体" w:eastAsia="宋体" w:hint="default"/>
                <w:sz w:val="18"/>
                <w:szCs w:val="18"/>
              </w:rPr>
              <w:t>占应收款项余额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％以上的款项。</w:t>
            </w:r>
          </w:p>
        </w:tc>
      </w:tr>
      <w:tr>
        <w:trPr>
          <w:trHeight w:val="196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单独进行减值测试，如有客观证据表明其发生了减值的，根 据其未来现金流量现值低于其账面价值的差额，确认减值损 失，计提坏账准备。短期应收款项的预计未来现金流量与其 现值相差很小，在确定相关减值损失时，不对其预计未来现 金流量进行折现。单独测试未发生减值的应收款项，包括在 具有类似信用风险特征的应收款项组合中再进行减值测试。</w:t>
            </w:r>
          </w:p>
        </w:tc>
      </w:tr>
    </w:tbl>
    <w:p>
      <w:pPr>
        <w:spacing w:line="240" w:lineRule="auto" w:before="3"/>
        <w:rPr>
          <w:rFonts w:ascii="宋体" w:hAnsi="宋体" w:cs="宋体" w:eastAsia="宋体" w:hint="default"/>
          <w:b/>
          <w:bCs/>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4"/>
        <w:rPr>
          <w:rFonts w:ascii="宋体" w:hAnsi="宋体" w:cs="宋体" w:eastAsia="宋体" w:hint="default"/>
          <w:b/>
          <w:bCs/>
          <w:sz w:val="25"/>
          <w:szCs w:val="25"/>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pt;mso-position-horizontal-relative:char;mso-position-vertical-relative:line" coordorigin="0,0" coordsize="9579,420">
            <v:group style="position:absolute;left:23;top:14;width:2;height:392" coordorigin="23,14" coordsize="2,392">
              <v:shape style="position:absolute;left:23;top:14;width:2;height:392" coordorigin="23,14" coordsize="0,392" path="m23,14l23,406e" filled="false" stroked="true" strokeweight="1.08pt" strokecolor="#d4d4d4">
                <v:path arrowok="t"/>
              </v:shape>
            </v:group>
            <v:group style="position:absolute;left:4774;top:14;width:2;height:392" coordorigin="4774,14" coordsize="2,392">
              <v:shape style="position:absolute;left:4774;top:14;width:2;height:392" coordorigin="4774,14" coordsize="0,392" path="m4774,14l4774,406e" filled="false" stroked="true" strokeweight="1.2pt" strokecolor="#d4d4d4">
                <v:path arrowok="t"/>
              </v:shape>
            </v:group>
            <v:group style="position:absolute;left:34;top:14;width:4728;height:392" coordorigin="34,14" coordsize="4728,392">
              <v:shape style="position:absolute;left:34;top:14;width:4728;height:392" coordorigin="34,14" coordsize="4728,392" path="m34,406l4762,406,4762,14,34,14,34,406xe" filled="true" fillcolor="#d4d4d4" stroked="false">
                <v:path arrowok="t"/>
                <v:fill type="solid"/>
              </v:shape>
            </v:group>
            <v:group style="position:absolute;left:4806;top:14;width:2;height:392" coordorigin="4806,14" coordsize="2,392">
              <v:shape style="position:absolute;left:4806;top:14;width:2;height:392" coordorigin="4806,14" coordsize="0,392" path="m4806,14l4806,406e" filled="false" stroked="true" strokeweight="1.08pt" strokecolor="#d4d4d4">
                <v:path arrowok="t"/>
              </v:shape>
            </v:group>
            <v:group style="position:absolute;left:9557;top:14;width:2;height:392" coordorigin="9557,14" coordsize="2,392">
              <v:shape style="position:absolute;left:9557;top:14;width:2;height:392" coordorigin="9557,14" coordsize="0,392" path="m9557,14l9557,406e" filled="false" stroked="true" strokeweight="1.2pt" strokecolor="#d4d4d4">
                <v:path arrowok="t"/>
              </v:shape>
            </v:group>
            <v:group style="position:absolute;left:4817;top:14;width:4728;height:392" coordorigin="4817,14" coordsize="4728,392">
              <v:shape style="position:absolute;left:4817;top:14;width:4728;height:392" coordorigin="4817,14" coordsize="4728,392" path="m4817,406l9545,406,9545,14,4817,14,4817,406xe" filled="true" fillcolor="#d4d4d4" stroked="false">
                <v:path arrowok="t"/>
                <v:fill type="solid"/>
              </v:shape>
            </v:group>
            <v:group style="position:absolute;left:10;top:10;width:4774;height:2" coordorigin="10,10" coordsize="4774,2">
              <v:shape style="position:absolute;left:10;top:10;width:4774;height:2" coordorigin="10,10" coordsize="4774,0" path="m10,10l4783,10e" filled="false" stroked="true" strokeweight=".48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8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4;height:2" coordorigin="10,410" coordsize="4774,2">
              <v:shape style="position:absolute;left:10;top:410;width:4774;height:2" coordorigin="10,410" coordsize="4774,0" path="m10,410l4783,410e" filled="false" stroked="true" strokeweight=".48pt" strokecolor="#000000">
                <v:path arrowok="t"/>
              </v:shape>
            </v:group>
            <v:group style="position:absolute;left:4788;top:5;width:2;height:411" coordorigin="4788,5" coordsize="2,411">
              <v:shape style="position:absolute;left:4788;top:5;width:2;height:411" coordorigin="4788,5" coordsize="0,411" path="m4788,5l4788,415e" filled="false" stroked="true" strokeweight=".48pt" strokecolor="#000000">
                <v:path arrowok="t"/>
              </v:shape>
            </v:group>
            <v:group style="position:absolute;left:4793;top:410;width:4776;height:2" coordorigin="4793,410" coordsize="4776,2">
              <v:shape style="position:absolute;left:4793;top:410;width:4776;height:2" coordorigin="4793,410" coordsize="4776,0" path="m4793,410l9569,410e" filled="false" stroked="true" strokeweight=".48pt" strokecolor="#000000">
                <v:path arrowok="t"/>
              </v:shape>
            </v:group>
            <v:group style="position:absolute;left:9574;top:5;width:2;height:411" coordorigin="9574,5" coordsize="2,411">
              <v:shape style="position:absolute;left:9574;top:5;width:2;height:411" coordorigin="9574,5" coordsize="0,411" path="m9574,5l9574,415e" filled="false" stroked="true" strokeweight=".48pt" strokecolor="#000000">
                <v:path arrowok="t"/>
              </v:shape>
              <v:shape style="position:absolute;left:6;top:10;width:4782;height:401" type="#_x0000_t202" filled="false" stroked="false">
                <v:textbox inset="0,0,0,0">
                  <w:txbxContent>
                    <w:p>
                      <w:pPr>
                        <w:spacing w:before="53"/>
                        <w:ind w:left="1" w:right="0" w:firstLine="0"/>
                        <w:jc w:val="center"/>
                        <w:rPr>
                          <w:rFonts w:ascii="宋体" w:hAnsi="宋体" w:cs="宋体" w:eastAsia="宋体" w:hint="default"/>
                          <w:sz w:val="18"/>
                          <w:szCs w:val="18"/>
                        </w:rPr>
                      </w:pPr>
                      <w:r>
                        <w:rPr>
                          <w:rFonts w:ascii="宋体" w:hAnsi="宋体" w:cs="宋体" w:eastAsia="宋体" w:hint="default"/>
                          <w:sz w:val="18"/>
                          <w:szCs w:val="18"/>
                        </w:rPr>
                        <w:t>组合名称</w:t>
                      </w:r>
                    </w:p>
                  </w:txbxContent>
                </v:textbox>
                <w10:wrap type="none"/>
              </v:shape>
              <v:shape style="position:absolute;left:4788;top:10;width:4786;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坏账准备计提方法</w:t>
                      </w:r>
                    </w:p>
                  </w:txbxContent>
                </v:textbox>
                <w10:wrap type="none"/>
              </v:shape>
            </v:group>
          </v:group>
        </w:pict>
      </w:r>
      <w:r>
        <w:rPr>
          <w:rFonts w:ascii="宋体" w:hAnsi="宋体" w:cs="宋体" w:eastAsia="宋体" w:hint="default"/>
          <w:position w:val="-7"/>
          <w:sz w:val="20"/>
          <w:szCs w:val="20"/>
        </w:rPr>
      </w: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bookmarkStart w:name="（2）按信用风险特征组合计提坏账准备的应收款项" w:id="171"/>
            <w:bookmarkEnd w:id="171"/>
            <w:r>
              <w:rPr/>
            </w:r>
            <w:r>
              <w:rPr>
                <w:rFonts w:ascii="Times New Roman"/>
                <w:sz w:val="18"/>
              </w:rPr>
              <w:t>5.00%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after="0"/>
        <w:jc w:val="left"/>
        <w:rPr>
          <w:rFonts w:ascii="宋体" w:hAnsi="宋体" w:cs="宋体" w:eastAsia="宋体" w:hint="default"/>
          <w:sz w:val="18"/>
          <w:szCs w:val="18"/>
        </w:rPr>
        <w:sectPr>
          <w:footerReference w:type="default" r:id="rId26"/>
          <w:pgSz w:w="11910" w:h="16840"/>
          <w:pgMar w:footer="982" w:header="745" w:top="1060" w:bottom="1180" w:left="980" w:right="980"/>
          <w:pgNumType w:start="105"/>
        </w:sectPr>
      </w:pPr>
    </w:p>
    <w:p>
      <w:pPr>
        <w:spacing w:line="240" w:lineRule="auto" w:before="9"/>
        <w:rPr>
          <w:rFonts w:ascii="宋体" w:hAnsi="宋体" w:cs="宋体" w:eastAsia="宋体" w:hint="default"/>
          <w:sz w:val="25"/>
          <w:szCs w:val="25"/>
        </w:rPr>
      </w:pPr>
    </w:p>
    <w:p>
      <w:pPr>
        <w:spacing w:line="340" w:lineRule="auto" w:before="44"/>
        <w:ind w:left="152" w:right="653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bookmarkStart w:name="（3）单项金额不重大但单独计提坏账准备的应收款项" w:id="172"/>
      <w:bookmarkEnd w:id="172"/>
      <w:r>
        <w:rPr>
          <w:rFonts w:ascii="Times New Roman" w:hAnsi="Times New Roman" w:cs="Times New Roman" w:eastAsia="Times New Roman" w:hint="default"/>
        </w:rPr>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71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对于期末单项金额非重大的应收款项单独进行减值测试，如 有客观证据表明其发生了减值的</w:t>
            </w:r>
          </w:p>
        </w:tc>
      </w:tr>
      <w:tr>
        <w:trPr>
          <w:trHeight w:val="1339"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both"/>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 损失，计提坏账准备。单独测试未发生减值的应收款项，包 括在具有类似信用风险特征的应收款项组合中再进行减值测 试。</w:t>
            </w:r>
          </w:p>
        </w:tc>
      </w:tr>
    </w:tbl>
    <w:p>
      <w:pPr>
        <w:spacing w:line="240" w:lineRule="auto" w:before="3"/>
        <w:rPr>
          <w:rFonts w:ascii="宋体" w:hAnsi="宋体" w:cs="宋体" w:eastAsia="宋体" w:hint="default"/>
          <w:b/>
          <w:bCs/>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30"/>
          <w:szCs w:val="30"/>
        </w:rPr>
      </w:pPr>
    </w:p>
    <w:p>
      <w:pPr>
        <w:spacing w:line="398" w:lineRule="auto" w:before="0"/>
        <w:ind w:left="152" w:right="4714"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存货的分类</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存货分类为：低值易耗品、库存商品、劳务成</w:t>
      </w:r>
      <w:bookmarkStart w:name="12、存货" w:id="173"/>
      <w:bookmarkEnd w:id="173"/>
      <w:r>
        <w:rPr>
          <w:rFonts w:ascii="宋体" w:hAnsi="宋体" w:cs="宋体" w:eastAsia="宋体" w:hint="default"/>
          <w:spacing w:val="-2"/>
          <w:sz w:val="21"/>
          <w:szCs w:val="21"/>
        </w:rPr>
        <w:t>本</w:t>
      </w:r>
      <w:r>
        <w:rPr>
          <w:rFonts w:ascii="宋体" w:hAnsi="宋体" w:cs="宋体" w:eastAsia="宋体" w:hint="default"/>
          <w:spacing w:val="-2"/>
          <w:sz w:val="21"/>
          <w:szCs w:val="21"/>
        </w:rPr>
        <w:t>等。</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取得和发出存货的计价方法</w:t>
      </w:r>
      <w:r>
        <w:rPr>
          <w:rFonts w:ascii="宋体" w:hAnsi="宋体" w:cs="宋体" w:eastAsia="宋体" w:hint="default"/>
          <w:sz w:val="21"/>
          <w:szCs w:val="21"/>
        </w:rPr>
      </w:r>
    </w:p>
    <w:p>
      <w:pPr>
        <w:pStyle w:val="BodyText"/>
        <w:spacing w:line="408" w:lineRule="auto" w:before="23"/>
        <w:ind w:right="0"/>
        <w:jc w:val="left"/>
      </w:pPr>
      <w:r>
        <w:rPr>
          <w:spacing w:val="-2"/>
        </w:rPr>
        <w:t>日常核算取得时按实际成本计价；发出时按先进先出法计价。对于不能替代使用的存货以及为特定项目专</w:t>
      </w:r>
      <w:r>
        <w:rPr>
          <w:spacing w:val="-43"/>
        </w:rPr>
        <w:t> </w:t>
      </w:r>
      <w:r>
        <w:rPr>
          <w:spacing w:val="-43"/>
        </w:rPr>
      </w:r>
      <w:r>
        <w:rPr/>
        <w:t>门购入或制造的存货，公司采用个别计价法确定发出存货的成本。</w:t>
      </w:r>
    </w:p>
    <w:p>
      <w:pPr>
        <w:pStyle w:val="BodyText"/>
        <w:spacing w:line="408" w:lineRule="auto" w:before="46"/>
        <w:ind w:right="0"/>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存货跌价准备的计提方法</w:t>
      </w:r>
      <w:r>
        <w:rPr>
          <w:rFonts w:ascii="宋体" w:hAnsi="宋体" w:cs="宋体" w:eastAsia="宋体" w:hint="default"/>
          <w:b/>
          <w:bCs/>
          <w:spacing w:val="-104"/>
        </w:rPr>
        <w:t> </w:t>
      </w:r>
      <w:r>
        <w:rPr>
          <w:rFonts w:ascii="宋体" w:hAnsi="宋体" w:cs="宋体" w:eastAsia="宋体" w:hint="default"/>
          <w:b/>
          <w:bCs/>
          <w:spacing w:val="-104"/>
        </w:rPr>
      </w:r>
      <w:r>
        <w:rPr/>
        <w:t>期末对存货进行全面清查后，按存货的成本与可变现净值孰低提取或调整存货跌价准备。</w:t>
      </w:r>
      <w:r>
        <w:rPr>
          <w:w w:val="100"/>
        </w:rPr>
        <w:t> </w:t>
      </w:r>
      <w:r>
        <w:rPr>
          <w:spacing w:val="-2"/>
        </w:rPr>
        <w:t>产成品、库存商品和用于出售的材料等直接用于出售的商品存货，在正常生产经营过程中，以该存货的估</w:t>
      </w:r>
      <w:r>
        <w:rPr>
          <w:spacing w:val="-44"/>
        </w:rPr>
        <w:t> </w:t>
      </w:r>
      <w:r>
        <w:rPr>
          <w:spacing w:val="-44"/>
        </w:rPr>
      </w:r>
      <w:r>
        <w:rPr>
          <w:spacing w:val="-2"/>
        </w:rPr>
        <w:t>计售价减去估计的销售费用和相关税费后的金额，确定其可变现净值；需要经过加工的材料存货，在正常</w:t>
      </w:r>
      <w:r>
        <w:rPr>
          <w:spacing w:val="-43"/>
        </w:rPr>
        <w:t> </w:t>
      </w:r>
      <w:r>
        <w:rPr>
          <w:spacing w:val="-43"/>
        </w:rPr>
      </w:r>
      <w:r>
        <w:rPr>
          <w:spacing w:val="-2"/>
        </w:rPr>
        <w:t>生产经营过程中，以所生产的产成品的估计售价减去至完工时估计将要发生的成本、估计的销售费用和相</w:t>
      </w:r>
      <w:r>
        <w:rPr>
          <w:spacing w:val="-44"/>
        </w:rPr>
        <w:t> </w:t>
      </w:r>
      <w:r>
        <w:rPr>
          <w:spacing w:val="-44"/>
        </w:rPr>
      </w:r>
      <w:r>
        <w:rPr>
          <w:spacing w:val="-2"/>
        </w:rPr>
        <w:t>关税费后的金额，确定其可变现净值；为执行销售合同或者劳务合同而持有的存货，其可变现净值以合同</w:t>
      </w:r>
      <w:r>
        <w:rPr>
          <w:spacing w:val="-43"/>
        </w:rPr>
        <w:t> </w:t>
      </w:r>
      <w:r>
        <w:rPr>
          <w:spacing w:val="-43"/>
        </w:rPr>
      </w:r>
      <w:r>
        <w:rPr>
          <w:spacing w:val="-2"/>
        </w:rPr>
        <w:t>价格为基础计算，若持有存货的数量多于销售合同订购数量的，超出部分的存货的可变现净值以一般销售</w:t>
      </w:r>
      <w:r>
        <w:rPr>
          <w:spacing w:val="-44"/>
        </w:rPr>
        <w:t> </w:t>
      </w:r>
      <w:r>
        <w:rPr>
          <w:spacing w:val="-44"/>
        </w:rPr>
      </w:r>
      <w:r>
        <w:rPr/>
        <w:t>价格为基础计算。</w:t>
      </w:r>
      <w:r>
        <w:rPr>
          <w:w w:val="100"/>
        </w:rPr>
        <w:t> </w:t>
      </w:r>
      <w:r>
        <w:rPr>
          <w:spacing w:val="-2"/>
        </w:rPr>
        <w:t>期末按照单个存货项目计提存货跌价准备；但对于数量繁多、单价较低的存货，按照存货类别计提存货跌</w:t>
      </w:r>
      <w:r>
        <w:rPr>
          <w:spacing w:val="-44"/>
        </w:rPr>
        <w:t> </w:t>
      </w:r>
      <w:r>
        <w:rPr>
          <w:spacing w:val="-44"/>
        </w:rPr>
      </w:r>
      <w:r>
        <w:rPr>
          <w:spacing w:val="-2"/>
        </w:rPr>
        <w:t>价准备；与在同一地区生产和销售的产品系列相关、具有相同或类似最终用途或目的，且难以与其他项目</w:t>
      </w:r>
      <w:r>
        <w:rPr>
          <w:spacing w:val="-44"/>
        </w:rPr>
        <w:t> </w:t>
      </w:r>
      <w:r>
        <w:rPr>
          <w:spacing w:val="-44"/>
        </w:rPr>
      </w:r>
      <w:r>
        <w:rPr/>
        <w:t>分开计量的存货，则合并计提存货跌价准备。</w:t>
      </w:r>
      <w:r>
        <w:rPr>
          <w:w w:val="100"/>
        </w:rPr>
        <w:t> </w:t>
      </w:r>
      <w:r>
        <w:rPr>
          <w:spacing w:val="-2"/>
        </w:rPr>
        <w:t>以前减记存货价值的影响因素已经消失的，减记的金额予以恢复，并在原已计提的存货跌价准备金额内转</w:t>
      </w:r>
      <w:r>
        <w:rPr>
          <w:spacing w:val="-43"/>
        </w:rPr>
        <w:t> </w:t>
      </w:r>
      <w:r>
        <w:rPr>
          <w:spacing w:val="-43"/>
        </w:rPr>
      </w:r>
      <w:r>
        <w:rPr/>
        <w:t>回，转回的金额计入当期损益。</w:t>
      </w:r>
      <w:r>
        <w:rPr>
          <w:w w:val="100"/>
        </w:rPr>
        <w:t> </w:t>
      </w:r>
      <w:r>
        <w:rPr>
          <w:spacing w:val="-2"/>
        </w:rPr>
        <w:t>除有明确证据表明资产负债表日市场价格异常外，存货项目的可变现净值以资产负债表日市场价格为基础</w:t>
      </w:r>
    </w:p>
    <w:p>
      <w:pPr>
        <w:spacing w:after="0" w:line="408"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pStyle w:val="BodyText"/>
        <w:spacing w:line="408" w:lineRule="auto" w:before="175"/>
        <w:ind w:right="0"/>
        <w:jc w:val="left"/>
      </w:pPr>
      <w:r>
        <w:rPr/>
        <w:t>确定。</w:t>
      </w:r>
      <w:r>
        <w:rPr>
          <w:spacing w:val="-102"/>
        </w:rPr>
        <w:t> </w:t>
      </w:r>
      <w:r>
        <w:rPr>
          <w:spacing w:val="-2"/>
        </w:rPr>
        <w:t>资产负债表日市场价格异常的判断依据为：本期期末存货项目的可变现净值以资产负债表日市场价格为基</w:t>
      </w:r>
      <w:r>
        <w:rPr>
          <w:spacing w:val="-43"/>
        </w:rPr>
        <w:t> </w:t>
      </w:r>
      <w:r>
        <w:rPr>
          <w:spacing w:val="-43"/>
        </w:rPr>
      </w:r>
      <w:r>
        <w:rPr/>
        <w:t>础确定。</w:t>
      </w:r>
    </w:p>
    <w:p>
      <w:pPr>
        <w:spacing w:line="386" w:lineRule="auto" w:before="46"/>
        <w:ind w:left="152" w:right="7878"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 存货的盘存制度</w:t>
      </w:r>
      <w:r>
        <w:rPr>
          <w:rFonts w:ascii="宋体" w:hAnsi="宋体" w:cs="宋体" w:eastAsia="宋体" w:hint="default"/>
          <w:b/>
          <w:bCs/>
          <w:w w:val="100"/>
          <w:sz w:val="21"/>
          <w:szCs w:val="21"/>
        </w:rPr>
        <w:t> </w:t>
      </w:r>
      <w:r>
        <w:rPr>
          <w:rFonts w:ascii="宋体" w:hAnsi="宋体" w:cs="宋体" w:eastAsia="宋体" w:hint="default"/>
          <w:sz w:val="21"/>
          <w:szCs w:val="21"/>
        </w:rPr>
        <w:t>采用永续盘存制。</w:t>
      </w:r>
    </w:p>
    <w:p>
      <w:pPr>
        <w:spacing w:line="386" w:lineRule="auto" w:before="65"/>
        <w:ind w:left="152" w:right="58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低值易耗品的摊销方法</w:t>
      </w:r>
      <w:r>
        <w:rPr>
          <w:rFonts w:ascii="宋体" w:hAnsi="宋体" w:cs="宋体" w:eastAsia="宋体" w:hint="default"/>
          <w:b/>
          <w:bCs/>
          <w:w w:val="100"/>
          <w:sz w:val="21"/>
          <w:szCs w:val="21"/>
        </w:rPr>
        <w:t> </w:t>
      </w:r>
      <w:r>
        <w:rPr>
          <w:rFonts w:ascii="宋体" w:hAnsi="宋体" w:cs="宋体" w:eastAsia="宋体" w:hint="default"/>
          <w:spacing w:val="-2"/>
          <w:sz w:val="21"/>
          <w:szCs w:val="21"/>
        </w:rPr>
        <w:t>低值易耗品采用一次摊销法。</w:t>
      </w:r>
    </w:p>
    <w:p>
      <w:pPr>
        <w:spacing w:line="240" w:lineRule="auto" w:before="0"/>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13</w:t>
      </w:r>
      <w:r>
        <w:rPr/>
        <w:t>、划分为持有待售资产</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6"/>
        <w:spacing w:line="240" w:lineRule="auto" w:before="120"/>
        <w:ind w:right="0"/>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6"/>
        <w:rPr>
          <w:rFonts w:ascii="宋体" w:hAnsi="宋体" w:cs="宋体" w:eastAsia="宋体" w:hint="default"/>
          <w:b/>
          <w:bCs/>
          <w:sz w:val="30"/>
          <w:szCs w:val="30"/>
        </w:rPr>
      </w:pPr>
    </w:p>
    <w:p>
      <w:pPr>
        <w:pStyle w:val="BodyText"/>
        <w:spacing w:line="403" w:lineRule="auto"/>
        <w:ind w:right="0"/>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共同控制、重大影响的判断标准</w:t>
      </w:r>
      <w:r>
        <w:rPr>
          <w:rFonts w:ascii="宋体" w:hAnsi="宋体" w:cs="宋体" w:eastAsia="宋体" w:hint="default"/>
          <w:b/>
          <w:bCs/>
          <w:w w:val="100"/>
        </w:rPr>
        <w:t> </w:t>
      </w:r>
      <w:r>
        <w:rPr>
          <w:spacing w:val="-2"/>
        </w:rPr>
        <w:t>共同控制，是指按照相关约定对某项</w:t>
      </w:r>
      <w:bookmarkStart w:name="13、划分为持有待售资产" w:id="174"/>
      <w:bookmarkEnd w:id="174"/>
      <w:r>
        <w:rPr>
          <w:spacing w:val="-2"/>
        </w:rPr>
        <w:t>安</w:t>
      </w:r>
      <w:r>
        <w:rPr>
          <w:spacing w:val="-2"/>
        </w:rPr>
        <w:t>排所共有的</w:t>
      </w:r>
      <w:bookmarkStart w:name="14、长期股权投资" w:id="175"/>
      <w:bookmarkEnd w:id="175"/>
      <w:r>
        <w:rPr>
          <w:spacing w:val="-2"/>
        </w:rPr>
        <w:t>控制</w:t>
      </w:r>
      <w:r>
        <w:rPr>
          <w:spacing w:val="-2"/>
        </w:rPr>
        <w:t>，并且该安排的相关活动必须经过分享控制权的参</w:t>
      </w:r>
      <w:r>
        <w:rPr>
          <w:spacing w:val="-43"/>
        </w:rPr>
        <w:t> </w:t>
      </w:r>
      <w:r>
        <w:rPr>
          <w:spacing w:val="-43"/>
        </w:rPr>
      </w:r>
      <w:r>
        <w:rPr>
          <w:spacing w:val="-2"/>
        </w:rPr>
        <w:t>与方一致同意后才能决策。本公司与其他合营方一同对被投资单位实施共同控制且对被投资单位净资产享</w:t>
      </w:r>
      <w:r>
        <w:rPr>
          <w:spacing w:val="-43"/>
        </w:rPr>
        <w:t> </w:t>
      </w:r>
      <w:r>
        <w:rPr>
          <w:spacing w:val="-43"/>
        </w:rPr>
      </w:r>
      <w:r>
        <w:rPr/>
        <w:t>有权利的，被投资单位为本公司的合营企业。</w:t>
      </w:r>
      <w:r>
        <w:rPr>
          <w:w w:val="100"/>
        </w:rPr>
        <w:t> </w:t>
      </w:r>
      <w:r>
        <w:rPr>
          <w:spacing w:val="-2"/>
        </w:rPr>
        <w:t>重大影响，是指对一个企业的财务和经营决策有参与决策的权力，但并不能够控制或者与其他方一起共同</w:t>
      </w:r>
      <w:r>
        <w:rPr>
          <w:spacing w:val="-42"/>
        </w:rPr>
        <w:t> </w:t>
      </w:r>
      <w:r>
        <w:rPr>
          <w:spacing w:val="-42"/>
        </w:rPr>
      </w:r>
      <w:r>
        <w:rPr/>
        <w:t>控制这些政策的制定。不能够对被投资单位施加重大影响的，被投资单位为本公司联营企业。</w:t>
      </w:r>
    </w:p>
    <w:p>
      <w:pPr>
        <w:pStyle w:val="Heading6"/>
        <w:spacing w:line="240" w:lineRule="auto" w:before="50"/>
        <w:ind w:right="0"/>
        <w:jc w:val="left"/>
        <w:rPr>
          <w:b w:val="0"/>
          <w:bCs w:val="0"/>
        </w:rPr>
      </w:pPr>
      <w:r>
        <w:rPr>
          <w:rFonts w:ascii="Times New Roman" w:hAnsi="Times New Roman" w:cs="Times New Roman" w:eastAsia="Times New Roman" w:hint="default"/>
        </w:rPr>
        <w:t>2</w:t>
      </w:r>
      <w:r>
        <w:rPr/>
        <w:t>、</w:t>
      </w:r>
      <w:r>
        <w:rPr>
          <w:spacing w:val="1"/>
        </w:rPr>
        <w:t> </w:t>
      </w:r>
      <w:r>
        <w:rPr/>
        <w:t>初始投资成本的确定</w:t>
      </w:r>
      <w:r>
        <w:rPr>
          <w:b w:val="0"/>
          <w:bCs w:val="0"/>
        </w:rPr>
      </w:r>
    </w:p>
    <w:p>
      <w:pPr>
        <w:pStyle w:val="BodyText"/>
        <w:spacing w:line="405" w:lineRule="auto" w:before="177"/>
        <w:ind w:right="0"/>
        <w:jc w:val="left"/>
      </w:pPr>
      <w:r>
        <w:rPr/>
        <w:t>（</w:t>
      </w:r>
      <w:r>
        <w:rPr>
          <w:rFonts w:ascii="Times New Roman" w:hAnsi="Times New Roman" w:cs="Times New Roman" w:eastAsia="Times New Roman" w:hint="default"/>
        </w:rPr>
        <w:t>1</w:t>
      </w:r>
      <w:r>
        <w:rPr/>
        <w:t>）企业合并形成的长期股权投资</w:t>
      </w:r>
      <w:r>
        <w:rPr>
          <w:spacing w:val="-3"/>
          <w:w w:val="100"/>
        </w:rPr>
        <w:t> </w:t>
      </w:r>
      <w:r>
        <w:rPr>
          <w:spacing w:val="-2"/>
        </w:rPr>
        <w:t>同一控制下的企业合并：公司以支付现金、转让非现金资产或承担债务方式以及以发行权益性证券作为合</w:t>
      </w:r>
      <w:r>
        <w:rPr>
          <w:spacing w:val="-43"/>
        </w:rPr>
        <w:t> </w:t>
      </w:r>
      <w:r>
        <w:rPr>
          <w:spacing w:val="-43"/>
        </w:rPr>
      </w:r>
      <w:r>
        <w:rPr>
          <w:spacing w:val="-2"/>
        </w:rPr>
        <w:t>并对价的，在合并日按照取得被合并方所有者权益在最终控制方合并财务报表中的账面价值的份额作为长</w:t>
      </w:r>
      <w:r>
        <w:rPr>
          <w:spacing w:val="-43"/>
        </w:rPr>
        <w:t> </w:t>
      </w:r>
      <w:r>
        <w:rPr>
          <w:spacing w:val="-43"/>
        </w:rPr>
      </w:r>
      <w:r>
        <w:rPr>
          <w:spacing w:val="-2"/>
        </w:rPr>
        <w:t>期股权投资的初始投资成本。因追加投资等原因能够对同一控制下的被投资单位实施控制的，在合并日根</w:t>
      </w:r>
      <w:r>
        <w:rPr>
          <w:spacing w:val="-44"/>
        </w:rPr>
        <w:t> </w:t>
      </w:r>
      <w:r>
        <w:rPr>
          <w:spacing w:val="-44"/>
        </w:rPr>
      </w:r>
      <w:r>
        <w:rPr>
          <w:spacing w:val="-2"/>
        </w:rPr>
        <w:t>据合并后应享有被合并方净资产在最终控制方合并财务报表中的账面价值的份额，确定长期股权投资的初</w:t>
      </w:r>
      <w:r>
        <w:rPr>
          <w:spacing w:val="-43"/>
        </w:rPr>
        <w:t> </w:t>
      </w:r>
      <w:r>
        <w:rPr>
          <w:spacing w:val="-43"/>
        </w:rPr>
      </w:r>
      <w:r>
        <w:rPr>
          <w:spacing w:val="-2"/>
        </w:rPr>
        <w:t>始投资成本。合并日长期股权投资的初始投资成本，与达到合并前的长期股权投资账面价值加上合并日进</w:t>
      </w:r>
      <w:r>
        <w:rPr>
          <w:spacing w:val="-44"/>
        </w:rPr>
        <w:t> </w:t>
      </w:r>
      <w:r>
        <w:rPr>
          <w:spacing w:val="-44"/>
        </w:rPr>
      </w:r>
      <w:r>
        <w:rPr>
          <w:spacing w:val="-2"/>
        </w:rPr>
        <w:t>一步取得股份新支付对价的账面价值之和的差额，调整股本溢价，股本溢价不足冲减的，冲减留存收益。</w:t>
      </w:r>
      <w:r>
        <w:rPr>
          <w:spacing w:val="-24"/>
        </w:rPr>
        <w:t> </w:t>
      </w:r>
      <w:r>
        <w:rPr>
          <w:spacing w:val="-24"/>
        </w:rPr>
      </w:r>
      <w:r>
        <w:rPr>
          <w:spacing w:val="-2"/>
        </w:rPr>
        <w:t>非同一控制下的企业合并：公司按照购买日确定的合并成本作为长期股权投资的初始投资成本。因追加投</w:t>
      </w:r>
      <w:r>
        <w:rPr>
          <w:spacing w:val="-43"/>
        </w:rPr>
        <w:t> </w:t>
      </w:r>
      <w:r>
        <w:rPr>
          <w:spacing w:val="-43"/>
        </w:rPr>
      </w:r>
      <w:r>
        <w:rPr>
          <w:spacing w:val="-2"/>
        </w:rPr>
        <w:t>资等原因能够对非同一控制下的被投资单位实施控制的，按照原持有的股权投资账面价值加上新增投资成</w:t>
      </w:r>
      <w:r>
        <w:rPr>
          <w:spacing w:val="-43"/>
        </w:rPr>
        <w:t> </w:t>
      </w:r>
      <w:r>
        <w:rPr>
          <w:spacing w:val="-43"/>
        </w:rPr>
      </w:r>
      <w:r>
        <w:rPr/>
        <w:t>本之和，作为改按成本法核算的初始投资成本。</w:t>
      </w:r>
    </w:p>
    <w:p>
      <w:pPr>
        <w:pStyle w:val="BodyText"/>
        <w:spacing w:line="240" w:lineRule="auto" w:before="48"/>
        <w:ind w:right="0"/>
        <w:jc w:val="left"/>
      </w:pPr>
      <w:r>
        <w:rPr/>
        <w:t>（</w:t>
      </w:r>
      <w:r>
        <w:rPr>
          <w:rFonts w:ascii="Times New Roman" w:hAnsi="Times New Roman" w:cs="Times New Roman" w:eastAsia="Times New Roman" w:hint="default"/>
        </w:rPr>
        <w:t>2</w:t>
      </w:r>
      <w:r>
        <w:rPr/>
        <w:t>）其他方式取得的长期股权投资</w:t>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pStyle w:val="BodyText"/>
        <w:spacing w:line="408" w:lineRule="auto" w:before="175"/>
        <w:ind w:right="0"/>
        <w:jc w:val="left"/>
      </w:pPr>
      <w:r>
        <w:rPr/>
        <w:t>以支付现金方式取得的长期股权投资，按照实际支付的购买价款作为初始投资成本。</w:t>
      </w:r>
      <w:r>
        <w:rPr>
          <w:w w:val="100"/>
        </w:rPr>
        <w:t> </w:t>
      </w:r>
      <w:r>
        <w:rPr/>
        <w:t>以发行权益性证券取得的长期股权投资，按照发行权益性证券的公允价值作为初始投资成本。</w:t>
      </w:r>
      <w:r>
        <w:rPr>
          <w:w w:val="100"/>
        </w:rPr>
        <w:t> </w:t>
      </w:r>
      <w:r>
        <w:rPr>
          <w:spacing w:val="-2"/>
        </w:rPr>
        <w:t>在非货币性资产交换具备商业实质和换入资产或换出资产的公允价值能够可靠计量的前提下，非货币性资</w:t>
      </w:r>
      <w:r>
        <w:rPr>
          <w:spacing w:val="-43"/>
        </w:rPr>
        <w:t> </w:t>
      </w:r>
      <w:r>
        <w:rPr>
          <w:spacing w:val="-43"/>
        </w:rPr>
      </w:r>
      <w:r>
        <w:rPr>
          <w:spacing w:val="-2"/>
        </w:rPr>
        <w:t>产交换换入的长期股权投资以换出资产的公允价值和应支付的相关税费确定其初始投资成本，除非有确凿</w:t>
      </w:r>
      <w:r>
        <w:rPr>
          <w:spacing w:val="-43"/>
        </w:rPr>
        <w:t> </w:t>
      </w:r>
      <w:r>
        <w:rPr>
          <w:spacing w:val="-43"/>
        </w:rPr>
      </w:r>
      <w:r>
        <w:rPr>
          <w:spacing w:val="-2"/>
        </w:rPr>
        <w:t>证据表明换入资产的公允价值更加可靠；不满足上述前提的非货币性资产交换，以换出资产的账面价值和</w:t>
      </w:r>
      <w:r>
        <w:rPr>
          <w:spacing w:val="-43"/>
        </w:rPr>
        <w:t> </w:t>
      </w:r>
      <w:r>
        <w:rPr>
          <w:spacing w:val="-43"/>
        </w:rPr>
      </w:r>
      <w:r>
        <w:rPr/>
        <w:t>应支付的相关税费作为换入长期股权投资的初始投资成本。</w:t>
      </w:r>
      <w:r>
        <w:rPr>
          <w:w w:val="100"/>
        </w:rPr>
        <w:t> </w:t>
      </w:r>
      <w:r>
        <w:rPr/>
        <w:t>通过债务重组取得的长期股权投资，其初始投资成本按照公允价值为基础确定。</w:t>
      </w:r>
    </w:p>
    <w:p>
      <w:pPr>
        <w:pStyle w:val="Heading6"/>
        <w:spacing w:line="240" w:lineRule="auto" w:before="46"/>
        <w:ind w:right="0"/>
        <w:jc w:val="left"/>
        <w:rPr>
          <w:b w:val="0"/>
          <w:bCs w:val="0"/>
        </w:rPr>
      </w:pPr>
      <w:r>
        <w:rPr>
          <w:rFonts w:ascii="Times New Roman" w:hAnsi="Times New Roman" w:cs="Times New Roman" w:eastAsia="Times New Roman" w:hint="default"/>
        </w:rPr>
        <w:t>3</w:t>
      </w:r>
      <w:r>
        <w:rPr/>
        <w:t>、</w:t>
      </w:r>
      <w:r>
        <w:rPr>
          <w:spacing w:val="-1"/>
        </w:rPr>
        <w:t> </w:t>
      </w:r>
      <w:r>
        <w:rPr/>
        <w:t>后续计量及损益确认方法</w:t>
      </w:r>
      <w:r>
        <w:rPr>
          <w:b w:val="0"/>
          <w:bCs w:val="0"/>
        </w:rPr>
      </w:r>
    </w:p>
    <w:p>
      <w:pPr>
        <w:pStyle w:val="BodyText"/>
        <w:spacing w:line="398" w:lineRule="auto" w:before="177"/>
        <w:ind w:right="0"/>
        <w:jc w:val="left"/>
      </w:pPr>
      <w:r>
        <w:rPr/>
        <w:t>（</w:t>
      </w:r>
      <w:r>
        <w:rPr>
          <w:rFonts w:ascii="Times New Roman" w:hAnsi="Times New Roman" w:cs="Times New Roman" w:eastAsia="Times New Roman" w:hint="default"/>
        </w:rPr>
        <w:t>1</w:t>
      </w:r>
      <w:r>
        <w:rPr/>
        <w:t>）成本法核算的长期股权投资</w:t>
      </w:r>
      <w:r>
        <w:rPr>
          <w:w w:val="100"/>
        </w:rPr>
        <w:t> </w:t>
      </w:r>
      <w:r>
        <w:rPr>
          <w:spacing w:val="-2"/>
        </w:rPr>
        <w:t>公司对子公司的长期股权投资，采用成本法核算。除取得投资时实际支付的价款或对价中包含的已宣告但</w:t>
      </w:r>
      <w:r>
        <w:rPr>
          <w:spacing w:val="-42"/>
        </w:rPr>
        <w:t> </w:t>
      </w:r>
      <w:r>
        <w:rPr>
          <w:spacing w:val="-42"/>
        </w:rPr>
      </w:r>
      <w:r>
        <w:rPr>
          <w:spacing w:val="-2"/>
        </w:rPr>
        <w:t>尚未发放的现金股利或利润外，公司按照享有被投资单位宣告发放的现金股利或利润确认当期投资收益。</w:t>
      </w:r>
    </w:p>
    <w:p>
      <w:pPr>
        <w:pStyle w:val="BodyText"/>
        <w:spacing w:line="405" w:lineRule="auto" w:before="54"/>
        <w:ind w:right="0"/>
        <w:jc w:val="left"/>
      </w:pPr>
      <w:r>
        <w:rPr/>
        <w:t>（</w:t>
      </w:r>
      <w:r>
        <w:rPr>
          <w:rFonts w:ascii="Times New Roman" w:hAnsi="Times New Roman" w:cs="Times New Roman" w:eastAsia="Times New Roman" w:hint="default"/>
        </w:rPr>
        <w:t>2</w:t>
      </w:r>
      <w:r>
        <w:rPr/>
        <w:t>）权益法核算的长期股权投资</w:t>
      </w:r>
      <w:r>
        <w:rPr>
          <w:w w:val="100"/>
        </w:rPr>
        <w:t> </w:t>
      </w:r>
      <w:r>
        <w:rPr>
          <w:spacing w:val="-2"/>
        </w:rPr>
        <w:t>对联营企业和合营企业的长期股权投资，采用权益法核算。初始投资成本大于投资时应享有被投资单位可</w:t>
      </w:r>
      <w:r>
        <w:rPr>
          <w:spacing w:val="-43"/>
        </w:rPr>
        <w:t> </w:t>
      </w:r>
      <w:r>
        <w:rPr>
          <w:spacing w:val="-43"/>
        </w:rPr>
      </w:r>
      <w:r>
        <w:rPr>
          <w:spacing w:val="-2"/>
        </w:rPr>
        <w:t>辨认净资产公允价值份额的差额，不调整长期股权投资的初始投资成本；初始投资成本小于投资时应享有</w:t>
      </w:r>
      <w:r>
        <w:rPr>
          <w:spacing w:val="-44"/>
        </w:rPr>
        <w:t> </w:t>
      </w:r>
      <w:r>
        <w:rPr>
          <w:spacing w:val="-44"/>
        </w:rPr>
      </w:r>
      <w:r>
        <w:rPr/>
        <w:t>被投资单位可辨认净资产公允价值份额的差额，计入当期损益。</w:t>
      </w:r>
      <w:r>
        <w:rPr>
          <w:w w:val="100"/>
        </w:rPr>
        <w:t> </w:t>
      </w:r>
      <w:r>
        <w:rPr>
          <w:spacing w:val="-2"/>
        </w:rPr>
        <w:t>公司按照应享有或应分担的被投资单位实现的净损益和其他综合收益的份额，分别确认投资收益和其他综</w:t>
      </w:r>
      <w:r>
        <w:rPr>
          <w:spacing w:val="-43"/>
        </w:rPr>
        <w:t> </w:t>
      </w:r>
      <w:r>
        <w:rPr>
          <w:spacing w:val="-43"/>
        </w:rPr>
      </w:r>
      <w:r>
        <w:rPr>
          <w:spacing w:val="-2"/>
        </w:rPr>
        <w:t>合收益，同时调整长期股权投资的账面价值；按照被投资单位宣告分派的利润或现金股利计算应享有的部</w:t>
      </w:r>
      <w:r>
        <w:rPr>
          <w:spacing w:val="-43"/>
        </w:rPr>
        <w:t> </w:t>
      </w:r>
      <w:r>
        <w:rPr>
          <w:spacing w:val="-43"/>
        </w:rPr>
      </w:r>
      <w:r>
        <w:rPr>
          <w:spacing w:val="-2"/>
        </w:rPr>
        <w:t>分，相应减少长期股权投资的账面价值；对于被投资单位除净损益、其他综合收益和利润分配以外所有者</w:t>
      </w:r>
      <w:r>
        <w:rPr>
          <w:spacing w:val="-48"/>
        </w:rPr>
        <w:t> </w:t>
      </w:r>
      <w:r>
        <w:rPr>
          <w:spacing w:val="-48"/>
        </w:rPr>
      </w:r>
      <w:r>
        <w:rPr/>
        <w:t>权益的其他变动，调整长期股权投资的账面价值并计入所有者权益。</w:t>
      </w:r>
      <w:r>
        <w:rPr>
          <w:w w:val="100"/>
        </w:rPr>
        <w:t> </w:t>
      </w:r>
      <w:r>
        <w:rPr>
          <w:spacing w:val="-2"/>
        </w:rPr>
        <w:t>在确认应享有被投资单位净损益的份额时，以取得投资时被投资单位可辨认净资产的公允价值为基础，并</w:t>
      </w:r>
      <w:r>
        <w:rPr>
          <w:spacing w:val="-44"/>
        </w:rPr>
        <w:t> </w:t>
      </w:r>
      <w:r>
        <w:rPr>
          <w:spacing w:val="-44"/>
        </w:rPr>
      </w:r>
      <w:r>
        <w:rPr>
          <w:spacing w:val="-2"/>
        </w:rPr>
        <w:t>按照公司的会计政策及会计期间，对被投资单位的净利润进行调整后确认。在持有投资期间，被投资单位</w:t>
      </w:r>
      <w:r>
        <w:rPr>
          <w:spacing w:val="-43"/>
        </w:rPr>
        <w:t> </w:t>
      </w:r>
      <w:r>
        <w:rPr>
          <w:spacing w:val="-43"/>
        </w:rPr>
      </w:r>
      <w:r>
        <w:rPr>
          <w:spacing w:val="-2"/>
        </w:rPr>
        <w:t>编制合并财务报表的，以合并财务报表中的净利润、其他综合收益和其他所有者权益变动中归属于被投资</w:t>
      </w:r>
      <w:r>
        <w:rPr>
          <w:spacing w:val="-44"/>
        </w:rPr>
        <w:t> </w:t>
      </w:r>
      <w:r>
        <w:rPr>
          <w:spacing w:val="-44"/>
        </w:rPr>
      </w:r>
      <w:r>
        <w:rPr/>
        <w:t>单位的金额为基础进行核算。</w:t>
      </w:r>
      <w:r>
        <w:rPr>
          <w:w w:val="100"/>
        </w:rPr>
        <w:t> </w:t>
      </w:r>
      <w:r>
        <w:rPr>
          <w:spacing w:val="-2"/>
        </w:rPr>
        <w:t>公司与联营企业、合营企业之间发生的未实现内部交易损益按照应享有的比例计算归属于公司的部分，予</w:t>
      </w:r>
      <w:r>
        <w:rPr>
          <w:spacing w:val="-44"/>
        </w:rPr>
        <w:t> </w:t>
      </w:r>
      <w:r>
        <w:rPr>
          <w:spacing w:val="-44"/>
        </w:rPr>
      </w:r>
      <w:r>
        <w:rPr>
          <w:spacing w:val="-2"/>
        </w:rPr>
        <w:t>以抵销，在此基础上确认投资收益。与被投资单位发生的未实现内部交易损失，属于资产减值损失的，全</w:t>
      </w:r>
      <w:r>
        <w:rPr>
          <w:spacing w:val="-47"/>
        </w:rPr>
        <w:t> </w:t>
      </w:r>
      <w:r>
        <w:rPr>
          <w:spacing w:val="-47"/>
        </w:rPr>
      </w:r>
      <w:r>
        <w:rPr>
          <w:spacing w:val="-2"/>
        </w:rPr>
        <w:t>额确认。公司与联营企业、合营企业之间发生投出或出售资产的交易，该资产构成业务的，按照本报告第</w:t>
      </w:r>
      <w:r>
        <w:rPr>
          <w:spacing w:val="-50"/>
        </w:rPr>
        <w:t> </w:t>
      </w:r>
      <w:r>
        <w:rPr>
          <w:spacing w:val="-50"/>
        </w:rPr>
      </w:r>
      <w:r>
        <w:rPr>
          <w:spacing w:val="-1"/>
        </w:rPr>
        <w:t>十节</w:t>
      </w:r>
      <w:r>
        <w:rPr>
          <w:rFonts w:ascii="Times New Roman" w:hAnsi="Times New Roman" w:cs="Times New Roman" w:eastAsia="Times New Roman" w:hint="default"/>
          <w:spacing w:val="-1"/>
        </w:rPr>
        <w:t>“</w:t>
      </w:r>
      <w:r>
        <w:rPr>
          <w:spacing w:val="-1"/>
        </w:rPr>
        <w:t>五、</w:t>
      </w:r>
      <w:r>
        <w:rPr>
          <w:rFonts w:ascii="宋体" w:hAnsi="宋体" w:cs="宋体" w:eastAsia="宋体" w:hint="default"/>
          <w:spacing w:val="-1"/>
        </w:rPr>
        <w:t>5</w:t>
      </w:r>
      <w:r>
        <w:rPr>
          <w:spacing w:val="-1"/>
        </w:rPr>
        <w:t>同一控制下和非同一控制下企业合并的会计处理方法</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五、</w:t>
      </w:r>
      <w:r>
        <w:rPr>
          <w:rFonts w:ascii="宋体" w:hAnsi="宋体" w:cs="宋体" w:eastAsia="宋体" w:hint="default"/>
          <w:spacing w:val="-1"/>
        </w:rPr>
        <w:t>6</w:t>
      </w:r>
      <w:r>
        <w:rPr>
          <w:spacing w:val="-1"/>
        </w:rPr>
        <w:t>合并财务报表的编制方法</w:t>
      </w:r>
      <w:r>
        <w:rPr>
          <w:rFonts w:ascii="Times New Roman" w:hAnsi="Times New Roman" w:cs="Times New Roman" w:eastAsia="Times New Roman" w:hint="default"/>
          <w:spacing w:val="-1"/>
        </w:rPr>
        <w:t>”</w:t>
      </w:r>
      <w:r>
        <w:rPr>
          <w:spacing w:val="-1"/>
        </w:rPr>
        <w:t>中披</w:t>
      </w:r>
      <w:r>
        <w:rPr>
          <w:spacing w:val="-44"/>
        </w:rPr>
        <w:t> </w:t>
      </w:r>
      <w:r>
        <w:rPr/>
        <w:t>露的相关政策进行会计处理。</w:t>
      </w:r>
      <w:r>
        <w:rPr>
          <w:w w:val="100"/>
        </w:rPr>
        <w:t> </w:t>
      </w:r>
      <w:r>
        <w:rPr>
          <w:spacing w:val="-2"/>
        </w:rPr>
        <w:t>在公司确认应分担被投资单位发生的亏损时，按照以下顺序进行处理：首先，冲减长期股权投资的账面价</w:t>
      </w:r>
      <w:r>
        <w:rPr>
          <w:spacing w:val="-43"/>
        </w:rPr>
        <w:t> </w:t>
      </w:r>
      <w:r>
        <w:rPr>
          <w:spacing w:val="-43"/>
        </w:rPr>
      </w:r>
      <w:r>
        <w:rPr>
          <w:spacing w:val="-2"/>
        </w:rPr>
        <w:t>值。其次，长期股权投资的账面价值不足以冲减的，以其他实质上构成对被投资单位净投资的长期权益账</w:t>
      </w:r>
    </w:p>
    <w:p>
      <w:pPr>
        <w:spacing w:after="0" w:line="405" w:lineRule="auto"/>
        <w:jc w:val="left"/>
        <w:sectPr>
          <w:footerReference w:type="default" r:id="rId27"/>
          <w:pgSz w:w="11910" w:h="16840"/>
          <w:pgMar w:footer="982" w:header="745" w:top="1060" w:bottom="1180" w:left="980" w:right="980"/>
          <w:pgNumType w:start="108"/>
        </w:sectPr>
      </w:pPr>
    </w:p>
    <w:p>
      <w:pPr>
        <w:spacing w:line="240" w:lineRule="auto" w:before="0"/>
        <w:rPr>
          <w:rFonts w:ascii="宋体" w:hAnsi="宋体" w:cs="宋体" w:eastAsia="宋体" w:hint="default"/>
          <w:sz w:val="20"/>
          <w:szCs w:val="20"/>
        </w:rPr>
      </w:pPr>
    </w:p>
    <w:p>
      <w:pPr>
        <w:pStyle w:val="BodyText"/>
        <w:spacing w:line="408" w:lineRule="auto" w:before="175"/>
        <w:ind w:right="0"/>
        <w:jc w:val="left"/>
      </w:pPr>
      <w:bookmarkStart w:name="15、投资性房地产" w:id="176"/>
      <w:bookmarkEnd w:id="176"/>
      <w:r>
        <w:rPr/>
      </w:r>
      <w:r>
        <w:rPr>
          <w:spacing w:val="-2"/>
        </w:rPr>
        <w:t>面价值为限继续确认投资损失，冲减长期应收项目等的账面价值。最后，经过上述处理，按照投资合同或</w:t>
      </w:r>
      <w:r>
        <w:rPr>
          <w:spacing w:val="-47"/>
        </w:rPr>
        <w:t> </w:t>
      </w:r>
      <w:r>
        <w:rPr>
          <w:spacing w:val="-47"/>
        </w:rPr>
      </w:r>
      <w:r>
        <w:rPr/>
        <w:t>协议约定企业仍承担额外义务的，按预计承担的义务确认预计负债，计入当期投资损失。</w:t>
      </w:r>
    </w:p>
    <w:p>
      <w:pPr>
        <w:pStyle w:val="BodyText"/>
        <w:spacing w:line="386" w:lineRule="auto" w:before="46"/>
        <w:ind w:right="1134"/>
        <w:jc w:val="left"/>
      </w:pPr>
      <w:r>
        <w:rPr/>
        <w:t>（</w:t>
      </w:r>
      <w:r>
        <w:rPr>
          <w:rFonts w:ascii="Times New Roman" w:hAnsi="Times New Roman" w:cs="Times New Roman" w:eastAsia="Times New Roman" w:hint="default"/>
        </w:rPr>
        <w:t>3</w:t>
      </w:r>
      <w:r>
        <w:rPr/>
        <w:t>）长期股权投资的处置</w:t>
      </w:r>
      <w:r>
        <w:rPr>
          <w:spacing w:val="-3"/>
          <w:w w:val="100"/>
        </w:rPr>
        <w:t> </w:t>
      </w:r>
      <w:r>
        <w:rPr>
          <w:spacing w:val="-2"/>
        </w:rPr>
        <w:t>处置长期股权投资，其账面价值与实际取得价款的差额，计入当期损益。</w:t>
      </w:r>
    </w:p>
    <w:p>
      <w:pPr>
        <w:pStyle w:val="BodyText"/>
        <w:spacing w:line="408" w:lineRule="auto" w:before="65"/>
        <w:ind w:right="0"/>
        <w:jc w:val="left"/>
      </w:pPr>
      <w:r>
        <w:rPr>
          <w:spacing w:val="-2"/>
        </w:rPr>
        <w:t>采用权益法核算的长期股权投资，在处置该项投资时，采用与被投资单位直接处置相关资产或负债相同的</w:t>
      </w:r>
      <w:r>
        <w:rPr>
          <w:spacing w:val="-44"/>
        </w:rPr>
        <w:t> </w:t>
      </w:r>
      <w:r>
        <w:rPr>
          <w:spacing w:val="-44"/>
        </w:rPr>
      </w:r>
      <w:r>
        <w:rPr>
          <w:spacing w:val="-2"/>
        </w:rPr>
        <w:t>基础，按相应比例对原计入其他综合收益的部分进行会计处理。因被投资单位除净损益、其他综合收益和</w:t>
      </w:r>
      <w:r>
        <w:rPr>
          <w:spacing w:val="-43"/>
        </w:rPr>
        <w:t> </w:t>
      </w:r>
      <w:r>
        <w:rPr>
          <w:spacing w:val="-43"/>
        </w:rPr>
      </w:r>
      <w:r>
        <w:rPr>
          <w:spacing w:val="-2"/>
        </w:rPr>
        <w:t>利润分配以外的其他所有者权益变动而确认的所有者权益，按比例结转入当期损益，由于被投资方重新计</w:t>
      </w:r>
      <w:r>
        <w:rPr>
          <w:spacing w:val="-44"/>
        </w:rPr>
        <w:t> </w:t>
      </w:r>
      <w:r>
        <w:rPr>
          <w:spacing w:val="-44"/>
        </w:rPr>
      </w:r>
      <w:r>
        <w:rPr/>
        <w:t>量设定受益计划净负债或净资产变动而产生的其他综合收益除外。</w:t>
      </w:r>
      <w:r>
        <w:rPr>
          <w:w w:val="100"/>
        </w:rPr>
        <w:t> </w:t>
      </w:r>
      <w:r>
        <w:rPr>
          <w:spacing w:val="-2"/>
        </w:rPr>
        <w:t>因处置部分股权投资等原因丧失了对被投资单位的共同控制或重大影响的，处置后的剩余股权改按金融工</w:t>
      </w:r>
      <w:r>
        <w:rPr>
          <w:spacing w:val="-43"/>
        </w:rPr>
        <w:t> </w:t>
      </w:r>
      <w:r>
        <w:rPr>
          <w:spacing w:val="-43"/>
        </w:rPr>
      </w:r>
      <w:r>
        <w:rPr>
          <w:spacing w:val="-2"/>
        </w:rPr>
        <w:t>具确认和计量准则核算，其在丧失共同控制或重大影响之日的公允价值与账面价值之间的差额计入当期损</w:t>
      </w:r>
      <w:r>
        <w:rPr>
          <w:spacing w:val="-43"/>
        </w:rPr>
        <w:t> </w:t>
      </w:r>
      <w:r>
        <w:rPr>
          <w:spacing w:val="-43"/>
        </w:rPr>
      </w:r>
      <w:r>
        <w:rPr>
          <w:spacing w:val="-2"/>
        </w:rPr>
        <w:t>益。原股权投资因采用权益法核算而确认的其他综合收益，在终止采用权益法核算时采用与被投资单位直</w:t>
      </w:r>
      <w:r>
        <w:rPr>
          <w:spacing w:val="-44"/>
        </w:rPr>
        <w:t> </w:t>
      </w:r>
      <w:r>
        <w:rPr>
          <w:spacing w:val="-44"/>
        </w:rPr>
      </w:r>
      <w:r>
        <w:rPr>
          <w:spacing w:val="-2"/>
        </w:rPr>
        <w:t>接处置相关资产或负债相同的基础进行会计处理。因被投资方除净损益、其他综合收益和利润分配以外的</w:t>
      </w:r>
      <w:r>
        <w:rPr>
          <w:spacing w:val="-43"/>
        </w:rPr>
        <w:t> </w:t>
      </w:r>
      <w:r>
        <w:rPr>
          <w:spacing w:val="-43"/>
        </w:rPr>
      </w:r>
      <w:r>
        <w:rPr/>
        <w:t>其他所有者权益变动而确认的所有者权益，在终止采用权益法核算时全部转入当期损益。</w:t>
      </w:r>
      <w:r>
        <w:rPr>
          <w:w w:val="100"/>
        </w:rPr>
        <w:t> </w:t>
      </w:r>
      <w:r>
        <w:rPr>
          <w:spacing w:val="-2"/>
        </w:rPr>
        <w:t>因处置部分股权投资、因其他投资方对子公司增资而导致本公司持股比例下降等原因丧失了对被投资单位</w:t>
      </w:r>
      <w:r>
        <w:rPr>
          <w:spacing w:val="-43"/>
        </w:rPr>
        <w:t> </w:t>
      </w:r>
      <w:r>
        <w:rPr>
          <w:spacing w:val="-43"/>
        </w:rPr>
      </w:r>
      <w:r>
        <w:rPr>
          <w:spacing w:val="-2"/>
        </w:rPr>
        <w:t>控制权的，在编制个别财务报表时，剩余股权能够对被投资单位实施共同控制或重大影响的，改按权益法</w:t>
      </w:r>
      <w:r>
        <w:rPr>
          <w:spacing w:val="-48"/>
        </w:rPr>
        <w:t> </w:t>
      </w:r>
      <w:r>
        <w:rPr>
          <w:spacing w:val="-48"/>
        </w:rPr>
      </w:r>
      <w:r>
        <w:rPr>
          <w:spacing w:val="-2"/>
        </w:rPr>
        <w:t>核算，并对该剩余股权视同自取得时即采用权益法核算进行调整；剩余股权不能对被投资单位实施共同控</w:t>
      </w:r>
      <w:r>
        <w:rPr>
          <w:spacing w:val="-42"/>
        </w:rPr>
        <w:t> </w:t>
      </w:r>
      <w:r>
        <w:rPr>
          <w:spacing w:val="-42"/>
        </w:rPr>
      </w:r>
      <w:r>
        <w:rPr>
          <w:spacing w:val="-2"/>
        </w:rPr>
        <w:t>制或施加重大影响的，改按金融工具确认和计量准则的有关规定进行会计处理，其在丧失控制之日的公允</w:t>
      </w:r>
      <w:r>
        <w:rPr>
          <w:spacing w:val="-44"/>
        </w:rPr>
        <w:t> </w:t>
      </w:r>
      <w:r>
        <w:rPr>
          <w:spacing w:val="-44"/>
        </w:rPr>
      </w:r>
      <w:r>
        <w:rPr/>
        <w:t>价值与账面价值间的差额计入当期损益。</w:t>
      </w:r>
      <w:r>
        <w:rPr>
          <w:w w:val="100"/>
        </w:rPr>
        <w:t> </w:t>
      </w:r>
      <w:r>
        <w:rPr>
          <w:spacing w:val="-2"/>
        </w:rPr>
        <w:t>处置的股权是因追加投资等原因通过企业合并取得的，在编制个别财务报表时，处置后的剩余股权采用成</w:t>
      </w:r>
      <w:r>
        <w:rPr>
          <w:spacing w:val="-44"/>
        </w:rPr>
        <w:t> </w:t>
      </w:r>
      <w:r>
        <w:rPr>
          <w:spacing w:val="-44"/>
        </w:rPr>
      </w:r>
      <w:r>
        <w:rPr>
          <w:spacing w:val="-2"/>
        </w:rPr>
        <w:t>本法或权益法核算的，购买日之前持有的股权投资因采用权益法核算而确认的其他综合收益和其他所有者</w:t>
      </w:r>
      <w:r>
        <w:rPr>
          <w:spacing w:val="-43"/>
        </w:rPr>
        <w:t> </w:t>
      </w:r>
      <w:r>
        <w:rPr>
          <w:spacing w:val="-43"/>
        </w:rPr>
      </w:r>
      <w:r>
        <w:rPr>
          <w:spacing w:val="-2"/>
        </w:rPr>
        <w:t>权益按比例结转；处置后的剩余股权改按金融工具确认和计量准则进行会计处理的，其他综合收益和其他</w:t>
      </w:r>
      <w:r>
        <w:rPr>
          <w:spacing w:val="-44"/>
        </w:rPr>
        <w:t> </w:t>
      </w:r>
      <w:r>
        <w:rPr>
          <w:spacing w:val="-44"/>
        </w:rPr>
      </w:r>
      <w:r>
        <w:rPr/>
        <w:t>所有者权益全部结转。</w:t>
      </w:r>
    </w:p>
    <w:p>
      <w:pPr>
        <w:spacing w:line="240" w:lineRule="auto" w:before="7"/>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7974"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408" w:lineRule="auto" w:before="81"/>
        <w:ind w:right="146"/>
        <w:jc w:val="both"/>
      </w:pPr>
      <w:r>
        <w:rPr>
          <w:spacing w:val="-2"/>
        </w:rPr>
        <w:t>投资性房地产是指为赚取租金或资本增值，或两者兼有而持有的房地产，包括已出租的土地使用权、持有</w:t>
      </w:r>
      <w:r>
        <w:rPr>
          <w:spacing w:val="-44"/>
        </w:rPr>
        <w:t> </w:t>
      </w:r>
      <w:r>
        <w:rPr>
          <w:spacing w:val="-44"/>
        </w:rPr>
      </w:r>
      <w:r>
        <w:rPr>
          <w:spacing w:val="-2"/>
        </w:rPr>
        <w:t>并准备增值后转让的土地使用权、已出租的建筑物（含自行建造或开发活动完成后用于出租的建筑物以及</w:t>
      </w:r>
      <w:r>
        <w:rPr>
          <w:spacing w:val="-43"/>
        </w:rPr>
        <w:t> </w:t>
      </w:r>
      <w:r>
        <w:rPr>
          <w:spacing w:val="-43"/>
        </w:rPr>
      </w:r>
      <w:r>
        <w:rPr/>
        <w:t>正在建造或开发过程中将来用于出租的建筑物）。</w:t>
      </w:r>
    </w:p>
    <w:p>
      <w:pPr>
        <w:spacing w:after="0" w:line="408" w:lineRule="auto"/>
        <w:jc w:val="both"/>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pStyle w:val="BodyText"/>
        <w:spacing w:line="408" w:lineRule="auto" w:before="175"/>
        <w:ind w:right="103"/>
        <w:jc w:val="left"/>
      </w:pPr>
      <w:bookmarkStart w:name="18、借款费用" w:id="177"/>
      <w:bookmarkEnd w:id="177"/>
      <w:r>
        <w:rPr/>
      </w:r>
      <w:bookmarkStart w:name="19、生物资产" w:id="178"/>
      <w:bookmarkEnd w:id="178"/>
      <w:r>
        <w:rPr/>
      </w:r>
      <w:r>
        <w:rPr>
          <w:spacing w:val="-2"/>
        </w:rPr>
        <w:t>公司对现有投资性房地产采用成本模式计量。对按照成本模式计量的投资性房地产－出租用建筑物采用与</w:t>
      </w:r>
      <w:r>
        <w:rPr>
          <w:spacing w:val="-45"/>
        </w:rPr>
        <w:t> </w:t>
      </w:r>
      <w:r>
        <w:rPr>
          <w:spacing w:val="-45"/>
        </w:rPr>
      </w:r>
      <w:r>
        <w:rPr/>
        <w:t>本公司固定资产相同的折旧政策，出租用土地使用权按与无形资产相同的摊销政策执行。</w:t>
      </w:r>
    </w:p>
    <w:p>
      <w:pPr>
        <w:spacing w:line="240" w:lineRule="auto" w:before="8"/>
        <w:rPr>
          <w:rFonts w:ascii="宋体" w:hAnsi="宋体" w:cs="宋体" w:eastAsia="宋体" w:hint="default"/>
          <w:sz w:val="20"/>
          <w:szCs w:val="20"/>
        </w:rPr>
      </w:pPr>
    </w:p>
    <w:p>
      <w:pPr>
        <w:pStyle w:val="Heading6"/>
        <w:spacing w:line="240" w:lineRule="auto"/>
        <w:ind w:right="103"/>
        <w:jc w:val="left"/>
        <w:rPr>
          <w:b w:val="0"/>
          <w:bCs w:val="0"/>
        </w:rPr>
      </w:pPr>
      <w:r>
        <w:rPr>
          <w:rFonts w:ascii="Times New Roman" w:hAnsi="Times New Roman" w:cs="Times New Roman" w:eastAsia="Times New Roman" w:hint="default"/>
        </w:rPr>
        <w:t>16</w:t>
      </w:r>
      <w:bookmarkStart w:name="16、固定资产" w:id="179"/>
      <w:bookmarkEnd w:id="179"/>
      <w:r>
        <w:rPr>
          <w:rFonts w:ascii="Times New Roman" w:hAnsi="Times New Roman" w:cs="Times New Roman" w:eastAsia="Times New Roman" w:hint="default"/>
        </w:rPr>
      </w:r>
      <w:r>
        <w:rPr/>
        <w:t>、固定资产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03"/>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spacing w:line="316" w:lineRule="auto" w:before="0"/>
        <w:ind w:left="152" w:right="103" w:firstLine="0"/>
        <w:jc w:val="left"/>
        <w:rPr>
          <w:rFonts w:ascii="宋体" w:hAnsi="宋体" w:cs="宋体" w:eastAsia="宋体" w:hint="default"/>
          <w:sz w:val="18"/>
          <w:szCs w:val="18"/>
        </w:rPr>
      </w:pPr>
      <w:r>
        <w:rPr>
          <w:rFonts w:ascii="宋体" w:hAnsi="宋体" w:cs="宋体" w:eastAsia="宋体" w:hint="default"/>
          <w:spacing w:val="-2"/>
          <w:sz w:val="18"/>
          <w:szCs w:val="18"/>
        </w:rPr>
        <w:t>固定资产指为生产商品、</w:t>
      </w:r>
      <w:bookmarkStart w:name="（1）确认条件" w:id="180"/>
      <w:bookmarkEnd w:id="180"/>
      <w:r>
        <w:rPr>
          <w:rFonts w:ascii="宋体" w:hAnsi="宋体" w:cs="宋体" w:eastAsia="宋体" w:hint="default"/>
          <w:spacing w:val="-2"/>
          <w:sz w:val="18"/>
          <w:szCs w:val="18"/>
        </w:rPr>
        <w:t>提</w:t>
      </w:r>
      <w:r>
        <w:rPr>
          <w:rFonts w:ascii="宋体" w:hAnsi="宋体" w:cs="宋体" w:eastAsia="宋体" w:hint="default"/>
          <w:spacing w:val="-2"/>
          <w:sz w:val="18"/>
          <w:szCs w:val="18"/>
        </w:rPr>
        <w:t>供劳务、出租或经营管理而持有，并且使用寿命超过一个会计年度的有形资产。固定资产在同时</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4"/>
          <w:sz w:val="18"/>
          <w:szCs w:val="18"/>
        </w:rPr>
        <w:t>满足下列条件时予以确认：（</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）与该固定资产有关的经济利益很可能流入企业；（</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）该固定资产的成本能够可靠地计量。</w:t>
      </w:r>
    </w:p>
    <w:p>
      <w:pPr>
        <w:spacing w:line="240" w:lineRule="auto" w:before="4"/>
        <w:rPr>
          <w:rFonts w:ascii="宋体" w:hAnsi="宋体" w:cs="宋体" w:eastAsia="宋体" w:hint="default"/>
          <w:sz w:val="21"/>
          <w:szCs w:val="21"/>
        </w:rPr>
      </w:pPr>
    </w:p>
    <w:p>
      <w:pPr>
        <w:pStyle w:val="Heading6"/>
        <w:spacing w:line="240" w:lineRule="auto"/>
        <w:ind w:right="103"/>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bookmarkStart w:name="（2）折旧方法" w:id="181"/>
            <w:bookmarkEnd w:id="181"/>
            <w:r>
              <w:rPr/>
            </w: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1.90-4.75</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7.92-31.67</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7.92-31.67</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11.88-19.00</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19.00-31.67</w:t>
            </w:r>
          </w:p>
        </w:tc>
      </w:tr>
    </w:tbl>
    <w:p>
      <w:pPr>
        <w:spacing w:line="240" w:lineRule="auto" w:before="3"/>
        <w:rPr>
          <w:rFonts w:ascii="宋体" w:hAnsi="宋体" w:cs="宋体" w:eastAsia="宋体" w:hint="default"/>
          <w:b/>
          <w:bCs/>
          <w:sz w:val="19"/>
          <w:szCs w:val="19"/>
        </w:rPr>
      </w:pPr>
    </w:p>
    <w:p>
      <w:pPr>
        <w:pStyle w:val="Heading6"/>
        <w:spacing w:line="240" w:lineRule="auto" w:before="36"/>
        <w:ind w:right="0"/>
        <w:jc w:val="both"/>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6"/>
        <w:spacing w:line="240" w:lineRule="auto" w:before="120"/>
        <w:ind w:right="0"/>
        <w:jc w:val="both"/>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03"/>
        <w:jc w:val="both"/>
      </w:pPr>
      <w:r>
        <w:rPr>
          <w:spacing w:val="-2"/>
        </w:rPr>
        <w:t>在建工程项目按建造该项资产达到预定可使用状态前所发生的必要支出，</w:t>
      </w:r>
      <w:bookmarkStart w:name="（3）融资租入固定资产的认定依据、计价和折旧方法" w:id="182"/>
      <w:bookmarkEnd w:id="182"/>
      <w:r>
        <w:rPr>
          <w:spacing w:val="-2"/>
        </w:rPr>
        <w:t>作</w:t>
      </w:r>
      <w:r>
        <w:rPr>
          <w:spacing w:val="-2"/>
        </w:rPr>
        <w:t>为固定资产</w:t>
      </w:r>
      <w:bookmarkStart w:name="17、在建工程" w:id="183"/>
      <w:bookmarkEnd w:id="183"/>
      <w:r>
        <w:rPr>
          <w:spacing w:val="-2"/>
        </w:rPr>
        <w:t>的</w:t>
      </w:r>
      <w:r>
        <w:rPr>
          <w:spacing w:val="-2"/>
        </w:rPr>
        <w:t>入账价值。所建</w:t>
      </w:r>
      <w:r>
        <w:rPr>
          <w:spacing w:val="-43"/>
        </w:rPr>
        <w:t> </w:t>
      </w:r>
      <w:r>
        <w:rPr>
          <w:spacing w:val="-43"/>
        </w:rPr>
      </w:r>
      <w:r>
        <w:rPr/>
        <w:t>造的固定资产在建工程已达到预定可使用状态，但尚未办理竣工决算的，自达到预定可使用状态之日起，</w:t>
      </w:r>
      <w:r>
        <w:rPr>
          <w:w w:val="100"/>
        </w:rPr>
        <w:t> </w:t>
      </w:r>
      <w:r>
        <w:rPr>
          <w:spacing w:val="-2"/>
        </w:rPr>
        <w:t>根据工程预算、造价或者工程实际成本等，按估计的价值转入固定资产，并按本公司固定资产折旧政策计</w:t>
      </w:r>
      <w:r>
        <w:rPr>
          <w:spacing w:val="-48"/>
        </w:rPr>
        <w:t> </w:t>
      </w:r>
      <w:r>
        <w:rPr>
          <w:spacing w:val="-48"/>
        </w:rPr>
      </w:r>
      <w:r>
        <w:rPr>
          <w:spacing w:val="-5"/>
        </w:rPr>
        <w:t>提固定资产的折旧，待办理竣工决算后，再按实际成本调整原来的暂估价值，但不调整原已计提的折旧额。</w:t>
      </w:r>
    </w:p>
    <w:p>
      <w:pPr>
        <w:spacing w:line="240" w:lineRule="auto" w:before="8"/>
        <w:rPr>
          <w:rFonts w:ascii="宋体" w:hAnsi="宋体" w:cs="宋体" w:eastAsia="宋体" w:hint="default"/>
          <w:sz w:val="20"/>
          <w:szCs w:val="20"/>
        </w:rPr>
      </w:pPr>
    </w:p>
    <w:p>
      <w:pPr>
        <w:pStyle w:val="Heading6"/>
        <w:spacing w:line="240" w:lineRule="auto"/>
        <w:ind w:right="0"/>
        <w:jc w:val="both"/>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6"/>
        <w:spacing w:line="240" w:lineRule="auto" w:before="120"/>
        <w:ind w:right="0"/>
        <w:jc w:val="both"/>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footerReference w:type="default" r:id="rId28"/>
          <w:pgSz w:w="11910" w:h="16840"/>
          <w:pgMar w:footer="982" w:header="745" w:top="1060" w:bottom="1180" w:left="980" w:right="920"/>
          <w:pgNumType w:start="110"/>
        </w:sectPr>
      </w:pPr>
    </w:p>
    <w:p>
      <w:pPr>
        <w:spacing w:line="240" w:lineRule="auto" w:before="10"/>
        <w:rPr>
          <w:rFonts w:ascii="宋体" w:hAnsi="宋体" w:cs="宋体" w:eastAsia="宋体" w:hint="default"/>
          <w:sz w:val="24"/>
          <w:szCs w:val="24"/>
        </w:rPr>
      </w:pPr>
    </w:p>
    <w:p>
      <w:pPr>
        <w:pStyle w:val="Heading6"/>
        <w:spacing w:line="240" w:lineRule="auto" w:before="36"/>
        <w:ind w:right="0"/>
        <w:jc w:val="left"/>
        <w:rPr>
          <w:b w:val="0"/>
          <w:bCs w:val="0"/>
        </w:rPr>
      </w:pPr>
      <w:bookmarkStart w:name="（2）内部研究开发支出会计政策" w:id="184"/>
      <w:bookmarkEnd w:id="184"/>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6"/>
        <w:spacing w:line="240" w:lineRule="auto" w:before="120"/>
        <w:ind w:right="0"/>
        <w:jc w:val="left"/>
        <w:rPr>
          <w:b w:val="0"/>
          <w:bCs w:val="0"/>
        </w:rPr>
      </w:pPr>
      <w:r>
        <w:rPr>
          <w:rFonts w:ascii="Times New Roman" w:hAnsi="Times New Roman" w:cs="Times New Roman" w:eastAsia="Times New Roman" w:hint="default"/>
        </w:rPr>
        <w:t>21</w:t>
      </w:r>
      <w:bookmarkStart w:name="20、油气资产" w:id="185"/>
      <w:bookmarkEnd w:id="185"/>
      <w:r>
        <w:rPr>
          <w:rFonts w:ascii="Times New Roman" w:hAnsi="Times New Roman" w:cs="Times New Roman" w:eastAsia="Times New Roman" w:hint="default"/>
        </w:rPr>
      </w:r>
      <w:bookmarkStart w:name="21、无形资产" w:id="186"/>
      <w:bookmarkEnd w:id="186"/>
      <w:r>
        <w:rPr>
          <w:rFonts w:ascii="Times New Roman" w:hAnsi="Times New Roman" w:cs="Times New Roman" w:eastAsia="Times New Roman" w:hint="default"/>
        </w:rPr>
      </w:r>
      <w:r>
        <w:rPr/>
        <w:t>、无形资产</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）计价方法、使</w:t>
      </w:r>
      <w:bookmarkStart w:name="（1）计价方法、使用寿命、减值测试" w:id="187"/>
      <w:bookmarkEnd w:id="187"/>
      <w:r>
        <w:rPr/>
        <w:t>用寿</w:t>
      </w:r>
      <w:r>
        <w:rPr/>
        <w:t>命、减值测试</w:t>
      </w:r>
      <w:r>
        <w:rPr>
          <w:b w:val="0"/>
          <w:bCs w:val="0"/>
        </w:rPr>
      </w:r>
    </w:p>
    <w:p>
      <w:pPr>
        <w:spacing w:line="240" w:lineRule="auto" w:before="8"/>
        <w:rPr>
          <w:rFonts w:ascii="宋体" w:hAnsi="宋体" w:cs="宋体" w:eastAsia="宋体" w:hint="default"/>
          <w:b/>
          <w:bCs/>
          <w:sz w:val="30"/>
          <w:szCs w:val="30"/>
        </w:rPr>
      </w:pPr>
    </w:p>
    <w:p>
      <w:pPr>
        <w:pStyle w:val="Heading6"/>
        <w:spacing w:line="240" w:lineRule="auto"/>
        <w:ind w:right="0"/>
        <w:jc w:val="left"/>
        <w:rPr>
          <w:b w:val="0"/>
          <w:bCs w:val="0"/>
        </w:rPr>
      </w:pPr>
      <w:r>
        <w:rPr>
          <w:rFonts w:ascii="Times New Roman" w:hAnsi="Times New Roman" w:cs="Times New Roman" w:eastAsia="Times New Roman" w:hint="default"/>
        </w:rPr>
        <w:t>1</w:t>
      </w:r>
      <w:r>
        <w:rPr/>
        <w:t>、</w:t>
      </w:r>
      <w:r>
        <w:rPr>
          <w:spacing w:val="1"/>
        </w:rPr>
        <w:t> </w:t>
      </w:r>
      <w:r>
        <w:rPr/>
        <w:t>无形资产的计价方法</w:t>
      </w:r>
      <w:r>
        <w:rPr>
          <w:b w:val="0"/>
          <w:bCs w:val="0"/>
        </w:rPr>
      </w:r>
    </w:p>
    <w:p>
      <w:pPr>
        <w:pStyle w:val="BodyText"/>
        <w:spacing w:line="398" w:lineRule="auto" w:before="177"/>
        <w:ind w:right="0"/>
        <w:jc w:val="left"/>
      </w:pPr>
      <w:r>
        <w:rPr/>
        <w:t>（</w:t>
      </w:r>
      <w:r>
        <w:rPr>
          <w:rFonts w:ascii="Times New Roman" w:hAnsi="Times New Roman" w:cs="Times New Roman" w:eastAsia="Times New Roman" w:hint="default"/>
        </w:rPr>
        <w:t>1</w:t>
      </w:r>
      <w:r>
        <w:rPr/>
        <w:t>）公司取得无形资产时按成本进行初始计量</w:t>
      </w:r>
      <w:r>
        <w:rPr>
          <w:w w:val="100"/>
        </w:rPr>
        <w:t> </w:t>
      </w:r>
      <w:r>
        <w:rPr>
          <w:spacing w:val="-2"/>
        </w:rPr>
        <w:t>外购无形资产的成本，包括购买价款、相关税费以及直接归属于使该项资产达到预定用途所发生的其他支</w:t>
      </w:r>
      <w:r>
        <w:rPr>
          <w:spacing w:val="-44"/>
        </w:rPr>
        <w:t> </w:t>
      </w:r>
      <w:r>
        <w:rPr>
          <w:spacing w:val="-44"/>
        </w:rPr>
      </w:r>
      <w:r>
        <w:rPr/>
        <w:t>出。</w:t>
      </w:r>
    </w:p>
    <w:p>
      <w:pPr>
        <w:pStyle w:val="BodyText"/>
        <w:spacing w:line="386" w:lineRule="auto" w:before="54"/>
        <w:ind w:right="5814"/>
        <w:jc w:val="left"/>
      </w:pPr>
      <w:r>
        <w:rPr/>
        <w:t>（</w:t>
      </w:r>
      <w:r>
        <w:rPr>
          <w:rFonts w:ascii="Times New Roman" w:hAnsi="Times New Roman" w:cs="Times New Roman" w:eastAsia="Times New Roman" w:hint="default"/>
        </w:rPr>
        <w:t>2</w:t>
      </w:r>
      <w:r>
        <w:rPr/>
        <w:t>）后续计量</w:t>
      </w:r>
      <w:r>
        <w:rPr>
          <w:w w:val="100"/>
        </w:rPr>
        <w:t> </w:t>
      </w:r>
      <w:r>
        <w:rPr>
          <w:spacing w:val="-2"/>
        </w:rPr>
        <w:t>在取得无形资产时分析判断其使用寿命。</w:t>
      </w:r>
    </w:p>
    <w:p>
      <w:pPr>
        <w:pStyle w:val="BodyText"/>
        <w:spacing w:line="408" w:lineRule="auto" w:before="65"/>
        <w:ind w:right="0"/>
        <w:jc w:val="left"/>
      </w:pPr>
      <w:r>
        <w:rPr>
          <w:spacing w:val="-2"/>
        </w:rPr>
        <w:t>对于使用寿命有限的无形资产，在为企业带来经济利益的期限内按直线法摊销；无法预见无形资产为企业</w:t>
      </w:r>
      <w:r>
        <w:rPr>
          <w:spacing w:val="-43"/>
        </w:rPr>
        <w:t> </w:t>
      </w:r>
      <w:r>
        <w:rPr>
          <w:spacing w:val="-43"/>
        </w:rPr>
      </w:r>
      <w:r>
        <w:rPr/>
        <w:t>带来经济利益期限的，视为使用寿命不确定的无形资产，不予摊销。</w:t>
      </w:r>
    </w:p>
    <w:p>
      <w:pPr>
        <w:pStyle w:val="Heading6"/>
        <w:spacing w:line="240" w:lineRule="auto" w:before="46"/>
        <w:ind w:right="0"/>
        <w:jc w:val="left"/>
        <w:rPr>
          <w:b w:val="0"/>
          <w:bCs w:val="0"/>
        </w:rPr>
      </w:pPr>
      <w:r>
        <w:rPr>
          <w:rFonts w:ascii="Times New Roman" w:hAnsi="Times New Roman" w:cs="Times New Roman" w:eastAsia="Times New Roman" w:hint="default"/>
        </w:rPr>
        <w:t>2</w:t>
      </w:r>
      <w:r>
        <w:rPr/>
        <w:t>、</w:t>
      </w:r>
      <w:r>
        <w:rPr>
          <w:spacing w:val="-2"/>
        </w:rPr>
        <w:t> </w:t>
      </w:r>
      <w:r>
        <w:rPr/>
        <w:t>使用寿命有限的无形资产的使用寿命估计情况</w:t>
      </w:r>
      <w:r>
        <w:rPr>
          <w:b w:val="0"/>
          <w:bCs w:val="0"/>
        </w:rPr>
      </w:r>
    </w:p>
    <w:p>
      <w:pPr>
        <w:spacing w:line="240" w:lineRule="auto" w:before="8"/>
        <w:rPr>
          <w:rFonts w:ascii="宋体" w:hAnsi="宋体" w:cs="宋体" w:eastAsia="宋体" w:hint="default"/>
          <w:b/>
          <w:bCs/>
          <w:sz w:val="8"/>
          <w:szCs w:val="8"/>
        </w:rPr>
      </w:pPr>
    </w:p>
    <w:tbl>
      <w:tblPr>
        <w:tblW w:w="0" w:type="auto"/>
        <w:jc w:val="left"/>
        <w:tblInd w:w="136" w:type="dxa"/>
        <w:tblLayout w:type="fixed"/>
        <w:tblCellMar>
          <w:top w:w="0" w:type="dxa"/>
          <w:left w:w="0" w:type="dxa"/>
          <w:bottom w:w="0" w:type="dxa"/>
          <w:right w:w="0" w:type="dxa"/>
        </w:tblCellMar>
        <w:tblLook w:val="01E0"/>
      </w:tblPr>
      <w:tblGrid>
        <w:gridCol w:w="2993"/>
        <w:gridCol w:w="2242"/>
        <w:gridCol w:w="2410"/>
      </w:tblGrid>
      <w:tr>
        <w:trPr>
          <w:trHeight w:val="509" w:hRule="exact"/>
        </w:trPr>
        <w:tc>
          <w:tcPr>
            <w:tcW w:w="29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项  目</w:t>
            </w:r>
          </w:p>
        </w:tc>
        <w:tc>
          <w:tcPr>
            <w:tcW w:w="22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left="573"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241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509" w:hRule="exact"/>
        </w:trPr>
        <w:tc>
          <w:tcPr>
            <w:tcW w:w="29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1324" w:right="0"/>
              <w:jc w:val="left"/>
              <w:rPr>
                <w:rFonts w:ascii="宋体" w:hAnsi="宋体" w:cs="宋体" w:eastAsia="宋体" w:hint="default"/>
                <w:sz w:val="18"/>
                <w:szCs w:val="18"/>
              </w:rPr>
            </w:pPr>
            <w:r>
              <w:rPr>
                <w:rFonts w:ascii="宋体" w:hAnsi="宋体" w:cs="宋体" w:eastAsia="宋体" w:hint="default"/>
                <w:sz w:val="18"/>
                <w:szCs w:val="18"/>
              </w:rPr>
              <w:t>按权利期限</w:t>
            </w:r>
          </w:p>
        </w:tc>
        <w:tc>
          <w:tcPr>
            <w:tcW w:w="241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9"/>
              <w:ind w:left="1315" w:right="0"/>
              <w:jc w:val="left"/>
              <w:rPr>
                <w:rFonts w:ascii="宋体" w:hAnsi="宋体" w:cs="宋体" w:eastAsia="宋体" w:hint="default"/>
                <w:sz w:val="18"/>
                <w:szCs w:val="18"/>
              </w:rPr>
            </w:pPr>
            <w:r>
              <w:rPr>
                <w:rFonts w:ascii="宋体" w:hAnsi="宋体" w:cs="宋体" w:eastAsia="宋体" w:hint="default"/>
                <w:sz w:val="18"/>
                <w:szCs w:val="18"/>
              </w:rPr>
              <w:t>土地权利证书</w:t>
            </w:r>
          </w:p>
        </w:tc>
      </w:tr>
    </w:tbl>
    <w:p>
      <w:pPr>
        <w:pStyle w:val="BodyText"/>
        <w:spacing w:line="400" w:lineRule="auto" w:before="64"/>
        <w:ind w:right="2842"/>
        <w:jc w:val="left"/>
      </w:pPr>
      <w:r>
        <w:rPr/>
        <w:t>每年末，对使用寿命有限的无形资产的使用寿命及摊销方法进行复核。</w:t>
      </w:r>
      <w:r>
        <w:rPr>
          <w:w w:val="100"/>
        </w:rPr>
        <w:t> </w:t>
      </w:r>
      <w:r>
        <w:rPr>
          <w:spacing w:val="-2"/>
        </w:rPr>
        <w:t>经复核，本年期末无形资产的使用寿命及摊销方法与以前估计未有不同。</w:t>
      </w:r>
      <w:r>
        <w:rPr>
          <w:spacing w:val="-45"/>
        </w:rPr>
        <w:t> </w:t>
      </w:r>
      <w:r>
        <w:rPr>
          <w:spacing w:val="-45"/>
        </w:rPr>
      </w: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使用寿命不确定的无形资产的判断依据</w:t>
      </w:r>
      <w:r>
        <w:rPr>
          <w:rFonts w:ascii="宋体" w:hAnsi="宋体" w:cs="宋体" w:eastAsia="宋体" w:hint="default"/>
          <w:b/>
          <w:bCs/>
          <w:w w:val="100"/>
        </w:rPr>
        <w:t> </w:t>
      </w:r>
      <w:r>
        <w:rPr/>
        <w:t>截止本年末，公司无使用寿命不确定的无形资产。</w:t>
      </w:r>
    </w:p>
    <w:p>
      <w:pPr>
        <w:spacing w:line="240" w:lineRule="auto" w:before="12"/>
        <w:rPr>
          <w:rFonts w:ascii="宋体" w:hAnsi="宋体" w:cs="宋体" w:eastAsia="宋体" w:hint="default"/>
          <w:sz w:val="26"/>
          <w:szCs w:val="26"/>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89"/>
        <w:ind w:right="0"/>
        <w:jc w:val="left"/>
      </w:pPr>
      <w:r>
        <w:rPr/>
        <w:t>内部研究开发项目研究阶段的支出，在发生时计入当期损益。</w:t>
      </w:r>
      <w:r>
        <w:rPr>
          <w:w w:val="100"/>
        </w:rPr>
        <w:t> </w:t>
      </w:r>
      <w:r>
        <w:rPr>
          <w:spacing w:val="-2"/>
        </w:rPr>
        <w:t>内部研究开发项目开发阶段的支出，同时满足下列条件时确认为无形资产：</w:t>
      </w:r>
    </w:p>
    <w:p>
      <w:pPr>
        <w:pStyle w:val="BodyText"/>
        <w:spacing w:line="240" w:lineRule="auto" w:before="46"/>
        <w:ind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77"/>
        <w:ind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86" w:lineRule="auto" w:before="177"/>
        <w:ind w:right="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w:t>
      </w:r>
      <w:r>
        <w:rPr>
          <w:spacing w:val="-25"/>
        </w:rPr>
        <w:t> </w:t>
      </w:r>
      <w:r>
        <w:rPr>
          <w:spacing w:val="-25"/>
        </w:rPr>
      </w:r>
      <w:r>
        <w:rPr/>
        <w:t>存在市场，无形资产将在内部使用的，能够证明其有用性；</w:t>
      </w:r>
    </w:p>
    <w:p>
      <w:pPr>
        <w:pStyle w:val="BodyText"/>
        <w:spacing w:line="240" w:lineRule="auto" w:before="65"/>
        <w:ind w:right="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w:t>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pStyle w:val="BodyText"/>
        <w:spacing w:line="240" w:lineRule="auto" w:before="175"/>
        <w:ind w:right="0"/>
        <w:jc w:val="left"/>
      </w:pPr>
      <w:bookmarkStart w:name="23、长期待摊费用" w:id="188"/>
      <w:bookmarkEnd w:id="188"/>
      <w:r>
        <w:rPr/>
      </w:r>
      <w:r>
        <w:rPr/>
        <w:t>资产；</w:t>
      </w:r>
    </w:p>
    <w:p>
      <w:pPr>
        <w:spacing w:line="240" w:lineRule="auto" w:before="10"/>
        <w:rPr>
          <w:rFonts w:ascii="宋体" w:hAnsi="宋体" w:cs="宋体" w:eastAsia="宋体" w:hint="default"/>
          <w:sz w:val="14"/>
          <w:szCs w:val="14"/>
        </w:rPr>
      </w:pPr>
    </w:p>
    <w:p>
      <w:pPr>
        <w:pStyle w:val="BodyText"/>
        <w:spacing w:line="240" w:lineRule="auto"/>
        <w:ind w:right="0"/>
        <w:jc w:val="left"/>
      </w:pPr>
      <w:r>
        <w:rPr/>
        <w:t>（</w:t>
      </w:r>
      <w:r>
        <w:rPr>
          <w:rFonts w:ascii="Times New Roman" w:hAnsi="Times New Roman" w:cs="Times New Roman" w:eastAsia="Times New Roman" w:hint="default"/>
        </w:rPr>
        <w:t>5</w:t>
      </w:r>
      <w:r>
        <w:rPr/>
        <w:t>）归属于该无形资产开发阶段的支出能够可靠地计量。</w:t>
      </w:r>
    </w:p>
    <w:p>
      <w:pPr>
        <w:spacing w:line="240" w:lineRule="auto" w:before="8"/>
        <w:rPr>
          <w:rFonts w:ascii="宋体" w:hAnsi="宋体" w:cs="宋体" w:eastAsia="宋体" w:hint="default"/>
          <w:sz w:val="30"/>
          <w:szCs w:val="30"/>
        </w:rPr>
      </w:pPr>
    </w:p>
    <w:p>
      <w:pPr>
        <w:pStyle w:val="Heading6"/>
        <w:spacing w:line="240" w:lineRule="auto"/>
        <w:ind w:right="0"/>
        <w:jc w:val="left"/>
        <w:rPr>
          <w:b w:val="0"/>
          <w:bCs w:val="0"/>
        </w:rPr>
      </w:pPr>
      <w:r>
        <w:rPr>
          <w:rFonts w:ascii="Times New Roman" w:hAnsi="Times New Roman" w:cs="Times New Roman" w:eastAsia="Times New Roman" w:hint="default"/>
        </w:rPr>
        <w:t>22</w:t>
      </w:r>
      <w:bookmarkStart w:name="22、长期资产减值" w:id="189"/>
      <w:bookmarkEnd w:id="189"/>
      <w:r>
        <w:rPr>
          <w:rFonts w:ascii="Times New Roman" w:hAnsi="Times New Roman" w:cs="Times New Roman" w:eastAsia="Times New Roman" w:hint="default"/>
        </w:rPr>
      </w:r>
      <w:r>
        <w:rPr/>
        <w:t>、长期资产减值</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0"/>
        <w:jc w:val="left"/>
      </w:pPr>
      <w:r>
        <w:rPr>
          <w:spacing w:val="-2"/>
        </w:rPr>
        <w:t>长期股权投资、采用成本模式计量的投资性房地产、固定资产、在建工程、使用寿命有限的无形资产等长</w:t>
      </w:r>
      <w:r>
        <w:rPr>
          <w:spacing w:val="-44"/>
        </w:rPr>
        <w:t> </w:t>
      </w:r>
      <w:r>
        <w:rPr>
          <w:spacing w:val="-44"/>
        </w:rPr>
      </w:r>
      <w:r>
        <w:rPr>
          <w:spacing w:val="-2"/>
        </w:rPr>
        <w:t>期资产，于资产负债表日存在减值迹象的，进行减值测试。减值测试结果表明资产的可收回金额低于其账</w:t>
      </w:r>
      <w:r>
        <w:rPr>
          <w:spacing w:val="-43"/>
        </w:rPr>
        <w:t> </w:t>
      </w:r>
      <w:r>
        <w:rPr>
          <w:spacing w:val="-43"/>
        </w:rPr>
      </w:r>
      <w:r>
        <w:rPr>
          <w:spacing w:val="-2"/>
        </w:rPr>
        <w:t>面价值的，按其差额计提减值准备并计入减值损失。可收回金额为资产的公允价值减去处置费用后的净额</w:t>
      </w:r>
      <w:r>
        <w:rPr>
          <w:spacing w:val="-43"/>
        </w:rPr>
        <w:t> </w:t>
      </w:r>
      <w:r>
        <w:rPr>
          <w:spacing w:val="-43"/>
        </w:rPr>
      </w:r>
      <w:r>
        <w:rPr>
          <w:spacing w:val="-2"/>
        </w:rPr>
        <w:t>与资产预计未来现金流量的现值两者之间的较高者。资产减值准备按单项资产为基础计算并确认，如果难</w:t>
      </w:r>
      <w:r>
        <w:rPr>
          <w:spacing w:val="-44"/>
        </w:rPr>
        <w:t> </w:t>
      </w:r>
      <w:r>
        <w:rPr>
          <w:spacing w:val="-44"/>
        </w:rPr>
      </w:r>
      <w:r>
        <w:rPr>
          <w:spacing w:val="-2"/>
        </w:rPr>
        <w:t>以对单项资产的可收回金额进行估计的，以该资产所属的资产组确定资产组的可收回金额。资产组是能够</w:t>
      </w:r>
      <w:r>
        <w:rPr>
          <w:spacing w:val="-43"/>
        </w:rPr>
        <w:t> </w:t>
      </w:r>
      <w:r>
        <w:rPr>
          <w:spacing w:val="-43"/>
        </w:rPr>
      </w:r>
      <w:r>
        <w:rPr/>
        <w:t>独立产生现金流入的最小资产组合。</w:t>
      </w:r>
      <w:r>
        <w:rPr>
          <w:w w:val="100"/>
        </w:rPr>
        <w:t> </w:t>
      </w:r>
      <w:r>
        <w:rPr/>
        <w:t>商誉和使用寿命不确定的无形资产至少在每年年度终了进行减值测试。</w:t>
      </w:r>
      <w:r>
        <w:rPr>
          <w:w w:val="100"/>
        </w:rPr>
        <w:t> </w:t>
      </w:r>
      <w:r>
        <w:rPr>
          <w:spacing w:val="-2"/>
        </w:rPr>
        <w:t>本公司进行商誉减值测试，对于因企业合并形成的商誉的账面价值，自购买日起按照合理的方法分摊至相</w:t>
      </w:r>
      <w:r>
        <w:rPr>
          <w:spacing w:val="-44"/>
        </w:rPr>
        <w:t> </w:t>
      </w:r>
      <w:r>
        <w:rPr>
          <w:spacing w:val="-44"/>
        </w:rPr>
      </w:r>
      <w:r>
        <w:rPr>
          <w:spacing w:val="-2"/>
        </w:rPr>
        <w:t>关的资产组；难以分摊至相关的资产组的，将其分摊至相关的资产组组合。在将商誉的账面价值分摊至相</w:t>
      </w:r>
      <w:r>
        <w:rPr>
          <w:spacing w:val="-43"/>
        </w:rPr>
        <w:t> </w:t>
      </w:r>
      <w:r>
        <w:rPr>
          <w:spacing w:val="-43"/>
        </w:rPr>
      </w:r>
      <w:r>
        <w:rPr>
          <w:spacing w:val="-2"/>
        </w:rPr>
        <w:t>关的资产组或者资产组组合时，按照各资产组或者资产组组合的公允价值占相关资产组或者资产组组合公</w:t>
      </w:r>
      <w:r>
        <w:rPr>
          <w:spacing w:val="-43"/>
        </w:rPr>
        <w:t> </w:t>
      </w:r>
      <w:r>
        <w:rPr>
          <w:spacing w:val="-43"/>
        </w:rPr>
      </w:r>
      <w:r>
        <w:rPr>
          <w:spacing w:val="-2"/>
        </w:rPr>
        <w:t>允价值总额的比例进行分摊。公允价值难以可靠计量的，按照各资产组或者资产组组合的账面价值占相关</w:t>
      </w:r>
      <w:r>
        <w:rPr>
          <w:spacing w:val="-43"/>
        </w:rPr>
        <w:t> </w:t>
      </w:r>
      <w:r>
        <w:rPr>
          <w:spacing w:val="-43"/>
        </w:rPr>
      </w:r>
      <w:r>
        <w:rPr/>
        <w:t>资产组或者资产组组合账面价值总额的比例进行分摊。</w:t>
      </w:r>
      <w:r>
        <w:rPr>
          <w:w w:val="100"/>
        </w:rPr>
        <w:t> </w:t>
      </w:r>
      <w:r>
        <w:rPr>
          <w:spacing w:val="-2"/>
        </w:rPr>
        <w:t>在对包含商誉的相关资产组或者资产组组合进行减值测试时，如与商誉相关的资产组或者资产组组合存在</w:t>
      </w:r>
      <w:r>
        <w:rPr>
          <w:spacing w:val="-43"/>
        </w:rPr>
        <w:t> </w:t>
      </w:r>
      <w:r>
        <w:rPr>
          <w:spacing w:val="-43"/>
        </w:rPr>
      </w:r>
      <w:r>
        <w:rPr>
          <w:spacing w:val="-2"/>
        </w:rPr>
        <w:t>减值迹象的，先对不包含商誉的资产组或者资产组组合进行减值测试，计算可收回金额，并与相关账面价</w:t>
      </w:r>
      <w:r>
        <w:rPr>
          <w:spacing w:val="-42"/>
        </w:rPr>
        <w:t> </w:t>
      </w:r>
      <w:r>
        <w:rPr>
          <w:spacing w:val="-42"/>
        </w:rPr>
      </w:r>
      <w:r>
        <w:rPr>
          <w:spacing w:val="-2"/>
        </w:rPr>
        <w:t>值相比较，确认相应的减值损失。再对包含商誉的资产组或者资产组组合进行减值测试，比较这些相关资</w:t>
      </w:r>
      <w:r>
        <w:rPr>
          <w:spacing w:val="-43"/>
        </w:rPr>
        <w:t> </w:t>
      </w:r>
      <w:r>
        <w:rPr>
          <w:spacing w:val="-43"/>
        </w:rPr>
      </w:r>
      <w:r>
        <w:rPr>
          <w:spacing w:val="-2"/>
        </w:rPr>
        <w:t>产组或者资产组组合的账面价值（包括所分摊的商誉的账面价值部分）与其可收回金额，如相关资产组或</w:t>
      </w:r>
      <w:r>
        <w:rPr>
          <w:spacing w:val="-42"/>
        </w:rPr>
        <w:t> </w:t>
      </w:r>
      <w:r>
        <w:rPr>
          <w:spacing w:val="-42"/>
        </w:rPr>
      </w:r>
      <w:r>
        <w:rPr>
          <w:spacing w:val="-2"/>
        </w:rPr>
        <w:t>者资产组组合的可收回金额低于其账面价值的，确认商誉的减值损失。上述资产减值损失一经确认，在以</w:t>
      </w:r>
      <w:r>
        <w:rPr>
          <w:spacing w:val="-43"/>
        </w:rPr>
        <w:t> </w:t>
      </w:r>
      <w:r>
        <w:rPr>
          <w:spacing w:val="-43"/>
        </w:rPr>
      </w:r>
      <w:r>
        <w:rPr/>
        <w:t>后会计期间不予转回。</w:t>
      </w:r>
    </w:p>
    <w:p>
      <w:pPr>
        <w:spacing w:line="614" w:lineRule="exact" w:before="23"/>
        <w:ind w:left="152" w:right="11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、长期待摊费用</w:t>
      </w:r>
      <w:r>
        <w:rPr>
          <w:rFonts w:ascii="宋体" w:hAnsi="宋体" w:cs="宋体" w:eastAsia="宋体" w:hint="default"/>
          <w:b/>
          <w:bCs/>
          <w:w w:val="100"/>
          <w:sz w:val="21"/>
          <w:szCs w:val="21"/>
        </w:rPr>
        <w:t> </w:t>
      </w:r>
      <w:r>
        <w:rPr>
          <w:rFonts w:ascii="宋体" w:hAnsi="宋体" w:cs="宋体" w:eastAsia="宋体" w:hint="default"/>
          <w:spacing w:val="-2"/>
          <w:sz w:val="21"/>
          <w:szCs w:val="21"/>
        </w:rPr>
        <w:t>长期待摊费用为已经发生但应由本年和以后各期负担的分摊期限在一年以上的各项费用。</w:t>
      </w:r>
    </w:p>
    <w:p>
      <w:pPr>
        <w:pStyle w:val="Heading6"/>
        <w:spacing w:line="235" w:lineRule="exact"/>
        <w:ind w:right="0"/>
        <w:jc w:val="left"/>
        <w:rPr>
          <w:b w:val="0"/>
          <w:bCs w:val="0"/>
        </w:rPr>
      </w:pPr>
      <w:r>
        <w:rPr>
          <w:rFonts w:ascii="Times New Roman" w:hAnsi="Times New Roman" w:cs="Times New Roman" w:eastAsia="Times New Roman" w:hint="default"/>
        </w:rPr>
        <w:t>1</w:t>
      </w:r>
      <w:r>
        <w:rPr/>
        <w:t>、</w:t>
      </w:r>
      <w:r>
        <w:rPr>
          <w:spacing w:val="-1"/>
        </w:rPr>
        <w:t> </w:t>
      </w:r>
      <w:r>
        <w:rPr/>
        <w:t>摊销方法</w:t>
      </w:r>
      <w:r>
        <w:rPr>
          <w:b w:val="0"/>
          <w:bCs w:val="0"/>
        </w:rPr>
      </w:r>
    </w:p>
    <w:p>
      <w:pPr>
        <w:pStyle w:val="BodyText"/>
        <w:spacing w:line="240" w:lineRule="auto" w:before="21"/>
        <w:ind w:right="0"/>
        <w:jc w:val="left"/>
      </w:pPr>
      <w:r>
        <w:rPr/>
        <w:t>在受益期内平均摊销</w:t>
      </w:r>
    </w:p>
    <w:p>
      <w:pPr>
        <w:pStyle w:val="Heading6"/>
        <w:spacing w:line="240" w:lineRule="auto" w:before="37"/>
        <w:ind w:right="0"/>
        <w:jc w:val="left"/>
        <w:rPr>
          <w:b w:val="0"/>
          <w:bCs w:val="0"/>
        </w:rPr>
      </w:pPr>
      <w:r>
        <w:rPr>
          <w:rFonts w:ascii="Times New Roman" w:hAnsi="Times New Roman" w:cs="Times New Roman" w:eastAsia="Times New Roman" w:hint="default"/>
        </w:rPr>
        <w:t>2</w:t>
      </w:r>
      <w:r>
        <w:rPr/>
        <w:t>、</w:t>
      </w:r>
      <w:r>
        <w:rPr>
          <w:spacing w:val="-2"/>
        </w:rPr>
        <w:t> </w:t>
      </w:r>
      <w:r>
        <w:rPr/>
        <w:t>摊销年限</w:t>
      </w:r>
      <w:r>
        <w:rPr>
          <w:b w:val="0"/>
          <w:bCs w:val="0"/>
        </w:rPr>
      </w:r>
    </w:p>
    <w:p>
      <w:pPr>
        <w:spacing w:line="240" w:lineRule="auto" w:before="8"/>
        <w:rPr>
          <w:rFonts w:ascii="宋体" w:hAnsi="宋体" w:cs="宋体" w:eastAsia="宋体" w:hint="default"/>
          <w:b/>
          <w:bCs/>
          <w:sz w:val="2"/>
          <w:szCs w:val="2"/>
        </w:rPr>
      </w:pPr>
    </w:p>
    <w:tbl>
      <w:tblPr>
        <w:tblW w:w="0" w:type="auto"/>
        <w:jc w:val="left"/>
        <w:tblInd w:w="136" w:type="dxa"/>
        <w:tblLayout w:type="fixed"/>
        <w:tblCellMar>
          <w:top w:w="0" w:type="dxa"/>
          <w:left w:w="0" w:type="dxa"/>
          <w:bottom w:w="0" w:type="dxa"/>
          <w:right w:w="0" w:type="dxa"/>
        </w:tblCellMar>
        <w:tblLook w:val="01E0"/>
      </w:tblPr>
      <w:tblGrid>
        <w:gridCol w:w="4810"/>
        <w:gridCol w:w="2839"/>
      </w:tblGrid>
      <w:tr>
        <w:trPr>
          <w:trHeight w:val="355" w:hRule="exact"/>
        </w:trPr>
        <w:tc>
          <w:tcPr>
            <w:tcW w:w="4810" w:type="dxa"/>
            <w:tcBorders>
              <w:top w:val="single" w:sz="6" w:space="0" w:color="000000"/>
              <w:left w:val="single" w:sz="6" w:space="0" w:color="000000"/>
              <w:bottom w:val="single" w:sz="12" w:space="0" w:color="000000"/>
              <w:right w:val="single" w:sz="6" w:space="0" w:color="000000"/>
            </w:tcBorders>
          </w:tcPr>
          <w:p>
            <w:pPr>
              <w:pStyle w:val="TableParagraph"/>
              <w:tabs>
                <w:tab w:pos="693" w:val="left" w:leader="none"/>
              </w:tabs>
              <w:spacing w:line="240" w:lineRule="auto" w:before="17"/>
              <w:ind w:left="15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83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受益期限</w:t>
            </w:r>
          </w:p>
        </w:tc>
      </w:tr>
      <w:tr>
        <w:trPr>
          <w:trHeight w:val="353" w:hRule="exact"/>
        </w:trPr>
        <w:tc>
          <w:tcPr>
            <w:tcW w:w="4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58" w:right="0"/>
              <w:jc w:val="left"/>
              <w:rPr>
                <w:rFonts w:ascii="宋体" w:hAnsi="宋体" w:cs="宋体" w:eastAsia="宋体" w:hint="default"/>
                <w:sz w:val="18"/>
                <w:szCs w:val="18"/>
              </w:rPr>
            </w:pPr>
            <w:r>
              <w:rPr>
                <w:rFonts w:ascii="宋体" w:hAnsi="宋体" w:cs="宋体" w:eastAsia="宋体" w:hint="default"/>
                <w:sz w:val="18"/>
                <w:szCs w:val="18"/>
              </w:rPr>
              <w:t>经营租赁方式租入的固定资产改良支出</w:t>
            </w:r>
          </w:p>
        </w:tc>
        <w:tc>
          <w:tcPr>
            <w:tcW w:w="283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7"/>
              <w:jc w:val="right"/>
              <w:rPr>
                <w:rFonts w:ascii="宋体" w:hAnsi="宋体" w:cs="宋体" w:eastAsia="宋体" w:hint="default"/>
                <w:sz w:val="18"/>
                <w:szCs w:val="18"/>
              </w:rPr>
            </w:pPr>
            <w:r>
              <w:rPr>
                <w:rFonts w:ascii="宋体" w:hAnsi="宋体" w:cs="宋体" w:eastAsia="宋体" w:hint="default"/>
                <w:sz w:val="18"/>
                <w:szCs w:val="18"/>
              </w:rPr>
              <w:t>剩余租赁期</w:t>
            </w:r>
          </w:p>
        </w:tc>
      </w:tr>
    </w:tbl>
    <w:p>
      <w:pPr>
        <w:spacing w:after="0" w:line="240" w:lineRule="auto"/>
        <w:jc w:val="righ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b/>
          <w:bCs/>
          <w:sz w:val="24"/>
          <w:szCs w:val="24"/>
        </w:rPr>
      </w:pPr>
    </w:p>
    <w:p>
      <w:pPr>
        <w:pStyle w:val="Heading6"/>
        <w:spacing w:line="240" w:lineRule="auto" w:before="36"/>
        <w:ind w:right="103"/>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03"/>
        <w:jc w:val="left"/>
        <w:rPr>
          <w:b w:val="0"/>
          <w:bCs w:val="0"/>
        </w:rPr>
      </w:pPr>
      <w:r>
        <w:rPr/>
        <w:t>（</w:t>
      </w:r>
      <w:r>
        <w:rPr>
          <w:rFonts w:ascii="Times New Roman" w:hAnsi="Times New Roman" w:cs="Times New Roman" w:eastAsia="Times New Roman" w:hint="default"/>
        </w:rPr>
        <w:t>1</w:t>
      </w:r>
      <w:bookmarkStart w:name="24、职工薪酬" w:id="190"/>
      <w:bookmarkEnd w:id="190"/>
      <w:r>
        <w:rPr>
          <w:rFonts w:ascii="Times New Roman" w:hAnsi="Times New Roman" w:cs="Times New Roman" w:eastAsia="Times New Roman" w:hint="default"/>
        </w:rPr>
      </w:r>
      <w:bookmarkStart w:name="（1）短期薪酬的会计处理方法" w:id="191"/>
      <w:bookmarkEnd w:id="191"/>
      <w:r>
        <w:rPr>
          <w:rFonts w:ascii="Times New Roman" w:hAnsi="Times New Roman" w:cs="Times New Roman" w:eastAsia="Times New Roman" w:hint="default"/>
        </w:rPr>
      </w:r>
      <w:r>
        <w:rPr/>
        <w:t>）短期薪酬的会计处理方法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03"/>
        <w:jc w:val="left"/>
      </w:pPr>
      <w:r>
        <w:rPr>
          <w:spacing w:val="-2"/>
        </w:rPr>
        <w:t>本公司在职工为本公司提供服务的会计期间，将实际发生的短期薪酬确认为负债，并计入当期损益或相关</w:t>
      </w:r>
      <w:r>
        <w:rPr>
          <w:spacing w:val="-42"/>
        </w:rPr>
        <w:t> </w:t>
      </w:r>
      <w:r>
        <w:rPr>
          <w:spacing w:val="-42"/>
        </w:rPr>
      </w:r>
      <w:r>
        <w:rPr/>
        <w:t>资产成本。</w:t>
      </w:r>
      <w:r>
        <w:rPr>
          <w:spacing w:val="-102"/>
        </w:rPr>
        <w:t> </w:t>
      </w:r>
      <w:r>
        <w:rPr>
          <w:spacing w:val="-102"/>
        </w:rPr>
      </w:r>
      <w:r>
        <w:rPr>
          <w:spacing w:val="-2"/>
        </w:rPr>
        <w:t>本公司为职工缴纳的社会保险费和住房公积金，以及按规定提取的工会经费和职工教育经费，在职工为本</w:t>
      </w:r>
      <w:r>
        <w:rPr>
          <w:spacing w:val="-44"/>
        </w:rPr>
        <w:t> </w:t>
      </w:r>
      <w:r>
        <w:rPr>
          <w:spacing w:val="-44"/>
        </w:rPr>
      </w:r>
      <w:r>
        <w:rPr/>
        <w:t>公司提供服务的会计期间，根据规定的计提基础和计提比例计算确定相应的职工薪酬金额。</w:t>
      </w:r>
      <w:r>
        <w:rPr>
          <w:w w:val="100"/>
        </w:rPr>
        <w:t> </w:t>
      </w:r>
      <w:r>
        <w:rPr/>
        <w:t>职工福利费为非货币性福利的，如能够可靠计量的，按照公允价值计量。</w:t>
      </w:r>
    </w:p>
    <w:p>
      <w:pPr>
        <w:spacing w:line="600" w:lineRule="atLeast" w:before="0"/>
        <w:ind w:left="152" w:right="6792"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）离职后福利的会计处理方法</w:t>
      </w:r>
      <w:r>
        <w:rPr>
          <w:rFonts w:ascii="宋体" w:hAnsi="宋体" w:cs="宋体" w:eastAsia="宋体" w:hint="default"/>
          <w:b/>
          <w:bCs/>
          <w:spacing w:val="-92"/>
          <w:sz w:val="21"/>
          <w:szCs w:val="21"/>
        </w:rPr>
        <w:t> </w:t>
      </w:r>
      <w:r>
        <w:rPr>
          <w:rFonts w:ascii="宋体" w:hAnsi="宋体" w:cs="宋体" w:eastAsia="宋体" w:hint="default"/>
          <w:b/>
          <w:bCs/>
          <w:spacing w:val="-92"/>
          <w:sz w:val="21"/>
          <w:szCs w:val="21"/>
        </w:rPr>
      </w:r>
      <w:r>
        <w:rPr>
          <w:rFonts w:ascii="宋体" w:hAnsi="宋体" w:cs="宋体" w:eastAsia="宋体" w:hint="default"/>
          <w:sz w:val="21"/>
          <w:szCs w:val="21"/>
        </w:rPr>
        <w:t>设定提存计划</w:t>
      </w:r>
    </w:p>
    <w:p>
      <w:pPr>
        <w:pStyle w:val="BodyText"/>
        <w:spacing w:line="273" w:lineRule="auto" w:before="37"/>
        <w:ind w:right="103"/>
        <w:jc w:val="left"/>
      </w:pPr>
      <w:r>
        <w:rPr>
          <w:spacing w:val="2"/>
        </w:rPr>
        <w:t>本公司按当地政府的相关规</w:t>
      </w:r>
      <w:bookmarkStart w:name="（2）离职后福利的会计处理方法" w:id="192"/>
      <w:bookmarkEnd w:id="192"/>
      <w:r>
        <w:rPr>
          <w:spacing w:val="2"/>
        </w:rPr>
        <w:t>定为职</w:t>
      </w:r>
      <w:r>
        <w:rPr>
          <w:spacing w:val="2"/>
        </w:rPr>
        <w:t>工缴纳基本养老保险和失业保险，在职工为本公司提供服务的会计期</w:t>
      </w:r>
      <w:r>
        <w:rPr>
          <w:spacing w:val="-28"/>
        </w:rPr>
        <w:t> </w:t>
      </w:r>
      <w:r>
        <w:rPr>
          <w:spacing w:val="-28"/>
        </w:rPr>
      </w:r>
      <w:r>
        <w:rPr/>
        <w:t>间，按以当地规定的缴纳基数和比例计算应缴纳金额，确认为负债，并计入当期损益或相关资产成本。</w:t>
      </w:r>
    </w:p>
    <w:p>
      <w:pPr>
        <w:spacing w:line="240" w:lineRule="auto" w:before="7"/>
        <w:rPr>
          <w:rFonts w:ascii="宋体" w:hAnsi="宋体" w:cs="宋体" w:eastAsia="宋体" w:hint="default"/>
          <w:sz w:val="23"/>
          <w:szCs w:val="23"/>
        </w:rPr>
      </w:pPr>
    </w:p>
    <w:p>
      <w:pPr>
        <w:pStyle w:val="Heading6"/>
        <w:spacing w:line="240" w:lineRule="auto"/>
        <w:ind w:right="103"/>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03"/>
        <w:jc w:val="left"/>
      </w:pPr>
      <w:r>
        <w:rPr>
          <w:spacing w:val="-2"/>
        </w:rPr>
        <w:t>本公司在不能单方面撤回因解除劳动关系计划或裁</w:t>
      </w:r>
      <w:bookmarkStart w:name="（3）辞退福利的会计处理方法" w:id="193"/>
      <w:bookmarkEnd w:id="193"/>
      <w:r>
        <w:rPr>
          <w:spacing w:val="-2"/>
        </w:rPr>
        <w:t>减建</w:t>
      </w:r>
      <w:r>
        <w:rPr>
          <w:spacing w:val="-2"/>
        </w:rPr>
        <w:t>议所提供的辞退福利时，或确认与涉及支付辞退福</w:t>
      </w:r>
      <w:r>
        <w:rPr>
          <w:spacing w:val="-43"/>
        </w:rPr>
        <w:t> </w:t>
      </w:r>
      <w:r>
        <w:rPr>
          <w:spacing w:val="-43"/>
        </w:rPr>
      </w:r>
      <w:r>
        <w:rPr/>
        <w:t>利的重组相关的成本或费用时（两者孰早），确认辞退福利产生的职工薪酬负债，并计入当期损益。</w:t>
      </w:r>
    </w:p>
    <w:p>
      <w:pPr>
        <w:spacing w:line="240" w:lineRule="auto" w:before="7"/>
        <w:rPr>
          <w:rFonts w:ascii="宋体" w:hAnsi="宋体" w:cs="宋体" w:eastAsia="宋体" w:hint="default"/>
          <w:sz w:val="23"/>
          <w:szCs w:val="23"/>
        </w:rPr>
      </w:pPr>
    </w:p>
    <w:p>
      <w:pPr>
        <w:pStyle w:val="Heading6"/>
        <w:spacing w:line="240" w:lineRule="auto"/>
        <w:ind w:right="103"/>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6"/>
          <w:szCs w:val="26"/>
        </w:rPr>
      </w:pPr>
    </w:p>
    <w:p>
      <w:pPr>
        <w:spacing w:before="0"/>
        <w:ind w:left="152" w:right="10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6"/>
        <w:spacing w:line="240" w:lineRule="auto" w:before="120"/>
        <w:ind w:right="103"/>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03"/>
        <w:jc w:val="left"/>
      </w:pPr>
      <w:r>
        <w:rPr>
          <w:spacing w:val="-5"/>
        </w:rPr>
        <w:t>本公司涉及诉讼、债务担保、亏损合同、重组事项时，如该等事项很</w:t>
      </w:r>
      <w:bookmarkStart w:name="（4）其他长期职工福利的会计处理方法" w:id="194"/>
      <w:bookmarkEnd w:id="194"/>
      <w:r>
        <w:rPr>
          <w:spacing w:val="-5"/>
        </w:rPr>
        <w:t>可</w:t>
      </w:r>
      <w:r>
        <w:rPr>
          <w:spacing w:val="-5"/>
        </w:rPr>
        <w:t>能需要未来</w:t>
      </w:r>
      <w:bookmarkStart w:name="25、预计负债" w:id="195"/>
      <w:bookmarkEnd w:id="195"/>
      <w:r>
        <w:rPr>
          <w:spacing w:val="-5"/>
        </w:rPr>
        <w:t>以</w:t>
      </w:r>
      <w:r>
        <w:rPr>
          <w:spacing w:val="-5"/>
        </w:rPr>
        <w:t>交付资产或提供劳务、</w:t>
      </w:r>
      <w:r>
        <w:rPr>
          <w:spacing w:val="-8"/>
        </w:rPr>
        <w:t> </w:t>
      </w:r>
      <w:r>
        <w:rPr>
          <w:spacing w:val="-8"/>
        </w:rPr>
      </w:r>
      <w:r>
        <w:rPr/>
        <w:t>其金额能够可靠计量的，确认为预计负债。</w:t>
      </w:r>
    </w:p>
    <w:p>
      <w:pPr>
        <w:spacing w:line="386" w:lineRule="auto" w:before="46"/>
        <w:ind w:left="152" w:right="2094"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预计负债的确认标准</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与或有事项相关的义务同时满足下列条件时，本公司确认为预计负债：</w:t>
      </w:r>
    </w:p>
    <w:p>
      <w:pPr>
        <w:pStyle w:val="BodyText"/>
        <w:spacing w:line="240" w:lineRule="auto" w:before="65"/>
        <w:ind w:right="103"/>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177"/>
        <w:ind w:right="103"/>
        <w:jc w:val="left"/>
      </w:pPr>
      <w:r>
        <w:rPr/>
        <w:t>（</w:t>
      </w:r>
      <w:r>
        <w:rPr>
          <w:rFonts w:ascii="Times New Roman" w:hAnsi="Times New Roman" w:cs="Times New Roman" w:eastAsia="Times New Roman" w:hint="default"/>
        </w:rPr>
        <w:t>2</w:t>
      </w:r>
      <w:r>
        <w:rPr/>
        <w:t>）履行该义务很可能导致经济利益流出本公司；</w:t>
      </w:r>
    </w:p>
    <w:p>
      <w:pPr>
        <w:pStyle w:val="BodyText"/>
        <w:spacing w:line="240" w:lineRule="auto" w:before="177"/>
        <w:ind w:right="103"/>
        <w:jc w:val="left"/>
      </w:pPr>
      <w:r>
        <w:rPr/>
        <w:t>（</w:t>
      </w:r>
      <w:r>
        <w:rPr>
          <w:rFonts w:ascii="Times New Roman" w:hAnsi="Times New Roman" w:cs="Times New Roman" w:eastAsia="Times New Roman" w:hint="default"/>
        </w:rPr>
        <w:t>3</w:t>
      </w:r>
      <w:r>
        <w:rPr/>
        <w:t>）该义务的金额能够可靠地计量。</w:t>
      </w:r>
    </w:p>
    <w:p>
      <w:pPr>
        <w:spacing w:line="386" w:lineRule="auto" w:before="177"/>
        <w:ind w:left="152" w:right="20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预计负债的计量方法</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本公司预计负债按履行相关现时义务所需的支出的最佳估计数进行初始计量。</w:t>
      </w:r>
    </w:p>
    <w:p>
      <w:pPr>
        <w:pStyle w:val="BodyText"/>
        <w:spacing w:line="408" w:lineRule="auto" w:before="65"/>
        <w:ind w:right="103"/>
        <w:jc w:val="left"/>
      </w:pPr>
      <w:r>
        <w:rPr>
          <w:spacing w:val="-2"/>
        </w:rPr>
        <w:t>本公司在确定最佳估计数时，综合考虑与或有事项有关的风险、不确定性和货币时间价值等因素。对于货</w:t>
      </w:r>
      <w:r>
        <w:rPr>
          <w:spacing w:val="-43"/>
        </w:rPr>
        <w:t> </w:t>
      </w:r>
      <w:r>
        <w:rPr>
          <w:spacing w:val="-43"/>
        </w:rPr>
      </w:r>
      <w:r>
        <w:rPr/>
        <w:t>币时间价值影响重大的，通过对相关未来现金流出进行折现后确定最佳估计数。</w:t>
      </w:r>
      <w:r>
        <w:rPr>
          <w:w w:val="100"/>
        </w:rPr>
        <w:t> </w:t>
      </w:r>
      <w:r>
        <w:rPr/>
        <w:t>最佳估计数分别以下情况处理：</w:t>
      </w:r>
    </w:p>
    <w:p>
      <w:pPr>
        <w:spacing w:after="0" w:line="408" w:lineRule="auto"/>
        <w:jc w:val="left"/>
        <w:sectPr>
          <w:pgSz w:w="11910" w:h="16840"/>
          <w:pgMar w:header="745" w:footer="982" w:top="1060" w:bottom="1180" w:left="980" w:right="920"/>
        </w:sectPr>
      </w:pPr>
    </w:p>
    <w:p>
      <w:pPr>
        <w:spacing w:line="240" w:lineRule="auto" w:before="0"/>
        <w:rPr>
          <w:rFonts w:ascii="宋体" w:hAnsi="宋体" w:cs="宋体" w:eastAsia="宋体" w:hint="default"/>
          <w:sz w:val="20"/>
          <w:szCs w:val="20"/>
        </w:rPr>
      </w:pPr>
    </w:p>
    <w:p>
      <w:pPr>
        <w:pStyle w:val="BodyText"/>
        <w:spacing w:line="408" w:lineRule="auto" w:before="175"/>
        <w:ind w:right="103"/>
        <w:jc w:val="left"/>
      </w:pPr>
      <w:r>
        <w:rPr>
          <w:spacing w:val="-2"/>
        </w:rPr>
        <w:t>所需支出存在一个连续范围（或区间），且该范围内各种结果发生的可能性相同的，则最佳估计数按照该</w:t>
      </w:r>
      <w:r>
        <w:rPr>
          <w:spacing w:val="-44"/>
        </w:rPr>
        <w:t> </w:t>
      </w:r>
      <w:r>
        <w:rPr>
          <w:spacing w:val="-44"/>
        </w:rPr>
      </w:r>
      <w:r>
        <w:rPr/>
        <w:t>范围的中间值即上下限金额的平均数确定。</w:t>
      </w:r>
      <w:r>
        <w:rPr>
          <w:w w:val="100"/>
        </w:rPr>
        <w:t> </w:t>
      </w:r>
      <w:r>
        <w:rPr>
          <w:spacing w:val="-2"/>
        </w:rPr>
        <w:t>所需支出不存在一个连续范围（或区间），或虽然存在一个连续范围但该范围内各种结果发生的可能性不</w:t>
      </w:r>
      <w:r>
        <w:rPr>
          <w:spacing w:val="-43"/>
        </w:rPr>
        <w:t> </w:t>
      </w:r>
      <w:r>
        <w:rPr>
          <w:spacing w:val="-43"/>
        </w:rPr>
      </w:r>
      <w:r>
        <w:rPr>
          <w:spacing w:val="-2"/>
        </w:rPr>
        <w:t>相同的，如或有事项涉及单个项目的，则最佳估计数按照最可能发生金额确定；如或有事项涉及多个项目</w:t>
      </w:r>
      <w:r>
        <w:rPr>
          <w:spacing w:val="-42"/>
        </w:rPr>
        <w:t> </w:t>
      </w:r>
      <w:r>
        <w:rPr>
          <w:spacing w:val="-42"/>
        </w:rPr>
      </w:r>
      <w:r>
        <w:rPr/>
        <w:t>的，则最佳估计数按各种可能结果及相关概率计算确定。</w:t>
      </w:r>
      <w:r>
        <w:rPr>
          <w:w w:val="100"/>
        </w:rPr>
        <w:t> </w:t>
      </w:r>
      <w:r>
        <w:rPr>
          <w:spacing w:val="-2"/>
        </w:rPr>
        <w:t>本公司清偿预计负债所需支出全部或部分预期由第三方补偿的，补偿金额在基本确定能够收到时，作为资</w:t>
      </w:r>
      <w:r>
        <w:rPr>
          <w:spacing w:val="-44"/>
        </w:rPr>
        <w:t> </w:t>
      </w:r>
      <w:r>
        <w:rPr>
          <w:spacing w:val="-44"/>
        </w:rPr>
      </w:r>
      <w:r>
        <w:rPr/>
        <w:t>产单独确认，确认的补偿金额不超过预计负债的账面价值。</w:t>
      </w:r>
    </w:p>
    <w:p>
      <w:pPr>
        <w:spacing w:line="240" w:lineRule="auto" w:before="8"/>
        <w:rPr>
          <w:rFonts w:ascii="宋体" w:hAnsi="宋体" w:cs="宋体" w:eastAsia="宋体" w:hint="default"/>
          <w:sz w:val="20"/>
          <w:szCs w:val="20"/>
        </w:rPr>
      </w:pPr>
    </w:p>
    <w:p>
      <w:pPr>
        <w:pStyle w:val="Heading6"/>
        <w:spacing w:line="240" w:lineRule="auto"/>
        <w:ind w:right="103"/>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03"/>
        <w:jc w:val="left"/>
      </w:pPr>
      <w:r>
        <w:rPr>
          <w:spacing w:val="2"/>
        </w:rPr>
        <w:t>本公司的股份支付是为了获取职工提</w:t>
      </w:r>
      <w:bookmarkStart w:name="26、股份支付" w:id="196"/>
      <w:bookmarkEnd w:id="196"/>
      <w:r>
        <w:rPr>
          <w:spacing w:val="2"/>
        </w:rPr>
        <w:t>供服</w:t>
      </w:r>
      <w:r>
        <w:rPr>
          <w:spacing w:val="2"/>
        </w:rPr>
        <w:t>务而授予权益工具或者承担以权益工具为基础确定的负债的交</w:t>
      </w:r>
      <w:r>
        <w:rPr>
          <w:spacing w:val="-28"/>
        </w:rPr>
        <w:t> </w:t>
      </w:r>
      <w:r>
        <w:rPr>
          <w:spacing w:val="-28"/>
        </w:rPr>
      </w:r>
      <w:r>
        <w:rPr/>
        <w:t>易。本公司的股份支付为以权益结算的股份支付。</w:t>
      </w:r>
    </w:p>
    <w:p>
      <w:pPr>
        <w:pStyle w:val="BodyText"/>
        <w:spacing w:line="400" w:lineRule="auto" w:before="46"/>
        <w:ind w:right="101"/>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权益工具公允价值的确定方法</w:t>
      </w:r>
      <w:r>
        <w:rPr>
          <w:rFonts w:ascii="宋体" w:hAnsi="宋体" w:cs="宋体" w:eastAsia="宋体" w:hint="default"/>
          <w:b/>
          <w:bCs/>
          <w:w w:val="100"/>
        </w:rPr>
        <w:t> </w:t>
      </w:r>
      <w:r>
        <w:rPr>
          <w:spacing w:val="-5"/>
        </w:rPr>
        <w:t>以权益结算的股份支付换取职工提供服务的，以授予职工权益工具的公允价值计量。授予后立即可行权的， </w:t>
      </w:r>
      <w:r>
        <w:rPr>
          <w:spacing w:val="-2"/>
        </w:rPr>
        <w:t>在授予日按照公允价值计入相关成本或费用，相应增加资本公积；完成等待期内的服务或达到规定业绩条</w:t>
      </w:r>
      <w:r>
        <w:rPr>
          <w:spacing w:val="-42"/>
        </w:rPr>
        <w:t> </w:t>
      </w:r>
      <w:r>
        <w:rPr>
          <w:spacing w:val="-42"/>
        </w:rPr>
      </w:r>
      <w:r>
        <w:rPr>
          <w:spacing w:val="-2"/>
        </w:rPr>
        <w:t>件才可行权的，在等待期内每个资产负债表日，本公司根据最新取得的可行权职工人数变动、是否达到规</w:t>
      </w:r>
      <w:r>
        <w:rPr>
          <w:spacing w:val="-48"/>
        </w:rPr>
        <w:t> </w:t>
      </w:r>
      <w:r>
        <w:rPr>
          <w:spacing w:val="-48"/>
        </w:rPr>
      </w:r>
      <w:r>
        <w:rPr>
          <w:spacing w:val="-2"/>
        </w:rPr>
        <w:t>定业绩条件等后续信息对可行权权益工具数量作出最佳估计，以此为基础，按照授予日的公允价值，将当</w:t>
      </w:r>
      <w:r>
        <w:rPr>
          <w:spacing w:val="-43"/>
        </w:rPr>
        <w:t> </w:t>
      </w:r>
      <w:r>
        <w:rPr>
          <w:spacing w:val="-43"/>
        </w:rPr>
      </w:r>
      <w:r>
        <w:rPr>
          <w:spacing w:val="-3"/>
        </w:rPr>
        <w:t>期取得的服务计入相关成本或费用，相应计入资本公积。权益工具的公允价值采用</w:t>
      </w:r>
      <w:r>
        <w:rPr>
          <w:rFonts w:ascii="Times New Roman" w:hAnsi="Times New Roman" w:cs="Times New Roman" w:eastAsia="Times New Roman" w:hint="default"/>
          <w:spacing w:val="-3"/>
        </w:rPr>
        <w:t>Black-Scholes</w:t>
      </w:r>
      <w:r>
        <w:rPr>
          <w:spacing w:val="-3"/>
        </w:rPr>
        <w:t>模型确定。</w:t>
      </w:r>
      <w:r>
        <w:rPr>
          <w:spacing w:val="-42"/>
        </w:rPr>
        <w:t> </w:t>
      </w:r>
      <w:r>
        <w:rPr>
          <w:spacing w:val="-42"/>
        </w:rPr>
      </w: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确认可行权权益工具最佳估计的依据</w:t>
      </w:r>
      <w:r>
        <w:rPr>
          <w:rFonts w:ascii="宋体" w:hAnsi="宋体" w:cs="宋体" w:eastAsia="宋体" w:hint="default"/>
          <w:b/>
          <w:bCs/>
          <w:w w:val="100"/>
        </w:rPr>
        <w:t> </w:t>
      </w:r>
      <w:r>
        <w:rPr>
          <w:spacing w:val="-2"/>
        </w:rPr>
        <w:t>在满足业绩条件或服务期限条件的期间，应确认以权益结算的股份支付的成本或费用，并相应增加资本公</w:t>
      </w:r>
      <w:r>
        <w:rPr>
          <w:spacing w:val="-42"/>
        </w:rPr>
        <w:t> </w:t>
      </w:r>
      <w:r>
        <w:rPr>
          <w:spacing w:val="-42"/>
        </w:rPr>
      </w:r>
      <w:r>
        <w:rPr>
          <w:spacing w:val="-2"/>
        </w:rPr>
        <w:t>积。可行权日之前，于每个资产负债表日为以权益结算的股份支付确认的累计金额反映了等待期已届满的</w:t>
      </w:r>
      <w:r>
        <w:rPr>
          <w:spacing w:val="-44"/>
        </w:rPr>
        <w:t> </w:t>
      </w:r>
      <w:r>
        <w:rPr>
          <w:spacing w:val="-44"/>
        </w:rPr>
      </w:r>
      <w:r>
        <w:rPr/>
        <w:t>部分以及本公司对最终可行权的权益工具数量的最佳估计。</w:t>
      </w:r>
    </w:p>
    <w:p>
      <w:pPr>
        <w:pStyle w:val="BodyText"/>
        <w:spacing w:line="405" w:lineRule="auto" w:before="52"/>
        <w:ind w:right="103" w:hanging="1"/>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实施、修改、终止股份支付计划的相关会计处理</w:t>
      </w:r>
      <w:r>
        <w:rPr>
          <w:rFonts w:ascii="宋体" w:hAnsi="宋体" w:cs="宋体" w:eastAsia="宋体" w:hint="default"/>
          <w:b/>
          <w:bCs/>
          <w:w w:val="100"/>
        </w:rPr>
        <w:t> </w:t>
      </w:r>
      <w:r>
        <w:rPr>
          <w:spacing w:val="-2"/>
        </w:rPr>
        <w:t>对于最终未能行权的股份支付，不确认成本或费用，除非行权条件是市场条件或非可行权条件，此时无论</w:t>
      </w:r>
      <w:r>
        <w:rPr>
          <w:spacing w:val="-45"/>
        </w:rPr>
        <w:t> </w:t>
      </w:r>
      <w:r>
        <w:rPr>
          <w:spacing w:val="-45"/>
        </w:rPr>
      </w:r>
      <w:r>
        <w:rPr/>
        <w:t>是否满足市场条件或非可行权条件，只要满足所有可行权条件中的非市场条件，即视为可行权。</w:t>
      </w:r>
      <w:r>
        <w:rPr>
          <w:w w:val="100"/>
        </w:rPr>
        <w:t> </w:t>
      </w:r>
      <w:r>
        <w:rPr>
          <w:spacing w:val="-2"/>
        </w:rPr>
        <w:t>如果修改了以权益结算的股份支付的条款，至少按照未修改条款的情况确认取得的服务。此外，任何增加</w:t>
      </w:r>
      <w:r>
        <w:rPr>
          <w:spacing w:val="-45"/>
        </w:rPr>
        <w:t> </w:t>
      </w:r>
      <w:r>
        <w:rPr>
          <w:spacing w:val="-45"/>
        </w:rPr>
      </w:r>
      <w:r>
        <w:rPr/>
        <w:t>所授予权益工具公允价值的修改，或在修改日对职工有利的变更，均确认取得服务的增加。</w:t>
      </w:r>
      <w:r>
        <w:rPr>
          <w:w w:val="100"/>
        </w:rPr>
        <w:t> </w:t>
      </w:r>
      <w:r>
        <w:rPr>
          <w:spacing w:val="-2"/>
        </w:rPr>
        <w:t>如果取消了以权益结算的股份支付，则于取消日作为加速行权处理，立即确认尚未确认的金额。职工或其</w:t>
      </w:r>
      <w:r>
        <w:rPr>
          <w:spacing w:val="-45"/>
        </w:rPr>
        <w:t> </w:t>
      </w:r>
      <w:r>
        <w:rPr>
          <w:spacing w:val="-45"/>
        </w:rPr>
      </w:r>
      <w:r>
        <w:rPr>
          <w:spacing w:val="-2"/>
        </w:rPr>
        <w:t>他方能够选择满足非可行权条件但在等待期内未满足的，作为取消以权益结算的股份支付处理。但是，如</w:t>
      </w:r>
      <w:r>
        <w:rPr>
          <w:spacing w:val="-44"/>
        </w:rPr>
        <w:t> </w:t>
      </w:r>
      <w:r>
        <w:rPr>
          <w:spacing w:val="-44"/>
        </w:rPr>
      </w:r>
      <w:r>
        <w:rPr>
          <w:spacing w:val="-2"/>
        </w:rPr>
        <w:t>果授予新的权益工具，并在新权益工具授予日认定所授予的新权益工具是用于替代被取消的权益工具的，</w:t>
      </w:r>
      <w:r>
        <w:rPr>
          <w:spacing w:val="-22"/>
        </w:rPr>
        <w:t> </w:t>
      </w:r>
      <w:r>
        <w:rPr>
          <w:spacing w:val="-22"/>
        </w:rPr>
      </w:r>
      <w:r>
        <w:rPr/>
        <w:t>则以与处理原权益工具条款和条件修改相同的方式，对所授予的替代权益工具进行处理。</w:t>
      </w:r>
    </w:p>
    <w:p>
      <w:pPr>
        <w:spacing w:after="0" w:line="405" w:lineRule="auto"/>
        <w:jc w:val="left"/>
        <w:sectPr>
          <w:footerReference w:type="default" r:id="rId29"/>
          <w:pgSz w:w="11910" w:h="16840"/>
          <w:pgMar w:footer="982" w:header="745" w:top="1060" w:bottom="1180" w:left="980" w:right="920"/>
          <w:pgNumType w:start="114"/>
        </w:sectPr>
      </w:pPr>
    </w:p>
    <w:p>
      <w:pPr>
        <w:spacing w:line="240" w:lineRule="auto" w:before="0"/>
        <w:rPr>
          <w:rFonts w:ascii="宋体" w:hAnsi="宋体" w:cs="宋体" w:eastAsia="宋体" w:hint="default"/>
          <w:sz w:val="20"/>
          <w:szCs w:val="20"/>
        </w:rPr>
      </w:pPr>
    </w:p>
    <w:p>
      <w:pPr>
        <w:pStyle w:val="BodyText"/>
        <w:spacing w:line="396" w:lineRule="auto" w:before="175"/>
        <w:ind w:right="103"/>
        <w:jc w:val="left"/>
      </w:pPr>
      <w:r>
        <w:rPr/>
        <w:t>公司合并范围内</w:t>
      </w:r>
      <w:r>
        <w:rPr>
          <w:rFonts w:ascii="Times New Roman" w:hAnsi="Times New Roman" w:cs="Times New Roman" w:eastAsia="Times New Roman" w:hint="default"/>
        </w:rPr>
        <w:t>(</w:t>
      </w:r>
      <w:r>
        <w:rPr/>
        <w:t>由母公司和其全部子公司构成</w:t>
      </w:r>
      <w:r>
        <w:rPr>
          <w:rFonts w:ascii="Times New Roman" w:hAnsi="Times New Roman" w:cs="Times New Roman" w:eastAsia="Times New Roman" w:hint="default"/>
        </w:rPr>
        <w:t>)</w:t>
      </w:r>
      <w:r>
        <w:rPr/>
        <w:t>内发生的股份支付交易，应当进行以下处理：</w:t>
      </w:r>
      <w:r>
        <w:rPr>
          <w:w w:val="100"/>
        </w:rPr>
        <w:t> </w:t>
      </w:r>
      <w:r>
        <w:rPr>
          <w:rFonts w:ascii="Times New Roman" w:hAnsi="Times New Roman" w:cs="Times New Roman" w:eastAsia="Times New Roman" w:hint="default"/>
          <w:spacing w:val="-2"/>
        </w:rPr>
        <w:t>1</w:t>
      </w:r>
      <w:r>
        <w:rPr>
          <w:spacing w:val="-2"/>
        </w:rPr>
        <w:t>）结算企业以其本身权益工具结算的，应当将该股份支付交易作为权益结算的股份支付处理；除此之外，</w:t>
      </w:r>
      <w:r>
        <w:rPr>
          <w:spacing w:val="-41"/>
        </w:rPr>
        <w:t> </w:t>
      </w:r>
      <w:r>
        <w:rPr>
          <w:spacing w:val="-41"/>
        </w:rPr>
      </w:r>
      <w:r>
        <w:rPr/>
        <w:t>应当作为现金结算的股份支付处理。</w:t>
      </w:r>
      <w:r>
        <w:rPr>
          <w:w w:val="100"/>
        </w:rPr>
        <w:t> </w:t>
      </w:r>
      <w:r>
        <w:rPr>
          <w:spacing w:val="-2"/>
        </w:rPr>
        <w:t>结算企业是接受服务企业的投资者的，应当按照授予日权益工具的公允价值或应承担负债的公允价值确认</w:t>
      </w:r>
      <w:r>
        <w:rPr>
          <w:spacing w:val="-43"/>
        </w:rPr>
        <w:t> </w:t>
      </w:r>
      <w:r>
        <w:rPr>
          <w:spacing w:val="-43"/>
        </w:rPr>
      </w:r>
      <w:r>
        <w:rPr/>
        <w:t>为对接受服务企业的长期股权投资，同时确认资本公积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w:t>
      </w:r>
      <w:r>
        <w:rPr/>
        <w:t>或负债。</w:t>
      </w:r>
      <w:r>
        <w:rPr>
          <w:spacing w:val="-3"/>
          <w:w w:val="100"/>
        </w:rPr>
        <w:t> </w:t>
      </w:r>
      <w:r>
        <w:rPr>
          <w:rFonts w:ascii="Times New Roman" w:hAnsi="Times New Roman" w:cs="Times New Roman" w:eastAsia="Times New Roman" w:hint="default"/>
        </w:rPr>
        <w:t>2</w:t>
      </w:r>
      <w:r>
        <w:rPr/>
        <w:t>）接受服务企业没有结算义务或授予本企业职工的是其自身权益工具的，应当将该股份支付交易作为权</w:t>
      </w:r>
      <w:r>
        <w:rPr>
          <w:spacing w:val="-25"/>
        </w:rPr>
        <w:t> </w:t>
      </w:r>
      <w:r>
        <w:rPr>
          <w:spacing w:val="-25"/>
        </w:rPr>
      </w:r>
      <w:r>
        <w:rPr/>
        <w:t>益结算的股份支付处理；接受服务企业负有结算义务且授予本企业职工的是集团内其他企业权益工具的，</w:t>
      </w:r>
      <w:r>
        <w:rPr>
          <w:w w:val="100"/>
        </w:rPr>
        <w:t> </w:t>
      </w:r>
      <w:r>
        <w:rPr/>
        <w:t>应当将该股份支付交易作为现金结算的股份支付处理。</w:t>
      </w:r>
    </w:p>
    <w:p>
      <w:pPr>
        <w:spacing w:line="240" w:lineRule="auto" w:before="5"/>
        <w:rPr>
          <w:rFonts w:ascii="宋体" w:hAnsi="宋体" w:cs="宋体" w:eastAsia="宋体" w:hint="default"/>
          <w:sz w:val="21"/>
          <w:szCs w:val="21"/>
        </w:rPr>
      </w:pPr>
    </w:p>
    <w:p>
      <w:pPr>
        <w:pStyle w:val="Heading6"/>
        <w:spacing w:line="240" w:lineRule="auto"/>
        <w:ind w:right="0"/>
        <w:jc w:val="both"/>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6"/>
        <w:spacing w:line="240" w:lineRule="auto" w:before="120"/>
        <w:ind w:right="0"/>
        <w:jc w:val="both"/>
        <w:rPr>
          <w:b w:val="0"/>
          <w:bCs w:val="0"/>
        </w:rPr>
      </w:pPr>
      <w:r>
        <w:rPr>
          <w:rFonts w:ascii="Times New Roman" w:hAnsi="Times New Roman" w:cs="Times New Roman" w:eastAsia="Times New Roman" w:hint="default"/>
        </w:rPr>
        <w:t>28</w:t>
      </w:r>
      <w:r>
        <w:rPr/>
        <w:t>、收入</w:t>
      </w:r>
      <w:r>
        <w:rPr>
          <w:b w:val="0"/>
          <w:bCs w:val="0"/>
        </w:rPr>
      </w:r>
    </w:p>
    <w:p>
      <w:pPr>
        <w:spacing w:line="240" w:lineRule="auto" w:before="6"/>
        <w:rPr>
          <w:rFonts w:ascii="宋体" w:hAnsi="宋体" w:cs="宋体" w:eastAsia="宋体" w:hint="default"/>
          <w:b/>
          <w:bCs/>
          <w:sz w:val="30"/>
          <w:szCs w:val="30"/>
        </w:rPr>
      </w:pPr>
    </w:p>
    <w:p>
      <w:pPr>
        <w:spacing w:line="386" w:lineRule="auto" w:before="0"/>
        <w:ind w:left="152" w:right="3353"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主营业务类型</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公司业务主要包括数据中心</w:t>
      </w:r>
      <w:r>
        <w:rPr>
          <w:rFonts w:ascii="Times New Roman" w:hAnsi="Times New Roman" w:cs="Times New Roman" w:eastAsia="Times New Roman" w:hint="default"/>
          <w:spacing w:val="-2"/>
          <w:sz w:val="21"/>
          <w:szCs w:val="21"/>
        </w:rPr>
        <w:t>IT</w:t>
      </w:r>
      <w:r>
        <w:rPr>
          <w:rFonts w:ascii="宋体" w:hAnsi="宋体" w:cs="宋体" w:eastAsia="宋体" w:hint="default"/>
          <w:spacing w:val="-2"/>
          <w:sz w:val="21"/>
          <w:szCs w:val="21"/>
        </w:rPr>
        <w:t>基础设施服</w:t>
      </w:r>
      <w:bookmarkStart w:name="27、优先股、永续债等其他金融工具" w:id="197"/>
      <w:bookmarkEnd w:id="197"/>
      <w:r>
        <w:rPr>
          <w:rFonts w:ascii="宋体" w:hAnsi="宋体" w:cs="宋体" w:eastAsia="宋体" w:hint="default"/>
          <w:spacing w:val="-2"/>
          <w:sz w:val="21"/>
          <w:szCs w:val="21"/>
        </w:rPr>
        <w:t>务</w:t>
      </w:r>
      <w:r>
        <w:rPr>
          <w:rFonts w:ascii="宋体" w:hAnsi="宋体" w:cs="宋体" w:eastAsia="宋体" w:hint="default"/>
          <w:spacing w:val="-2"/>
          <w:sz w:val="21"/>
          <w:szCs w:val="21"/>
        </w:rPr>
        <w:t>、软硬件销售</w:t>
      </w:r>
      <w:bookmarkStart w:name="28、收入" w:id="198"/>
      <w:bookmarkEnd w:id="198"/>
      <w:r>
        <w:rPr>
          <w:rFonts w:ascii="宋体" w:hAnsi="宋体" w:cs="宋体" w:eastAsia="宋体" w:hint="default"/>
          <w:spacing w:val="-2"/>
          <w:sz w:val="21"/>
          <w:szCs w:val="21"/>
        </w:rPr>
        <w:t>。</w:t>
      </w:r>
    </w:p>
    <w:p>
      <w:pPr>
        <w:pStyle w:val="BodyText"/>
        <w:spacing w:line="386" w:lineRule="auto" w:before="35"/>
        <w:ind w:right="103"/>
        <w:jc w:val="left"/>
      </w:pPr>
      <w:r>
        <w:rPr>
          <w:spacing w:val="-1"/>
        </w:rPr>
        <w:t>数据中心</w:t>
      </w:r>
      <w:r>
        <w:rPr>
          <w:rFonts w:ascii="Times New Roman" w:hAnsi="Times New Roman" w:cs="Times New Roman" w:eastAsia="Times New Roman" w:hint="default"/>
          <w:spacing w:val="-1"/>
        </w:rPr>
        <w:t>IT</w:t>
      </w:r>
      <w:r>
        <w:rPr>
          <w:spacing w:val="-1"/>
        </w:rPr>
        <w:t>基础设施服务包括</w:t>
      </w:r>
      <w:r>
        <w:rPr>
          <w:rFonts w:ascii="Times New Roman" w:hAnsi="Times New Roman" w:cs="Times New Roman" w:eastAsia="Times New Roman" w:hint="default"/>
          <w:spacing w:val="-1"/>
        </w:rPr>
        <w:t>IT</w:t>
      </w:r>
      <w:r>
        <w:rPr>
          <w:spacing w:val="-1"/>
        </w:rPr>
        <w:t>支持与维护服务、</w:t>
      </w:r>
      <w:r>
        <w:rPr>
          <w:rFonts w:ascii="Times New Roman" w:hAnsi="Times New Roman" w:cs="Times New Roman" w:eastAsia="Times New Roman" w:hint="default"/>
          <w:spacing w:val="-1"/>
        </w:rPr>
        <w:t>IT</w:t>
      </w:r>
      <w:r>
        <w:rPr>
          <w:spacing w:val="-1"/>
        </w:rPr>
        <w:t>外包服务、</w:t>
      </w:r>
      <w:r>
        <w:rPr>
          <w:rFonts w:ascii="Times New Roman" w:hAnsi="Times New Roman" w:cs="Times New Roman" w:eastAsia="Times New Roman" w:hint="default"/>
          <w:spacing w:val="-1"/>
        </w:rPr>
        <w:t>IT</w:t>
      </w:r>
      <w:r>
        <w:rPr>
          <w:spacing w:val="-1"/>
        </w:rPr>
        <w:t>专业服务和</w:t>
      </w:r>
      <w:r>
        <w:rPr>
          <w:rFonts w:ascii="Times New Roman" w:hAnsi="Times New Roman" w:cs="Times New Roman" w:eastAsia="Times New Roman" w:hint="default"/>
          <w:spacing w:val="-1"/>
        </w:rPr>
        <w:t>IT</w:t>
      </w:r>
      <w:r>
        <w:rPr>
          <w:spacing w:val="-1"/>
        </w:rPr>
        <w:t>软件服务等四大类技术服</w:t>
      </w:r>
      <w:r>
        <w:rPr>
          <w:spacing w:val="-26"/>
        </w:rPr>
        <w:t> </w:t>
      </w:r>
      <w:r>
        <w:rPr>
          <w:spacing w:val="-26"/>
        </w:rPr>
      </w:r>
      <w:r>
        <w:rPr/>
        <w:t>务。</w:t>
      </w:r>
    </w:p>
    <w:p>
      <w:pPr>
        <w:pStyle w:val="BodyText"/>
        <w:spacing w:line="393" w:lineRule="auto" w:before="65"/>
        <w:ind w:right="206"/>
        <w:jc w:val="both"/>
      </w:pPr>
      <w:r>
        <w:rPr>
          <w:spacing w:val="-4"/>
        </w:rPr>
        <w:t>（</w:t>
      </w: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IT</w:t>
      </w:r>
      <w:r>
        <w:rPr>
          <w:spacing w:val="-4"/>
        </w:rPr>
        <w:t>支持与维护服务主要是为用户</w:t>
      </w:r>
      <w:r>
        <w:rPr>
          <w:rFonts w:ascii="Times New Roman" w:hAnsi="Times New Roman" w:cs="Times New Roman" w:eastAsia="Times New Roman" w:hint="default"/>
          <w:spacing w:val="-4"/>
        </w:rPr>
        <w:t>IT</w:t>
      </w:r>
      <w:r>
        <w:rPr>
          <w:spacing w:val="-4"/>
        </w:rPr>
        <w:t>基础设施排除故障，具体指在用户购买</w:t>
      </w:r>
      <w:r>
        <w:rPr>
          <w:rFonts w:ascii="Times New Roman" w:hAnsi="Times New Roman" w:cs="Times New Roman" w:eastAsia="Times New Roman" w:hint="default"/>
          <w:spacing w:val="-4"/>
        </w:rPr>
        <w:t>IT</w:t>
      </w:r>
      <w:r>
        <w:rPr>
          <w:spacing w:val="-4"/>
        </w:rPr>
        <w:t>产品后，帮助用户正确使</w:t>
      </w:r>
      <w:r>
        <w:rPr>
          <w:spacing w:val="-10"/>
        </w:rPr>
        <w:t> </w:t>
      </w:r>
      <w:r>
        <w:rPr>
          <w:spacing w:val="-10"/>
        </w:rPr>
      </w:r>
      <w:r>
        <w:rPr>
          <w:spacing w:val="-2"/>
        </w:rPr>
        <w:t>用，排除</w:t>
      </w:r>
      <w:r>
        <w:rPr>
          <w:rFonts w:ascii="Times New Roman" w:hAnsi="Times New Roman" w:cs="Times New Roman" w:eastAsia="Times New Roman" w:hint="default"/>
          <w:spacing w:val="-2"/>
        </w:rPr>
        <w:t>IT</w:t>
      </w:r>
      <w:r>
        <w:rPr>
          <w:spacing w:val="-2"/>
        </w:rPr>
        <w:t>产品故障，保障其功效按照用户的要求正常发挥的服务，包括承诺的产品保修期内的厂商服务</w:t>
      </w:r>
      <w:r>
        <w:rPr>
          <w:spacing w:val="-30"/>
        </w:rPr>
        <w:t> </w:t>
      </w:r>
      <w:r>
        <w:rPr>
          <w:spacing w:val="-30"/>
        </w:rPr>
      </w:r>
      <w:r>
        <w:rPr>
          <w:spacing w:val="-2"/>
        </w:rPr>
        <w:t>和保修期后的延展收费服务，主要涉及的产品包括计算机硬件、计算机软件和网络设备。此类业务合同一</w:t>
      </w:r>
      <w:r>
        <w:rPr>
          <w:spacing w:val="-42"/>
        </w:rPr>
        <w:t> </w:t>
      </w:r>
      <w:r>
        <w:rPr>
          <w:spacing w:val="-42"/>
        </w:rPr>
      </w:r>
      <w:r>
        <w:rPr/>
        <w:t>般明确约定了服务期限。</w:t>
      </w:r>
    </w:p>
    <w:p>
      <w:pPr>
        <w:pStyle w:val="BodyText"/>
        <w:spacing w:line="398" w:lineRule="auto" w:before="59"/>
        <w:ind w:right="206"/>
        <w:jc w:val="both"/>
      </w:pPr>
      <w:r>
        <w:rPr>
          <w:spacing w:val="-4"/>
        </w:rPr>
        <w:t>（</w:t>
      </w: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IT</w:t>
      </w:r>
      <w:r>
        <w:rPr>
          <w:spacing w:val="-4"/>
        </w:rPr>
        <w:t>外包服务主要是为用户</w:t>
      </w:r>
      <w:r>
        <w:rPr>
          <w:rFonts w:ascii="Times New Roman" w:hAnsi="Times New Roman" w:cs="Times New Roman" w:eastAsia="Times New Roman" w:hint="default"/>
          <w:spacing w:val="-4"/>
        </w:rPr>
        <w:t>IT</w:t>
      </w:r>
      <w:r>
        <w:rPr>
          <w:spacing w:val="-4"/>
        </w:rPr>
        <w:t>基础设施提供日常运营及管理，具体指利用</w:t>
      </w:r>
      <w:r>
        <w:rPr>
          <w:rFonts w:ascii="Times New Roman" w:hAnsi="Times New Roman" w:cs="Times New Roman" w:eastAsia="Times New Roman" w:hint="default"/>
          <w:spacing w:val="-4"/>
        </w:rPr>
        <w:t>IT</w:t>
      </w:r>
      <w:r>
        <w:rPr>
          <w:spacing w:val="-4"/>
        </w:rPr>
        <w:t>系统来帮助用户完成某项流</w:t>
      </w:r>
      <w:r>
        <w:rPr>
          <w:spacing w:val="-15"/>
        </w:rPr>
        <w:t> </w:t>
      </w:r>
      <w:r>
        <w:rPr>
          <w:spacing w:val="-15"/>
        </w:rPr>
      </w:r>
      <w:r>
        <w:rPr>
          <w:spacing w:val="-2"/>
        </w:rPr>
        <w:t>程或任务，支持其自身目标实现的服务集合，这是一种面向用户任务的承揽式服务，其具体形式有面向商</w:t>
      </w:r>
      <w:r>
        <w:rPr>
          <w:spacing w:val="-43"/>
        </w:rPr>
        <w:t> </w:t>
      </w:r>
      <w:r>
        <w:rPr>
          <w:spacing w:val="-43"/>
        </w:rPr>
      </w:r>
      <w:r>
        <w:rPr/>
        <w:t>业任务的业务流程外包和面向</w:t>
      </w:r>
      <w:r>
        <w:rPr>
          <w:rFonts w:ascii="Times New Roman" w:hAnsi="Times New Roman" w:cs="Times New Roman" w:eastAsia="Times New Roman" w:hint="default"/>
        </w:rPr>
        <w:t>IT</w:t>
      </w:r>
      <w:r>
        <w:rPr/>
        <w:t>任务的</w:t>
      </w:r>
      <w:r>
        <w:rPr>
          <w:rFonts w:ascii="Times New Roman" w:hAnsi="Times New Roman" w:cs="Times New Roman" w:eastAsia="Times New Roman" w:hint="default"/>
        </w:rPr>
        <w:t>IT</w:t>
      </w:r>
      <w:r>
        <w:rPr/>
        <w:t>外包。此类业务合同一般明确约定了服务期限。</w:t>
      </w:r>
    </w:p>
    <w:p>
      <w:pPr>
        <w:pStyle w:val="BodyText"/>
        <w:spacing w:line="386" w:lineRule="auto" w:before="24"/>
        <w:ind w:right="103"/>
        <w:jc w:val="left"/>
      </w:pPr>
      <w:r>
        <w:rPr>
          <w:spacing w:val="-4"/>
        </w:rPr>
        <w:t>（</w:t>
      </w:r>
      <w:r>
        <w:rPr>
          <w:rFonts w:ascii="Times New Roman" w:hAnsi="Times New Roman" w:cs="Times New Roman" w:eastAsia="Times New Roman" w:hint="default"/>
          <w:spacing w:val="-4"/>
        </w:rPr>
        <w:t>3</w:t>
      </w:r>
      <w:r>
        <w:rPr>
          <w:spacing w:val="-4"/>
        </w:rPr>
        <w:t>）</w:t>
      </w:r>
      <w:r>
        <w:rPr>
          <w:rFonts w:ascii="Times New Roman" w:hAnsi="Times New Roman" w:cs="Times New Roman" w:eastAsia="Times New Roman" w:hint="default"/>
          <w:spacing w:val="-4"/>
        </w:rPr>
        <w:t>IT</w:t>
      </w:r>
      <w:r>
        <w:rPr>
          <w:spacing w:val="-4"/>
        </w:rPr>
        <w:t>专业服务主要是为用户</w:t>
      </w:r>
      <w:r>
        <w:rPr>
          <w:rFonts w:ascii="Times New Roman" w:hAnsi="Times New Roman" w:cs="Times New Roman" w:eastAsia="Times New Roman" w:hint="default"/>
          <w:spacing w:val="-4"/>
        </w:rPr>
        <w:t>IT</w:t>
      </w:r>
      <w:r>
        <w:rPr>
          <w:spacing w:val="-4"/>
        </w:rPr>
        <w:t>基础设施优化性能，具体指针对数据中心</w:t>
      </w:r>
      <w:r>
        <w:rPr>
          <w:rFonts w:ascii="Times New Roman" w:hAnsi="Times New Roman" w:cs="Times New Roman" w:eastAsia="Times New Roman" w:hint="default"/>
          <w:spacing w:val="-4"/>
        </w:rPr>
        <w:t>IT</w:t>
      </w:r>
      <w:r>
        <w:rPr>
          <w:spacing w:val="-4"/>
        </w:rPr>
        <w:t>基础设施的专业咨询和技术实</w:t>
      </w:r>
      <w:r>
        <w:rPr>
          <w:spacing w:val="-10"/>
        </w:rPr>
        <w:t> </w:t>
      </w:r>
      <w:r>
        <w:rPr>
          <w:spacing w:val="-10"/>
        </w:rPr>
      </w:r>
      <w:r>
        <w:rPr>
          <w:spacing w:val="-4"/>
        </w:rPr>
        <w:t>施服务，包括：为数据中心提供</w:t>
      </w:r>
      <w:r>
        <w:rPr>
          <w:rFonts w:ascii="Times New Roman" w:hAnsi="Times New Roman" w:cs="Times New Roman" w:eastAsia="Times New Roman" w:hint="default"/>
          <w:spacing w:val="-4"/>
        </w:rPr>
        <w:t>IT</w:t>
      </w:r>
      <w:r>
        <w:rPr>
          <w:spacing w:val="-4"/>
        </w:rPr>
        <w:t>基础设施的系统咨询、系统设计、系统评估服务；系统调优、设备配置、</w:t>
      </w:r>
      <w:r>
        <w:rPr>
          <w:spacing w:val="-38"/>
        </w:rPr>
        <w:t> </w:t>
      </w:r>
      <w:r>
        <w:rPr>
          <w:spacing w:val="-38"/>
        </w:rPr>
      </w:r>
      <w:r>
        <w:rPr/>
        <w:t>设备升级、设备搬迁等实施服务。此类业务合同一般明确约定了服务期限或验收条款。</w:t>
      </w:r>
    </w:p>
    <w:p>
      <w:pPr>
        <w:pStyle w:val="BodyText"/>
        <w:spacing w:line="398" w:lineRule="auto" w:before="65"/>
        <w:ind w:right="207"/>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IT</w:t>
      </w:r>
      <w:r>
        <w:rPr/>
        <w:t>软件服务主要是为用户软件开发需求提供专业技术服务，具体指按客户实际需求，进行软件开发</w:t>
      </w:r>
      <w:r>
        <w:rPr>
          <w:spacing w:val="-18"/>
        </w:rPr>
        <w:t> </w:t>
      </w:r>
      <w:r>
        <w:rPr>
          <w:spacing w:val="-18"/>
        </w:rPr>
      </w:r>
      <w:r>
        <w:rPr>
          <w:spacing w:val="-2"/>
        </w:rPr>
        <w:t>或对基本软件模块进行二次开发，并为客户提供安装、调试、测试、培训等服务，包括：软件开发人员外</w:t>
      </w:r>
      <w:r>
        <w:rPr>
          <w:spacing w:val="-42"/>
        </w:rPr>
        <w:t> </w:t>
      </w:r>
      <w:r>
        <w:rPr>
          <w:spacing w:val="-42"/>
        </w:rPr>
      </w:r>
      <w:r>
        <w:rPr/>
        <w:t>包服务、定制软件开发服务。此类业务合同一般明确约定了服务期限或开发项目进度确认的条款。</w:t>
      </w:r>
    </w:p>
    <w:p>
      <w:pPr>
        <w:spacing w:after="0" w:line="398" w:lineRule="auto"/>
        <w:jc w:val="both"/>
        <w:sectPr>
          <w:footerReference w:type="default" r:id="rId30"/>
          <w:pgSz w:w="11910" w:h="16840"/>
          <w:pgMar w:footer="982" w:header="745" w:top="1060" w:bottom="1180" w:left="980" w:right="920"/>
          <w:pgNumType w:start="115"/>
        </w:sectPr>
      </w:pPr>
    </w:p>
    <w:p>
      <w:pPr>
        <w:spacing w:line="240" w:lineRule="auto" w:before="0"/>
        <w:rPr>
          <w:rFonts w:ascii="宋体" w:hAnsi="宋体" w:cs="宋体" w:eastAsia="宋体" w:hint="default"/>
          <w:sz w:val="20"/>
          <w:szCs w:val="20"/>
        </w:rPr>
      </w:pPr>
    </w:p>
    <w:p>
      <w:pPr>
        <w:pStyle w:val="BodyText"/>
        <w:spacing w:line="240" w:lineRule="auto" w:before="175"/>
        <w:ind w:right="103"/>
        <w:jc w:val="left"/>
      </w:pPr>
      <w:bookmarkStart w:name="29、政府补助" w:id="199"/>
      <w:bookmarkEnd w:id="199"/>
      <w:r>
        <w:rPr/>
      </w:r>
      <w:bookmarkStart w:name="（1）与资产相关的政府补助判断依据及会计处理方法" w:id="200"/>
      <w:bookmarkEnd w:id="200"/>
      <w:r>
        <w:rPr/>
      </w:r>
      <w:r>
        <w:rPr/>
        <w:t>（</w:t>
      </w:r>
      <w:r>
        <w:rPr>
          <w:rFonts w:ascii="Times New Roman" w:hAnsi="Times New Roman" w:cs="Times New Roman" w:eastAsia="Times New Roman" w:hint="default"/>
        </w:rPr>
        <w:t>5</w:t>
      </w:r>
      <w:r>
        <w:rPr/>
        <w:t>）软硬件销售：指公司从事</w:t>
      </w:r>
      <w:r>
        <w:rPr>
          <w:rFonts w:ascii="Times New Roman" w:hAnsi="Times New Roman" w:cs="Times New Roman" w:eastAsia="Times New Roman" w:hint="default"/>
        </w:rPr>
        <w:t>IT</w:t>
      </w:r>
      <w:r>
        <w:rPr/>
        <w:t>软硬件产品的销售业务。此类业务合同一般明确约定了验收条款。</w:t>
      </w:r>
    </w:p>
    <w:p>
      <w:pPr>
        <w:pStyle w:val="BodyText"/>
        <w:spacing w:line="400" w:lineRule="auto" w:before="177"/>
        <w:ind w:right="103"/>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主营收入确认的一般原则和具体方法</w:t>
      </w:r>
      <w:r>
        <w:rPr>
          <w:rFonts w:ascii="宋体" w:hAnsi="宋体" w:cs="宋体" w:eastAsia="宋体" w:hint="default"/>
          <w:b/>
          <w:bCs/>
          <w:w w:val="100"/>
        </w:rPr>
        <w:t> </w:t>
      </w:r>
      <w:r>
        <w:rPr>
          <w:spacing w:val="-2"/>
        </w:rPr>
        <w:t>数据中心</w:t>
      </w:r>
      <w:r>
        <w:rPr>
          <w:rFonts w:ascii="Times New Roman" w:hAnsi="Times New Roman" w:cs="Times New Roman" w:eastAsia="Times New Roman" w:hint="default"/>
          <w:spacing w:val="-2"/>
        </w:rPr>
        <w:t>IT</w:t>
      </w:r>
      <w:r>
        <w:rPr>
          <w:spacing w:val="-2"/>
        </w:rPr>
        <w:t>基础设施服务收入确认的一般原则是：根据合同约定提供了相应服务，在相关的经济利益能够</w:t>
      </w:r>
      <w:r>
        <w:rPr>
          <w:spacing w:val="-34"/>
        </w:rPr>
        <w:t> </w:t>
      </w:r>
      <w:r>
        <w:rPr>
          <w:spacing w:val="-34"/>
        </w:rPr>
      </w:r>
      <w:r>
        <w:rPr/>
        <w:t>流入公司，收入的金额能够可靠地计量时，相关成本能够可靠计量时确认收入。</w:t>
      </w:r>
      <w:r>
        <w:rPr>
          <w:w w:val="100"/>
        </w:rPr>
        <w:t> </w:t>
      </w:r>
      <w:r>
        <w:rPr>
          <w:spacing w:val="-2"/>
        </w:rPr>
        <w:t>软硬件销售收入确认的一般原则是：在销售产品时的主要风险和报酬已转移给买方，不再保留与之相联系</w:t>
      </w:r>
      <w:r>
        <w:rPr>
          <w:spacing w:val="-43"/>
        </w:rPr>
        <w:t> </w:t>
      </w:r>
      <w:r>
        <w:rPr>
          <w:spacing w:val="-43"/>
        </w:rPr>
      </w:r>
      <w:r>
        <w:rPr>
          <w:spacing w:val="-2"/>
        </w:rPr>
        <w:t>的管理权和控制权，在相关的经济利益能够流入公司，收入的金额能够可靠地计量时，相关成本能够可靠</w:t>
      </w:r>
      <w:r>
        <w:rPr>
          <w:spacing w:val="-43"/>
        </w:rPr>
        <w:t> </w:t>
      </w:r>
      <w:r>
        <w:rPr>
          <w:spacing w:val="-43"/>
        </w:rPr>
      </w:r>
      <w:r>
        <w:rPr/>
        <w:t>地计量时确认收入。</w:t>
      </w:r>
    </w:p>
    <w:p>
      <w:pPr>
        <w:pStyle w:val="BodyText"/>
        <w:spacing w:line="240" w:lineRule="auto" w:before="52"/>
        <w:ind w:right="103"/>
        <w:jc w:val="left"/>
      </w:pPr>
      <w:r>
        <w:rPr/>
        <w:t>根据合同约定条款的不同，分别按以下原则确认收入：</w:t>
      </w:r>
    </w:p>
    <w:p>
      <w:pPr>
        <w:spacing w:line="240" w:lineRule="auto" w:before="10"/>
        <w:rPr>
          <w:rFonts w:ascii="宋体" w:hAnsi="宋体" w:cs="宋体" w:eastAsia="宋体" w:hint="default"/>
          <w:sz w:val="14"/>
          <w:szCs w:val="14"/>
        </w:rPr>
      </w:pPr>
    </w:p>
    <w:p>
      <w:pPr>
        <w:pStyle w:val="BodyText"/>
        <w:spacing w:line="240" w:lineRule="auto"/>
        <w:ind w:right="103"/>
        <w:jc w:val="left"/>
      </w:pPr>
      <w:r>
        <w:rPr/>
        <w:t>（</w:t>
      </w:r>
      <w:r>
        <w:rPr>
          <w:rFonts w:ascii="Times New Roman" w:hAnsi="Times New Roman" w:cs="Times New Roman" w:eastAsia="Times New Roman" w:hint="default"/>
        </w:rPr>
        <w:t>1</w:t>
      </w:r>
      <w:r>
        <w:rPr/>
        <w:t>）合同明确约定服务期限的，在合同约定的服务期限内按时间进度确认收入。</w:t>
      </w:r>
    </w:p>
    <w:p>
      <w:pPr>
        <w:pStyle w:val="BodyText"/>
        <w:spacing w:line="240" w:lineRule="auto" w:before="177"/>
        <w:ind w:right="103"/>
        <w:jc w:val="left"/>
      </w:pPr>
      <w:r>
        <w:rPr/>
        <w:t>（</w:t>
      </w:r>
      <w:r>
        <w:rPr>
          <w:rFonts w:ascii="Times New Roman" w:hAnsi="Times New Roman" w:cs="Times New Roman" w:eastAsia="Times New Roman" w:hint="default"/>
        </w:rPr>
        <w:t>2</w:t>
      </w:r>
      <w:r>
        <w:rPr/>
        <w:t>）合同明确约定验收条款的，按约定条款验收并确认收入。</w:t>
      </w:r>
    </w:p>
    <w:p>
      <w:pPr>
        <w:pStyle w:val="BodyText"/>
        <w:spacing w:line="400" w:lineRule="auto" w:before="177"/>
        <w:ind w:right="207"/>
        <w:jc w:val="both"/>
      </w:pPr>
      <w:r>
        <w:rPr/>
        <w:t>（</w:t>
      </w:r>
      <w:r>
        <w:rPr>
          <w:rFonts w:ascii="Times New Roman" w:hAnsi="Times New Roman" w:cs="Times New Roman" w:eastAsia="Times New Roman" w:hint="default"/>
        </w:rPr>
        <w:t>3</w:t>
      </w:r>
      <w:r>
        <w:rPr/>
        <w:t>）合同明确约定开发项目进度的确认条款的，期末按照提供定制软件开发收入的合同金额乘以经客户</w:t>
      </w:r>
      <w:r>
        <w:rPr>
          <w:spacing w:val="-25"/>
        </w:rPr>
        <w:t> </w:t>
      </w:r>
      <w:r>
        <w:rPr>
          <w:spacing w:val="-25"/>
        </w:rPr>
      </w:r>
      <w:r>
        <w:rPr>
          <w:spacing w:val="-2"/>
        </w:rPr>
        <w:t>确认的开发项目进度的量化百分比扣除以前会计期间累计已确认提供劳务收入后的金额，确认当期提供定</w:t>
      </w:r>
      <w:r>
        <w:rPr>
          <w:spacing w:val="-43"/>
        </w:rPr>
        <w:t> </w:t>
      </w:r>
      <w:r>
        <w:rPr>
          <w:spacing w:val="-43"/>
        </w:rPr>
      </w:r>
      <w:r>
        <w:rPr>
          <w:spacing w:val="-2"/>
        </w:rPr>
        <w:t>制软件开发收入；同时，按照提供劳务估计总成本乘以经客户确认的开发项目进度的量化百分比扣除以前</w:t>
      </w:r>
      <w:r>
        <w:rPr>
          <w:spacing w:val="-43"/>
        </w:rPr>
        <w:t> </w:t>
      </w:r>
      <w:r>
        <w:rPr>
          <w:spacing w:val="-43"/>
        </w:rPr>
      </w:r>
      <w:r>
        <w:rPr/>
        <w:t>会计期间累计已确认劳务成本后的金额，结转当期劳务成本。</w:t>
      </w:r>
    </w:p>
    <w:p>
      <w:pPr>
        <w:pStyle w:val="BodyText"/>
        <w:spacing w:line="386" w:lineRule="auto" w:before="52"/>
        <w:ind w:right="103"/>
        <w:jc w:val="left"/>
      </w:pPr>
      <w:r>
        <w:rPr>
          <w:spacing w:val="-2"/>
        </w:rPr>
        <w:t>（</w:t>
      </w:r>
      <w:r>
        <w:rPr>
          <w:rFonts w:ascii="Times New Roman" w:hAnsi="Times New Roman" w:cs="Times New Roman" w:eastAsia="Times New Roman" w:hint="default"/>
          <w:spacing w:val="-2"/>
        </w:rPr>
        <w:t>4</w:t>
      </w:r>
      <w:r>
        <w:rPr>
          <w:spacing w:val="-2"/>
        </w:rPr>
        <w:t>）如合同条款约定向客户提供特定设备经营租赁的，在租赁设备时的主要风险和报酬已转移给承租方，</w:t>
      </w:r>
      <w:r>
        <w:rPr>
          <w:spacing w:val="-41"/>
        </w:rPr>
        <w:t> </w:t>
      </w:r>
      <w:r>
        <w:rPr>
          <w:spacing w:val="-41"/>
        </w:rPr>
      </w:r>
      <w:r>
        <w:rPr/>
        <w:t>不再保留与之相联系的管理权和控制权，在租赁期各个期间内按照直线法确认收入实现。</w:t>
      </w:r>
    </w:p>
    <w:p>
      <w:pPr>
        <w:spacing w:line="398" w:lineRule="auto" w:before="65"/>
        <w:ind w:left="152" w:right="103"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确认让渡资产使用权收入的依据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与交易相关的经济利益很可能流入企业，收入的金额能够可靠地计量时。分别下列情况确定让渡资产使用</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权收入金额：</w:t>
      </w:r>
    </w:p>
    <w:p>
      <w:pPr>
        <w:pStyle w:val="BodyText"/>
        <w:spacing w:line="240" w:lineRule="auto" w:before="54"/>
        <w:ind w:right="103"/>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386" w:lineRule="auto" w:before="177"/>
        <w:ind w:right="103"/>
        <w:jc w:val="left"/>
      </w:pPr>
      <w:r>
        <w:rPr>
          <w:spacing w:val="-2"/>
        </w:rPr>
        <w:t>（</w:t>
      </w:r>
      <w:r>
        <w:rPr>
          <w:rFonts w:ascii="Times New Roman" w:hAnsi="Times New Roman" w:cs="Times New Roman" w:eastAsia="Times New Roman" w:hint="default"/>
          <w:spacing w:val="-2"/>
        </w:rPr>
        <w:t>2</w:t>
      </w:r>
      <w:r>
        <w:rPr>
          <w:spacing w:val="-2"/>
        </w:rPr>
        <w:t>）使用费收入金额，按照有关合同或协议约定的收费时间和方法计算确定。</w:t>
      </w:r>
      <w:r>
        <w:rPr>
          <w:spacing w:val="-45"/>
        </w:rPr>
        <w:t> </w:t>
      </w:r>
      <w:r>
        <w:rPr>
          <w:spacing w:val="-45"/>
        </w:rPr>
      </w:r>
      <w:r>
        <w:rPr/>
        <w:t>其中出租物业收入按以下标准确认：</w:t>
      </w:r>
    </w:p>
    <w:p>
      <w:pPr>
        <w:pStyle w:val="BodyText"/>
        <w:spacing w:line="240" w:lineRule="auto" w:before="65"/>
        <w:ind w:right="103"/>
        <w:jc w:val="left"/>
      </w:pPr>
      <w:r>
        <w:rPr/>
        <w:t>①具有承租人认可的租赁合同、协议或其他结算通知书；</w:t>
      </w:r>
    </w:p>
    <w:p>
      <w:pPr>
        <w:spacing w:line="240" w:lineRule="auto" w:before="10"/>
        <w:rPr>
          <w:rFonts w:ascii="宋体" w:hAnsi="宋体" w:cs="宋体" w:eastAsia="宋体" w:hint="default"/>
          <w:sz w:val="14"/>
          <w:szCs w:val="14"/>
        </w:rPr>
      </w:pPr>
    </w:p>
    <w:p>
      <w:pPr>
        <w:pStyle w:val="BodyText"/>
        <w:spacing w:line="240" w:lineRule="auto"/>
        <w:ind w:right="103"/>
        <w:jc w:val="left"/>
      </w:pPr>
      <w:r>
        <w:rPr/>
        <w:t>②履行了合同规定的义务，开具租赁发票且价款已经取得或确信可以取得；</w:t>
      </w:r>
    </w:p>
    <w:p>
      <w:pPr>
        <w:spacing w:line="240" w:lineRule="auto" w:before="10"/>
        <w:rPr>
          <w:rFonts w:ascii="宋体" w:hAnsi="宋体" w:cs="宋体" w:eastAsia="宋体" w:hint="default"/>
          <w:sz w:val="14"/>
          <w:szCs w:val="14"/>
        </w:rPr>
      </w:pPr>
    </w:p>
    <w:p>
      <w:pPr>
        <w:pStyle w:val="BodyText"/>
        <w:spacing w:line="240" w:lineRule="auto"/>
        <w:ind w:right="103"/>
        <w:jc w:val="left"/>
      </w:pPr>
      <w:r>
        <w:rPr/>
        <w:t>③出租特定设备成本能够可靠地计量。</w:t>
      </w:r>
    </w:p>
    <w:p>
      <w:pPr>
        <w:spacing w:line="240" w:lineRule="auto" w:before="0"/>
        <w:rPr>
          <w:rFonts w:ascii="宋体" w:hAnsi="宋体" w:cs="宋体" w:eastAsia="宋体" w:hint="default"/>
          <w:sz w:val="20"/>
          <w:szCs w:val="20"/>
        </w:rPr>
      </w:pPr>
    </w:p>
    <w:p>
      <w:pPr>
        <w:pStyle w:val="Heading6"/>
        <w:spacing w:line="240" w:lineRule="auto" w:before="154"/>
        <w:ind w:right="103"/>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4"/>
          <w:szCs w:val="24"/>
        </w:rPr>
      </w:pPr>
    </w:p>
    <w:p>
      <w:pPr>
        <w:spacing w:line="506" w:lineRule="auto" w:before="0"/>
        <w:ind w:left="152" w:right="10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与资产相关的政府补助确认时点按照所建造或购买的资产使用年限分期计入营业外收入；</w:t>
      </w:r>
    </w:p>
    <w:p>
      <w:pPr>
        <w:spacing w:after="0" w:line="506" w:lineRule="auto"/>
        <w:jc w:val="left"/>
        <w:rPr>
          <w:rFonts w:ascii="宋体" w:hAnsi="宋体" w:cs="宋体" w:eastAsia="宋体" w:hint="default"/>
          <w:sz w:val="21"/>
          <w:szCs w:val="21"/>
        </w:rPr>
        <w:sectPr>
          <w:pgSz w:w="11910" w:h="16840"/>
          <w:pgMar w:header="745" w:footer="982" w:top="106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20" w:lineRule="auto" w:before="187"/>
        <w:ind w:left="152" w:right="114" w:firstLine="0"/>
        <w:jc w:val="left"/>
        <w:rPr>
          <w:rFonts w:ascii="宋体" w:hAnsi="宋体" w:cs="宋体" w:eastAsia="宋体" w:hint="default"/>
          <w:sz w:val="21"/>
          <w:szCs w:val="21"/>
        </w:rPr>
      </w:pPr>
      <w:bookmarkStart w:name="（2）融资租赁的会计处理方法" w:id="201"/>
      <w:bookmarkEnd w:id="2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bookmarkStart w:name="（2）与收益相关的政府补助判断依据及会计处理方法" w:id="202"/>
      <w:bookmarkEnd w:id="202"/>
      <w:r>
        <w:rPr>
          <w:rFonts w:ascii="Times New Roman" w:hAnsi="Times New Roman" w:cs="Times New Roman" w:eastAsia="Times New Roman" w:hint="default"/>
          <w:b/>
          <w:bCs/>
          <w:sz w:val="21"/>
          <w:szCs w:val="21"/>
        </w:rPr>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100"/>
          <w:sz w:val="21"/>
          <w:szCs w:val="21"/>
        </w:rPr>
        <w:t> </w:t>
      </w:r>
      <w:r>
        <w:rPr>
          <w:rFonts w:ascii="宋体" w:hAnsi="宋体" w:cs="宋体" w:eastAsia="宋体" w:hint="default"/>
          <w:sz w:val="21"/>
          <w:szCs w:val="21"/>
        </w:rPr>
        <w:t>与收益相关的政府补助确认时点按照补偿相关费用或损失的发生时点计入营业外收入。</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30</w:t>
      </w:r>
      <w:bookmarkStart w:name="30、递延所得税资产/递延所得税负债" w:id="203"/>
      <w:bookmarkEnd w:id="203"/>
      <w:r>
        <w:rPr>
          <w:rFonts w:ascii="Times New Roman" w:hAnsi="Times New Roman" w:cs="Times New Roman" w:eastAsia="Times New Roman" w:hint="default"/>
          <w:b/>
          <w:bCs/>
          <w:sz w:val="21"/>
          <w:szCs w:val="21"/>
        </w:rPr>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pStyle w:val="BodyText"/>
        <w:spacing w:line="408" w:lineRule="auto" w:before="126"/>
        <w:ind w:right="114"/>
        <w:jc w:val="left"/>
      </w:pPr>
      <w:r>
        <w:rPr>
          <w:spacing w:val="-2"/>
        </w:rPr>
        <w:t>对于可抵扣暂时性差异确认递延所得税资产，以未来期间很可能取得的用来抵扣可抵扣暂时性差异的应纳</w:t>
      </w:r>
      <w:r>
        <w:rPr>
          <w:spacing w:val="-43"/>
        </w:rPr>
        <w:t> </w:t>
      </w:r>
      <w:r>
        <w:rPr>
          <w:spacing w:val="-43"/>
        </w:rPr>
      </w:r>
      <w:r>
        <w:rPr/>
        <w:t>税所得额为限。</w:t>
      </w:r>
    </w:p>
    <w:p>
      <w:pPr>
        <w:pStyle w:val="BodyText"/>
        <w:spacing w:line="408" w:lineRule="auto" w:before="46"/>
        <w:ind w:right="114"/>
        <w:jc w:val="left"/>
      </w:pPr>
      <w:r>
        <w:rPr/>
        <w:t>对于应纳税暂时性差异，除特殊情况外，确认递延所得税负债。</w:t>
      </w:r>
      <w:r>
        <w:rPr>
          <w:w w:val="100"/>
        </w:rPr>
        <w:t> </w:t>
      </w:r>
      <w:r>
        <w:rPr>
          <w:spacing w:val="-2"/>
        </w:rPr>
        <w:t>不确认递延所得税资产或递延所得税负债的特殊情况包括：商誉的初始确认；除企业合并以外的发生时既</w:t>
      </w:r>
      <w:r>
        <w:rPr>
          <w:spacing w:val="-44"/>
        </w:rPr>
        <w:t> </w:t>
      </w:r>
      <w:r>
        <w:rPr>
          <w:spacing w:val="-44"/>
        </w:rPr>
      </w:r>
      <w:r>
        <w:rPr/>
        <w:t>不影响会计利润也不影响应纳税所得额（或可抵扣亏损）的其他交易或事项。</w:t>
      </w:r>
    </w:p>
    <w:p>
      <w:pPr>
        <w:spacing w:line="240" w:lineRule="auto" w:before="8"/>
        <w:rPr>
          <w:rFonts w:ascii="宋体" w:hAnsi="宋体" w:cs="宋体" w:eastAsia="宋体" w:hint="default"/>
          <w:sz w:val="20"/>
          <w:szCs w:val="20"/>
        </w:rPr>
      </w:pPr>
    </w:p>
    <w:p>
      <w:pPr>
        <w:pStyle w:val="Heading6"/>
        <w:spacing w:line="240" w:lineRule="auto"/>
        <w:ind w:right="114"/>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4"/>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6"/>
        <w:rPr>
          <w:rFonts w:ascii="宋体" w:hAnsi="宋体" w:cs="宋体" w:eastAsia="宋体" w:hint="default"/>
          <w:b/>
          <w:bCs/>
          <w:sz w:val="30"/>
          <w:szCs w:val="30"/>
        </w:rPr>
      </w:pPr>
    </w:p>
    <w:p>
      <w:pPr>
        <w:pStyle w:val="BodyText"/>
        <w:spacing w:line="403" w:lineRule="auto"/>
        <w:ind w:left="212" w:right="114" w:hanging="8"/>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56"/>
        </w:rPr>
        <w:t> </w:t>
      </w:r>
      <w:r>
        <w:rPr>
          <w:rFonts w:ascii="宋体" w:hAnsi="宋体" w:cs="宋体" w:eastAsia="宋体" w:hint="default"/>
          <w:b/>
          <w:bCs/>
        </w:rPr>
        <w:t>经营性租入</w:t>
      </w:r>
      <w:r>
        <w:rPr>
          <w:rFonts w:ascii="宋体" w:hAnsi="宋体" w:cs="宋体" w:eastAsia="宋体" w:hint="default"/>
          <w:b/>
          <w:bCs/>
          <w:spacing w:val="-103"/>
        </w:rPr>
        <w:t> </w:t>
      </w:r>
      <w:r>
        <w:rPr>
          <w:rFonts w:ascii="宋体" w:hAnsi="宋体" w:cs="宋体" w:eastAsia="宋体" w:hint="default"/>
          <w:b/>
          <w:bCs/>
          <w:spacing w:val="-103"/>
        </w:rPr>
      </w:r>
      <w:r>
        <w:rPr>
          <w:spacing w:val="-4"/>
        </w:rPr>
        <w:t>公司租入资产所支付的租赁费，在不扣除免租期的</w:t>
      </w:r>
      <w:bookmarkStart w:name="31、租赁" w:id="204"/>
      <w:bookmarkEnd w:id="204"/>
      <w:r>
        <w:rPr>
          <w:spacing w:val="-4"/>
        </w:rPr>
        <w:t>整个</w:t>
      </w:r>
      <w:r>
        <w:rPr>
          <w:spacing w:val="-4"/>
        </w:rPr>
        <w:t>租赁期内</w:t>
      </w:r>
      <w:bookmarkStart w:name="（1）经营租赁的会计处理方法" w:id="205"/>
      <w:bookmarkEnd w:id="205"/>
      <w:r>
        <w:rPr>
          <w:spacing w:val="-4"/>
        </w:rPr>
        <w:t>，</w:t>
      </w:r>
      <w:r>
        <w:rPr>
          <w:spacing w:val="-4"/>
        </w:rPr>
        <w:t>按直线法进行分摊，计入当期费用。公</w:t>
      </w:r>
      <w:r>
        <w:rPr>
          <w:spacing w:val="-22"/>
        </w:rPr>
        <w:t> </w:t>
      </w:r>
      <w:r>
        <w:rPr>
          <w:spacing w:val="-22"/>
        </w:rPr>
      </w:r>
      <w:r>
        <w:rPr/>
        <w:t>司支付的与租赁交易相关的初始直接费用，计入当期费用。</w:t>
      </w:r>
      <w:r>
        <w:rPr>
          <w:w w:val="100"/>
        </w:rPr>
        <w:t> </w:t>
      </w:r>
      <w:r>
        <w:rPr>
          <w:spacing w:val="-4"/>
        </w:rPr>
        <w:t>资产出租方承担了应由公司承担的与租赁相关的费用时，公司将该部分费用从租赁总额中扣除，按扣除后</w:t>
      </w:r>
      <w:r>
        <w:rPr>
          <w:spacing w:val="-22"/>
        </w:rPr>
        <w:t> </w:t>
      </w:r>
      <w:r>
        <w:rPr>
          <w:spacing w:val="-22"/>
        </w:rPr>
      </w:r>
      <w:r>
        <w:rPr/>
        <w:t>的租租赁费在租赁期内分摊，计入当期费用。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403" w:lineRule="auto"/>
        <w:ind w:left="212" w:right="114" w:hanging="8"/>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56"/>
        </w:rPr>
        <w:t> </w:t>
      </w:r>
      <w:r>
        <w:rPr>
          <w:rFonts w:ascii="宋体" w:hAnsi="宋体" w:cs="宋体" w:eastAsia="宋体" w:hint="default"/>
          <w:b/>
          <w:bCs/>
        </w:rPr>
        <w:t>经营性租出</w:t>
      </w:r>
      <w:r>
        <w:rPr>
          <w:rFonts w:ascii="宋体" w:hAnsi="宋体" w:cs="宋体" w:eastAsia="宋体" w:hint="default"/>
          <w:b/>
          <w:bCs/>
          <w:w w:val="100"/>
        </w:rPr>
        <w:t> </w:t>
      </w:r>
      <w:r>
        <w:rPr>
          <w:spacing w:val="-2"/>
        </w:rPr>
        <w:t>公司出租资产所收取的租赁费，在不扣除免租期的整个租赁期内，按直线法进行分摊，确认为租赁收入。</w:t>
      </w:r>
      <w:r>
        <w:rPr>
          <w:spacing w:val="-29"/>
        </w:rPr>
        <w:t> </w:t>
      </w:r>
      <w:r>
        <w:rPr>
          <w:spacing w:val="-29"/>
        </w:rPr>
      </w:r>
      <w:r>
        <w:rPr>
          <w:spacing w:val="-4"/>
        </w:rPr>
        <w:t>公司支付的与租赁交易相关的初始直接费用，计入当期费用；如金额较大的，则予以资本化，在整个租赁</w:t>
      </w:r>
      <w:r>
        <w:rPr>
          <w:spacing w:val="-22"/>
        </w:rPr>
        <w:t> </w:t>
      </w:r>
      <w:r>
        <w:rPr>
          <w:spacing w:val="-22"/>
        </w:rPr>
      </w:r>
      <w:r>
        <w:rPr/>
        <w:t>期间内按照与租赁收入确认相同的基础分期计入当期收益。</w:t>
      </w:r>
      <w:r>
        <w:rPr>
          <w:w w:val="100"/>
        </w:rPr>
        <w:t> </w:t>
      </w:r>
      <w:r>
        <w:rPr>
          <w:spacing w:val="-4"/>
        </w:rPr>
        <w:t>公司承担了应由承租方承担的与租赁相关的费用时，公司将该部分费用从租赁收入总额中扣除，按扣除后</w:t>
      </w:r>
      <w:r>
        <w:rPr>
          <w:spacing w:val="-22"/>
        </w:rPr>
        <w:t> </w:t>
      </w:r>
      <w:r>
        <w:rPr>
          <w:spacing w:val="-22"/>
        </w:rPr>
      </w:r>
      <w:r>
        <w:rPr/>
        <w:t>的租赁收入在租赁期内分配。</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Heading6"/>
        <w:spacing w:line="240" w:lineRule="auto"/>
        <w:ind w:right="114"/>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spacing w:before="0"/>
        <w:ind w:left="152" w:right="114"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pStyle w:val="Heading6"/>
        <w:spacing w:line="240" w:lineRule="auto" w:before="36"/>
        <w:ind w:right="0"/>
        <w:jc w:val="left"/>
        <w:rPr>
          <w:b w:val="0"/>
          <w:bCs w:val="0"/>
        </w:rPr>
      </w:pPr>
      <w:bookmarkStart w:name="2、税收优惠" w:id="206"/>
      <w:bookmarkEnd w:id="206"/>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6"/>
        <w:spacing w:line="240" w:lineRule="auto" w:before="120"/>
        <w:ind w:right="0"/>
        <w:jc w:val="left"/>
        <w:rPr>
          <w:b w:val="0"/>
          <w:bCs w:val="0"/>
        </w:rPr>
      </w:pPr>
      <w:r>
        <w:rPr>
          <w:rFonts w:ascii="Times New Roman" w:hAnsi="Times New Roman" w:cs="Times New Roman" w:eastAsia="Times New Roman" w:hint="default"/>
        </w:rPr>
        <w:t>33</w:t>
      </w:r>
      <w:bookmarkStart w:name="32、其他重要的会计政策和会计估计" w:id="207"/>
      <w:bookmarkEnd w:id="207"/>
      <w:r>
        <w:rPr>
          <w:rFonts w:ascii="Times New Roman" w:hAnsi="Times New Roman" w:cs="Times New Roman" w:eastAsia="Times New Roman" w:hint="default"/>
        </w:rPr>
      </w:r>
      <w:bookmarkStart w:name="33、重要会计政策和会计估计变更" w:id="208"/>
      <w:bookmarkEnd w:id="208"/>
      <w:r>
        <w:rPr>
          <w:rFonts w:ascii="Times New Roman" w:hAnsi="Times New Roman" w:cs="Times New Roman" w:eastAsia="Times New Roman" w:hint="default"/>
        </w:rPr>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）重要会计政策</w:t>
      </w:r>
      <w:bookmarkStart w:name="（1）重要会计政策变更" w:id="209"/>
      <w:bookmarkEnd w:id="209"/>
      <w:r>
        <w:rPr/>
        <w:t>变更</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spacing w:line="547" w:lineRule="auto" w:before="0"/>
        <w:ind w:left="152" w:right="84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sz w:val="18"/>
          <w:szCs w:val="18"/>
        </w:rPr>
        <w:t>不适用</w:t>
      </w:r>
    </w:p>
    <w:p>
      <w:pPr>
        <w:pStyle w:val="Heading4"/>
        <w:spacing w:line="240" w:lineRule="auto" w:before="100"/>
        <w:ind w:right="0"/>
        <w:jc w:val="left"/>
        <w:rPr>
          <w:b w:val="0"/>
          <w:bCs w:val="0"/>
        </w:rPr>
      </w:pPr>
      <w:r>
        <w:rPr/>
        <w:t>六、税项</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bookmarkStart w:name="（2）重要会计估计变更" w:id="210"/>
            <w:bookmarkEnd w:id="210"/>
            <w:r>
              <w:rPr/>
            </w:r>
            <w:bookmarkStart w:name="34、其他" w:id="211"/>
            <w:bookmarkEnd w:id="211"/>
            <w:r>
              <w:rPr/>
            </w: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bookmarkStart w:name="六、税项" w:id="212"/>
            <w:bookmarkEnd w:id="212"/>
            <w:r>
              <w:rPr/>
            </w:r>
            <w:bookmarkStart w:name="1、主要税种及税率" w:id="213"/>
            <w:bookmarkEnd w:id="213"/>
            <w:r>
              <w:rPr/>
            </w:r>
            <w:r>
              <w:rPr>
                <w:rFonts w:ascii="宋体" w:hAnsi="宋体" w:cs="宋体" w:eastAsia="宋体" w:hint="default"/>
                <w:sz w:val="18"/>
                <w:szCs w:val="18"/>
              </w:rPr>
              <w:t>税率</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培训咨询服务等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数据中心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基础设施服务等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软硬件销售及配套安装服务等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line="240" w:lineRule="auto" w:before="3"/>
        <w:rPr>
          <w:rFonts w:ascii="宋体" w:hAnsi="宋体" w:cs="宋体" w:eastAsia="宋体" w:hint="default"/>
          <w:sz w:val="19"/>
          <w:szCs w:val="19"/>
        </w:rPr>
      </w:pPr>
    </w:p>
    <w:p>
      <w:pPr>
        <w:pStyle w:val="Heading6"/>
        <w:spacing w:line="240" w:lineRule="auto" w:before="36"/>
        <w:ind w:right="0"/>
        <w:jc w:val="both"/>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30"/>
          <w:szCs w:val="30"/>
        </w:rPr>
      </w:pPr>
    </w:p>
    <w:p>
      <w:pPr>
        <w:pStyle w:val="BodyText"/>
        <w:spacing w:line="391" w:lineRule="auto"/>
        <w:ind w:right="146"/>
        <w:jc w:val="both"/>
      </w:pPr>
      <w:r>
        <w:rPr>
          <w:rFonts w:ascii="Times New Roman" w:hAnsi="Times New Roman" w:cs="Times New Roman" w:eastAsia="Times New Roman" w:hint="default"/>
        </w:rPr>
        <w:t>1</w:t>
      </w:r>
      <w:r>
        <w:rPr/>
        <w:t>、公司自</w:t>
      </w:r>
      <w:r>
        <w:rPr>
          <w:rFonts w:ascii="Times New Roman" w:hAnsi="Times New Roman" w:cs="Times New Roman" w:eastAsia="Times New Roman" w:hint="default"/>
        </w:rPr>
        <w:t>2008</w:t>
      </w:r>
      <w:r>
        <w:rPr/>
        <w:t>年起认定为高新技术企业。经公司后续申请，并通过高新技术企业重新认定审查，取得由</w:t>
      </w:r>
      <w:r>
        <w:rPr>
          <w:spacing w:val="-27"/>
        </w:rPr>
        <w:t> </w:t>
      </w:r>
      <w:r>
        <w:rPr>
          <w:spacing w:val="-27"/>
        </w:rPr>
      </w:r>
      <w:r>
        <w:rPr>
          <w:spacing w:val="-2"/>
        </w:rPr>
        <w:t>上海市科学技术委员会、上海市财政局、上海市国家税务局、上海市地方税务局联合颁发的高新技术企业</w:t>
      </w:r>
      <w:r>
        <w:rPr>
          <w:spacing w:val="-44"/>
        </w:rPr>
        <w:t> </w:t>
      </w:r>
      <w:r>
        <w:rPr>
          <w:spacing w:val="-44"/>
        </w:rPr>
      </w:r>
      <w:r>
        <w:rPr>
          <w:spacing w:val="-4"/>
        </w:rPr>
        <w:t>证书，发证日期为</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4</w:t>
      </w:r>
      <w:r>
        <w:rPr>
          <w:spacing w:val="-4"/>
        </w:rPr>
        <w:t>日，证书编号：</w:t>
      </w:r>
      <w:r>
        <w:rPr>
          <w:rFonts w:ascii="Times New Roman" w:hAnsi="Times New Roman" w:cs="Times New Roman" w:eastAsia="Times New Roman" w:hint="default"/>
          <w:spacing w:val="-4"/>
        </w:rPr>
        <w:t>GR201531000231</w:t>
      </w:r>
      <w:r>
        <w:rPr>
          <w:spacing w:val="-4"/>
        </w:rPr>
        <w:t>，有效期为三年。根据《中华人民共和国企</w:t>
      </w:r>
      <w:r>
        <w:rPr>
          <w:spacing w:val="-7"/>
        </w:rPr>
        <w:t> </w:t>
      </w:r>
      <w:r>
        <w:rPr>
          <w:spacing w:val="-7"/>
        </w:rPr>
      </w:r>
      <w:r>
        <w:rPr>
          <w:spacing w:val="-2"/>
        </w:rPr>
        <w:t>业所得税法》和《中华人民共和国企业所得税法实施条例》的相关规定，公司于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6</w:t>
      </w:r>
      <w:r>
        <w:rPr>
          <w:spacing w:val="-2"/>
        </w:rPr>
        <w:t>日取得了上海</w:t>
      </w:r>
      <w:r>
        <w:rPr>
          <w:spacing w:val="-39"/>
        </w:rPr>
        <w:t> </w:t>
      </w:r>
      <w:r>
        <w:rPr>
          <w:spacing w:val="-39"/>
        </w:rPr>
      </w:r>
      <w:r>
        <w:rPr>
          <w:spacing w:val="-2"/>
        </w:rPr>
        <w:t>市青浦区国家税务局编号沪地税青四（</w:t>
      </w:r>
      <w:r>
        <w:rPr>
          <w:rFonts w:ascii="Times New Roman" w:hAnsi="Times New Roman" w:cs="Times New Roman" w:eastAsia="Times New Roman" w:hint="default"/>
          <w:spacing w:val="-2"/>
        </w:rPr>
        <w:t>2015</w:t>
      </w:r>
      <w:r>
        <w:rPr>
          <w:spacing w:val="-2"/>
        </w:rPr>
        <w:t>）</w:t>
      </w:r>
      <w:r>
        <w:rPr>
          <w:rFonts w:ascii="Times New Roman" w:hAnsi="Times New Roman" w:cs="Times New Roman" w:eastAsia="Times New Roman" w:hint="default"/>
          <w:spacing w:val="-2"/>
        </w:rPr>
        <w:t>000004</w:t>
      </w:r>
      <w:r>
        <w:rPr>
          <w:spacing w:val="-2"/>
        </w:rPr>
        <w:t>号《企业所得税优惠事先备案结果通知书》，同意公</w:t>
      </w:r>
      <w:r>
        <w:rPr>
          <w:spacing w:val="-40"/>
        </w:rPr>
        <w:t> </w:t>
      </w:r>
      <w:r>
        <w:rPr>
          <w:spacing w:val="-40"/>
        </w:rPr>
      </w:r>
      <w:r>
        <w:rPr>
          <w:spacing w:val="-1"/>
        </w:rPr>
        <w:t>司自</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日期间企业所得税减按</w:t>
      </w:r>
      <w:r>
        <w:rPr>
          <w:rFonts w:ascii="Times New Roman" w:hAnsi="Times New Roman" w:cs="Times New Roman" w:eastAsia="Times New Roman" w:hint="default"/>
          <w:spacing w:val="-1"/>
        </w:rPr>
        <w:t>15%</w:t>
      </w:r>
      <w:r>
        <w:rPr>
          <w:spacing w:val="-1"/>
        </w:rPr>
        <w:t>税率征收。本年度，公司执行的企业所得税</w:t>
      </w:r>
      <w:r>
        <w:rPr>
          <w:spacing w:val="-46"/>
        </w:rPr>
        <w:t> </w:t>
      </w:r>
      <w:r>
        <w:rPr>
          <w:spacing w:val="-46"/>
        </w:rPr>
      </w:r>
      <w:r>
        <w:rPr/>
        <w:t>税率为</w:t>
      </w:r>
      <w:r>
        <w:rPr>
          <w:rFonts w:ascii="Times New Roman" w:hAnsi="Times New Roman" w:cs="Times New Roman" w:eastAsia="Times New Roman" w:hint="default"/>
        </w:rPr>
        <w:t>15%</w:t>
      </w:r>
      <w:r>
        <w:rPr/>
        <w:t>。</w:t>
      </w:r>
    </w:p>
    <w:p>
      <w:pPr>
        <w:spacing w:after="0" w:line="391" w:lineRule="auto"/>
        <w:jc w:val="both"/>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BodyText"/>
        <w:spacing w:line="393" w:lineRule="auto" w:before="36"/>
        <w:ind w:right="148"/>
        <w:jc w:val="both"/>
      </w:pPr>
      <w:bookmarkStart w:name="七、合并财务报表项目注释" w:id="214"/>
      <w:bookmarkEnd w:id="214"/>
      <w:r>
        <w:rPr/>
      </w:r>
      <w:bookmarkStart w:name="1、货币资金" w:id="215"/>
      <w:bookmarkEnd w:id="215"/>
      <w:r>
        <w:rPr/>
      </w:r>
      <w:r>
        <w:rPr>
          <w:rFonts w:ascii="Times New Roman" w:hAnsi="Times New Roman" w:cs="Times New Roman" w:eastAsia="Times New Roman" w:hint="default"/>
        </w:rPr>
        <w:t>2</w:t>
      </w:r>
      <w:r>
        <w:rPr/>
        <w:t>、公司子公司上海复深蓝信息技术有限公司自</w:t>
      </w:r>
      <w:r>
        <w:rPr>
          <w:rFonts w:ascii="Times New Roman" w:hAnsi="Times New Roman" w:cs="Times New Roman" w:eastAsia="Times New Roman" w:hint="default"/>
        </w:rPr>
        <w:t>2012</w:t>
      </w:r>
      <w:r>
        <w:rPr/>
        <w:t>年起认定为高新技术企业。经公司后续申请，并通过</w:t>
      </w:r>
      <w:r>
        <w:rPr>
          <w:spacing w:val="-28"/>
        </w:rPr>
        <w:t> </w:t>
      </w:r>
      <w:r>
        <w:rPr>
          <w:spacing w:val="-28"/>
        </w:rPr>
      </w:r>
      <w:r>
        <w:rPr>
          <w:spacing w:val="-2"/>
        </w:rPr>
        <w:t>高新技术企业重新认定审查，取得由上海市科学技术委员会、上海市财政局、上海市国家税务局、上海市</w:t>
      </w:r>
      <w:r>
        <w:rPr>
          <w:spacing w:val="-47"/>
        </w:rPr>
        <w:t> </w:t>
      </w:r>
      <w:r>
        <w:rPr>
          <w:spacing w:val="-47"/>
        </w:rPr>
      </w:r>
      <w:r>
        <w:rPr>
          <w:spacing w:val="-4"/>
        </w:rPr>
        <w:t>地方税务局联合颁发的高新技术企业证书，发证日期为</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30</w:t>
      </w:r>
      <w:r>
        <w:rPr>
          <w:spacing w:val="-4"/>
        </w:rPr>
        <w:t>日，证书编号：</w:t>
      </w:r>
      <w:r>
        <w:rPr>
          <w:rFonts w:ascii="Times New Roman" w:hAnsi="Times New Roman" w:cs="Times New Roman" w:eastAsia="Times New Roman" w:hint="default"/>
          <w:spacing w:val="-4"/>
        </w:rPr>
        <w:t>GR201531000896</w:t>
      </w:r>
      <w:r>
        <w:rPr>
          <w:spacing w:val="-4"/>
        </w:rPr>
        <w:t>，有</w:t>
      </w:r>
      <w:r>
        <w:rPr>
          <w:spacing w:val="-19"/>
        </w:rPr>
        <w:t> </w:t>
      </w:r>
      <w:r>
        <w:rPr>
          <w:spacing w:val="-2"/>
        </w:rPr>
        <w:t>效期为三年。根据《中华人民共和国企业所得税法》和《中华人民共和国企业所得税法实施条例》的相关</w:t>
      </w:r>
      <w:r>
        <w:rPr>
          <w:spacing w:val="-43"/>
        </w:rPr>
        <w:t> </w:t>
      </w:r>
      <w:r>
        <w:rPr>
          <w:spacing w:val="-43"/>
        </w:rPr>
      </w:r>
      <w:r>
        <w:rPr/>
        <w:t>规定，公司于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22</w:t>
      </w:r>
      <w:r>
        <w:rPr/>
        <w:t>日取得了上海市徐汇区国家税务局第一税务所及上海市地方税务局徐汇区分局</w:t>
      </w:r>
      <w:r>
        <w:rPr>
          <w:spacing w:val="-28"/>
        </w:rPr>
        <w:t> </w:t>
      </w:r>
      <w:r>
        <w:rPr>
          <w:spacing w:val="-28"/>
        </w:rPr>
      </w:r>
      <w:r>
        <w:rPr>
          <w:spacing w:val="-2"/>
        </w:rPr>
        <w:t>第一税务所</w:t>
      </w:r>
      <w:r>
        <w:rPr>
          <w:rFonts w:ascii="Times New Roman" w:hAnsi="Times New Roman" w:cs="Times New Roman" w:eastAsia="Times New Roman" w:hint="default"/>
          <w:spacing w:val="-2"/>
        </w:rPr>
        <w:t>QY0120160202800</w:t>
      </w:r>
      <w:r>
        <w:rPr>
          <w:spacing w:val="-2"/>
        </w:rPr>
        <w:t>《企业所得税优惠事项备案表》，同意公司自</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rFonts w:ascii="Times New Roman" w:hAnsi="Times New Roman" w:cs="Times New Roman" w:eastAsia="Times New Roman" w:hint="default"/>
          <w:spacing w:val="37"/>
        </w:rPr>
        <w:t> </w:t>
      </w:r>
      <w:r>
        <w:rPr/>
        <w:t>日期间企业所得税减按</w:t>
      </w:r>
      <w:r>
        <w:rPr>
          <w:rFonts w:ascii="Times New Roman" w:hAnsi="Times New Roman" w:cs="Times New Roman" w:eastAsia="Times New Roman" w:hint="default"/>
        </w:rPr>
        <w:t>15%</w:t>
      </w:r>
      <w:r>
        <w:rPr/>
        <w:t>税率征收。本年度，公司执行的企业所得税税率为</w:t>
      </w:r>
      <w:r>
        <w:rPr>
          <w:rFonts w:ascii="Times New Roman" w:hAnsi="Times New Roman" w:cs="Times New Roman" w:eastAsia="Times New Roman" w:hint="default"/>
        </w:rPr>
        <w:t>15%</w:t>
      </w:r>
      <w:r>
        <w:rPr/>
        <w:t>。</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5"/>
          <w:szCs w:val="15"/>
        </w:rPr>
      </w:pPr>
    </w:p>
    <w:p>
      <w:pPr>
        <w:pStyle w:val="BodyText"/>
        <w:spacing w:line="386" w:lineRule="auto"/>
        <w:ind w:left="153" w:right="152"/>
        <w:jc w:val="both"/>
      </w:pPr>
      <w:r>
        <w:rPr>
          <w:rFonts w:ascii="Times New Roman" w:hAnsi="Times New Roman" w:cs="Times New Roman" w:eastAsia="Times New Roman" w:hint="default"/>
          <w:spacing w:val="-4"/>
        </w:rPr>
        <w:t>3</w:t>
      </w:r>
      <w:r>
        <w:rPr>
          <w:spacing w:val="-4"/>
        </w:rPr>
        <w:t>、公司子公司极品数据系统公司注册于美国华盛顿州，缴纳的联邦所得税税率为</w:t>
      </w:r>
      <w:r>
        <w:rPr>
          <w:rFonts w:ascii="Times New Roman" w:hAnsi="Times New Roman" w:cs="Times New Roman" w:eastAsia="Times New Roman" w:hint="default"/>
          <w:spacing w:val="-4"/>
        </w:rPr>
        <w:t>15%</w:t>
      </w:r>
      <w:r>
        <w:rPr>
          <w:spacing w:val="-4"/>
        </w:rPr>
        <w:t>，缴纳的联邦所得税</w:t>
      </w:r>
      <w:r>
        <w:rPr>
          <w:spacing w:val="-22"/>
        </w:rPr>
        <w:t> </w:t>
      </w:r>
      <w:r>
        <w:rPr>
          <w:spacing w:val="-22"/>
        </w:rPr>
      </w:r>
      <w:r>
        <w:rPr/>
        <w:t>是根据全年度总收入减去可扣除的支出后的应纳税年度的净所得额以及规定税率计算征收。</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398" w:lineRule="auto"/>
        <w:ind w:left="153" w:right="152"/>
        <w:jc w:val="both"/>
      </w:pPr>
      <w:r>
        <w:rPr>
          <w:rFonts w:ascii="Times New Roman" w:hAnsi="Times New Roman" w:cs="Times New Roman" w:eastAsia="Times New Roman" w:hint="default"/>
          <w:spacing w:val="-3"/>
        </w:rPr>
        <w:t>4</w:t>
      </w:r>
      <w:r>
        <w:rPr>
          <w:spacing w:val="-3"/>
        </w:rPr>
        <w:t>、公司子公司极品数据系统（香港）有限公司注册于中国香港，缴纳的利得税税率为</w:t>
      </w:r>
      <w:r>
        <w:rPr>
          <w:rFonts w:ascii="Times New Roman" w:hAnsi="Times New Roman" w:cs="Times New Roman" w:eastAsia="Times New Roman" w:hint="default"/>
          <w:spacing w:val="-3"/>
        </w:rPr>
        <w:t>16.5%</w:t>
      </w:r>
      <w:r>
        <w:rPr>
          <w:spacing w:val="-3"/>
        </w:rPr>
        <w:t>，缴纳的利得</w:t>
      </w:r>
      <w:r>
        <w:rPr>
          <w:spacing w:val="-18"/>
        </w:rPr>
        <w:t> </w:t>
      </w:r>
      <w:r>
        <w:rPr>
          <w:spacing w:val="-18"/>
        </w:rPr>
      </w:r>
      <w:r>
        <w:rPr>
          <w:spacing w:val="2"/>
        </w:rPr>
        <w:t>税是根据全年度企业在香港境内经营活动中产生的收入减去可扣减的支出所得的净额以及规定税率计算</w:t>
      </w:r>
      <w:r>
        <w:rPr>
          <w:spacing w:val="-28"/>
        </w:rPr>
        <w:t> </w:t>
      </w:r>
      <w:r>
        <w:rPr>
          <w:spacing w:val="-28"/>
        </w:rPr>
      </w:r>
      <w:r>
        <w:rPr/>
        <w:t>征收。</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left="153" w:right="0"/>
        <w:jc w:val="both"/>
      </w:pPr>
      <w:r>
        <w:rPr>
          <w:rFonts w:ascii="Times New Roman" w:hAnsi="Times New Roman" w:cs="Times New Roman" w:eastAsia="Times New Roman" w:hint="default"/>
        </w:rPr>
        <w:t>5</w:t>
      </w:r>
      <w:r>
        <w:rPr/>
        <w:t>、合并范围内除上述公司以外其他控股子公司本年度执行的企业所得税率为</w:t>
      </w:r>
      <w:r>
        <w:rPr>
          <w:rFonts w:ascii="Times New Roman" w:hAnsi="Times New Roman" w:cs="Times New Roman" w:eastAsia="Times New Roman" w:hint="default"/>
        </w:rPr>
        <w:t>25%</w:t>
      </w:r>
      <w:r>
        <w:rPr/>
        <w:t>。</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2"/>
          <w:szCs w:val="32"/>
        </w:rPr>
      </w:pPr>
    </w:p>
    <w:p>
      <w:pPr>
        <w:pStyle w:val="Heading6"/>
        <w:spacing w:line="240" w:lineRule="auto"/>
        <w:ind w:right="0"/>
        <w:jc w:val="both"/>
        <w:rPr>
          <w:b w:val="0"/>
          <w:bCs w:val="0"/>
        </w:rPr>
      </w:pPr>
      <w:r>
        <w:rPr>
          <w:rFonts w:ascii="Times New Roman" w:hAnsi="Times New Roman" w:cs="Times New Roman" w:eastAsia="Times New Roman" w:hint="default"/>
        </w:rPr>
        <w:t>3</w:t>
      </w:r>
      <w:r>
        <w:rPr/>
        <w:t>、其他</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46"/>
        <w:jc w:val="both"/>
      </w:pPr>
      <w:r>
        <w:rPr>
          <w:spacing w:val="-2"/>
        </w:rPr>
        <w:t>本年度，公司子公司极品数据系统公司注册于美国华盛顿州，缴纳的销售税是根据年度销售</w:t>
      </w:r>
      <w:bookmarkStart w:name="3、其他" w:id="216"/>
      <w:bookmarkEnd w:id="216"/>
      <w:r>
        <w:rPr>
          <w:spacing w:val="-2"/>
        </w:rPr>
        <w:t>总</w:t>
      </w:r>
      <w:r>
        <w:rPr>
          <w:spacing w:val="-2"/>
        </w:rPr>
        <w:t>额扣除海外</w:t>
      </w:r>
      <w:r>
        <w:rPr>
          <w:spacing w:val="-43"/>
        </w:rPr>
        <w:t> </w:t>
      </w:r>
      <w:r>
        <w:rPr>
          <w:spacing w:val="-43"/>
        </w:rPr>
      </w:r>
      <w:r>
        <w:rPr/>
        <w:t>及外州出口交易的销售额后乘以</w:t>
      </w:r>
      <w:r>
        <w:rPr>
          <w:rFonts w:ascii="Times New Roman" w:hAnsi="Times New Roman" w:cs="Times New Roman" w:eastAsia="Times New Roman" w:hint="default"/>
        </w:rPr>
        <w:t>0.484%</w:t>
      </w:r>
      <w:r>
        <w:rPr/>
        <w:t>销售税率计算征收。</w:t>
      </w:r>
    </w:p>
    <w:p>
      <w:pPr>
        <w:spacing w:line="240" w:lineRule="auto" w:before="3"/>
        <w:rPr>
          <w:rFonts w:ascii="宋体" w:hAnsi="宋体" w:cs="宋体" w:eastAsia="宋体" w:hint="default"/>
          <w:sz w:val="16"/>
          <w:szCs w:val="16"/>
        </w:rPr>
      </w:pPr>
    </w:p>
    <w:p>
      <w:pPr>
        <w:pStyle w:val="Heading4"/>
        <w:spacing w:line="240" w:lineRule="auto"/>
        <w:ind w:right="0"/>
        <w:jc w:val="both"/>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0"/>
        <w:jc w:val="both"/>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4"/>
        <w:rPr>
          <w:rFonts w:ascii="宋体" w:hAnsi="宋体" w:cs="宋体" w:eastAsia="宋体" w:hint="default"/>
          <w:b/>
          <w:bCs/>
          <w:sz w:val="26"/>
          <w:szCs w:val="26"/>
        </w:rPr>
      </w:pPr>
    </w:p>
    <w:p>
      <w:pPr>
        <w:spacing w:before="0"/>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70,375.06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34,949.64</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394,258,987.11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471,678,232.20</w:t>
            </w:r>
            <w:r>
              <w:rPr>
                <w:rFonts w:ascii="Times New Roman"/>
                <w:sz w:val="18"/>
              </w:rPr>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2,227,800.03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2,452,976.56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396,557,162.20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474,166,158.40</w:t>
            </w:r>
          </w:p>
        </w:tc>
      </w:tr>
    </w:tbl>
    <w:p>
      <w:pPr>
        <w:spacing w:before="49"/>
        <w:ind w:left="152" w:right="0" w:firstLine="0"/>
        <w:jc w:val="left"/>
        <w:rPr>
          <w:rFonts w:ascii="宋体" w:hAnsi="宋体" w:cs="宋体" w:eastAsia="宋体" w:hint="default"/>
          <w:sz w:val="18"/>
          <w:szCs w:val="18"/>
        </w:rPr>
      </w:pPr>
      <w:bookmarkStart w:name="（3）期末公司已背书或贴现且在资产负债表日尚未到期的应收票据" w:id="217"/>
      <w:bookmarkEnd w:id="217"/>
      <w:r>
        <w:rPr/>
      </w:r>
      <w:bookmarkStart w:name="（4）期末公司因出票人未履约而将其转应收账款的票据" w:id="218"/>
      <w:bookmarkEnd w:id="218"/>
      <w:r>
        <w:rPr/>
      </w:r>
      <w:r>
        <w:rPr>
          <w:rFonts w:ascii="宋体" w:hAnsi="宋体" w:cs="宋体" w:eastAsia="宋体" w:hint="default"/>
          <w:sz w:val="18"/>
          <w:szCs w:val="18"/>
        </w:rPr>
        <w:t>其他说明</w:t>
      </w:r>
    </w:p>
    <w:p>
      <w:pPr>
        <w:pStyle w:val="Heading6"/>
        <w:spacing w:line="240" w:lineRule="auto" w:before="94"/>
        <w:ind w:left="870" w:right="0"/>
        <w:jc w:val="left"/>
        <w:rPr>
          <w:b w:val="0"/>
          <w:bCs w:val="0"/>
        </w:rPr>
      </w:pPr>
      <w:r>
        <w:rPr/>
        <w:t>其中受限制的货币资金明细如下：</w:t>
      </w:r>
      <w:r>
        <w:rPr>
          <w:b w:val="0"/>
          <w:bCs w:val="0"/>
        </w:rPr>
      </w:r>
    </w:p>
    <w:p>
      <w:pPr>
        <w:spacing w:line="240" w:lineRule="auto" w:before="10"/>
        <w:rPr>
          <w:rFonts w:ascii="宋体" w:hAnsi="宋体" w:cs="宋体" w:eastAsia="宋体" w:hint="default"/>
          <w:b/>
          <w:bCs/>
          <w:sz w:val="3"/>
          <w:szCs w:val="3"/>
        </w:rPr>
      </w:pPr>
    </w:p>
    <w:tbl>
      <w:tblPr>
        <w:tblW w:w="0" w:type="auto"/>
        <w:jc w:val="left"/>
        <w:tblInd w:w="716" w:type="dxa"/>
        <w:tblLayout w:type="fixed"/>
        <w:tblCellMar>
          <w:top w:w="0" w:type="dxa"/>
          <w:left w:w="0" w:type="dxa"/>
          <w:bottom w:w="0" w:type="dxa"/>
          <w:right w:w="0" w:type="dxa"/>
        </w:tblCellMar>
        <w:tblLook w:val="01E0"/>
      </w:tblPr>
      <w:tblGrid>
        <w:gridCol w:w="3540"/>
        <w:gridCol w:w="2126"/>
        <w:gridCol w:w="2126"/>
      </w:tblGrid>
      <w:tr>
        <w:trPr>
          <w:trHeight w:val="355" w:hRule="exact"/>
        </w:trPr>
        <w:tc>
          <w:tcPr>
            <w:tcW w:w="35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698"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212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695"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3" w:hRule="exact"/>
        </w:trPr>
        <w:tc>
          <w:tcPr>
            <w:tcW w:w="35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166" w:right="-3"/>
              <w:jc w:val="left"/>
              <w:rPr>
                <w:rFonts w:ascii="Times New Roman" w:hAnsi="Times New Roman" w:cs="Times New Roman" w:eastAsia="Times New Roman" w:hint="default"/>
                <w:sz w:val="18"/>
                <w:szCs w:val="18"/>
              </w:rPr>
            </w:pPr>
            <w:r>
              <w:rPr>
                <w:rFonts w:ascii="Times New Roman"/>
                <w:sz w:val="18"/>
              </w:rPr>
              <w:t>2,227,800.03</w:t>
            </w:r>
          </w:p>
        </w:tc>
        <w:tc>
          <w:tcPr>
            <w:tcW w:w="21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1163" w:right="0"/>
              <w:jc w:val="left"/>
              <w:rPr>
                <w:rFonts w:ascii="Times New Roman" w:hAnsi="Times New Roman" w:cs="Times New Roman" w:eastAsia="Times New Roman" w:hint="default"/>
                <w:sz w:val="18"/>
                <w:szCs w:val="18"/>
              </w:rPr>
            </w:pPr>
            <w:r>
              <w:rPr>
                <w:rFonts w:ascii="Times New Roman"/>
                <w:sz w:val="18"/>
              </w:rPr>
              <w:t>2,452,976.56</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6"/>
        <w:spacing w:line="240" w:lineRule="auto" w:before="36"/>
        <w:ind w:right="0"/>
        <w:jc w:val="left"/>
        <w:rPr>
          <w:b w:val="0"/>
          <w:bCs w:val="0"/>
        </w:rPr>
      </w:pPr>
      <w:r>
        <w:rPr>
          <w:rFonts w:ascii="Times New Roman" w:hAnsi="Times New Roman" w:cs="Times New Roman" w:eastAsia="Times New Roman" w:hint="default"/>
        </w:rPr>
        <w:t>2</w:t>
      </w:r>
      <w:r>
        <w:rPr/>
        <w:t>、以公允价值计量且其变</w:t>
      </w:r>
      <w:bookmarkStart w:name="2、以公允价值计量且其变动计入当期损益的金融资产" w:id="219"/>
      <w:bookmarkEnd w:id="219"/>
      <w:r>
        <w:rPr/>
        <w:t>动计入当期损益的</w:t>
      </w:r>
      <w:r>
        <w:rPr/>
        <w:t>金融资产</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3、衍生金融资产" w:id="220"/>
      <w:bookmarkEnd w:id="220"/>
      <w:r>
        <w:rPr/>
      </w:r>
      <w:bookmarkStart w:name="4、应收票据" w:id="221"/>
      <w:bookmarkEnd w:id="221"/>
      <w:r>
        <w:rPr/>
      </w:r>
      <w:bookmarkStart w:name="（1）应收票据分类列示" w:id="222"/>
      <w:bookmarkEnd w:id="222"/>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1,142,200.00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335,000.00</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0" w:type="dxa"/>
            <w:tcBorders>
              <w:top w:val="single" w:sz="4" w:space="0" w:color="000000"/>
              <w:left w:val="single" w:sz="9"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1,128,000.00</w:t>
            </w:r>
            <w:r>
              <w:rPr>
                <w:rFonts w:ascii="Times New Roman"/>
                <w:sz w:val="18"/>
              </w:rPr>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1,142,200.00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1,463,000.00</w:t>
            </w:r>
            <w:r>
              <w:rPr>
                <w:rFonts w:ascii="Times New Roman"/>
                <w:sz w:val="18"/>
              </w:rPr>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期末公司已质押的应收票据" w:id="223"/>
      <w:bookmarkEnd w:id="223"/>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4"/>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after="0" w:line="240" w:lineRule="auto"/>
        <w:jc w:val="left"/>
        <w:rPr>
          <w:rFonts w:ascii="宋体" w:hAnsi="宋体" w:cs="宋体" w:eastAsia="宋体" w:hint="default"/>
          <w:sz w:val="18"/>
          <w:szCs w:val="18"/>
        </w:rPr>
        <w:sectPr>
          <w:footerReference w:type="default" r:id="rId31"/>
          <w:pgSz w:w="11910" w:h="16840"/>
          <w:pgMar w:footer="982" w:header="745" w:top="1060" w:bottom="1180" w:left="980" w:right="980"/>
          <w:pgNumType w:start="12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bookmarkStart w:name="（2）本期计提、收回或转回的坏账准备情况" w:id="224"/>
      <w:bookmarkEnd w:id="224"/>
      <w:r>
        <w:rPr/>
      </w: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0"/>
        <w:ind w:right="0"/>
        <w:jc w:val="left"/>
        <w:rPr>
          <w:b w:val="0"/>
          <w:bCs w:val="0"/>
        </w:rPr>
      </w:pPr>
      <w:r>
        <w:rPr>
          <w:rFonts w:ascii="Times New Roman" w:hAnsi="Times New Roman" w:cs="Times New Roman" w:eastAsia="Times New Roman" w:hint="default"/>
        </w:rPr>
        <w:t>5</w:t>
      </w:r>
      <w:bookmarkStart w:name="5、应收账款" w:id="225"/>
      <w:bookmarkEnd w:id="225"/>
      <w:r>
        <w:rPr>
          <w:rFonts w:ascii="Times New Roman" w:hAnsi="Times New Roman" w:cs="Times New Roman" w:eastAsia="Times New Roman" w:hint="default"/>
        </w:rPr>
      </w:r>
      <w:r>
        <w:rPr/>
        <w:t>、应收账款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bookmarkStart w:name="（1）应收账款分类披露" w:id="226"/>
      <w:bookmarkEnd w:id="226"/>
      <w:r>
        <w:rPr>
          <w:rFonts w:ascii="Times New Roman" w:hAnsi="Times New Roman" w:cs="Times New Roman" w:eastAsia="Times New Roman" w:hint="default"/>
        </w:rPr>
      </w:r>
      <w:r>
        <w:rPr/>
        <w:t>）应收账款分类披露</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5"/>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4D4D4"/>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4D4D4"/>
          </w:tcPr>
          <w:p>
            <w:pPr/>
          </w:p>
        </w:tc>
        <w:tc>
          <w:tcPr>
            <w:tcW w:w="15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4D4D4"/>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4D4D4"/>
          </w:tcPr>
          <w:p>
            <w:pPr/>
          </w:p>
        </w:tc>
        <w:tc>
          <w:tcPr>
            <w:tcW w:w="774"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12"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159,865,</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756.59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5,410,06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9.53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3.38%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154,455,6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87.06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150,462</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,534.33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4,556,315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3.03%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145,906,21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8.68</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159,865,</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756.59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5,410,06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9.53</w:t>
            </w:r>
          </w:p>
        </w:tc>
        <w:tc>
          <w:tcPr>
            <w:tcW w:w="763" w:type="dxa"/>
            <w:vMerge w:val="restart"/>
            <w:tcBorders>
              <w:top w:val="single" w:sz="4" w:space="0" w:color="000000"/>
              <w:left w:val="single" w:sz="4" w:space="0" w:color="000000"/>
              <w:right w:val="single" w:sz="4" w:space="0" w:color="000000"/>
            </w:tcBorders>
          </w:tcPr>
          <w:p>
            <w:pP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154,455,6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87.06</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150,462</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,534.33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4,556,315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.65</w:t>
            </w:r>
          </w:p>
        </w:tc>
        <w:tc>
          <w:tcPr>
            <w:tcW w:w="934"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145,906,21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8.68</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2" w:right="160"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43"/>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293" w:space="4534"/>
            <w:col w:w="1123"/>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3" w:type="dxa"/>
            <w:vMerge/>
            <w:tcBorders>
              <w:left w:val="single" w:sz="4" w:space="0" w:color="000000"/>
              <w:bottom w:val="single" w:sz="4" w:space="0" w:color="000000"/>
              <w:right w:val="single" w:sz="4" w:space="0" w:color="000000"/>
            </w:tcBorders>
            <w:shd w:val="clear" w:color="auto" w:fill="D4D4D4"/>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天内</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89,620,178.55</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54,543,225.39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2,727,161.26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9,339,777.28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933,977.73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4,830,940.50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966,188.10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1,497,784.87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748,892.44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33,850.00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33,850.00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159,865,756.59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5,410,069.53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54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38" w:lineRule="auto" w:before="29"/>
        <w:ind w:left="152" w:right="581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240" w:lineRule="auto" w:before="7"/>
        <w:rPr>
          <w:rFonts w:ascii="宋体" w:hAnsi="宋体" w:cs="宋体" w:eastAsia="宋体" w:hint="default"/>
          <w:sz w:val="21"/>
          <w:szCs w:val="21"/>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875,323.88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21,570.00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bookmarkStart w:name="（5）因金融资产转移而终止确认的应收账款" w:id="227"/>
      <w:bookmarkEnd w:id="227"/>
      <w:r>
        <w:rPr/>
      </w:r>
      <w:bookmarkStart w:name="（6）转移应收账款且继续涉入形成的资产、负债金额" w:id="228"/>
      <w:bookmarkEnd w:id="228"/>
      <w:r>
        <w:rPr/>
      </w:r>
      <w:r>
        <w:rPr>
          <w:rFonts w:ascii="宋体" w:hAnsi="宋体" w:cs="宋体" w:eastAsia="宋体" w:hint="default"/>
          <w:sz w:val="18"/>
          <w:szCs w:val="18"/>
        </w:rPr>
        <w:t>其中本期坏账准备收回或转回金额重要的：</w:t>
      </w:r>
    </w:p>
    <w:p>
      <w:pPr>
        <w:spacing w:before="117"/>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3</w:t>
      </w:r>
      <w:bookmarkStart w:name="（3）本期实际核销的应收账款情况" w:id="229"/>
      <w:bookmarkEnd w:id="229"/>
      <w:r>
        <w:rPr>
          <w:rFonts w:ascii="Times New Roman" w:hAnsi="Times New Roman" w:cs="Times New Roman" w:eastAsia="Times New Roman" w:hint="default"/>
        </w:rPr>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5"/>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1"/>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23" w:right="68"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9"/>
          <w:szCs w:val="29"/>
        </w:rPr>
      </w:pPr>
    </w:p>
    <w:tbl>
      <w:tblPr>
        <w:tblW w:w="0" w:type="auto"/>
        <w:jc w:val="left"/>
        <w:tblInd w:w="136" w:type="dxa"/>
        <w:tblLayout w:type="fixed"/>
        <w:tblCellMar>
          <w:top w:w="0" w:type="dxa"/>
          <w:left w:w="0" w:type="dxa"/>
          <w:bottom w:w="0" w:type="dxa"/>
          <w:right w:w="0" w:type="dxa"/>
        </w:tblCellMar>
        <w:tblLook w:val="01E0"/>
      </w:tblPr>
      <w:tblGrid>
        <w:gridCol w:w="2489"/>
        <w:gridCol w:w="2038"/>
        <w:gridCol w:w="3101"/>
        <w:gridCol w:w="2030"/>
      </w:tblGrid>
      <w:tr>
        <w:trPr>
          <w:trHeight w:val="353" w:hRule="exact"/>
        </w:trPr>
        <w:tc>
          <w:tcPr>
            <w:tcW w:w="2489"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7169"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bookmarkStart w:name="（4）按欠款方归集的期末余额前五名的应收账款情况" w:id="230"/>
            <w:bookmarkEnd w:id="230"/>
            <w:r>
              <w:rPr/>
            </w:r>
            <w:r>
              <w:rPr>
                <w:rFonts w:ascii="宋体" w:hAnsi="宋体" w:cs="宋体" w:eastAsia="宋体" w:hint="default"/>
                <w:sz w:val="18"/>
                <w:szCs w:val="18"/>
              </w:rPr>
              <w:t>年末余额</w:t>
            </w:r>
          </w:p>
        </w:tc>
      </w:tr>
      <w:tr>
        <w:trPr>
          <w:trHeight w:val="353" w:hRule="exact"/>
        </w:trPr>
        <w:tc>
          <w:tcPr>
            <w:tcW w:w="2489" w:type="dxa"/>
            <w:vMerge/>
            <w:tcBorders>
              <w:left w:val="single" w:sz="6" w:space="0" w:color="000000"/>
              <w:bottom w:val="single" w:sz="12" w:space="0" w:color="000000"/>
              <w:right w:val="single" w:sz="6" w:space="0" w:color="000000"/>
            </w:tcBorders>
          </w:tcPr>
          <w:p>
            <w:pPr/>
          </w:p>
        </w:tc>
        <w:tc>
          <w:tcPr>
            <w:tcW w:w="20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1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占应收账款合计数的比例</w:t>
            </w:r>
            <w:r>
              <w:rPr>
                <w:rFonts w:ascii="Times New Roman" w:hAnsi="Times New Roman" w:cs="Times New Roman" w:eastAsia="Times New Roman" w:hint="default"/>
                <w:sz w:val="18"/>
                <w:szCs w:val="18"/>
              </w:rPr>
              <w:t>(%)</w:t>
            </w:r>
          </w:p>
        </w:tc>
        <w:tc>
          <w:tcPr>
            <w:tcW w:w="20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744" w:hRule="exact"/>
        </w:trPr>
        <w:tc>
          <w:tcPr>
            <w:tcW w:w="2489"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before="33"/>
              <w:ind w:left="2" w:right="72"/>
              <w:jc w:val="left"/>
              <w:rPr>
                <w:rFonts w:ascii="宋体" w:hAnsi="宋体" w:cs="宋体" w:eastAsia="宋体" w:hint="default"/>
                <w:sz w:val="20"/>
                <w:szCs w:val="20"/>
              </w:rPr>
            </w:pPr>
            <w:r>
              <w:rPr>
                <w:rFonts w:ascii="宋体" w:hAnsi="宋体" w:cs="宋体" w:eastAsia="宋体" w:hint="default"/>
                <w:sz w:val="20"/>
                <w:szCs w:val="20"/>
              </w:rPr>
              <w:t>中国移动通信集团浙江有限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20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16,202,516.62</w:t>
            </w:r>
          </w:p>
        </w:tc>
        <w:tc>
          <w:tcPr>
            <w:tcW w:w="31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10.14</w:t>
            </w:r>
          </w:p>
        </w:tc>
        <w:tc>
          <w:tcPr>
            <w:tcW w:w="20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288,165.71</w:t>
            </w:r>
          </w:p>
        </w:tc>
      </w:tr>
      <w:tr>
        <w:trPr>
          <w:trHeight w:val="744" w:hRule="exact"/>
        </w:trPr>
        <w:tc>
          <w:tcPr>
            <w:tcW w:w="2489"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before="33"/>
              <w:ind w:left="2" w:right="72"/>
              <w:jc w:val="left"/>
              <w:rPr>
                <w:rFonts w:ascii="宋体" w:hAnsi="宋体" w:cs="宋体" w:eastAsia="宋体" w:hint="default"/>
                <w:sz w:val="20"/>
                <w:szCs w:val="20"/>
              </w:rPr>
            </w:pPr>
            <w:r>
              <w:rPr>
                <w:rFonts w:ascii="宋体" w:hAnsi="宋体" w:cs="宋体" w:eastAsia="宋体" w:hint="default"/>
                <w:sz w:val="20"/>
                <w:szCs w:val="20"/>
              </w:rPr>
              <w:t>中国太平洋保险（集团）股</w:t>
            </w:r>
            <w:r>
              <w:rPr>
                <w:rFonts w:ascii="宋体" w:hAnsi="宋体" w:cs="宋体" w:eastAsia="宋体" w:hint="default"/>
                <w:w w:val="99"/>
                <w:sz w:val="20"/>
                <w:szCs w:val="20"/>
              </w:rPr>
              <w:t> </w:t>
            </w:r>
            <w:r>
              <w:rPr>
                <w:rFonts w:ascii="宋体" w:hAnsi="宋体" w:cs="宋体" w:eastAsia="宋体" w:hint="default"/>
                <w:sz w:val="20"/>
                <w:szCs w:val="20"/>
              </w:rPr>
              <w:t>份有限公司</w:t>
            </w:r>
          </w:p>
        </w:tc>
        <w:tc>
          <w:tcPr>
            <w:tcW w:w="20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15,963,749.50</w:t>
            </w:r>
          </w:p>
        </w:tc>
        <w:tc>
          <w:tcPr>
            <w:tcW w:w="31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9.99</w:t>
            </w:r>
          </w:p>
        </w:tc>
        <w:tc>
          <w:tcPr>
            <w:tcW w:w="20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331,653.00</w:t>
            </w:r>
          </w:p>
        </w:tc>
      </w:tr>
      <w:tr>
        <w:trPr>
          <w:trHeight w:val="432" w:hRule="exact"/>
        </w:trPr>
        <w:tc>
          <w:tcPr>
            <w:tcW w:w="24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20"/>
                <w:szCs w:val="20"/>
              </w:rPr>
            </w:pPr>
            <w:r>
              <w:rPr>
                <w:rFonts w:ascii="宋体" w:hAnsi="宋体" w:cs="宋体" w:eastAsia="宋体" w:hint="default"/>
                <w:sz w:val="20"/>
                <w:szCs w:val="20"/>
              </w:rPr>
              <w:t>中国电信股份有限公司</w:t>
            </w:r>
          </w:p>
        </w:tc>
        <w:tc>
          <w:tcPr>
            <w:tcW w:w="20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8,964,661.52</w:t>
            </w:r>
          </w:p>
        </w:tc>
        <w:tc>
          <w:tcPr>
            <w:tcW w:w="31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5.61</w:t>
            </w:r>
          </w:p>
        </w:tc>
        <w:tc>
          <w:tcPr>
            <w:tcW w:w="20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231,001.48</w:t>
            </w:r>
          </w:p>
        </w:tc>
      </w:tr>
      <w:tr>
        <w:trPr>
          <w:trHeight w:val="744" w:hRule="exact"/>
        </w:trPr>
        <w:tc>
          <w:tcPr>
            <w:tcW w:w="2489"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before="33"/>
              <w:ind w:left="2" w:right="72"/>
              <w:jc w:val="left"/>
              <w:rPr>
                <w:rFonts w:ascii="宋体" w:hAnsi="宋体" w:cs="宋体" w:eastAsia="宋体" w:hint="default"/>
                <w:sz w:val="20"/>
                <w:szCs w:val="20"/>
              </w:rPr>
            </w:pPr>
            <w:r>
              <w:rPr>
                <w:rFonts w:ascii="宋体" w:hAnsi="宋体" w:cs="宋体" w:eastAsia="宋体" w:hint="default"/>
                <w:sz w:val="20"/>
                <w:szCs w:val="20"/>
              </w:rPr>
              <w:t>衣念（上海）时装贸易有限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20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7,122,634.01</w:t>
            </w:r>
          </w:p>
        </w:tc>
        <w:tc>
          <w:tcPr>
            <w:tcW w:w="31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4.46</w:t>
            </w:r>
          </w:p>
        </w:tc>
        <w:tc>
          <w:tcPr>
            <w:tcW w:w="20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349,500.00</w:t>
            </w:r>
          </w:p>
        </w:tc>
      </w:tr>
      <w:tr>
        <w:trPr>
          <w:trHeight w:val="432" w:hRule="exact"/>
        </w:trPr>
        <w:tc>
          <w:tcPr>
            <w:tcW w:w="24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20"/>
                <w:szCs w:val="20"/>
              </w:rPr>
            </w:pPr>
            <w:r>
              <w:rPr>
                <w:rFonts w:ascii="宋体" w:hAnsi="宋体" w:cs="宋体" w:eastAsia="宋体" w:hint="default"/>
                <w:sz w:val="20"/>
                <w:szCs w:val="20"/>
              </w:rPr>
              <w:t>中国银联股份有限公司</w:t>
            </w:r>
          </w:p>
        </w:tc>
        <w:tc>
          <w:tcPr>
            <w:tcW w:w="20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6,789,353.69</w:t>
            </w:r>
          </w:p>
        </w:tc>
        <w:tc>
          <w:tcPr>
            <w:tcW w:w="31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4.25</w:t>
            </w:r>
          </w:p>
        </w:tc>
        <w:tc>
          <w:tcPr>
            <w:tcW w:w="20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99,044.85</w:t>
            </w:r>
          </w:p>
        </w:tc>
      </w:tr>
      <w:tr>
        <w:trPr>
          <w:trHeight w:val="353" w:hRule="exact"/>
        </w:trPr>
        <w:tc>
          <w:tcPr>
            <w:tcW w:w="24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55,042,915.34</w:t>
            </w:r>
          </w:p>
        </w:tc>
        <w:tc>
          <w:tcPr>
            <w:tcW w:w="31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34.45</w:t>
            </w:r>
          </w:p>
        </w:tc>
        <w:tc>
          <w:tcPr>
            <w:tcW w:w="20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7" w:right="0"/>
              <w:jc w:val="center"/>
              <w:rPr>
                <w:rFonts w:ascii="Times New Roman" w:hAnsi="Times New Roman" w:cs="Times New Roman" w:eastAsia="Times New Roman" w:hint="default"/>
                <w:sz w:val="18"/>
                <w:szCs w:val="18"/>
              </w:rPr>
            </w:pPr>
            <w:r>
              <w:rPr>
                <w:rFonts w:ascii="Times New Roman"/>
                <w:sz w:val="18"/>
              </w:rPr>
              <w:t>1,283,485.04</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0"/>
        <w:jc w:val="left"/>
        <w:rPr>
          <w:b w:val="0"/>
          <w:bCs w:val="0"/>
        </w:rPr>
      </w:pPr>
      <w:bookmarkStart w:name="（2）重要逾期利息" w:id="231"/>
      <w:bookmarkEnd w:id="231"/>
      <w:r>
        <w:rPr>
          <w:b w:val="0"/>
          <w:bCs w:val="0"/>
        </w:rPr>
      </w:r>
      <w:r>
        <w:rPr>
          <w:rFonts w:ascii="Times New Roman" w:hAnsi="Times New Roman" w:cs="Times New Roman" w:eastAsia="Times New Roman" w:hint="default"/>
        </w:rPr>
        <w:t>6</w:t>
      </w:r>
      <w:bookmarkStart w:name="6、预付款项" w:id="232"/>
      <w:bookmarkEnd w:id="232"/>
      <w:r>
        <w:rPr>
          <w:rFonts w:ascii="Times New Roman" w:hAnsi="Times New Roman" w:cs="Times New Roman" w:eastAsia="Times New Roman" w:hint="default"/>
        </w:rPr>
      </w:r>
      <w:r>
        <w:rPr/>
        <w:t>、预付款项</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bookmarkStart w:name="（1）预付款项按账龄列示" w:id="233"/>
      <w:bookmarkEnd w:id="233"/>
      <w:r>
        <w:rPr>
          <w:rFonts w:ascii="Times New Roman" w:hAnsi="Times New Roman" w:cs="Times New Roman" w:eastAsia="Times New Roman" w:hint="default"/>
        </w:rPr>
      </w:r>
      <w:r>
        <w:rPr/>
        <w:t>）预付款项按账龄列示</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5"/>
        <w:gridCol w:w="1913"/>
        <w:gridCol w:w="1915"/>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4D4D4"/>
          </w:tcPr>
          <w:p>
            <w:pP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0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账龄</w:t>
            </w:r>
          </w:p>
        </w:tc>
        <w:tc>
          <w:tcPr>
            <w:tcW w:w="3828" w:type="dxa"/>
            <w:gridSpan w:val="2"/>
            <w:vMerge/>
            <w:tcBorders>
              <w:left w:val="single" w:sz="4" w:space="0" w:color="000000"/>
              <w:bottom w:val="single" w:sz="4" w:space="0" w:color="000000"/>
              <w:right w:val="single" w:sz="4" w:space="0" w:color="000000"/>
            </w:tcBorders>
            <w:shd w:val="clear" w:color="auto" w:fill="D4D4D4"/>
          </w:tcPr>
          <w:p>
            <w:pPr/>
          </w:p>
        </w:tc>
        <w:tc>
          <w:tcPr>
            <w:tcW w:w="3830"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4,704,980.70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5" w:right="0"/>
              <w:jc w:val="lef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897,429.36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8" w:right="0"/>
              <w:jc w:val="lef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4,704,980.70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897,429.36</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）按预付对象归集的期</w:t>
      </w:r>
      <w:bookmarkStart w:name="（2）按预付对象归集的期末余额前五名的预付款情况" w:id="234"/>
      <w:bookmarkEnd w:id="234"/>
      <w:r>
        <w:rPr/>
        <w:t>末余额前五名的预</w:t>
      </w:r>
      <w:r>
        <w:rPr/>
        <w:t>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6" w:type="dxa"/>
        <w:tblLayout w:type="fixed"/>
        <w:tblCellMar>
          <w:top w:w="0" w:type="dxa"/>
          <w:left w:w="0" w:type="dxa"/>
          <w:bottom w:w="0" w:type="dxa"/>
          <w:right w:w="0" w:type="dxa"/>
        </w:tblCellMar>
        <w:tblLook w:val="01E0"/>
      </w:tblPr>
      <w:tblGrid>
        <w:gridCol w:w="3696"/>
        <w:gridCol w:w="1985"/>
        <w:gridCol w:w="3118"/>
      </w:tblGrid>
      <w:tr>
        <w:trPr>
          <w:trHeight w:val="355" w:hRule="exact"/>
        </w:trPr>
        <w:tc>
          <w:tcPr>
            <w:tcW w:w="36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626"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31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36"/>
              <w:jc w:val="right"/>
              <w:rPr>
                <w:rFonts w:ascii="宋体" w:hAnsi="宋体" w:cs="宋体" w:eastAsia="宋体" w:hint="default"/>
                <w:sz w:val="18"/>
                <w:szCs w:val="18"/>
              </w:rPr>
            </w:pPr>
            <w:r>
              <w:rPr>
                <w:rFonts w:ascii="宋体" w:hAnsi="宋体" w:cs="宋体" w:eastAsia="宋体" w:hint="default"/>
                <w:spacing w:val="-1"/>
                <w:sz w:val="18"/>
                <w:szCs w:val="18"/>
              </w:rPr>
              <w:t>占预付款年末余额合计数的比例（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442" w:hRule="exact"/>
        </w:trPr>
        <w:tc>
          <w:tcPr>
            <w:tcW w:w="36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成都东方龙马信息产业有限公司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438,034.14</w:t>
            </w:r>
          </w:p>
        </w:tc>
        <w:tc>
          <w:tcPr>
            <w:tcW w:w="31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9.31</w:t>
            </w:r>
            <w:r>
              <w:rPr>
                <w:rFonts w:ascii="Times New Roman"/>
                <w:sz w:val="18"/>
              </w:rPr>
            </w:r>
          </w:p>
        </w:tc>
      </w:tr>
      <w:tr>
        <w:trPr>
          <w:trHeight w:val="442" w:hRule="exact"/>
        </w:trPr>
        <w:tc>
          <w:tcPr>
            <w:tcW w:w="36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372,600.00</w:t>
            </w:r>
          </w:p>
        </w:tc>
        <w:tc>
          <w:tcPr>
            <w:tcW w:w="31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7.92</w:t>
            </w:r>
            <w:r>
              <w:rPr>
                <w:rFonts w:ascii="Times New Roman"/>
                <w:sz w:val="18"/>
              </w:rPr>
            </w:r>
          </w:p>
        </w:tc>
      </w:tr>
      <w:tr>
        <w:trPr>
          <w:trHeight w:val="442" w:hRule="exact"/>
        </w:trPr>
        <w:tc>
          <w:tcPr>
            <w:tcW w:w="36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上海华鑫物业管理顾问有限公司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343,175.74</w:t>
            </w:r>
          </w:p>
        </w:tc>
        <w:tc>
          <w:tcPr>
            <w:tcW w:w="31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7.29</w:t>
            </w:r>
            <w:r>
              <w:rPr>
                <w:rFonts w:ascii="Times New Roman"/>
                <w:sz w:val="18"/>
              </w:rPr>
            </w:r>
          </w:p>
        </w:tc>
      </w:tr>
      <w:tr>
        <w:trPr>
          <w:trHeight w:val="442" w:hRule="exact"/>
        </w:trPr>
        <w:tc>
          <w:tcPr>
            <w:tcW w:w="36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恒维信息技术（上海）有限公司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256,410.27</w:t>
            </w:r>
          </w:p>
        </w:tc>
        <w:tc>
          <w:tcPr>
            <w:tcW w:w="31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5.45</w:t>
            </w:r>
            <w:r>
              <w:rPr>
                <w:rFonts w:ascii="Times New Roman"/>
                <w:sz w:val="18"/>
              </w:rPr>
            </w:r>
          </w:p>
        </w:tc>
      </w:tr>
      <w:tr>
        <w:trPr>
          <w:trHeight w:val="444" w:hRule="exact"/>
        </w:trPr>
        <w:tc>
          <w:tcPr>
            <w:tcW w:w="36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上海过河兵电子商务有限公司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241,353.84</w:t>
            </w:r>
          </w:p>
        </w:tc>
        <w:tc>
          <w:tcPr>
            <w:tcW w:w="31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5.13</w:t>
            </w:r>
            <w:r>
              <w:rPr>
                <w:rFonts w:ascii="Times New Roman"/>
                <w:sz w:val="18"/>
              </w:rPr>
            </w:r>
          </w:p>
        </w:tc>
      </w:tr>
      <w:tr>
        <w:trPr>
          <w:trHeight w:val="362" w:hRule="exact"/>
        </w:trPr>
        <w:tc>
          <w:tcPr>
            <w:tcW w:w="36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1,651,573.99</w:t>
            </w:r>
            <w:r>
              <w:rPr>
                <w:rFonts w:ascii="Times New Roman"/>
                <w:sz w:val="18"/>
              </w:rPr>
            </w:r>
          </w:p>
        </w:tc>
        <w:tc>
          <w:tcPr>
            <w:tcW w:w="31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35.10</w:t>
            </w:r>
          </w:p>
        </w:tc>
      </w:tr>
    </w:tbl>
    <w:p>
      <w:pPr>
        <w:spacing w:line="240" w:lineRule="auto" w:before="2"/>
        <w:rPr>
          <w:rFonts w:ascii="宋体" w:hAnsi="宋体" w:cs="宋体" w:eastAsia="宋体" w:hint="default"/>
          <w:b/>
          <w:bCs/>
          <w:sz w:val="24"/>
          <w:szCs w:val="24"/>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7、应收利息" w:id="235"/>
      <w:bookmarkEnd w:id="235"/>
      <w:r>
        <w:rPr/>
      </w:r>
      <w:bookmarkStart w:name="（1）应收利息分类" w:id="236"/>
      <w:bookmarkEnd w:id="236"/>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679,533.66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3,798,619.15</w:t>
            </w:r>
            <w:r>
              <w:rPr>
                <w:rFonts w:ascii="Times New Roman"/>
                <w:sz w:val="18"/>
              </w:rPr>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679,533.66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3,798,619.15</w:t>
            </w:r>
            <w:r>
              <w:rPr>
                <w:rFonts w:ascii="Times New Roman"/>
                <w:sz w:val="18"/>
              </w:rPr>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0"/>
        <w:jc w:val="left"/>
        <w:rPr>
          <w:b w:val="0"/>
          <w:bCs w:val="0"/>
        </w:rPr>
      </w:pPr>
      <w:r>
        <w:rPr>
          <w:rFonts w:ascii="Times New Roman" w:hAnsi="Times New Roman" w:cs="Times New Roman" w:eastAsia="Times New Roman" w:hint="default"/>
        </w:rPr>
        <w:t>8</w:t>
      </w:r>
      <w:bookmarkStart w:name="8、应收股利" w:id="237"/>
      <w:bookmarkEnd w:id="237"/>
      <w:r>
        <w:rPr>
          <w:rFonts w:ascii="Times New Roman" w:hAnsi="Times New Roman" w:cs="Times New Roman" w:eastAsia="Times New Roman" w:hint="default"/>
        </w:rPr>
      </w:r>
      <w:r>
        <w:rPr/>
        <w:t>、应收股利</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bookmarkStart w:name="（1）应收股利" w:id="238"/>
      <w:bookmarkEnd w:id="238"/>
      <w:r>
        <w:rPr>
          <w:rFonts w:ascii="Times New Roman" w:hAnsi="Times New Roman" w:cs="Times New Roman" w:eastAsia="Times New Roman" w:hint="default"/>
        </w:rPr>
      </w:r>
      <w:r>
        <w:rPr/>
        <w:t>）应收股利</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2</w:t>
      </w:r>
      <w:r>
        <w:rPr/>
        <w:t>）重要的账龄超过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bookmarkStart w:name="（2）重要的账龄超过1年的应收股利" w:id="239"/>
      <w:bookmarkEnd w:id="239"/>
      <w:r>
        <w:rPr>
          <w:rFonts w:ascii="Times New Roman" w:hAnsi="Times New Roman" w:cs="Times New Roman" w:eastAsia="Times New Roman" w:hint="default"/>
          <w:spacing w:val="-2"/>
        </w:rPr>
      </w:r>
      <w:r>
        <w:rPr/>
        <w:t>年的应收股利</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0"/>
        <w:ind w:right="0"/>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9、其他应收款" w:id="240"/>
      <w:bookmarkEnd w:id="240"/>
      <w:r>
        <w:rPr/>
      </w:r>
      <w:bookmarkStart w:name="（1）其他应收款分类披露" w:id="241"/>
      <w:bookmarkEnd w:id="241"/>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5"/>
        <w:gridCol w:w="761"/>
        <w:gridCol w:w="910"/>
        <w:gridCol w:w="838"/>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4D4D4"/>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4D4D4"/>
          </w:tcPr>
          <w:p>
            <w:pPr/>
          </w:p>
        </w:tc>
        <w:tc>
          <w:tcPr>
            <w:tcW w:w="15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4D4D4"/>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910" w:type="dxa"/>
            <w:tcBorders>
              <w:top w:val="single" w:sz="4" w:space="0" w:color="000000"/>
              <w:left w:val="single" w:sz="4" w:space="0" w:color="000000"/>
              <w:bottom w:val="nil" w:sz="6" w:space="0" w:color="auto"/>
              <w:right w:val="single" w:sz="4" w:space="0" w:color="000000"/>
            </w:tcBorders>
            <w:shd w:val="clear" w:color="auto" w:fill="D4D4D4"/>
          </w:tcPr>
          <w:p>
            <w:pPr/>
          </w:p>
        </w:tc>
        <w:tc>
          <w:tcPr>
            <w:tcW w:w="838"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4D4D4"/>
          </w:tcPr>
          <w:p>
            <w:pPr/>
          </w:p>
        </w:tc>
        <w:tc>
          <w:tcPr>
            <w:tcW w:w="774"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1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3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12"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910" w:type="dxa"/>
            <w:vMerge/>
            <w:tcBorders>
              <w:left w:val="single" w:sz="4" w:space="0" w:color="000000"/>
              <w:bottom w:val="nil" w:sz="6" w:space="0" w:color="auto"/>
              <w:right w:val="single" w:sz="4" w:space="0" w:color="000000"/>
            </w:tcBorders>
            <w:shd w:val="clear" w:color="auto" w:fill="D4D4D4"/>
          </w:tcPr>
          <w:p>
            <w:pPr/>
          </w:p>
        </w:tc>
        <w:tc>
          <w:tcPr>
            <w:tcW w:w="838"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910" w:type="dxa"/>
            <w:tcBorders>
              <w:top w:val="nil" w:sz="6" w:space="0" w:color="auto"/>
              <w:left w:val="single" w:sz="4" w:space="0" w:color="000000"/>
              <w:bottom w:val="single" w:sz="4" w:space="0" w:color="000000"/>
              <w:right w:val="single" w:sz="4" w:space="0" w:color="000000"/>
            </w:tcBorders>
            <w:shd w:val="clear" w:color="auto" w:fill="D4D4D4"/>
          </w:tcPr>
          <w:p>
            <w:pPr/>
          </w:p>
        </w:tc>
        <w:tc>
          <w:tcPr>
            <w:tcW w:w="838"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10,111,40</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53.95%</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10,111,40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0.00</w:t>
            </w: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8,631,57</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1.72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46.05%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725,056.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8.40%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7,906,515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7,540,2</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55.04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509,818.65</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6.76%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7,030,436.3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18,742,9</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71.72</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725,056.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763" w:type="dxa"/>
            <w:vMerge w:val="restart"/>
            <w:tcBorders>
              <w:top w:val="single" w:sz="4" w:space="0" w:color="000000"/>
              <w:left w:val="single" w:sz="4" w:space="0" w:color="000000"/>
              <w:right w:val="single" w:sz="4" w:space="0" w:color="000000"/>
            </w:tcBorders>
          </w:tcPr>
          <w:p>
            <w:pP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18,017,91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5.28</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7,540,2</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55.04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509,818.65</w:t>
            </w:r>
          </w:p>
        </w:tc>
        <w:tc>
          <w:tcPr>
            <w:tcW w:w="838"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7,030,436.3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838"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473" w:space="4354"/>
            <w:col w:w="112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3"/>
        <w:gridCol w:w="1915"/>
        <w:gridCol w:w="1915"/>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上海青浦工业园区发展</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（集团）有限公司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6,811,400.00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扶持资金</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广州市荔湾区人民法院</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3,300,000.00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诉讼保证金</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10,111,400.00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82" w:top="1060" w:bottom="1180" w:left="980" w:right="980"/>
        </w:sectPr>
      </w:pPr>
    </w:p>
    <w:p>
      <w:pPr>
        <w:spacing w:before="44"/>
        <w:ind w:left="152" w:right="-20" w:firstLine="0"/>
        <w:jc w:val="left"/>
        <w:rPr>
          <w:rFonts w:ascii="宋体" w:hAnsi="宋体" w:cs="宋体" w:eastAsia="宋体" w:hint="default"/>
          <w:sz w:val="18"/>
          <w:szCs w:val="18"/>
        </w:rPr>
      </w:pPr>
      <w:bookmarkStart w:name="（4）其他应收款按款项性质分类情况" w:id="242"/>
      <w:bookmarkEnd w:id="242"/>
      <w:r>
        <w:rPr/>
      </w:r>
      <w:r>
        <w:rPr>
          <w:rFonts w:ascii="宋体" w:hAnsi="宋体" w:cs="宋体" w:eastAsia="宋体" w:hint="default"/>
          <w:sz w:val="18"/>
          <w:szCs w:val="18"/>
        </w:rPr>
        <w:t>组合中，按账龄分析法计提坏账准备的其他应收款：</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293" w:space="4534"/>
            <w:col w:w="112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0"/>
        <w:gridCol w:w="2393"/>
        <w:gridCol w:w="2393"/>
        <w:gridCol w:w="2393"/>
      </w:tblGrid>
      <w:tr>
        <w:trPr>
          <w:trHeight w:val="402" w:hRule="exact"/>
        </w:trPr>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0" w:type="dxa"/>
            <w:vMerge/>
            <w:tcBorders>
              <w:left w:val="single" w:sz="4" w:space="0" w:color="000000"/>
              <w:bottom w:val="single" w:sz="4" w:space="0" w:color="000000"/>
              <w:right w:val="single" w:sz="4" w:space="0" w:color="000000"/>
            </w:tcBorders>
            <w:shd w:val="clear" w:color="auto" w:fill="D4D4D4"/>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6,761,670.96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338,083.54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1,441,816.50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144,181.65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225,366.26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45,073.25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192,718.00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192,718.00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8,631,571.72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725,056.44</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527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9"/>
        <w:ind w:left="152" w:right="563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80" w:left="980" w:right="980"/>
        </w:sectPr>
      </w:pPr>
    </w:p>
    <w:p>
      <w:pPr>
        <w:spacing w:line="338" w:lineRule="auto" w:before="44"/>
        <w:ind w:left="152" w:right="-5"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216,241.79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1,004.00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bookmarkStart w:name="（2）本期计提、收回或转回的坏账准备情况" w:id="243"/>
      <w:bookmarkEnd w:id="243"/>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6638" w:space="2189"/>
            <w:col w:w="112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本年度，无以前已全额计提坏账准备，或计提减值准备的比例较大，但在本年又全额收回或转回的其他应收款。</w:t>
      </w:r>
    </w:p>
    <w:p>
      <w:pPr>
        <w:spacing w:line="240" w:lineRule="auto" w:before="0"/>
        <w:rPr>
          <w:rFonts w:ascii="宋体" w:hAnsi="宋体" w:cs="宋体" w:eastAsia="宋体" w:hint="default"/>
          <w:sz w:val="18"/>
          <w:szCs w:val="18"/>
        </w:rPr>
      </w:pPr>
    </w:p>
    <w:p>
      <w:pPr>
        <w:pStyle w:val="Heading6"/>
        <w:spacing w:line="240" w:lineRule="auto" w:before="120"/>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bookmarkStart w:name="（3）本期实际核销的其他应收款情况" w:id="244"/>
      <w:bookmarkEnd w:id="244"/>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85"/>
      </w:tblGrid>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23" w:right="6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596,538.40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230,119.17</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1,764,001.78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1,647,634.00</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项目投标及履约保证金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6,140,722.34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5,543,783.87</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诉讼保证金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6,811,400.00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118,718.00</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130,309.20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18,742,971.72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7,540,255.04</w:t>
            </w:r>
            <w:r>
              <w:rPr>
                <w:rFonts w:ascii="Times New Roman"/>
                <w:sz w:val="18"/>
              </w:rPr>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bookmarkStart w:name="（7）因金融资产转移而终止确认的其他应收款" w:id="245"/>
      <w:bookmarkEnd w:id="245"/>
      <w:r>
        <w:rPr>
          <w:b w:val="0"/>
          <w:bCs w:val="0"/>
        </w:rPr>
      </w:r>
      <w:bookmarkStart w:name="（8）转移其他应收款且继续涉入形成的资产、负债金额" w:id="246"/>
      <w:bookmarkEnd w:id="246"/>
      <w:r>
        <w:rPr>
          <w:b w:val="0"/>
          <w:bCs w:val="0"/>
        </w:rPr>
      </w:r>
      <w:r>
        <w:rPr/>
        <w:t>（</w:t>
      </w:r>
      <w:r>
        <w:rPr>
          <w:rFonts w:ascii="Times New Roman" w:hAnsi="Times New Roman" w:cs="Times New Roman" w:eastAsia="Times New Roman" w:hint="default"/>
        </w:rPr>
        <w:t>5</w:t>
      </w:r>
      <w:r>
        <w:rPr/>
        <w:t>）按欠款方归集的期末</w:t>
      </w:r>
      <w:bookmarkStart w:name="（5）按欠款方归集的期末余额前五名的其他应收款情况" w:id="247"/>
      <w:bookmarkEnd w:id="247"/>
      <w:r>
        <w:rPr/>
        <w:t>余额前五名的其他</w:t>
      </w:r>
      <w:r>
        <w:rPr/>
        <w:t>应收款情况</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51"/>
        <w:gridCol w:w="1277"/>
        <w:gridCol w:w="1274"/>
        <w:gridCol w:w="1274"/>
        <w:gridCol w:w="1594"/>
        <w:gridCol w:w="1596"/>
      </w:tblGrid>
      <w:tr>
        <w:trPr>
          <w:trHeight w:val="714" w:hRule="exact"/>
        </w:trPr>
        <w:tc>
          <w:tcPr>
            <w:tcW w:w="25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71"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
              <w:jc w:val="left"/>
              <w:rPr>
                <w:rFonts w:ascii="宋体" w:hAnsi="宋体" w:cs="宋体" w:eastAsia="宋体" w:hint="default"/>
                <w:sz w:val="18"/>
                <w:szCs w:val="18"/>
              </w:rPr>
            </w:pPr>
            <w:r>
              <w:rPr>
                <w:rFonts w:ascii="宋体" w:hAnsi="宋体" w:cs="宋体" w:eastAsia="宋体" w:hint="default"/>
                <w:sz w:val="18"/>
                <w:szCs w:val="18"/>
              </w:rPr>
              <w:t>上海青浦工业园区发展（集团） 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6,811,400.00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36.34%</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广州市荔湾区人民法院</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诉讼保证金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3,300,000.00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17.61%</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11"/>
                <w:sz w:val="18"/>
                <w:szCs w:val="18"/>
              </w:rPr>
              <w:t>杭州市市级机关事业单位会计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结算中心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927,550.00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46,377.50</w:t>
            </w:r>
          </w:p>
        </w:tc>
      </w:tr>
      <w:tr>
        <w:trPr>
          <w:trHeight w:val="403" w:hRule="exact"/>
        </w:trPr>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上海华田置业有限公司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821,741.36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41,087.07</w:t>
            </w:r>
          </w:p>
        </w:tc>
      </w:tr>
      <w:tr>
        <w:trPr>
          <w:trHeight w:val="713" w:hRule="exact"/>
        </w:trPr>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
              <w:jc w:val="left"/>
              <w:rPr>
                <w:rFonts w:ascii="宋体" w:hAnsi="宋体" w:cs="宋体" w:eastAsia="宋体" w:hint="default"/>
                <w:sz w:val="18"/>
                <w:szCs w:val="18"/>
              </w:rPr>
            </w:pPr>
            <w:r>
              <w:rPr>
                <w:rFonts w:ascii="宋体" w:hAnsi="宋体" w:cs="宋体" w:eastAsia="宋体" w:hint="default"/>
                <w:spacing w:val="12"/>
                <w:sz w:val="18"/>
                <w:szCs w:val="18"/>
              </w:rPr>
              <w:t>上海中信信息发展股份有限公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594,000.00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29,700.00</w:t>
            </w:r>
          </w:p>
        </w:tc>
      </w:tr>
      <w:tr>
        <w:trPr>
          <w:trHeight w:val="403" w:hRule="exact"/>
        </w:trPr>
        <w:tc>
          <w:tcPr>
            <w:tcW w:w="25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pacing w:val="-1"/>
                <w:sz w:val="18"/>
              </w:rPr>
              <w:t>12,454,691.36</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66.45%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117,164.57</w:t>
            </w:r>
            <w:r>
              <w:rPr>
                <w:rFonts w:ascii="Times New Roman"/>
                <w:sz w:val="18"/>
              </w:rPr>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6）涉及政府补助的应收款项" w:id="248"/>
      <w:bookmarkEnd w:id="248"/>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5"/>
        <w:gridCol w:w="1913"/>
        <w:gridCol w:w="1918"/>
      </w:tblGrid>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83"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0"/>
        <w:jc w:val="left"/>
        <w:rPr>
          <w:b w:val="0"/>
          <w:bCs w:val="0"/>
        </w:rPr>
      </w:pPr>
      <w:bookmarkStart w:name="12、一年内到期的非流动资产" w:id="249"/>
      <w:bookmarkEnd w:id="249"/>
      <w:r>
        <w:rPr>
          <w:b w:val="0"/>
          <w:bCs w:val="0"/>
        </w:rPr>
      </w:r>
      <w:r>
        <w:rPr>
          <w:rFonts w:ascii="Times New Roman" w:hAnsi="Times New Roman" w:cs="Times New Roman" w:eastAsia="Times New Roman" w:hint="default"/>
        </w:rPr>
        <w:t>10</w:t>
      </w:r>
      <w:bookmarkStart w:name="10、存货" w:id="250"/>
      <w:bookmarkEnd w:id="250"/>
      <w:r>
        <w:rPr>
          <w:rFonts w:ascii="Times New Roman" w:hAnsi="Times New Roman" w:cs="Times New Roman" w:eastAsia="Times New Roman" w:hint="default"/>
        </w:rPr>
      </w:r>
      <w:r>
        <w:rPr/>
        <w:t>、存货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bookmarkStart w:name="（1）存货分类" w:id="251"/>
      <w:bookmarkEnd w:id="251"/>
      <w:r>
        <w:rPr>
          <w:rFonts w:ascii="Times New Roman" w:hAnsi="Times New Roman" w:cs="Times New Roman" w:eastAsia="Times New Roman" w:hint="default"/>
        </w:rPr>
      </w:r>
      <w:r>
        <w:rPr/>
        <w:t>）存货分类</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410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36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4D4D4"/>
          </w:tcPr>
          <w:p>
            <w:pPr/>
          </w:p>
        </w:tc>
        <w:tc>
          <w:tcPr>
            <w:tcW w:w="4102" w:type="dxa"/>
            <w:gridSpan w:val="3"/>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4D4D4"/>
          </w:tcPr>
          <w:p>
            <w:pP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34,461,488.63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3,318,923.21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31,142,565.42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33,926,094.93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3,003,285.71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30,922,809.22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1,052,275.05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1,052,275.05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334,970.00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334,970.00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35,513,763.68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3,318,923.21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32,194,840.47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34,261,064.93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3,003,285.71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31,257,779.22</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存货跌价准备" w:id="252"/>
      <w:bookmarkEnd w:id="252"/>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8"/>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4D4D4"/>
          </w:tcPr>
          <w:p>
            <w:pPr/>
          </w:p>
        </w:tc>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273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135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4D4D4"/>
          </w:tcPr>
          <w:p>
            <w:pPr/>
          </w:p>
        </w:tc>
        <w:tc>
          <w:tcPr>
            <w:tcW w:w="2734" w:type="dxa"/>
            <w:gridSpan w:val="2"/>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right w:val="single" w:sz="4" w:space="0" w:color="000000"/>
            </w:tcBorders>
            <w:shd w:val="clear" w:color="auto" w:fill="D4D4D4"/>
          </w:tcPr>
          <w:p>
            <w:pPr/>
          </w:p>
        </w:tc>
      </w:tr>
      <w:tr>
        <w:trPr>
          <w:trHeight w:val="202" w:hRule="exact"/>
        </w:trPr>
        <w:tc>
          <w:tcPr>
            <w:tcW w:w="1356" w:type="dxa"/>
            <w:vMerge/>
            <w:tcBorders>
              <w:left w:val="single" w:sz="4" w:space="0" w:color="000000"/>
              <w:bottom w:val="nil" w:sz="6" w:space="0" w:color="auto"/>
              <w:right w:val="single" w:sz="4" w:space="0" w:color="000000"/>
            </w:tcBorders>
            <w:shd w:val="clear" w:color="auto" w:fill="D4D4D4"/>
          </w:tcPr>
          <w:p>
            <w:pPr/>
          </w:p>
        </w:tc>
        <w:tc>
          <w:tcPr>
            <w:tcW w:w="1368" w:type="dxa"/>
            <w:vMerge/>
            <w:tcBorders>
              <w:left w:val="single" w:sz="4" w:space="0" w:color="000000"/>
              <w:bottom w:val="nil" w:sz="6" w:space="0" w:color="auto"/>
              <w:right w:val="single" w:sz="4" w:space="0" w:color="000000"/>
            </w:tcBorders>
            <w:shd w:val="clear" w:color="auto" w:fill="D4D4D4"/>
          </w:tcPr>
          <w:p>
            <w:pP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right w:val="single" w:sz="4" w:space="0" w:color="000000"/>
            </w:tcBorders>
            <w:shd w:val="clear" w:color="auto" w:fill="D4D4D4"/>
          </w:tcPr>
          <w:p>
            <w:pP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3,003,285.71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315,637.50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3,318,923.21</w:t>
            </w:r>
            <w:r>
              <w:rPr>
                <w:rFonts w:ascii="Times New Roman"/>
                <w:sz w:val="18"/>
              </w:rPr>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3,003,285.71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315,637.50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3,318,923.21</w:t>
            </w:r>
            <w:r>
              <w:rPr>
                <w:rFonts w:ascii="Times New Roman"/>
                <w:sz w:val="18"/>
              </w:rPr>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3）存货期末余额含有借款费用资本化金额的说明" w:id="253"/>
      <w:bookmarkEnd w:id="253"/>
      <w:r>
        <w:rPr/>
      </w:r>
      <w:bookmarkStart w:name="（4）期末建造合同形成的已完工未结算资产情况" w:id="254"/>
      <w:bookmarkEnd w:id="254"/>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0"/>
        <w:ind w:right="0"/>
        <w:jc w:val="left"/>
        <w:rPr>
          <w:b w:val="0"/>
          <w:bCs w:val="0"/>
        </w:rPr>
      </w:pPr>
      <w:r>
        <w:rPr>
          <w:rFonts w:ascii="Times New Roman" w:hAnsi="Times New Roman" w:cs="Times New Roman" w:eastAsia="Times New Roman" w:hint="default"/>
        </w:rPr>
        <w:t>11</w:t>
      </w:r>
      <w:r>
        <w:rPr/>
        <w:t>、划分为持有待售的资产</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bookmarkStart w:name="11、划分为持有待售的资产" w:id="255"/>
      <w:bookmarkEnd w:id="255"/>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5"/>
        <w:gridCol w:w="1913"/>
        <w:gridCol w:w="1918"/>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0"/>
        <w:jc w:val="left"/>
        <w:rPr>
          <w:b w:val="0"/>
          <w:bCs w:val="0"/>
        </w:rPr>
      </w:pPr>
      <w:bookmarkStart w:name="（4）报告期内可供出售金融资产减值的变动情况" w:id="256"/>
      <w:bookmarkEnd w:id="256"/>
      <w:r>
        <w:rPr>
          <w:b w:val="0"/>
          <w:bCs w:val="0"/>
        </w:rPr>
      </w:r>
      <w:r>
        <w:rPr>
          <w:rFonts w:ascii="Times New Roman" w:hAnsi="Times New Roman" w:cs="Times New Roman" w:eastAsia="Times New Roman" w:hint="default"/>
        </w:rPr>
        <w:t>13</w:t>
      </w:r>
      <w:bookmarkStart w:name="13、其他流动资产" w:id="257"/>
      <w:bookmarkEnd w:id="257"/>
      <w:r>
        <w:rPr>
          <w:rFonts w:ascii="Times New Roman" w:hAnsi="Times New Roman" w:cs="Times New Roman" w:eastAsia="Times New Roman" w:hint="default"/>
        </w:rPr>
      </w:r>
      <w:r>
        <w:rPr/>
        <w:t>、其他流动资产</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14</w:t>
      </w:r>
      <w:bookmarkStart w:name="14、可供出售金融资产" w:id="258"/>
      <w:bookmarkEnd w:id="258"/>
      <w:r>
        <w:rPr>
          <w:rFonts w:ascii="Times New Roman" w:hAnsi="Times New Roman" w:cs="Times New Roman" w:eastAsia="Times New Roman" w:hint="default"/>
        </w:rPr>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1）可供出售金融资产情况" w:id="259"/>
      <w:bookmarkEnd w:id="259"/>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194"/>
        <w:gridCol w:w="1198"/>
        <w:gridCol w:w="1195"/>
        <w:gridCol w:w="1248"/>
        <w:gridCol w:w="1368"/>
        <w:gridCol w:w="1366"/>
      </w:tblGrid>
      <w:tr>
        <w:trPr>
          <w:trHeight w:val="206" w:hRule="exact"/>
        </w:trPr>
        <w:tc>
          <w:tcPr>
            <w:tcW w:w="2000" w:type="dxa"/>
            <w:tcBorders>
              <w:top w:val="single" w:sz="4" w:space="0" w:color="000000"/>
              <w:left w:val="single" w:sz="4" w:space="0" w:color="000000"/>
              <w:bottom w:val="nil" w:sz="6" w:space="0" w:color="auto"/>
              <w:right w:val="single" w:sz="4" w:space="0" w:color="000000"/>
            </w:tcBorders>
            <w:shd w:val="clear" w:color="auto" w:fill="D4D4D4"/>
          </w:tcPr>
          <w:p>
            <w:pPr/>
          </w:p>
        </w:tc>
        <w:tc>
          <w:tcPr>
            <w:tcW w:w="3587"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200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4D4D4"/>
          </w:tcPr>
          <w:p>
            <w:pPr/>
          </w:p>
        </w:tc>
        <w:tc>
          <w:tcPr>
            <w:tcW w:w="3982" w:type="dxa"/>
            <w:gridSpan w:val="3"/>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2000" w:type="dxa"/>
            <w:vMerge/>
            <w:tcBorders>
              <w:left w:val="single" w:sz="4" w:space="0" w:color="000000"/>
              <w:bottom w:val="nil" w:sz="6" w:space="0" w:color="auto"/>
              <w:right w:val="single" w:sz="4" w:space="0" w:color="000000"/>
            </w:tcBorders>
            <w:shd w:val="clear" w:color="auto" w:fill="D4D4D4"/>
          </w:tcPr>
          <w:p>
            <w:pPr/>
          </w:p>
        </w:tc>
        <w:tc>
          <w:tcPr>
            <w:tcW w:w="11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2000" w:type="dxa"/>
            <w:tcBorders>
              <w:top w:val="nil" w:sz="6" w:space="0" w:color="auto"/>
              <w:left w:val="single" w:sz="4" w:space="0" w:color="000000"/>
              <w:bottom w:val="single" w:sz="4" w:space="0" w:color="000000"/>
              <w:right w:val="single" w:sz="4" w:space="0" w:color="000000"/>
            </w:tcBorders>
            <w:shd w:val="clear" w:color="auto" w:fill="D4D4D4"/>
          </w:tcPr>
          <w:p>
            <w:pPr/>
          </w:p>
        </w:tc>
        <w:tc>
          <w:tcPr>
            <w:tcW w:w="1194" w:type="dxa"/>
            <w:vMerge/>
            <w:tcBorders>
              <w:left w:val="single" w:sz="4" w:space="0" w:color="000000"/>
              <w:bottom w:val="single" w:sz="4" w:space="0" w:color="000000"/>
              <w:right w:val="single" w:sz="4" w:space="0" w:color="000000"/>
            </w:tcBorders>
            <w:shd w:val="clear" w:color="auto" w:fill="D4D4D4"/>
          </w:tcPr>
          <w:p>
            <w:pPr/>
          </w:p>
        </w:tc>
        <w:tc>
          <w:tcPr>
            <w:tcW w:w="1198"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24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期末按公允价值计量的可供出售金融资产" w:id="260"/>
      <w:bookmarkEnd w:id="260"/>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4"/>
        <w:gridCol w:w="1914"/>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3）期末按成本计量的可供出售金融资产" w:id="261"/>
      <w:bookmarkEnd w:id="261"/>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554"/>
        <w:gridCol w:w="1277"/>
        <w:gridCol w:w="778"/>
        <w:gridCol w:w="1205"/>
        <w:gridCol w:w="535"/>
        <w:gridCol w:w="871"/>
        <w:gridCol w:w="869"/>
        <w:gridCol w:w="871"/>
        <w:gridCol w:w="869"/>
        <w:gridCol w:w="871"/>
      </w:tblGrid>
      <w:tr>
        <w:trPr>
          <w:trHeight w:val="403" w:hRule="exact"/>
        </w:trPr>
        <w:tc>
          <w:tcPr>
            <w:tcW w:w="86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6" w:right="6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814"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146"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4D4D4"/>
          </w:tcPr>
          <w:p>
            <w:pPr/>
          </w:p>
        </w:tc>
        <w:tc>
          <w:tcPr>
            <w:tcW w:w="5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93"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7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5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83"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4D4D4"/>
          </w:tcPr>
          <w:p>
            <w:pPr/>
          </w:p>
        </w:tc>
        <w:tc>
          <w:tcPr>
            <w:tcW w:w="871" w:type="dxa"/>
            <w:vMerge/>
            <w:tcBorders>
              <w:left w:val="single" w:sz="4" w:space="0" w:color="000000"/>
              <w:bottom w:val="single" w:sz="4" w:space="0" w:color="000000"/>
              <w:right w:val="single" w:sz="4" w:space="0" w:color="000000"/>
            </w:tcBorders>
            <w:shd w:val="clear" w:color="auto" w:fill="D4D4D4"/>
          </w:tcPr>
          <w:p>
            <w:pPr/>
          </w:p>
        </w:tc>
      </w:tr>
      <w:tr>
        <w:trPr>
          <w:trHeight w:val="196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苏州北极 光正源创 业投资合 伙企业</w:t>
            </w:r>
          </w:p>
          <w:p>
            <w:pPr>
              <w:pStyle w:val="TableParagraph"/>
              <w:spacing w:line="316" w:lineRule="auto" w:before="19"/>
              <w:ind w:left="24" w:right="108"/>
              <w:jc w:val="both"/>
              <w:rPr>
                <w:rFonts w:ascii="Times New Roman" w:hAnsi="Times New Roman" w:cs="Times New Roman" w:eastAsia="Times New Roman" w:hint="default"/>
                <w:sz w:val="18"/>
                <w:szCs w:val="18"/>
              </w:rPr>
            </w:pP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55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10,000,000.00</w:t>
            </w:r>
          </w:p>
        </w:tc>
        <w:tc>
          <w:tcPr>
            <w:tcW w:w="77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8" w:right="0"/>
              <w:jc w:val="center"/>
              <w:rPr>
                <w:rFonts w:ascii="Times New Roman" w:hAnsi="Times New Roman" w:cs="Times New Roman" w:eastAsia="Times New Roman" w:hint="default"/>
                <w:sz w:val="18"/>
                <w:szCs w:val="18"/>
              </w:rPr>
            </w:pPr>
            <w:r>
              <w:rPr>
                <w:rFonts w:ascii="Times New Roman"/>
                <w:sz w:val="18"/>
              </w:rPr>
              <w:t>10,000,000.00</w:t>
            </w:r>
          </w:p>
        </w:tc>
        <w:tc>
          <w:tcPr>
            <w:tcW w:w="535"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3.06%</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5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10,000,000.00</w:t>
            </w:r>
          </w:p>
        </w:tc>
        <w:tc>
          <w:tcPr>
            <w:tcW w:w="77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center"/>
              <w:rPr>
                <w:rFonts w:ascii="Times New Roman" w:hAnsi="Times New Roman" w:cs="Times New Roman" w:eastAsia="Times New Roman" w:hint="default"/>
                <w:sz w:val="18"/>
                <w:szCs w:val="18"/>
              </w:rPr>
            </w:pPr>
            <w:r>
              <w:rPr>
                <w:rFonts w:ascii="Times New Roman"/>
                <w:sz w:val="18"/>
              </w:rPr>
              <w:t>10,000,000.00</w:t>
            </w:r>
          </w:p>
        </w:tc>
        <w:tc>
          <w:tcPr>
            <w:tcW w:w="535"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4D4D4"/>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4"/>
        <w:gridCol w:w="1914"/>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0"/>
        <w:jc w:val="left"/>
        <w:rPr>
          <w:b w:val="0"/>
          <w:bCs w:val="0"/>
        </w:rPr>
      </w:pPr>
      <w:bookmarkStart w:name="（2）因金融资产转移而终止确认的长期应收款" w:id="262"/>
      <w:bookmarkEnd w:id="262"/>
      <w:r>
        <w:rPr>
          <w:b w:val="0"/>
          <w:bCs w:val="0"/>
        </w:rPr>
      </w:r>
      <w:bookmarkStart w:name="（3）转移长期应收款且继续涉入形成的资产、负债金额" w:id="263"/>
      <w:bookmarkEnd w:id="263"/>
      <w:r>
        <w:rPr>
          <w:b w:val="0"/>
          <w:bCs w:val="0"/>
        </w:rPr>
      </w:r>
      <w:bookmarkStart w:name="17、长期股权投资" w:id="264"/>
      <w:bookmarkEnd w:id="264"/>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5）可供出售权益工具期末公允价值严重下跌或非暂时性下跌但未计提减值准备的相关说" w:id="265"/>
      <w:bookmarkEnd w:id="265"/>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09" w:right="47"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）持有至到期投</w:t>
      </w:r>
      <w:bookmarkStart w:name="15、持有至到期投资" w:id="266"/>
      <w:bookmarkEnd w:id="266"/>
      <w:r>
        <w:rPr/>
        <w:t>资情况</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1）持有至到期投资情况" w:id="267"/>
      <w:bookmarkEnd w:id="267"/>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1"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期末重要的持有至到期投资" w:id="268"/>
      <w:bookmarkEnd w:id="268"/>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0"/>
        <w:ind w:right="0"/>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3）本期重分类的持有至到期投资" w:id="269"/>
      <w:bookmarkEnd w:id="269"/>
      <w:r>
        <w:rPr/>
      </w:r>
      <w:bookmarkStart w:name="16、长期应收款" w:id="270"/>
      <w:bookmarkEnd w:id="270"/>
      <w:r>
        <w:rPr/>
      </w:r>
      <w:bookmarkStart w:name="（1）长期应收款情况" w:id="271"/>
      <w:bookmarkEnd w:id="271"/>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6"/>
        <w:gridCol w:w="1166"/>
        <w:gridCol w:w="1166"/>
        <w:gridCol w:w="1169"/>
        <w:gridCol w:w="1166"/>
        <w:gridCol w:w="1166"/>
        <w:gridCol w:w="1164"/>
      </w:tblGrid>
      <w:tr>
        <w:trPr>
          <w:trHeight w:val="401" w:hRule="exact"/>
        </w:trPr>
        <w:tc>
          <w:tcPr>
            <w:tcW w:w="140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9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403" w:type="dxa"/>
            <w:vMerge/>
            <w:tcBorders>
              <w:left w:val="single" w:sz="4" w:space="0" w:color="000000"/>
              <w:bottom w:val="single" w:sz="4" w:space="0" w:color="000000"/>
              <w:right w:val="single" w:sz="4" w:space="0" w:color="000000"/>
            </w:tcBorders>
            <w:shd w:val="clear" w:color="auto" w:fill="D4D4D4"/>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4D4D4"/>
          </w:tcPr>
          <w:p>
            <w:pP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0"/>
        <w:ind w:right="0"/>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6382"/>
        <w:gridCol w:w="799"/>
        <w:gridCol w:w="797"/>
      </w:tblGrid>
      <w:tr>
        <w:trPr>
          <w:trHeight w:val="403" w:hRule="exact"/>
        </w:trPr>
        <w:tc>
          <w:tcPr>
            <w:tcW w:w="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32" w:right="0"/>
              <w:jc w:val="left"/>
              <w:rPr>
                <w:rFonts w:ascii="宋体" w:hAnsi="宋体" w:cs="宋体" w:eastAsia="宋体" w:hint="default"/>
                <w:sz w:val="18"/>
                <w:szCs w:val="18"/>
              </w:rPr>
            </w:pPr>
            <w:r>
              <w:rPr>
                <w:rFonts w:ascii="宋体" w:hAnsi="宋体" w:cs="宋体" w:eastAsia="宋体" w:hint="default"/>
                <w:sz w:val="18"/>
                <w:szCs w:val="18"/>
              </w:rPr>
              <w:t>被投资单</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803"/>
        <w:gridCol w:w="794"/>
        <w:gridCol w:w="797"/>
        <w:gridCol w:w="799"/>
        <w:gridCol w:w="797"/>
        <w:gridCol w:w="793"/>
        <w:gridCol w:w="803"/>
        <w:gridCol w:w="799"/>
        <w:gridCol w:w="797"/>
      </w:tblGrid>
      <w:tr>
        <w:trPr>
          <w:trHeight w:val="161" w:hRule="exact"/>
        </w:trPr>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位</w:t>
            </w:r>
          </w:p>
        </w:tc>
        <w:tc>
          <w:tcPr>
            <w:tcW w:w="797" w:type="dxa"/>
            <w:vMerge w:val="restart"/>
            <w:tcBorders>
              <w:top w:val="single" w:sz="4" w:space="0" w:color="000000"/>
              <w:left w:val="single" w:sz="4" w:space="0" w:color="000000"/>
              <w:right w:val="single" w:sz="4" w:space="0" w:color="000000"/>
            </w:tcBorders>
            <w:shd w:val="clear" w:color="auto" w:fill="D4D4D4"/>
          </w:tcPr>
          <w:p>
            <w:pPr/>
          </w:p>
        </w:tc>
        <w:tc>
          <w:tcPr>
            <w:tcW w:w="797" w:type="dxa"/>
            <w:vMerge w:val="restart"/>
            <w:tcBorders>
              <w:top w:val="single" w:sz="4" w:space="0" w:color="000000"/>
              <w:left w:val="single" w:sz="4" w:space="0" w:color="000000"/>
              <w:right w:val="single" w:sz="4" w:space="0" w:color="000000"/>
            </w:tcBorders>
            <w:shd w:val="clear" w:color="auto" w:fill="D4D4D4"/>
          </w:tcPr>
          <w:p>
            <w:pPr/>
          </w:p>
        </w:tc>
        <w:tc>
          <w:tcPr>
            <w:tcW w:w="803" w:type="dxa"/>
            <w:vMerge w:val="restart"/>
            <w:tcBorders>
              <w:top w:val="single" w:sz="4" w:space="0" w:color="000000"/>
              <w:left w:val="single" w:sz="4" w:space="0" w:color="000000"/>
              <w:right w:val="single" w:sz="4" w:space="0" w:color="000000"/>
            </w:tcBorders>
            <w:shd w:val="clear" w:color="auto" w:fill="D4D4D4"/>
          </w:tcPr>
          <w:p>
            <w:pPr/>
          </w:p>
        </w:tc>
        <w:tc>
          <w:tcPr>
            <w:tcW w:w="79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7" w:right="34"/>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9"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2"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3" w:type="dxa"/>
            <w:tcBorders>
              <w:top w:val="single" w:sz="4" w:space="0" w:color="000000"/>
              <w:left w:val="single" w:sz="4" w:space="0" w:color="000000"/>
              <w:bottom w:val="nil" w:sz="6" w:space="0" w:color="auto"/>
              <w:right w:val="single" w:sz="4" w:space="0" w:color="000000"/>
            </w:tcBorders>
            <w:shd w:val="clear" w:color="auto" w:fill="D4D4D4"/>
          </w:tcPr>
          <w:p>
            <w:pPr/>
          </w:p>
        </w:tc>
        <w:tc>
          <w:tcPr>
            <w:tcW w:w="803" w:type="dxa"/>
            <w:vMerge w:val="restart"/>
            <w:tcBorders>
              <w:top w:val="single" w:sz="4" w:space="0" w:color="000000"/>
              <w:left w:val="single" w:sz="4" w:space="0" w:color="000000"/>
              <w:right w:val="single" w:sz="4" w:space="0" w:color="000000"/>
            </w:tcBorders>
            <w:shd w:val="clear" w:color="auto" w:fill="D4D4D4"/>
          </w:tcPr>
          <w:p>
            <w:pPr/>
          </w:p>
        </w:tc>
        <w:tc>
          <w:tcPr>
            <w:tcW w:w="799" w:type="dxa"/>
            <w:vMerge w:val="restart"/>
            <w:tcBorders>
              <w:top w:val="single" w:sz="4" w:space="0" w:color="000000"/>
              <w:left w:val="single" w:sz="4" w:space="0" w:color="000000"/>
              <w:right w:val="single" w:sz="4" w:space="0" w:color="000000"/>
            </w:tcBorders>
            <w:shd w:val="clear" w:color="auto" w:fill="D4D4D4"/>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8"/>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6" w:hRule="exact"/>
        </w:trPr>
        <w:tc>
          <w:tcPr>
            <w:tcW w:w="797"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803" w:type="dxa"/>
            <w:vMerge/>
            <w:tcBorders>
              <w:left w:val="single" w:sz="4" w:space="0" w:color="000000"/>
              <w:bottom w:val="nil" w:sz="6" w:space="0" w:color="auto"/>
              <w:right w:val="single" w:sz="4" w:space="0" w:color="000000"/>
            </w:tcBorders>
            <w:shd w:val="clear" w:color="auto" w:fill="D4D4D4"/>
          </w:tcPr>
          <w:p>
            <w:pPr/>
          </w:p>
        </w:tc>
        <w:tc>
          <w:tcPr>
            <w:tcW w:w="794" w:type="dxa"/>
            <w:vMerge/>
            <w:tcBorders>
              <w:left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32"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12"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vMerge/>
            <w:tcBorders>
              <w:left w:val="single" w:sz="4" w:space="0" w:color="000000"/>
              <w:right w:val="single" w:sz="4" w:space="0" w:color="000000"/>
            </w:tcBorders>
            <w:shd w:val="clear" w:color="auto" w:fill="D4D4D4"/>
          </w:tcPr>
          <w:p>
            <w:pPr/>
          </w:p>
        </w:tc>
        <w:tc>
          <w:tcPr>
            <w:tcW w:w="793"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12" w:right="28"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803" w:type="dxa"/>
            <w:vMerge/>
            <w:tcBorders>
              <w:left w:val="single" w:sz="4" w:space="0" w:color="000000"/>
              <w:bottom w:val="nil" w:sz="6" w:space="0" w:color="auto"/>
              <w:right w:val="single" w:sz="4" w:space="0" w:color="000000"/>
            </w:tcBorders>
            <w:shd w:val="clear" w:color="auto" w:fill="D4D4D4"/>
          </w:tcPr>
          <w:p>
            <w:pPr/>
          </w:p>
        </w:tc>
        <w:tc>
          <w:tcPr>
            <w:tcW w:w="799"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tcPr>
          <w:p>
            <w:pPr/>
          </w:p>
        </w:tc>
      </w:tr>
      <w:tr>
        <w:trPr>
          <w:trHeight w:val="371" w:hRule="exact"/>
        </w:trPr>
        <w:tc>
          <w:tcPr>
            <w:tcW w:w="797" w:type="dxa"/>
            <w:vMerge w:val="restart"/>
            <w:tcBorders>
              <w:top w:val="nil" w:sz="6" w:space="0" w:color="auto"/>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80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4"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3" w:type="dxa"/>
            <w:vMerge/>
            <w:tcBorders>
              <w:left w:val="single" w:sz="4" w:space="0" w:color="000000"/>
              <w:right w:val="single" w:sz="4" w:space="0" w:color="000000"/>
            </w:tcBorders>
            <w:shd w:val="clear" w:color="auto" w:fill="D4D4D4"/>
          </w:tcPr>
          <w:p>
            <w:pPr/>
          </w:p>
        </w:tc>
        <w:tc>
          <w:tcPr>
            <w:tcW w:w="80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28"/>
              <w:ind w:left="21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tcPr>
          <w:p>
            <w:pPr/>
          </w:p>
        </w:tc>
      </w:tr>
      <w:tr>
        <w:trPr>
          <w:trHeight w:val="156" w:hRule="exact"/>
        </w:trPr>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
        </w:tc>
        <w:tc>
          <w:tcPr>
            <w:tcW w:w="803" w:type="dxa"/>
            <w:vMerge w:val="restart"/>
            <w:tcBorders>
              <w:top w:val="nil" w:sz="6" w:space="0" w:color="auto"/>
              <w:left w:val="single" w:sz="4" w:space="0" w:color="000000"/>
              <w:right w:val="single" w:sz="4" w:space="0" w:color="000000"/>
            </w:tcBorders>
            <w:shd w:val="clear" w:color="auto" w:fill="D4D4D4"/>
          </w:tcPr>
          <w:p>
            <w:pPr/>
          </w:p>
        </w:tc>
        <w:tc>
          <w:tcPr>
            <w:tcW w:w="794" w:type="dxa"/>
            <w:vMerge/>
            <w:tcBorders>
              <w:left w:val="single" w:sz="4" w:space="0" w:color="000000"/>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799"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3" w:type="dxa"/>
            <w:vMerge/>
            <w:tcBorders>
              <w:left w:val="single" w:sz="4" w:space="0" w:color="000000"/>
              <w:bottom w:val="nil" w:sz="6" w:space="0" w:color="auto"/>
              <w:right w:val="single" w:sz="4" w:space="0" w:color="000000"/>
            </w:tcBorders>
            <w:shd w:val="clear" w:color="auto" w:fill="D4D4D4"/>
          </w:tcPr>
          <w:p>
            <w:pPr/>
          </w:p>
        </w:tc>
        <w:tc>
          <w:tcPr>
            <w:tcW w:w="803" w:type="dxa"/>
            <w:vMerge w:val="restart"/>
            <w:tcBorders>
              <w:top w:val="nil" w:sz="6" w:space="0" w:color="auto"/>
              <w:left w:val="single" w:sz="4" w:space="0" w:color="000000"/>
              <w:right w:val="single" w:sz="4" w:space="0" w:color="000000"/>
            </w:tcBorders>
            <w:shd w:val="clear" w:color="auto" w:fill="D4D4D4"/>
          </w:tcPr>
          <w:p>
            <w:pPr/>
          </w:p>
        </w:tc>
        <w:tc>
          <w:tcPr>
            <w:tcW w:w="799"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tcPr>
          <w:p>
            <w:pPr/>
          </w:p>
        </w:tc>
      </w:tr>
      <w:tr>
        <w:trPr>
          <w:trHeight w:val="162" w:hRule="exact"/>
        </w:trPr>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803" w:type="dxa"/>
            <w:vMerge/>
            <w:tcBorders>
              <w:left w:val="single" w:sz="4" w:space="0" w:color="000000"/>
              <w:bottom w:val="single" w:sz="4" w:space="0" w:color="000000"/>
              <w:right w:val="single" w:sz="4" w:space="0" w:color="000000"/>
            </w:tcBorders>
            <w:shd w:val="clear" w:color="auto" w:fill="D4D4D4"/>
          </w:tcPr>
          <w:p>
            <w:pPr/>
          </w:p>
        </w:tc>
        <w:tc>
          <w:tcPr>
            <w:tcW w:w="794"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99"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3" w:type="dxa"/>
            <w:tcBorders>
              <w:top w:val="nil" w:sz="6" w:space="0" w:color="auto"/>
              <w:left w:val="single" w:sz="4" w:space="0" w:color="000000"/>
              <w:bottom w:val="single" w:sz="4" w:space="0" w:color="000000"/>
              <w:right w:val="single" w:sz="4" w:space="0" w:color="000000"/>
            </w:tcBorders>
            <w:shd w:val="clear" w:color="auto" w:fill="D4D4D4"/>
          </w:tcPr>
          <w:p>
            <w:pPr/>
          </w:p>
        </w:tc>
        <w:tc>
          <w:tcPr>
            <w:tcW w:w="803" w:type="dxa"/>
            <w:vMerge/>
            <w:tcBorders>
              <w:left w:val="single" w:sz="4" w:space="0" w:color="000000"/>
              <w:bottom w:val="single" w:sz="4" w:space="0" w:color="000000"/>
              <w:right w:val="single" w:sz="4" w:space="0" w:color="000000"/>
            </w:tcBorders>
            <w:shd w:val="clear" w:color="auto" w:fill="D4D4D4"/>
          </w:tcPr>
          <w:p>
            <w:pPr/>
          </w:p>
        </w:tc>
        <w:tc>
          <w:tcPr>
            <w:tcW w:w="799"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tcPr>
          <w:p>
            <w:pPr/>
          </w:p>
        </w:tc>
      </w:tr>
      <w:tr>
        <w:trPr>
          <w:trHeight w:val="402"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1"/>
              <w:ind w:left="24"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上海亿富 金融信息 服务有限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 </w:t>
            </w:r>
            <w:r>
              <w:rPr>
                <w:rFonts w:ascii="Times New Roman" w:hAnsi="Times New Roman" w:cs="Times New Roman" w:eastAsia="Times New Roman" w:hint="default"/>
                <w:sz w:val="18"/>
                <w:szCs w:val="18"/>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03"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深圳市杉 岩数据技 术有限公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3"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6"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803"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2"/>
              <w:ind w:left="456"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3"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6"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bookmarkStart w:name="（1）采用成本计量模式的投资性房地产" w:id="272"/>
      <w:bookmarkEnd w:id="272"/>
      <w:r>
        <w:rPr/>
      </w:r>
      <w:r>
        <w:rPr>
          <w:rFonts w:ascii="宋体" w:hAnsi="宋体" w:cs="宋体" w:eastAsia="宋体" w:hint="default"/>
          <w:sz w:val="18"/>
          <w:szCs w:val="18"/>
        </w:rPr>
        <w:t>其他说明</w:t>
      </w:r>
    </w:p>
    <w:p>
      <w:pPr>
        <w:spacing w:line="240" w:lineRule="auto" w:before="11"/>
        <w:rPr>
          <w:rFonts w:ascii="宋体" w:hAnsi="宋体" w:cs="宋体" w:eastAsia="宋体" w:hint="default"/>
          <w:sz w:val="14"/>
          <w:szCs w:val="14"/>
        </w:rPr>
      </w:pPr>
    </w:p>
    <w:p>
      <w:pPr>
        <w:spacing w:line="451" w:lineRule="auto" w:before="0"/>
        <w:ind w:left="152" w:right="144" w:hanging="1"/>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：详见本报告 第十节 十二 </w:t>
      </w:r>
      <w:r>
        <w:rPr>
          <w:rFonts w:ascii="宋体" w:hAnsi="宋体" w:cs="宋体" w:eastAsia="宋体" w:hint="default"/>
          <w:sz w:val="18"/>
          <w:szCs w:val="18"/>
        </w:rPr>
        <w:t>5</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 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日，经公司第三届董事会第二次会议审议通过《关于公司控股子公司增资参股深圳市杉岩数据技术有限 公司的议案》，同意公司控股子公司上海天玑数据技术有限公司（以下简称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天玑数据</w:t>
      </w:r>
      <w:r>
        <w:rPr>
          <w:rFonts w:ascii="Times New Roman" w:hAnsi="Times New Roman" w:cs="Times New Roman" w:eastAsia="Times New Roman" w:hint="default"/>
          <w:sz w:val="18"/>
          <w:szCs w:val="18"/>
        </w:rPr>
        <w:t>”</w:t>
      </w:r>
      <w:r>
        <w:rPr>
          <w:rFonts w:ascii="宋体" w:hAnsi="宋体" w:cs="宋体" w:eastAsia="宋体" w:hint="default"/>
          <w:sz w:val="18"/>
          <w:szCs w:val="18"/>
        </w:rPr>
        <w:t>）使用自有资金</w:t>
      </w:r>
      <w:r>
        <w:rPr>
          <w:rFonts w:ascii="Times New Roman" w:hAnsi="Times New Roman" w:cs="Times New Roman" w:eastAsia="Times New Roman" w:hint="default"/>
          <w:sz w:val="18"/>
          <w:szCs w:val="18"/>
        </w:rPr>
        <w:t>1,000</w:t>
      </w:r>
      <w:r>
        <w:rPr>
          <w:rFonts w:ascii="宋体" w:hAnsi="宋体" w:cs="宋体" w:eastAsia="宋体" w:hint="default"/>
          <w:sz w:val="18"/>
          <w:szCs w:val="18"/>
        </w:rPr>
        <w:t>万元增资深圳</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1"/>
          <w:sz w:val="18"/>
          <w:szCs w:val="18"/>
        </w:rPr>
        <w:t>市杉岩数据技术有限公司（以下简称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杉岩数据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），本次增资完成后，天玑数据将持有杉岩数据</w:t>
      </w:r>
      <w:r>
        <w:rPr>
          <w:rFonts w:ascii="Times New Roman" w:hAnsi="Times New Roman" w:cs="Times New Roman" w:eastAsia="Times New Roman" w:hint="default"/>
          <w:spacing w:val="-1"/>
          <w:sz w:val="18"/>
          <w:szCs w:val="18"/>
        </w:rPr>
        <w:t>15%</w:t>
      </w:r>
      <w:r>
        <w:rPr>
          <w:rFonts w:ascii="宋体" w:hAnsi="宋体" w:cs="宋体" w:eastAsia="宋体" w:hint="default"/>
          <w:spacing w:val="-1"/>
          <w:sz w:val="18"/>
          <w:szCs w:val="18"/>
        </w:rPr>
        <w:t>的股权并对该公司重大</w:t>
      </w:r>
      <w:r>
        <w:rPr>
          <w:rFonts w:ascii="宋体" w:hAnsi="宋体" w:cs="宋体" w:eastAsia="宋体" w:hint="default"/>
          <w:spacing w:val="-69"/>
          <w:sz w:val="18"/>
          <w:szCs w:val="18"/>
        </w:rPr>
        <w:t> </w:t>
      </w:r>
      <w:r>
        <w:rPr>
          <w:rFonts w:ascii="宋体" w:hAnsi="宋体" w:cs="宋体" w:eastAsia="宋体" w:hint="default"/>
          <w:sz w:val="18"/>
          <w:szCs w:val="18"/>
        </w:rPr>
        <w:t>影响。截至本年末，公司已全额支付上述增资款。</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5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bookmarkStart w:name="18、投资性房地产" w:id="273"/>
      <w:bookmarkEnd w:id="273"/>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7"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7"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18,470,497.95</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18,470,497.95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7"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328"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18,470,497.95</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18,470,497.95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362"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18,470,497.95</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18,470,497.95</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5,447,794.63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5,447,794.63</w:t>
            </w:r>
            <w:r>
              <w:rPr>
                <w:rFonts w:ascii="Times New Roman"/>
                <w:sz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5,447,794.63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5,447,794.63</w:t>
            </w:r>
            <w:r>
              <w:rPr>
                <w:rFonts w:ascii="Times New Roman"/>
                <w:sz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595,942.41</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595,942.41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固定资产转入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4,851,852.22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4,851,852.22</w:t>
            </w:r>
            <w:r>
              <w:rPr>
                <w:rFonts w:ascii="Times New Roman"/>
                <w:sz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5,447,794.63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5,447,794.63</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13,022,703.32</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13,022,703.32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bookmarkStart w:name="（2）采用公允价值计量模式的投资性房地产" w:id="274"/>
      <w:bookmarkEnd w:id="274"/>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3</w:t>
      </w:r>
      <w:bookmarkStart w:name="（3）未办妥产权证书的投资性房地产情况" w:id="275"/>
      <w:bookmarkEnd w:id="275"/>
      <w:r>
        <w:rPr>
          <w:rFonts w:ascii="Times New Roman" w:hAnsi="Times New Roman" w:cs="Times New Roman" w:eastAsia="Times New Roman" w:hint="default"/>
        </w:rPr>
      </w:r>
      <w:r>
        <w:rPr/>
        <w:t>）未办妥产权证书的投资性房地产情况</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19、固定资产" w:id="276"/>
      <w:bookmarkEnd w:id="276"/>
      <w:r>
        <w:rPr/>
      </w:r>
      <w:bookmarkStart w:name="（1）固定资产情况" w:id="277"/>
      <w:bookmarkEnd w:id="277"/>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8"/>
        <w:gridCol w:w="1366"/>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587" w:right="91" w:hanging="404"/>
              <w:jc w:val="left"/>
              <w:rPr>
                <w:rFonts w:ascii="宋体" w:hAnsi="宋体" w:cs="宋体" w:eastAsia="宋体" w:hint="default"/>
                <w:sz w:val="18"/>
                <w:szCs w:val="18"/>
              </w:rPr>
            </w:pPr>
            <w:r>
              <w:rPr>
                <w:rFonts w:ascii="宋体" w:hAnsi="宋体" w:cs="宋体" w:eastAsia="宋体" w:hint="default"/>
                <w:sz w:val="18"/>
                <w:szCs w:val="18"/>
              </w:rPr>
              <w:t>办公及其他设 备</w:t>
            </w:r>
          </w:p>
        </w:tc>
        <w:tc>
          <w:tcPr>
            <w:tcW w:w="1366" w:type="dxa"/>
            <w:tcBorders>
              <w:top w:val="single" w:sz="4" w:space="0" w:color="000000"/>
              <w:left w:val="single" w:sz="10" w:space="0" w:color="E1FFFF"/>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78,121,122.54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28,911,756.18</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7,530,275.76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1,040,156.41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3,017,030.76</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118,620,341.65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3,696,289.45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912,403.83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1,141,809.07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411,134.19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418,169.72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6,579,806.26</w:t>
            </w:r>
            <w:r>
              <w:rPr>
                <w:rFonts w:ascii="Times New Roman"/>
                <w:sz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3,696,289.45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912,403.83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1,141,809.07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411,134.19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418,169.72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6,579,806.26</w:t>
            </w:r>
            <w:r>
              <w:rPr>
                <w:rFonts w:ascii="Times New Roman"/>
                <w:sz w:val="18"/>
              </w:rPr>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9"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9"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18,470,497.95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1,201,792.67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134,320.33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386,707.22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20,193,318.17</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9"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1,201,792.67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134,320.33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386,707.22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1,722,820.22</w:t>
            </w:r>
            <w:r>
              <w:rPr>
                <w:rFonts w:ascii="Times New Roman"/>
                <w:sz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18,470,497.95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18,470,497.95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63,346,914.04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28,622,367.34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8,537,764.50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1,064,583.38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3,435,200.48</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105,006,829.74</w:t>
            </w:r>
            <w:r>
              <w:rPr>
                <w:rFonts w:ascii="Times New Roman"/>
                <w:sz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8,488,983.05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9,789,913.28</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5,384,833.97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884,359.15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1,514,166.40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26,062,255.85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1,801,942.05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2,801,532.30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1,540,354.87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144,272.63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441,378.22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6,729,480.07</w:t>
            </w:r>
            <w:r>
              <w:rPr>
                <w:rFonts w:ascii="Times New Roman"/>
                <w:sz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1,801,942.05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2,801,532.30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1,540,354.87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144,272.63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441,378.22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6,729,480.07</w:t>
            </w:r>
            <w:r>
              <w:rPr>
                <w:rFonts w:ascii="Times New Roman"/>
                <w:sz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4,851,852.22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547,026.00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125,838.24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367,372.24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5,892,088.70</w:t>
            </w:r>
            <w:r>
              <w:rPr>
                <w:rFonts w:ascii="Times New Roman"/>
                <w:sz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364"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547,026.00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125,838.24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367,372.24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1,040,236.48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8"/>
        <w:gridCol w:w="1366"/>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4,851,852.22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4,851,852.22</w:t>
            </w:r>
            <w:r>
              <w:rPr>
                <w:rFonts w:ascii="Times New Roman"/>
                <w:sz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5,439,072.88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12,044,419.58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6,799,350.60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661,259.54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1,955,544.62</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26,899,647.22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9"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57,907,841.16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16,577,947.76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1,738,413.90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403,323.84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1,479,655.86</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78,107,182.52</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69,632,139.49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19,121,842.90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2,145,441.79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155,797.26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1,502,864.36</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92,558,085.80</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bookmarkStart w:name="（4）通过经营租赁租出的固定资产" w:id="278"/>
      <w:bookmarkEnd w:id="278"/>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暂时闲置的固定资产情况" w:id="279"/>
      <w:bookmarkEnd w:id="279"/>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6"/>
        <w:gridCol w:w="1594"/>
        <w:gridCol w:w="1596"/>
        <w:gridCol w:w="1594"/>
        <w:gridCol w:w="1583"/>
      </w:tblGrid>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bookmarkStart w:name="（3）通过融资租赁租入的固定资产情况" w:id="280"/>
      <w:bookmarkEnd w:id="280"/>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1"/>
        <w:gridCol w:w="4788"/>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6,625,949.11</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11,009,971.97</w:t>
            </w:r>
            <w:r>
              <w:rPr>
                <w:rFonts w:ascii="Times New Roman"/>
                <w:sz w:val="18"/>
              </w:rPr>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146,014.27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1"/>
        <w:gridCol w:w="4788"/>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17,781,935.35</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bookmarkStart w:name="21、工程物资" w:id="281"/>
      <w:bookmarkEnd w:id="281"/>
      <w:r>
        <w:rPr>
          <w:b w:val="0"/>
          <w:bCs w:val="0"/>
        </w:rPr>
      </w:r>
      <w:bookmarkStart w:name="22、固定资产清理" w:id="282"/>
      <w:bookmarkEnd w:id="282"/>
      <w:r>
        <w:rPr>
          <w:b w:val="0"/>
          <w:bCs w:val="0"/>
        </w:rPr>
      </w:r>
      <w:r>
        <w:rPr/>
        <w:t>（</w:t>
      </w:r>
      <w:r>
        <w:rPr>
          <w:rFonts w:ascii="Times New Roman" w:hAnsi="Times New Roman" w:cs="Times New Roman" w:eastAsia="Times New Roman" w:hint="default"/>
        </w:rPr>
        <w:t>5</w:t>
      </w:r>
      <w:bookmarkStart w:name="（5）未办妥产权证书的固定资产情况" w:id="283"/>
      <w:bookmarkEnd w:id="283"/>
      <w:r>
        <w:rPr>
          <w:rFonts w:ascii="Times New Roman" w:hAnsi="Times New Roman" w:cs="Times New Roman" w:eastAsia="Times New Roman" w:hint="default"/>
        </w:rPr>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0、在建工程" w:id="284"/>
      <w:bookmarkEnd w:id="284"/>
      <w:r>
        <w:rPr/>
      </w:r>
      <w:bookmarkStart w:name="（1）在建工程情况" w:id="285"/>
      <w:bookmarkEnd w:id="285"/>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1"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重要在建工程项目本期变动情况" w:id="286"/>
      <w:bookmarkEnd w:id="286"/>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4"/>
        <w:gridCol w:w="737"/>
        <w:gridCol w:w="737"/>
        <w:gridCol w:w="734"/>
        <w:gridCol w:w="737"/>
        <w:gridCol w:w="737"/>
        <w:gridCol w:w="734"/>
        <w:gridCol w:w="737"/>
        <w:gridCol w:w="737"/>
        <w:gridCol w:w="734"/>
        <w:gridCol w:w="737"/>
      </w:tblGrid>
      <w:tr>
        <w:trPr>
          <w:trHeight w:val="1339" w:hRule="exact"/>
        </w:trPr>
        <w:tc>
          <w:tcPr>
            <w:tcW w:w="7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0"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3）本期计提在建工程减值准备情况" w:id="287"/>
      <w:bookmarkEnd w:id="287"/>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0"/>
        <w:ind w:right="0"/>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0"/>
        <w:jc w:val="left"/>
        <w:rPr>
          <w:b w:val="0"/>
          <w:bCs w:val="0"/>
        </w:rPr>
      </w:pPr>
      <w:r>
        <w:rPr>
          <w:rFonts w:ascii="Times New Roman" w:hAnsi="Times New Roman" w:cs="Times New Roman" w:eastAsia="Times New Roman" w:hint="default"/>
        </w:rPr>
        <w:t>23</w:t>
      </w:r>
      <w:bookmarkStart w:name="23、生产性生物资产" w:id="288"/>
      <w:bookmarkEnd w:id="288"/>
      <w:r>
        <w:rPr>
          <w:rFonts w:ascii="Times New Roman" w:hAnsi="Times New Roman" w:cs="Times New Roman" w:eastAsia="Times New Roman" w:hint="default"/>
        </w:rPr>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bookmarkStart w:name="（1）采用成本计量模式的生产性生物资产" w:id="289"/>
      <w:bookmarkEnd w:id="289"/>
      <w:r>
        <w:rPr>
          <w:rFonts w:ascii="Times New Roman" w:hAnsi="Times New Roman" w:cs="Times New Roman" w:eastAsia="Times New Roman" w:hint="default"/>
        </w:rPr>
      </w:r>
      <w:r>
        <w:rPr/>
        <w:t>）采用成本计量模式的生产性生物资产</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）采用公允价值</w:t>
      </w:r>
      <w:bookmarkStart w:name="（2）采用公允价值计量模式的生产性生物资产" w:id="290"/>
      <w:bookmarkEnd w:id="290"/>
      <w:r>
        <w:rPr/>
        <w:t>计量</w:t>
      </w:r>
      <w:r>
        <w:rPr/>
        <w:t>模式的生产性生物资产</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4、油气资产" w:id="291"/>
      <w:bookmarkEnd w:id="291"/>
      <w:r>
        <w:rPr/>
      </w:r>
      <w:bookmarkStart w:name="25、无形资产" w:id="292"/>
      <w:bookmarkEnd w:id="292"/>
      <w:r>
        <w:rPr/>
      </w:r>
      <w:bookmarkStart w:name="（1）无形资产情况" w:id="293"/>
      <w:bookmarkEnd w:id="293"/>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13" w:space="0" w:color="D4D4D4"/>
              <w:bottom w:val="single" w:sz="4" w:space="0" w:color="000000"/>
              <w:right w:val="single" w:sz="4" w:space="0" w:color="000000"/>
            </w:tcBorders>
            <w:shd w:val="clear" w:color="auto" w:fill="E1FFFF"/>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10" w:space="0" w:color="D4D4D4"/>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10" w:space="0" w:color="D4D4D4"/>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34,017.09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34,017.09</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10" w:space="0" w:color="D4D4D4"/>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10" w:space="0" w:color="D4D4D4"/>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4" w:type="dxa"/>
            <w:tcBorders>
              <w:top w:val="single" w:sz="4" w:space="0" w:color="000000"/>
              <w:left w:val="single" w:sz="10" w:space="0" w:color="D4D4D4"/>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26"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4" w:type="dxa"/>
            <w:tcBorders>
              <w:top w:val="single" w:sz="4" w:space="0" w:color="000000"/>
              <w:left w:val="single" w:sz="10" w:space="0" w:color="D4D4D4"/>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34,017.09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34,017.09</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6,614.44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6,614.44</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11,339.04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11,339.04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w w:val="95"/>
                <w:sz w:val="18"/>
              </w:rPr>
              <w:t>11,339.04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w w:val="95"/>
                <w:sz w:val="18"/>
              </w:rPr>
              <w:t>11,339.04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17,953.48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17,953.48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16,063.61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16,063.61</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27,402.65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27,402.65</w:t>
            </w:r>
          </w:p>
        </w:tc>
      </w:tr>
    </w:tbl>
    <w:p>
      <w:pPr>
        <w:spacing w:before="49"/>
        <w:ind w:left="152" w:right="0" w:firstLine="0"/>
        <w:jc w:val="left"/>
        <w:rPr>
          <w:rFonts w:ascii="宋体" w:hAnsi="宋体" w:cs="宋体" w:eastAsia="宋体" w:hint="default"/>
          <w:sz w:val="18"/>
          <w:szCs w:val="18"/>
        </w:rPr>
      </w:pPr>
      <w:bookmarkStart w:name="26、开发支出" w:id="294"/>
      <w:bookmarkEnd w:id="294"/>
      <w:r>
        <w:rPr/>
      </w:r>
      <w:r>
        <w:rPr>
          <w:rFonts w:ascii="宋体" w:hAnsi="宋体" w:cs="宋体" w:eastAsia="宋体" w:hint="default"/>
          <w:sz w:val="18"/>
          <w:szCs w:val="18"/>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未办妥产权证书的土地使用权情况" w:id="295"/>
      <w:bookmarkEnd w:id="295"/>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0"/>
        <w:ind w:right="0"/>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3190"/>
        <w:gridCol w:w="3187"/>
        <w:gridCol w:w="1063"/>
      </w:tblGrid>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0"/>
        <w:jc w:val="left"/>
        <w:rPr>
          <w:b w:val="0"/>
          <w:bCs w:val="0"/>
        </w:rPr>
      </w:pPr>
      <w:bookmarkStart w:name="29、递延所得税资产/递延所得税负债" w:id="296"/>
      <w:bookmarkEnd w:id="296"/>
      <w:r>
        <w:rPr>
          <w:b w:val="0"/>
          <w:bCs w:val="0"/>
        </w:rPr>
      </w:r>
      <w:bookmarkStart w:name="（1）未经抵销的递延所得税资产" w:id="297"/>
      <w:bookmarkEnd w:id="297"/>
      <w:r>
        <w:rPr>
          <w:b w:val="0"/>
          <w:bCs w:val="0"/>
        </w:rPr>
      </w:r>
      <w:r>
        <w:rPr>
          <w:rFonts w:ascii="Times New Roman" w:hAnsi="Times New Roman" w:cs="Times New Roman" w:eastAsia="Times New Roman" w:hint="default"/>
        </w:rPr>
        <w:t>27</w:t>
      </w:r>
      <w:bookmarkStart w:name="27、商誉" w:id="298"/>
      <w:bookmarkEnd w:id="298"/>
      <w:r>
        <w:rPr>
          <w:rFonts w:ascii="Times New Roman" w:hAnsi="Times New Roman" w:cs="Times New Roman" w:eastAsia="Times New Roman" w:hint="default"/>
        </w:rPr>
      </w:r>
      <w:r>
        <w:rPr/>
        <w:t>、商誉</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bookmarkStart w:name="（1）商誉账面原值" w:id="299"/>
      <w:bookmarkEnd w:id="299"/>
      <w:r>
        <w:rPr>
          <w:rFonts w:ascii="Times New Roman" w:hAnsi="Times New Roman" w:cs="Times New Roman" w:eastAsia="Times New Roman" w:hint="default"/>
        </w:rPr>
      </w:r>
      <w:r>
        <w:rPr/>
        <w:t>）商誉账面原值</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8"/>
        <w:gridCol w:w="1366"/>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上海复深蓝信息 技术有限公司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24,302,015.94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24,302,015.94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24,302,015.94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24,302,015.94</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商誉减值准备" w:id="300"/>
      <w:bookmarkEnd w:id="300"/>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2734"/>
        <w:gridCol w:w="2736"/>
        <w:gridCol w:w="1366"/>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400" w:lineRule="auto" w:before="49"/>
        <w:ind w:left="152" w:right="0" w:firstLine="0"/>
        <w:jc w:val="left"/>
        <w:rPr>
          <w:rFonts w:ascii="宋体" w:hAnsi="宋体" w:cs="宋体" w:eastAsia="宋体" w:hint="default"/>
          <w:sz w:val="21"/>
          <w:szCs w:val="21"/>
        </w:rPr>
      </w:pPr>
      <w:r>
        <w:rPr>
          <w:rFonts w:ascii="宋体" w:hAnsi="宋体" w:cs="宋体" w:eastAsia="宋体" w:hint="default"/>
          <w:sz w:val="18"/>
          <w:szCs w:val="18"/>
        </w:rPr>
        <w:t>说明商誉减值测试过程、参数及商誉减值损失的确认方法： </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年度，公司溢价收购上海复深蓝信息技术有限公司（以下简称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复深蓝</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）股权形成的商誉。本年度，</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复深蓝账面价值未出现减值情况，无需计提商誉减值准备。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7"/>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4"/>
        <w:rPr>
          <w:rFonts w:ascii="宋体" w:hAnsi="宋体" w:cs="宋体" w:eastAsia="宋体" w:hint="default"/>
          <w:b/>
          <w:bCs/>
          <w:sz w:val="26"/>
          <w:szCs w:val="26"/>
        </w:rPr>
      </w:pPr>
    </w:p>
    <w:p>
      <w:pPr>
        <w:spacing w:before="0"/>
        <w:ind w:left="0" w:right="153" w:firstLine="0"/>
        <w:jc w:val="right"/>
        <w:rPr>
          <w:rFonts w:ascii="宋体" w:hAnsi="宋体" w:cs="宋体" w:eastAsia="宋体" w:hint="default"/>
          <w:sz w:val="18"/>
          <w:szCs w:val="18"/>
        </w:rPr>
      </w:pPr>
      <w:bookmarkStart w:name="28、长期待摊费用" w:id="301"/>
      <w:bookmarkEnd w:id="301"/>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4,296,976.62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1,083,715.94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27,916.00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3,325,344.68</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4,296,976.62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140,000.00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1,083,715.94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27,916.00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3,325,344.68</w:t>
            </w:r>
            <w:r>
              <w:rPr>
                <w:rFonts w:ascii="Times New Roman"/>
                <w:sz w:val="18"/>
              </w:rPr>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9,411,805.19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1,461,920.79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8,034,366.01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1,207,151.90</w:t>
            </w:r>
            <w:r>
              <w:rPr>
                <w:rFonts w:ascii="Times New Roman"/>
                <w:sz w:val="18"/>
              </w:rPr>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9,411,805.19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1,461,920.79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8,034,366.01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1,207,151.90</w:t>
            </w:r>
            <w:r>
              <w:rPr>
                <w:rFonts w:ascii="Times New Roman"/>
                <w:sz w:val="18"/>
              </w:rPr>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bookmarkStart w:name="30、其他非流动资产" w:id="302"/>
      <w:bookmarkEnd w:id="302"/>
      <w:r>
        <w:rPr>
          <w:b w:val="0"/>
          <w:bCs w:val="0"/>
        </w:rPr>
      </w:r>
      <w:r>
        <w:rPr/>
        <w:t>（</w:t>
      </w:r>
      <w:r>
        <w:rPr>
          <w:rFonts w:ascii="Times New Roman" w:hAnsi="Times New Roman" w:cs="Times New Roman" w:eastAsia="Times New Roman" w:hint="default"/>
        </w:rPr>
        <w:t>2</w:t>
      </w:r>
      <w:bookmarkStart w:name="（2）未经抵销的递延所得税负债" w:id="303"/>
      <w:bookmarkEnd w:id="303"/>
      <w:r>
        <w:rPr>
          <w:rFonts w:ascii="Times New Roman" w:hAnsi="Times New Roman" w:cs="Times New Roman" w:eastAsia="Times New Roman" w:hint="default"/>
        </w:rPr>
      </w:r>
      <w:r>
        <w:rPr/>
        <w:t>）未经抵销的递延所得税负债</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4"/>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3</w:t>
      </w:r>
      <w:r>
        <w:rPr/>
        <w:t>）以抵销后净额列示的</w:t>
      </w:r>
      <w:bookmarkStart w:name="（3）以抵销后净额列示的递延所得税资产或负债" w:id="304"/>
      <w:bookmarkEnd w:id="304"/>
      <w:r>
        <w:rPr/>
        <w:t>递延所得税资产或</w:t>
      </w:r>
      <w:r>
        <w:rPr/>
        <w:t>负债</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25"/>
        <w:gridCol w:w="1904"/>
        <w:gridCol w:w="1914"/>
        <w:gridCol w:w="1914"/>
        <w:gridCol w:w="1902"/>
      </w:tblGrid>
      <w:tr>
        <w:trPr>
          <w:trHeight w:val="161" w:hRule="exact"/>
        </w:trPr>
        <w:tc>
          <w:tcPr>
            <w:tcW w:w="1925" w:type="dxa"/>
            <w:tcBorders>
              <w:top w:val="single" w:sz="4" w:space="0" w:color="000000"/>
              <w:left w:val="single" w:sz="4" w:space="0" w:color="000000"/>
              <w:bottom w:val="nil" w:sz="6" w:space="0" w:color="auto"/>
              <w:right w:val="single" w:sz="4" w:space="0" w:color="000000"/>
            </w:tcBorders>
            <w:shd w:val="clear" w:color="auto" w:fill="D4D4D4"/>
          </w:tcPr>
          <w:p>
            <w:pPr/>
          </w:p>
        </w:tc>
        <w:tc>
          <w:tcPr>
            <w:tcW w:w="190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400" w:right="53"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20"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20" w:right="38"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2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904" w:type="dxa"/>
            <w:vMerge/>
            <w:tcBorders>
              <w:left w:val="single" w:sz="4" w:space="0" w:color="000000"/>
              <w:right w:val="single" w:sz="4" w:space="0" w:color="000000"/>
            </w:tcBorders>
            <w:shd w:val="clear" w:color="auto" w:fill="D4D4D4"/>
          </w:tcPr>
          <w:p>
            <w:pPr/>
          </w:p>
        </w:tc>
        <w:tc>
          <w:tcPr>
            <w:tcW w:w="1914" w:type="dxa"/>
            <w:vMerge/>
            <w:tcBorders>
              <w:left w:val="single" w:sz="4" w:space="0" w:color="000000"/>
              <w:right w:val="single" w:sz="4" w:space="0" w:color="000000"/>
            </w:tcBorders>
            <w:shd w:val="clear" w:color="auto" w:fill="D4D4D4"/>
          </w:tcPr>
          <w:p>
            <w:pPr/>
          </w:p>
        </w:tc>
        <w:tc>
          <w:tcPr>
            <w:tcW w:w="1914" w:type="dxa"/>
            <w:vMerge/>
            <w:tcBorders>
              <w:left w:val="single" w:sz="4" w:space="0" w:color="000000"/>
              <w:right w:val="single" w:sz="4" w:space="0" w:color="000000"/>
            </w:tcBorders>
            <w:shd w:val="clear" w:color="auto" w:fill="D4D4D4"/>
          </w:tcPr>
          <w:p>
            <w:pPr/>
          </w:p>
        </w:tc>
        <w:tc>
          <w:tcPr>
            <w:tcW w:w="1902" w:type="dxa"/>
            <w:vMerge/>
            <w:tcBorders>
              <w:left w:val="single" w:sz="4" w:space="0" w:color="000000"/>
              <w:right w:val="single" w:sz="4" w:space="0" w:color="000000"/>
            </w:tcBorders>
            <w:shd w:val="clear" w:color="auto" w:fill="D4D4D4"/>
          </w:tcPr>
          <w:p>
            <w:pPr/>
          </w:p>
        </w:tc>
      </w:tr>
      <w:tr>
        <w:trPr>
          <w:trHeight w:val="161" w:hRule="exact"/>
        </w:trPr>
        <w:tc>
          <w:tcPr>
            <w:tcW w:w="1925" w:type="dxa"/>
            <w:tcBorders>
              <w:top w:val="nil" w:sz="6" w:space="0" w:color="auto"/>
              <w:left w:val="single" w:sz="4" w:space="0" w:color="000000"/>
              <w:bottom w:val="single" w:sz="4" w:space="0" w:color="000000"/>
              <w:right w:val="single" w:sz="4" w:space="0" w:color="000000"/>
            </w:tcBorders>
            <w:shd w:val="clear" w:color="auto" w:fill="D4D4D4"/>
          </w:tcPr>
          <w:p>
            <w:pPr/>
          </w:p>
        </w:tc>
        <w:tc>
          <w:tcPr>
            <w:tcW w:w="1904" w:type="dxa"/>
            <w:vMerge/>
            <w:tcBorders>
              <w:left w:val="single" w:sz="4" w:space="0" w:color="000000"/>
              <w:bottom w:val="single" w:sz="4" w:space="0" w:color="000000"/>
              <w:right w:val="single" w:sz="4" w:space="0" w:color="000000"/>
            </w:tcBorders>
            <w:shd w:val="clear" w:color="auto" w:fill="D4D4D4"/>
          </w:tcPr>
          <w:p>
            <w:pPr/>
          </w:p>
        </w:tc>
        <w:tc>
          <w:tcPr>
            <w:tcW w:w="1914" w:type="dxa"/>
            <w:vMerge/>
            <w:tcBorders>
              <w:left w:val="single" w:sz="4" w:space="0" w:color="000000"/>
              <w:bottom w:val="single" w:sz="4" w:space="0" w:color="000000"/>
              <w:right w:val="single" w:sz="4" w:space="0" w:color="000000"/>
            </w:tcBorders>
            <w:shd w:val="clear" w:color="auto" w:fill="D4D4D4"/>
          </w:tcPr>
          <w:p>
            <w:pPr/>
          </w:p>
        </w:tc>
        <w:tc>
          <w:tcPr>
            <w:tcW w:w="1914" w:type="dxa"/>
            <w:vMerge/>
            <w:tcBorders>
              <w:left w:val="single" w:sz="4" w:space="0" w:color="000000"/>
              <w:bottom w:val="single" w:sz="4" w:space="0" w:color="000000"/>
              <w:right w:val="single" w:sz="4" w:space="0" w:color="000000"/>
            </w:tcBorders>
            <w:shd w:val="clear" w:color="auto" w:fill="D4D4D4"/>
          </w:tcPr>
          <w:p>
            <w:pPr/>
          </w:p>
        </w:tc>
        <w:tc>
          <w:tcPr>
            <w:tcW w:w="1902"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9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4" w:type="dxa"/>
            <w:tcBorders>
              <w:top w:val="single" w:sz="4" w:space="0" w:color="000000"/>
              <w:left w:val="single" w:sz="10" w:space="0" w:color="D4D4D4"/>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4" w:right="0"/>
              <w:jc w:val="left"/>
              <w:rPr>
                <w:rFonts w:ascii="Times New Roman" w:hAnsi="Times New Roman" w:cs="Times New Roman" w:eastAsia="Times New Roman" w:hint="default"/>
                <w:sz w:val="18"/>
                <w:szCs w:val="18"/>
              </w:rPr>
            </w:pPr>
            <w:r>
              <w:rPr>
                <w:rFonts w:ascii="Times New Roman"/>
                <w:sz w:val="18"/>
              </w:rPr>
              <w:t>1,461,920.79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4" w:right="0"/>
              <w:jc w:val="left"/>
              <w:rPr>
                <w:rFonts w:ascii="Times New Roman" w:hAnsi="Times New Roman" w:cs="Times New Roman" w:eastAsia="Times New Roman" w:hint="default"/>
                <w:sz w:val="18"/>
                <w:szCs w:val="18"/>
              </w:rPr>
            </w:pPr>
            <w:r>
              <w:rPr>
                <w:rFonts w:ascii="Times New Roman"/>
                <w:sz w:val="18"/>
              </w:rPr>
              <w:t>1,207,151.90</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4）未确认递延所得税资产明细" w:id="305"/>
      <w:bookmarkEnd w:id="305"/>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42,243.99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35,054.00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16,108,223.53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1,328,773.74</w:t>
            </w:r>
            <w:r>
              <w:rPr>
                <w:rFonts w:ascii="Times New Roman"/>
                <w:sz w:val="18"/>
              </w:rPr>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16,150,467.52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1,363,827.74</w:t>
            </w:r>
            <w:r>
              <w:rPr>
                <w:rFonts w:ascii="Times New Roman"/>
                <w:sz w:val="18"/>
              </w:rPr>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5）未确认递延所得税资产的可抵扣亏损将于以下年度到期" w:id="306"/>
      <w:bookmarkEnd w:id="306"/>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5"/>
        <w:gridCol w:w="2393"/>
        <w:gridCol w:w="2393"/>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预付购房款（注）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67,927,420.00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67,927,420.00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10" w:lineRule="auto" w:before="49"/>
        <w:ind w:right="0"/>
        <w:jc w:val="left"/>
      </w:pPr>
      <w:r>
        <w:rPr>
          <w:sz w:val="18"/>
          <w:szCs w:val="18"/>
        </w:rPr>
        <w:t>其他说明： </w:t>
      </w:r>
      <w:r>
        <w:rPr>
          <w:spacing w:val="-2"/>
        </w:rPr>
        <w:t>注：公司第三届董事会第二次会议审议通过了《关于变更部分募投项目实施地点的议案》，决定购置位于</w:t>
      </w:r>
      <w:r>
        <w:rPr>
          <w:spacing w:val="-47"/>
        </w:rPr>
        <w:t> </w:t>
      </w:r>
      <w:r>
        <w:rPr>
          <w:spacing w:val="-47"/>
        </w:rPr>
      </w:r>
      <w:r>
        <w:rPr>
          <w:spacing w:val="-2"/>
        </w:rPr>
        <w:t>杭州市萧山区宁围镇市心北路的</w:t>
      </w:r>
      <w:r>
        <w:rPr>
          <w:rFonts w:ascii="Times New Roman" w:hAnsi="Times New Roman" w:cs="Times New Roman" w:eastAsia="Times New Roman" w:hint="default"/>
          <w:spacing w:val="-2"/>
        </w:rPr>
        <w:t>“</w:t>
      </w:r>
      <w:r>
        <w:rPr>
          <w:spacing w:val="-2"/>
        </w:rPr>
        <w:t>博地世纪中心</w:t>
      </w:r>
      <w:r>
        <w:rPr>
          <w:rFonts w:ascii="Times New Roman" w:hAnsi="Times New Roman" w:cs="Times New Roman" w:eastAsia="Times New Roman" w:hint="default"/>
          <w:spacing w:val="-2"/>
        </w:rPr>
        <w:t>”</w:t>
      </w:r>
      <w:r>
        <w:rPr>
          <w:spacing w:val="-2"/>
        </w:rPr>
        <w:t>办公楼房产作为两个募投项目的房产。房产总价约为人民</w:t>
      </w:r>
    </w:p>
    <w:p>
      <w:pPr>
        <w:spacing w:after="0" w:line="41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pStyle w:val="BodyText"/>
        <w:spacing w:line="393" w:lineRule="auto" w:before="175"/>
        <w:ind w:right="0"/>
        <w:jc w:val="left"/>
      </w:pPr>
      <w:bookmarkStart w:name="33、衍生金融负债" w:id="307"/>
      <w:bookmarkEnd w:id="307"/>
      <w:r>
        <w:rPr/>
      </w:r>
      <w:bookmarkStart w:name="34、应付票据" w:id="308"/>
      <w:bookmarkEnd w:id="308"/>
      <w:r>
        <w:rPr/>
      </w:r>
      <w:r>
        <w:rPr/>
        <w:t>币</w:t>
      </w:r>
      <w:r>
        <w:rPr>
          <w:rFonts w:ascii="Times New Roman" w:hAnsi="Times New Roman" w:cs="Times New Roman" w:eastAsia="Times New Roman" w:hint="default"/>
        </w:rPr>
        <w:t>3,413.476</w:t>
      </w:r>
      <w:r>
        <w:rPr/>
        <w:t>万元。</w:t>
      </w:r>
      <w:r>
        <w:rPr>
          <w:spacing w:val="-3"/>
          <w:w w:val="100"/>
        </w:rPr>
        <w:t> </w:t>
      </w:r>
      <w:r>
        <w:rPr>
          <w:spacing w:val="-3"/>
        </w:rPr>
        <w:t>公司第三届董事会第二次会议审议通过《关于使用超募资金购买办公房产并设立全资子公司的公告》，计</w:t>
      </w:r>
      <w:r>
        <w:rPr>
          <w:spacing w:val="-7"/>
        </w:rPr>
        <w:t> </w:t>
      </w:r>
      <w:r>
        <w:rPr>
          <w:spacing w:val="-7"/>
        </w:rPr>
      </w:r>
      <w:r>
        <w:rPr/>
        <w:t>划使用不超过人民币</w:t>
      </w:r>
      <w:r>
        <w:rPr>
          <w:rFonts w:ascii="Times New Roman" w:hAnsi="Times New Roman" w:cs="Times New Roman" w:eastAsia="Times New Roman" w:hint="default"/>
        </w:rPr>
        <w:t>3,800</w:t>
      </w:r>
      <w:r>
        <w:rPr/>
        <w:t>万元的超募资金用于设立全资子公司并购置办公房产。</w:t>
      </w:r>
      <w:r>
        <w:rPr>
          <w:w w:val="100"/>
        </w:rPr>
        <w:t> </w:t>
      </w:r>
      <w:r>
        <w:rPr/>
        <w:t>截至本年末，公司已预付以上相关购房款</w:t>
      </w:r>
      <w:r>
        <w:rPr>
          <w:rFonts w:ascii="Times New Roman" w:hAnsi="Times New Roman" w:cs="Times New Roman" w:eastAsia="Times New Roman" w:hint="default"/>
        </w:rPr>
        <w:t>67,927,420.00</w:t>
      </w:r>
      <w:r>
        <w:rPr/>
        <w:t>元。</w:t>
      </w:r>
    </w:p>
    <w:p>
      <w:pPr>
        <w:spacing w:line="240" w:lineRule="auto" w:before="3"/>
        <w:rPr>
          <w:rFonts w:ascii="宋体" w:hAnsi="宋体" w:cs="宋体" w:eastAsia="宋体" w:hint="default"/>
          <w:sz w:val="19"/>
          <w:szCs w:val="19"/>
        </w:rPr>
      </w:pPr>
    </w:p>
    <w:p>
      <w:pPr>
        <w:pStyle w:val="Heading6"/>
        <w:spacing w:line="240" w:lineRule="auto"/>
        <w:ind w:right="0"/>
        <w:jc w:val="left"/>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2"/>
        <w:rPr>
          <w:rFonts w:ascii="宋体" w:hAnsi="宋体" w:cs="宋体" w:eastAsia="宋体" w:hint="default"/>
          <w:b/>
          <w:bCs/>
          <w:sz w:val="26"/>
          <w:szCs w:val="26"/>
        </w:rPr>
      </w:pPr>
    </w:p>
    <w:p>
      <w:pPr>
        <w:spacing w:before="0"/>
        <w:ind w:left="0" w:right="153" w:firstLine="0"/>
        <w:jc w:val="right"/>
        <w:rPr>
          <w:rFonts w:ascii="宋体" w:hAnsi="宋体" w:cs="宋体" w:eastAsia="宋体" w:hint="default"/>
          <w:sz w:val="18"/>
          <w:szCs w:val="18"/>
        </w:rPr>
      </w:pPr>
      <w:bookmarkStart w:name="31、短期借款" w:id="309"/>
      <w:bookmarkEnd w:id="309"/>
      <w:r>
        <w:rPr/>
      </w:r>
      <w:bookmarkStart w:name="（1）短期借款分类" w:id="310"/>
      <w:bookmarkEnd w:id="310"/>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2,050,000.00</w:t>
            </w:r>
            <w:r>
              <w:rPr>
                <w:rFonts w:ascii="Times New Roman"/>
                <w:sz w:val="18"/>
              </w:rPr>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2,050,000.00</w:t>
            </w:r>
            <w:r>
              <w:rPr>
                <w:rFonts w:ascii="Times New Roman"/>
                <w:sz w:val="18"/>
              </w:rPr>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0"/>
        <w:rPr>
          <w:rFonts w:ascii="宋体" w:hAnsi="宋体" w:cs="宋体" w:eastAsia="宋体" w:hint="default"/>
          <w:sz w:val="18"/>
          <w:szCs w:val="18"/>
        </w:rPr>
      </w:pPr>
    </w:p>
    <w:p>
      <w:pPr>
        <w:pStyle w:val="Heading6"/>
        <w:spacing w:line="240" w:lineRule="auto" w:before="120"/>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bookmarkStart w:name="（2）已逾期未偿还的短期借款情况" w:id="311"/>
      <w:bookmarkEnd w:id="311"/>
      <w:r>
        <w:rPr/>
      </w:r>
      <w:r>
        <w:rPr>
          <w:rFonts w:ascii="宋体" w:hAnsi="宋体" w:cs="宋体" w:eastAsia="宋体" w:hint="default"/>
          <w:sz w:val="18"/>
          <w:szCs w:val="18"/>
        </w:rPr>
        <w:t>本期末已逾期未偿还的短期借款总额为元，其中重要的已逾期未偿还的短期借款情况如下：</w:t>
      </w:r>
    </w:p>
    <w:p>
      <w:pPr>
        <w:spacing w:before="115"/>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32、以公允价值计量且其变动计入当期损益的金融负债" w:id="312"/>
      <w:bookmarkEnd w:id="312"/>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34</w:t>
      </w:r>
      <w:r>
        <w:rPr/>
        <w:t>、应付票据</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0"/>
        <w:jc w:val="left"/>
        <w:rPr>
          <w:b w:val="0"/>
          <w:bCs w:val="0"/>
        </w:rPr>
      </w:pPr>
      <w:bookmarkStart w:name="（3）期末建造合同形成的已结算未完工项目情况" w:id="313"/>
      <w:bookmarkEnd w:id="313"/>
      <w:r>
        <w:rPr>
          <w:b w:val="0"/>
          <w:bCs w:val="0"/>
        </w:rPr>
      </w:r>
      <w:bookmarkStart w:name="37、应付职工薪酬" w:id="314"/>
      <w:bookmarkEnd w:id="314"/>
      <w:r>
        <w:rPr>
          <w:b w:val="0"/>
          <w:bCs w:val="0"/>
        </w:rPr>
      </w:r>
      <w:bookmarkStart w:name="（1）应付职工薪酬列示" w:id="315"/>
      <w:bookmarkEnd w:id="315"/>
      <w:r>
        <w:rPr>
          <w:b w:val="0"/>
          <w:bCs w:val="0"/>
        </w:rPr>
      </w:r>
      <w:r>
        <w:rPr>
          <w:rFonts w:ascii="Times New Roman" w:hAnsi="Times New Roman" w:cs="Times New Roman" w:eastAsia="Times New Roman" w:hint="default"/>
        </w:rPr>
        <w:t>35</w:t>
      </w:r>
      <w:bookmarkStart w:name="35、应付账款" w:id="316"/>
      <w:bookmarkEnd w:id="316"/>
      <w:r>
        <w:rPr>
          <w:rFonts w:ascii="Times New Roman" w:hAnsi="Times New Roman" w:cs="Times New Roman" w:eastAsia="Times New Roman" w:hint="default"/>
        </w:rPr>
      </w:r>
      <w:r>
        <w:rPr/>
        <w:t>、应付账款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bookmarkStart w:name="（1）应付账款列示" w:id="317"/>
      <w:bookmarkEnd w:id="317"/>
      <w:r>
        <w:rPr>
          <w:rFonts w:ascii="Times New Roman" w:hAnsi="Times New Roman" w:cs="Times New Roman" w:eastAsia="Times New Roman" w:hint="default"/>
        </w:rPr>
      </w:r>
      <w:r>
        <w:rPr/>
        <w:t>）应付账款列示</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应付购买商品、接受劳务款项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23,573,189.67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20,325,228.82</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23,573,189.67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20,325,228.82</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w:t>
      </w:r>
      <w:bookmarkStart w:name="（2）账龄超过1年的重要应付账款" w:id="318"/>
      <w:bookmarkEnd w:id="318"/>
      <w:r>
        <w:rPr/>
        <w:t>应付账款</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0"/>
        <w:ind w:right="0"/>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36、预收款项" w:id="319"/>
      <w:bookmarkEnd w:id="319"/>
      <w:r>
        <w:rPr/>
      </w:r>
      <w:bookmarkStart w:name="（1）预收款项列示" w:id="320"/>
      <w:bookmarkEnd w:id="320"/>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预收服务款及货款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20,427,221.88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21,523,910.11</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20,427,221.88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21,523,910.11</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账龄超过1年的重要预收款项" w:id="321"/>
      <w:bookmarkEnd w:id="321"/>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7"/>
        <w:gridCol w:w="4790"/>
      </w:tblGrid>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25,725,607.92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176,624,187.35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170,020,685.56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32,329,109.71</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1,017,455.06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18,663,706.84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17,162,781.98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2,518,379.92</w:t>
            </w:r>
            <w:r>
              <w:rPr>
                <w:rFonts w:ascii="Times New Roman"/>
                <w:sz w:val="18"/>
              </w:rPr>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260,750.39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260,750.39</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26,743,062.98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195,548,644.58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187,444,217.93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34,847,489.63</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bookmarkStart w:name="38、应交税费" w:id="322"/>
      <w:bookmarkEnd w:id="322"/>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短期薪酬列示" w:id="323"/>
      <w:bookmarkEnd w:id="323"/>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24,700,643.03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154,781,945.25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148,622,592.00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30,859,996.28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7"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2,322,543.31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2,322,543.31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532,487.08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9,913,446.57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9,561,253.69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884,679.96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492,477.81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8,794,068.68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8,702,113.02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584,433.47</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7"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209,249.87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209,249.87</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、其他</w:t>
            </w:r>
          </w:p>
        </w:tc>
        <w:tc>
          <w:tcPr>
            <w:tcW w:w="1927"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602,933.67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602,933.67</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25,725,607.92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176,624,187.35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170,020,685.56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32,329,109.71</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3）设定提存计划列示" w:id="324"/>
      <w:bookmarkEnd w:id="324"/>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956,703.31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17,644,547.63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16,180,442.36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2,420,808.58</w:t>
            </w:r>
            <w:r>
              <w:rPr>
                <w:rFonts w:ascii="Times New Roman"/>
                <w:sz w:val="18"/>
              </w:rPr>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60,751.75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1,019,159.21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982,339.62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97,571.34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1,017,455.06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18,663,706.84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17,162,781.98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2,518,379.92</w:t>
            </w:r>
            <w:r>
              <w:rPr>
                <w:rFonts w:ascii="Times New Roman"/>
                <w:sz w:val="18"/>
              </w:rPr>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9,392,257.83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8,569,012.06</w:t>
            </w:r>
            <w:r>
              <w:rPr>
                <w:rFonts w:ascii="Times New Roman"/>
                <w:sz w:val="18"/>
              </w:rPr>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86,451.70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7,923,013.33</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1,452,484.56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2,108,748.40</w:t>
            </w:r>
            <w:r>
              <w:rPr>
                <w:rFonts w:ascii="Times New Roman"/>
                <w:sz w:val="18"/>
              </w:rPr>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213,353.81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59,834.45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188,101.81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129,605.87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37,749.78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25,807.43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11,370,399.49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18,816,021.54</w:t>
            </w:r>
          </w:p>
        </w:tc>
      </w:tr>
    </w:tbl>
    <w:p>
      <w:pPr>
        <w:spacing w:before="49"/>
        <w:ind w:left="152" w:right="0" w:firstLine="0"/>
        <w:jc w:val="left"/>
        <w:rPr>
          <w:rFonts w:ascii="宋体" w:hAnsi="宋体" w:cs="宋体" w:eastAsia="宋体" w:hint="default"/>
          <w:sz w:val="18"/>
          <w:szCs w:val="18"/>
        </w:rPr>
      </w:pPr>
      <w:bookmarkStart w:name="41、其他应付款" w:id="325"/>
      <w:bookmarkEnd w:id="325"/>
      <w:r>
        <w:rPr/>
      </w:r>
      <w:bookmarkStart w:name="（1）按款项性质列示其他应付款" w:id="326"/>
      <w:bookmarkEnd w:id="326"/>
      <w:r>
        <w:rPr/>
      </w: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39、应付利息" w:id="327"/>
      <w:bookmarkEnd w:id="327"/>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9,165.14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4,134.17</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9,165.14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4,134.17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7"/>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40、应付股利" w:id="328"/>
      <w:bookmarkEnd w:id="328"/>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社会公众股股东</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528,440.00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383,650.00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少数股东（注）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6,119,763.85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6,648,203.85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383,650.00</w:t>
            </w:r>
          </w:p>
        </w:tc>
      </w:tr>
    </w:tbl>
    <w:p>
      <w:pPr>
        <w:spacing w:line="388" w:lineRule="auto" w:before="49"/>
        <w:ind w:left="152" w:right="0" w:firstLine="0"/>
        <w:jc w:val="left"/>
        <w:rPr>
          <w:rFonts w:ascii="宋体" w:hAnsi="宋体" w:cs="宋体" w:eastAsia="宋体" w:hint="default"/>
          <w:sz w:val="21"/>
          <w:szCs w:val="21"/>
        </w:rPr>
      </w:pPr>
      <w:r>
        <w:rPr>
          <w:rFonts w:ascii="宋体" w:hAnsi="宋体" w:cs="宋体" w:eastAsia="宋体" w:hint="default"/>
          <w:sz w:val="18"/>
          <w:szCs w:val="18"/>
        </w:rPr>
        <w:t>其他说明，包括重要的超过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 </w:t>
      </w:r>
      <w:r>
        <w:rPr>
          <w:rFonts w:ascii="宋体" w:hAnsi="宋体" w:cs="宋体" w:eastAsia="宋体" w:hint="default"/>
          <w:spacing w:val="-2"/>
          <w:sz w:val="21"/>
          <w:szCs w:val="21"/>
        </w:rPr>
        <w:t>注：根据公司控股子公司上海复深蓝信息技术有限公司</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年第一次临时股东会决议通过，其少数股东应</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分得公司</w:t>
      </w:r>
      <w:r>
        <w:rPr>
          <w:rFonts w:ascii="Times New Roman" w:hAnsi="Times New Roman" w:cs="Times New Roman" w:eastAsia="Times New Roman" w:hint="default"/>
          <w:sz w:val="21"/>
          <w:szCs w:val="21"/>
        </w:rPr>
        <w:t>2012</w:t>
      </w:r>
      <w:r>
        <w:rPr>
          <w:rFonts w:ascii="宋体" w:hAnsi="宋体" w:cs="宋体" w:eastAsia="宋体" w:hint="default"/>
          <w:sz w:val="21"/>
          <w:szCs w:val="21"/>
        </w:rPr>
        <w:t>年度至</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年度分红款</w:t>
      </w:r>
      <w:r>
        <w:rPr>
          <w:rFonts w:ascii="Times New Roman" w:hAnsi="Times New Roman" w:cs="Times New Roman" w:eastAsia="Times New Roman" w:hint="default"/>
          <w:sz w:val="21"/>
          <w:szCs w:val="21"/>
        </w:rPr>
        <w:t>6,119,763.85</w:t>
      </w:r>
      <w:r>
        <w:rPr>
          <w:rFonts w:ascii="宋体" w:hAnsi="宋体" w:cs="宋体" w:eastAsia="宋体" w:hint="default"/>
          <w:sz w:val="21"/>
          <w:szCs w:val="21"/>
        </w:rPr>
        <w:t>元。</w:t>
      </w:r>
    </w:p>
    <w:p>
      <w:pPr>
        <w:pStyle w:val="BodyText"/>
        <w:spacing w:line="240" w:lineRule="auto" w:before="33"/>
        <w:ind w:right="0"/>
        <w:jc w:val="left"/>
      </w:pPr>
      <w:r>
        <w:rPr/>
        <w:t>截至报告日，以上分红款尚未支付。</w:t>
      </w:r>
    </w:p>
    <w:p>
      <w:pPr>
        <w:spacing w:line="240" w:lineRule="auto" w:before="0"/>
        <w:rPr>
          <w:rFonts w:ascii="宋体" w:hAnsi="宋体" w:cs="宋体" w:eastAsia="宋体" w:hint="default"/>
          <w:sz w:val="20"/>
          <w:szCs w:val="20"/>
        </w:rPr>
      </w:pPr>
    </w:p>
    <w:p>
      <w:pPr>
        <w:pStyle w:val="Heading6"/>
        <w:spacing w:line="240" w:lineRule="auto" w:before="154"/>
        <w:ind w:right="0"/>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2"/>
        <w:rPr>
          <w:rFonts w:ascii="宋体" w:hAnsi="宋体" w:cs="宋体" w:eastAsia="宋体" w:hint="default"/>
          <w:b/>
          <w:bCs/>
          <w:sz w:val="26"/>
          <w:szCs w:val="26"/>
        </w:rPr>
      </w:pPr>
    </w:p>
    <w:p>
      <w:pPr>
        <w:spacing w:before="0"/>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721,813.08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84,100.00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限制性股票回购义务款项（注）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12,577,560.00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1,132,398.86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1,104,289.65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14,431,771.94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1,188,389.65</w:t>
            </w:r>
            <w:r>
              <w:rPr>
                <w:rFonts w:ascii="Times New Roman"/>
                <w:sz w:val="18"/>
              </w:rPr>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bookmarkStart w:name="45、长期借款" w:id="329"/>
      <w:bookmarkEnd w:id="329"/>
      <w:r>
        <w:rPr>
          <w:b w:val="0"/>
          <w:bCs w:val="0"/>
        </w:rPr>
      </w:r>
      <w:bookmarkStart w:name="（1）长期借款分类" w:id="330"/>
      <w:bookmarkEnd w:id="330"/>
      <w:r>
        <w:rPr>
          <w:b w:val="0"/>
          <w:bCs w:val="0"/>
        </w:rPr>
      </w:r>
      <w:r>
        <w:rPr/>
        <w:t>（</w:t>
      </w:r>
      <w:r>
        <w:rPr>
          <w:rFonts w:ascii="Times New Roman" w:hAnsi="Times New Roman" w:cs="Times New Roman" w:eastAsia="Times New Roman" w:hint="default"/>
        </w:rPr>
        <w:t>2</w:t>
      </w:r>
      <w:bookmarkStart w:name="（2）账龄超过1年的重要其他应付款" w:id="331"/>
      <w:bookmarkEnd w:id="331"/>
      <w:r>
        <w:rPr>
          <w:rFonts w:ascii="Times New Roman" w:hAnsi="Times New Roman" w:cs="Times New Roman" w:eastAsia="Times New Roman" w:hint="default"/>
        </w:rPr>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注：详见本报告第十节 十三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spacing w:line="240" w:lineRule="auto" w:before="2"/>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42</w:t>
      </w:r>
      <w:r>
        <w:rPr/>
        <w:t>、划分为持有待售的负债</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42、划分为持有待售的负债" w:id="332"/>
      <w:bookmarkEnd w:id="332"/>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43、一年内到期的非流动负债" w:id="333"/>
      <w:bookmarkEnd w:id="333"/>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0"/>
        <w:ind w:right="0"/>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44、其他流动负债" w:id="334"/>
      <w:bookmarkEnd w:id="334"/>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5"/>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799"/>
        <w:gridCol w:w="797"/>
        <w:gridCol w:w="799"/>
        <w:gridCol w:w="798"/>
        <w:gridCol w:w="798"/>
        <w:gridCol w:w="797"/>
      </w:tblGrid>
      <w:tr>
        <w:trPr>
          <w:trHeight w:val="713" w:hRule="exact"/>
        </w:trPr>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04"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0"/>
        <w:ind w:right="0"/>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357" w:lineRule="auto" w:before="50"/>
        <w:ind w:left="152" w:right="7614"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after="0" w:line="357"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0"/>
        <w:jc w:val="left"/>
        <w:rPr>
          <w:b w:val="0"/>
          <w:bCs w:val="0"/>
        </w:rPr>
      </w:pPr>
      <w:bookmarkStart w:name="48、长期应付职工薪酬" w:id="335"/>
      <w:bookmarkEnd w:id="335"/>
      <w:r>
        <w:rPr>
          <w:b w:val="0"/>
          <w:bCs w:val="0"/>
        </w:rPr>
      </w:r>
      <w:bookmarkStart w:name="（1）长期应付职工薪酬表" w:id="336"/>
      <w:bookmarkEnd w:id="336"/>
      <w:r>
        <w:rPr>
          <w:b w:val="0"/>
          <w:bCs w:val="0"/>
        </w:rPr>
      </w:r>
      <w:bookmarkStart w:name="（2）设定受益计划变动情况" w:id="337"/>
      <w:bookmarkEnd w:id="337"/>
      <w:r>
        <w:rPr>
          <w:b w:val="0"/>
          <w:bCs w:val="0"/>
        </w:rPr>
      </w:r>
      <w:r>
        <w:rPr>
          <w:rFonts w:ascii="Times New Roman" w:hAnsi="Times New Roman" w:cs="Times New Roman" w:eastAsia="Times New Roman" w:hint="default"/>
        </w:rPr>
        <w:t>46</w:t>
      </w:r>
      <w:bookmarkStart w:name="46、应付债券" w:id="338"/>
      <w:bookmarkEnd w:id="338"/>
      <w:r>
        <w:rPr>
          <w:rFonts w:ascii="Times New Roman" w:hAnsi="Times New Roman" w:cs="Times New Roman" w:eastAsia="Times New Roman" w:hint="default"/>
        </w:rPr>
      </w:r>
      <w:r>
        <w:rPr/>
        <w:t>、应付债券</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bookmarkStart w:name="（1）应付债券" w:id="339"/>
      <w:bookmarkEnd w:id="339"/>
      <w:r>
        <w:rPr>
          <w:rFonts w:ascii="Times New Roman" w:hAnsi="Times New Roman" w:cs="Times New Roman" w:eastAsia="Times New Roman" w:hint="default"/>
        </w:rPr>
      </w:r>
      <w:r>
        <w:rPr/>
        <w:t>）应付债券</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2</w:t>
      </w:r>
      <w:r>
        <w:rPr/>
        <w:t>）应付债券的增</w:t>
      </w:r>
      <w:bookmarkStart w:name="（2）应付债券的增减变动（不包括划分为金融负债的优先股、永续债等其他金融工具）" w:id="340"/>
      <w:bookmarkEnd w:id="340"/>
      <w:r>
        <w:rPr/>
        <w:t>减变</w:t>
      </w:r>
      <w:r>
        <w:rPr/>
        <w:t>动（不包括划分为金融负债的优先股、永续债等其他金融工具）</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24"/>
          <w:szCs w:val="24"/>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3</w:t>
      </w:r>
      <w:r>
        <w:rPr/>
        <w:t>）可转换公司债券的转</w:t>
      </w:r>
      <w:bookmarkStart w:name="（3）可转换公司债券的转股条件、转股时间说明" w:id="341"/>
      <w:bookmarkEnd w:id="341"/>
      <w:r>
        <w:rPr/>
        <w:t>股条件、转股时间</w:t>
      </w:r>
      <w:r>
        <w:rPr/>
        <w:t>说明</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80"/>
        </w:sectPr>
      </w:pPr>
    </w:p>
    <w:p>
      <w:pPr>
        <w:spacing w:line="360" w:lineRule="auto" w:before="44"/>
        <w:ind w:left="152" w:right="-20" w:firstLine="0"/>
        <w:jc w:val="left"/>
        <w:rPr>
          <w:rFonts w:ascii="宋体" w:hAnsi="宋体" w:cs="宋体" w:eastAsia="宋体" w:hint="default"/>
          <w:sz w:val="18"/>
          <w:szCs w:val="18"/>
        </w:rPr>
      </w:pPr>
      <w:bookmarkStart w:name="（4）划分为金融负债的其他金融工具说明" w:id="342"/>
      <w:bookmarkEnd w:id="342"/>
      <w:r>
        <w:rPr/>
      </w: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653" w:space="4174"/>
            <w:col w:w="112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6"/>
        <w:gridCol w:w="1063"/>
        <w:gridCol w:w="1063"/>
        <w:gridCol w:w="1063"/>
        <w:gridCol w:w="1063"/>
        <w:gridCol w:w="1062"/>
        <w:gridCol w:w="1062"/>
        <w:gridCol w:w="1061"/>
      </w:tblGrid>
      <w:tr>
        <w:trPr>
          <w:trHeight w:val="403" w:hRule="exact"/>
        </w:trPr>
        <w:tc>
          <w:tcPr>
            <w:tcW w:w="106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166"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4" w:type="dxa"/>
            <w:vMerge/>
            <w:tcBorders>
              <w:left w:val="single" w:sz="4" w:space="0" w:color="000000"/>
              <w:bottom w:val="single" w:sz="4" w:space="0" w:color="000000"/>
              <w:right w:val="single" w:sz="4" w:space="0" w:color="000000"/>
            </w:tcBorders>
            <w:shd w:val="clear" w:color="auto" w:fill="D4D4D4"/>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49"/>
        <w:ind w:left="152" w:right="6534"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2"/>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47、长期应付款" w:id="343"/>
      <w:bookmarkEnd w:id="343"/>
      <w:r>
        <w:rPr/>
      </w:r>
      <w:bookmarkStart w:name="（1）按款项性质列示长期应付款" w:id="344"/>
      <w:bookmarkEnd w:id="344"/>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5"/>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0"/>
        <w:ind w:left="152" w:right="0" w:firstLine="0"/>
        <w:jc w:val="left"/>
        <w:rPr>
          <w:rFonts w:ascii="宋体" w:hAnsi="宋体" w:cs="宋体" w:eastAsia="宋体" w:hint="default"/>
          <w:sz w:val="18"/>
          <w:szCs w:val="18"/>
        </w:rPr>
      </w:pPr>
      <w:bookmarkStart w:name="51、递延收益" w:id="345"/>
      <w:bookmarkEnd w:id="345"/>
      <w:r>
        <w:rPr/>
      </w:r>
      <w:r>
        <w:rPr>
          <w:rFonts w:ascii="宋体" w:hAnsi="宋体" w:cs="宋体" w:eastAsia="宋体" w:hint="default"/>
          <w:sz w:val="18"/>
          <w:szCs w:val="18"/>
        </w:rPr>
        <w:t>计划资产：</w:t>
      </w:r>
    </w:p>
    <w:p>
      <w:pPr>
        <w:spacing w:before="115"/>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7"/>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57" w:lineRule="auto" w:before="49"/>
        <w:ind w:left="152" w:right="2574"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0"/>
        <w:ind w:right="0"/>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49、专项应付款" w:id="346"/>
      <w:bookmarkEnd w:id="346"/>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6"/>
        <w:gridCol w:w="1594"/>
        <w:gridCol w:w="1596"/>
        <w:gridCol w:w="1594"/>
        <w:gridCol w:w="1583"/>
      </w:tblGrid>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50、预计负债" w:id="347"/>
      <w:bookmarkEnd w:id="347"/>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5"/>
        <w:gridCol w:w="2406"/>
        <w:gridCol w:w="2393"/>
        <w:gridCol w:w="2393"/>
      </w:tblGrid>
      <w:tr>
        <w:trPr>
          <w:trHeight w:val="401"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158,684.37</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投资亏损</w:t>
            </w:r>
          </w:p>
        </w:tc>
      </w:tr>
      <w:tr>
        <w:trPr>
          <w:trHeight w:val="401"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158,684.37</w:t>
            </w:r>
          </w:p>
        </w:tc>
        <w:tc>
          <w:tcPr>
            <w:tcW w:w="2393" w:type="dxa"/>
            <w:tcBorders>
              <w:top w:val="single" w:sz="4" w:space="0" w:color="000000"/>
              <w:left w:val="single" w:sz="4" w:space="0" w:color="000000"/>
              <w:bottom w:val="single" w:sz="4" w:space="0" w:color="000000"/>
              <w:right w:val="single" w:sz="13" w:space="0" w:color="D4D4D4"/>
            </w:tcBorders>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tabs>
          <w:tab w:pos="4948" w:val="left" w:leader="none"/>
        </w:tabs>
        <w:spacing w:line="400" w:lineRule="auto" w:before="49"/>
        <w:ind w:left="152" w:right="140" w:firstLine="0"/>
        <w:jc w:val="left"/>
        <w:rPr>
          <w:rFonts w:ascii="宋体" w:hAnsi="宋体" w:cs="宋体" w:eastAsia="宋体" w:hint="default"/>
          <w:sz w:val="21"/>
          <w:szCs w:val="21"/>
        </w:rPr>
      </w:pPr>
      <w:r>
        <w:rPr>
          <w:rFonts w:ascii="宋体" w:hAnsi="宋体" w:cs="宋体" w:eastAsia="宋体" w:hint="default"/>
          <w:sz w:val="18"/>
          <w:szCs w:val="18"/>
        </w:rPr>
        <w:t>其他说明，包括重要预计负债的相关重要假设、估计说明： </w:t>
      </w:r>
      <w:r>
        <w:rPr>
          <w:rFonts w:ascii="宋体" w:hAnsi="宋体" w:cs="宋体" w:eastAsia="宋体" w:hint="default"/>
          <w:spacing w:val="-8"/>
          <w:sz w:val="21"/>
          <w:szCs w:val="21"/>
        </w:rPr>
        <w:t>注：公司本年以自有资金人民币</w:t>
      </w:r>
      <w:r>
        <w:rPr>
          <w:rFonts w:ascii="Times New Roman" w:hAnsi="Times New Roman" w:cs="Times New Roman" w:eastAsia="Times New Roman" w:hint="default"/>
          <w:spacing w:val="-8"/>
          <w:sz w:val="21"/>
          <w:szCs w:val="21"/>
        </w:rPr>
        <w:t>200</w:t>
      </w:r>
      <w:r>
        <w:rPr>
          <w:rFonts w:ascii="宋体" w:hAnsi="宋体" w:cs="宋体" w:eastAsia="宋体" w:hint="default"/>
          <w:spacing w:val="-8"/>
          <w:sz w:val="21"/>
          <w:szCs w:val="21"/>
        </w:rPr>
        <w:t>万元出资设立上海亿富金融信息服务有限公司（以下简称</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亿富金融</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w:t>
      </w:r>
      <w:r>
        <w:rPr>
          <w:rFonts w:ascii="宋体" w:hAnsi="宋体" w:cs="宋体" w:eastAsia="宋体" w:hint="default"/>
          <w:sz w:val="21"/>
          <w:szCs w:val="21"/>
        </w:rPr>
        <w:t> 占注册资本比例的</w:t>
      </w:r>
      <w:r>
        <w:rPr>
          <w:rFonts w:ascii="Times New Roman" w:hAnsi="Times New Roman" w:cs="Times New Roman" w:eastAsia="Times New Roman" w:hint="default"/>
          <w:sz w:val="21"/>
          <w:szCs w:val="21"/>
        </w:rPr>
        <w:t>20%</w:t>
      </w:r>
      <w:r>
        <w:rPr>
          <w:rFonts w:ascii="宋体" w:hAnsi="宋体" w:cs="宋体" w:eastAsia="宋体" w:hint="default"/>
          <w:sz w:val="21"/>
          <w:szCs w:val="21"/>
        </w:rPr>
        <w:t>，详见本报告 第十节</w:t>
      </w:r>
      <w:r>
        <w:rPr>
          <w:rFonts w:ascii="宋体" w:hAnsi="宋体" w:cs="宋体" w:eastAsia="宋体" w:hint="default"/>
          <w:spacing w:val="-2"/>
          <w:sz w:val="21"/>
          <w:szCs w:val="21"/>
        </w:rPr>
        <w:t> </w:t>
      </w:r>
      <w:r>
        <w:rPr>
          <w:rFonts w:ascii="宋体" w:hAnsi="宋体" w:cs="宋体" w:eastAsia="宋体" w:hint="default"/>
          <w:sz w:val="21"/>
          <w:szCs w:val="21"/>
        </w:rPr>
        <w:t>十二</w:t>
        <w:tab/>
      </w:r>
      <w:r>
        <w:rPr>
          <w:rFonts w:ascii="宋体" w:hAnsi="宋体" w:cs="宋体" w:eastAsia="宋体" w:hint="default"/>
          <w:sz w:val="21"/>
          <w:szCs w:val="21"/>
        </w:rPr>
        <w:t>5</w:t>
      </w:r>
      <w:r>
        <w:rPr>
          <w:rFonts w:ascii="宋体" w:hAnsi="宋体" w:cs="宋体" w:eastAsia="宋体" w:hint="default"/>
          <w:spacing w:val="1"/>
          <w:sz w:val="21"/>
          <w:szCs w:val="21"/>
        </w:rPr>
        <w:t> </w:t>
      </w: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w:t>
      </w:r>
    </w:p>
    <w:p>
      <w:pPr>
        <w:pStyle w:val="BodyText"/>
        <w:spacing w:line="386" w:lineRule="auto" w:before="21"/>
        <w:ind w:left="153" w:right="0"/>
        <w:jc w:val="left"/>
      </w:pPr>
      <w:r>
        <w:rPr>
          <w:spacing w:val="-3"/>
        </w:rPr>
        <w:t>亿富金融本年度净利润</w:t>
      </w:r>
      <w:r>
        <w:rPr>
          <w:rFonts w:ascii="Times New Roman" w:hAnsi="Times New Roman" w:cs="Times New Roman" w:eastAsia="Times New Roman" w:hint="default"/>
          <w:spacing w:val="-3"/>
        </w:rPr>
        <w:t>-793,421.87</w:t>
      </w:r>
      <w:r>
        <w:rPr>
          <w:spacing w:val="-3"/>
        </w:rPr>
        <w:t>元，由于公司尚未支付投资款，故根据持股比例确认投资亏损</w:t>
      </w:r>
      <w:r>
        <w:rPr>
          <w:rFonts w:ascii="Times New Roman" w:hAnsi="Times New Roman" w:cs="Times New Roman" w:eastAsia="Times New Roman" w:hint="default"/>
          <w:spacing w:val="-3"/>
        </w:rPr>
        <w:t>158,684.37</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t>元，同时确认相应预计负债。</w:t>
      </w:r>
    </w:p>
    <w:p>
      <w:pPr>
        <w:spacing w:line="240" w:lineRule="auto" w:before="0"/>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2"/>
        <w:rPr>
          <w:rFonts w:ascii="宋体" w:hAnsi="宋体" w:cs="宋体" w:eastAsia="宋体" w:hint="default"/>
          <w:b/>
          <w:bCs/>
          <w:sz w:val="26"/>
          <w:szCs w:val="26"/>
        </w:rPr>
      </w:pPr>
    </w:p>
    <w:p>
      <w:pPr>
        <w:spacing w:before="0"/>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31"/>
              <w:jc w:val="righ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4,930,000.00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4,080,000.00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3,850,000.00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9"/>
              <w:jc w:val="right"/>
              <w:rPr>
                <w:rFonts w:ascii="宋体" w:hAnsi="宋体" w:cs="宋体" w:eastAsia="宋体" w:hint="default"/>
                <w:sz w:val="18"/>
                <w:szCs w:val="18"/>
              </w:rPr>
            </w:pPr>
            <w:r>
              <w:rPr>
                <w:rFonts w:ascii="宋体" w:hAnsi="宋体" w:cs="宋体" w:eastAsia="宋体" w:hint="default"/>
                <w:sz w:val="18"/>
                <w:szCs w:val="18"/>
              </w:rPr>
              <w:t>尚未验收评审</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4,930,000.00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4,080,000.00</w:t>
            </w:r>
            <w:r>
              <w:rPr>
                <w:rFonts w:ascii="Times New Roman"/>
                <w:sz w:val="18"/>
              </w:rPr>
            </w:r>
          </w:p>
        </w:tc>
        <w:tc>
          <w:tcPr>
            <w:tcW w:w="1594" w:type="dxa"/>
            <w:tcBorders>
              <w:top w:val="single" w:sz="4" w:space="0" w:color="000000"/>
              <w:left w:val="single" w:sz="4" w:space="0" w:color="000000"/>
              <w:bottom w:val="single" w:sz="4" w:space="0" w:color="000000"/>
              <w:right w:val="single" w:sz="10" w:space="0" w:color="D4D4D4"/>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3,850,000.00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5"/>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02"/>
        <w:gridCol w:w="1034"/>
        <w:gridCol w:w="1368"/>
        <w:gridCol w:w="1366"/>
        <w:gridCol w:w="1368"/>
        <w:gridCol w:w="1366"/>
        <w:gridCol w:w="1368"/>
      </w:tblGrid>
      <w:tr>
        <w:trPr>
          <w:trHeight w:val="713" w:hRule="exact"/>
        </w:trPr>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88" w:right="48"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407" w:right="23" w:hanging="38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47"/>
              <w:jc w:val="left"/>
              <w:rPr>
                <w:rFonts w:ascii="宋体" w:hAnsi="宋体" w:cs="宋体" w:eastAsia="宋体" w:hint="default"/>
                <w:sz w:val="18"/>
                <w:szCs w:val="18"/>
              </w:rPr>
            </w:pPr>
            <w:r>
              <w:rPr>
                <w:rFonts w:ascii="宋体" w:hAnsi="宋体" w:cs="宋体" w:eastAsia="宋体" w:hint="default"/>
                <w:sz w:val="18"/>
                <w:szCs w:val="18"/>
              </w:rPr>
              <w:t>复深蓝云资源管理平 台补贴</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7"/>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FairyTest</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大型应用系 统自动化回归测试管 理云平台补贴</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小巨人项目补贴</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7"/>
              <w:jc w:val="left"/>
              <w:rPr>
                <w:rFonts w:ascii="宋体" w:hAnsi="宋体" w:cs="宋体" w:eastAsia="宋体" w:hint="default"/>
                <w:sz w:val="18"/>
                <w:szCs w:val="18"/>
              </w:rPr>
            </w:pPr>
            <w:r>
              <w:rPr>
                <w:rFonts w:ascii="宋体" w:hAnsi="宋体" w:cs="宋体" w:eastAsia="宋体" w:hint="default"/>
                <w:sz w:val="18"/>
                <w:szCs w:val="18"/>
              </w:rPr>
              <w:t>精灵云测平台自主研 发</w:t>
            </w:r>
          </w:p>
        </w:tc>
        <w:tc>
          <w:tcPr>
            <w:tcW w:w="103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47"/>
              <w:jc w:val="left"/>
              <w:rPr>
                <w:rFonts w:ascii="宋体" w:hAnsi="宋体" w:cs="宋体" w:eastAsia="宋体" w:hint="default"/>
                <w:sz w:val="18"/>
                <w:szCs w:val="18"/>
              </w:rPr>
            </w:pPr>
            <w:r>
              <w:rPr>
                <w:rFonts w:ascii="宋体" w:hAnsi="宋体" w:cs="宋体" w:eastAsia="宋体" w:hint="default"/>
                <w:sz w:val="18"/>
                <w:szCs w:val="18"/>
              </w:rPr>
              <w:t>上海市软件和集成电 路产业发展专项基金</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7"/>
              <w:jc w:val="both"/>
              <w:rPr>
                <w:rFonts w:ascii="宋体" w:hAnsi="宋体" w:cs="宋体" w:eastAsia="宋体" w:hint="default"/>
                <w:sz w:val="18"/>
                <w:szCs w:val="18"/>
              </w:rPr>
            </w:pPr>
            <w:r>
              <w:rPr>
                <w:rFonts w:ascii="宋体" w:hAnsi="宋体" w:cs="宋体" w:eastAsia="宋体" w:hint="default"/>
                <w:sz w:val="18"/>
                <w:szCs w:val="18"/>
              </w:rPr>
              <w:t>超大规模分布式储存 系统关键技术研制与 示范应用</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年软件和集成电 路产业发展专项资金</w:t>
            </w:r>
          </w:p>
        </w:tc>
        <w:tc>
          <w:tcPr>
            <w:tcW w:w="103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1,350,000.00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1,350,000.00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4,930,000.00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4,080,000.00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3,850,000.00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0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03"/>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12"/>
        <w:rPr>
          <w:rFonts w:ascii="宋体" w:hAnsi="宋体" w:cs="宋体" w:eastAsia="宋体" w:hint="default"/>
          <w:b/>
          <w:bCs/>
          <w:sz w:val="22"/>
          <w:szCs w:val="22"/>
        </w:rPr>
      </w:pPr>
    </w:p>
    <w:p>
      <w:pPr>
        <w:spacing w:before="44"/>
        <w:ind w:left="0" w:right="213" w:firstLine="0"/>
        <w:jc w:val="right"/>
        <w:rPr>
          <w:rFonts w:ascii="宋体" w:hAnsi="宋体" w:cs="宋体" w:eastAsia="宋体" w:hint="default"/>
          <w:sz w:val="18"/>
          <w:szCs w:val="18"/>
        </w:rPr>
      </w:pPr>
      <w:bookmarkStart w:name="52、其他非流动负债" w:id="348"/>
      <w:bookmarkEnd w:id="348"/>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0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0"/>
        <w:ind w:right="103"/>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0"/>
        <w:rPr>
          <w:rFonts w:ascii="宋体" w:hAnsi="宋体" w:cs="宋体" w:eastAsia="宋体" w:hint="default"/>
          <w:b/>
          <w:bCs/>
          <w:sz w:val="22"/>
          <w:szCs w:val="22"/>
        </w:rPr>
      </w:pPr>
    </w:p>
    <w:p>
      <w:pPr>
        <w:spacing w:before="44"/>
        <w:ind w:left="0" w:right="213" w:firstLine="0"/>
        <w:jc w:val="right"/>
        <w:rPr>
          <w:rFonts w:ascii="宋体" w:hAnsi="宋体" w:cs="宋体" w:eastAsia="宋体" w:hint="default"/>
          <w:sz w:val="18"/>
          <w:szCs w:val="18"/>
        </w:rPr>
      </w:pPr>
      <w:bookmarkStart w:name="53、股本" w:id="349"/>
      <w:bookmarkEnd w:id="349"/>
      <w:r>
        <w:rPr/>
      </w: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3"/>
        <w:gridCol w:w="1210"/>
        <w:gridCol w:w="1183"/>
        <w:gridCol w:w="1195"/>
        <w:gridCol w:w="1198"/>
        <w:gridCol w:w="1195"/>
        <w:gridCol w:w="1184"/>
        <w:gridCol w:w="1208"/>
      </w:tblGrid>
      <w:tr>
        <w:trPr>
          <w:trHeight w:val="206" w:hRule="exact"/>
        </w:trPr>
        <w:tc>
          <w:tcPr>
            <w:tcW w:w="1183" w:type="dxa"/>
            <w:tcBorders>
              <w:top w:val="single" w:sz="4" w:space="0" w:color="000000"/>
              <w:left w:val="single" w:sz="4" w:space="0" w:color="000000"/>
              <w:bottom w:val="nil" w:sz="6" w:space="0" w:color="auto"/>
              <w:right w:val="single" w:sz="4" w:space="0" w:color="000000"/>
            </w:tcBorders>
            <w:shd w:val="clear" w:color="auto" w:fill="D4D4D4"/>
          </w:tcPr>
          <w:p>
            <w:pPr/>
          </w:p>
        </w:tc>
        <w:tc>
          <w:tcPr>
            <w:tcW w:w="1210" w:type="dxa"/>
            <w:tcBorders>
              <w:top w:val="single" w:sz="4" w:space="0" w:color="000000"/>
              <w:left w:val="single" w:sz="4" w:space="0" w:color="000000"/>
              <w:bottom w:val="nil" w:sz="6" w:space="0" w:color="auto"/>
              <w:right w:val="single" w:sz="4" w:space="0" w:color="000000"/>
            </w:tcBorders>
            <w:shd w:val="clear" w:color="auto" w:fill="D4D4D4"/>
          </w:tcPr>
          <w:p>
            <w:pPr/>
          </w:p>
        </w:tc>
        <w:tc>
          <w:tcPr>
            <w:tcW w:w="5956" w:type="dxa"/>
            <w:gridSpan w:val="5"/>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2" w:hRule="exact"/>
        </w:trPr>
        <w:tc>
          <w:tcPr>
            <w:tcW w:w="1183" w:type="dxa"/>
            <w:vMerge w:val="restart"/>
            <w:tcBorders>
              <w:top w:val="nil" w:sz="6" w:space="0" w:color="auto"/>
              <w:left w:val="single" w:sz="4" w:space="0" w:color="000000"/>
              <w:right w:val="single" w:sz="4" w:space="0" w:color="000000"/>
            </w:tcBorders>
            <w:shd w:val="clear" w:color="auto" w:fill="D4D4D4"/>
          </w:tcPr>
          <w:p>
            <w:pPr/>
          </w:p>
        </w:tc>
        <w:tc>
          <w:tcPr>
            <w:tcW w:w="121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6" w:type="dxa"/>
            <w:gridSpan w:val="5"/>
            <w:vMerge/>
            <w:tcBorders>
              <w:left w:val="single" w:sz="4" w:space="0" w:color="000000"/>
              <w:bottom w:val="single" w:sz="4" w:space="0" w:color="000000"/>
              <w:right w:val="single" w:sz="4" w:space="0" w:color="000000"/>
            </w:tcBorders>
            <w:shd w:val="clear" w:color="auto" w:fill="D4D4D4"/>
          </w:tcPr>
          <w:p>
            <w:pPr/>
          </w:p>
        </w:tc>
        <w:tc>
          <w:tcPr>
            <w:tcW w:w="120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183" w:type="dxa"/>
            <w:vMerge/>
            <w:tcBorders>
              <w:left w:val="single" w:sz="4" w:space="0" w:color="000000"/>
              <w:bottom w:val="nil" w:sz="6" w:space="0" w:color="auto"/>
              <w:right w:val="single" w:sz="4" w:space="0" w:color="000000"/>
            </w:tcBorders>
            <w:shd w:val="clear" w:color="auto" w:fill="D4D4D4"/>
          </w:tcPr>
          <w:p>
            <w:pPr/>
          </w:p>
        </w:tc>
        <w:tc>
          <w:tcPr>
            <w:tcW w:w="1210" w:type="dxa"/>
            <w:vMerge/>
            <w:tcBorders>
              <w:left w:val="single" w:sz="4" w:space="0" w:color="000000"/>
              <w:bottom w:val="nil" w:sz="6" w:space="0" w:color="auto"/>
              <w:right w:val="single" w:sz="4" w:space="0" w:color="000000"/>
            </w:tcBorders>
            <w:shd w:val="clear" w:color="auto" w:fill="D4D4D4"/>
          </w:tcPr>
          <w:p>
            <w:pPr/>
          </w:p>
        </w:tc>
        <w:tc>
          <w:tcPr>
            <w:tcW w:w="118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4D4D4"/>
          </w:tcPr>
          <w:p>
            <w:pPr/>
          </w:p>
        </w:tc>
      </w:tr>
      <w:tr>
        <w:trPr>
          <w:trHeight w:val="206" w:hRule="exact"/>
        </w:trPr>
        <w:tc>
          <w:tcPr>
            <w:tcW w:w="1183" w:type="dxa"/>
            <w:tcBorders>
              <w:top w:val="nil" w:sz="6" w:space="0" w:color="auto"/>
              <w:left w:val="single" w:sz="4" w:space="0" w:color="000000"/>
              <w:bottom w:val="single" w:sz="4" w:space="0" w:color="000000"/>
              <w:right w:val="single" w:sz="4" w:space="0" w:color="000000"/>
            </w:tcBorders>
            <w:shd w:val="clear" w:color="auto" w:fill="D4D4D4"/>
          </w:tcPr>
          <w:p>
            <w:pPr/>
          </w:p>
        </w:tc>
        <w:tc>
          <w:tcPr>
            <w:tcW w:w="1210" w:type="dxa"/>
            <w:tcBorders>
              <w:top w:val="nil" w:sz="6" w:space="0" w:color="auto"/>
              <w:left w:val="single" w:sz="4" w:space="0" w:color="000000"/>
              <w:bottom w:val="single" w:sz="4" w:space="0" w:color="000000"/>
              <w:right w:val="single" w:sz="4" w:space="0" w:color="000000"/>
            </w:tcBorders>
            <w:shd w:val="clear" w:color="auto" w:fill="D4D4D4"/>
          </w:tcPr>
          <w:p>
            <w:pPr/>
          </w:p>
        </w:tc>
        <w:tc>
          <w:tcPr>
            <w:tcW w:w="1183"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8"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84" w:type="dxa"/>
            <w:vMerge/>
            <w:tcBorders>
              <w:left w:val="single" w:sz="4" w:space="0" w:color="000000"/>
              <w:bottom w:val="single" w:sz="4" w:space="0" w:color="000000"/>
              <w:right w:val="single" w:sz="4" w:space="0" w:color="000000"/>
            </w:tcBorders>
            <w:shd w:val="clear" w:color="auto" w:fill="D4D4D4"/>
          </w:tcPr>
          <w:p>
            <w:pPr/>
          </w:p>
        </w:tc>
        <w:tc>
          <w:tcPr>
            <w:tcW w:w="120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1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181,966,460.00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90,916,605.00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-202,670.00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90,713,935.00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272,680,395.00</w:t>
            </w:r>
          </w:p>
        </w:tc>
      </w:tr>
    </w:tbl>
    <w:p>
      <w:pPr>
        <w:pStyle w:val="BodyText"/>
        <w:spacing w:line="393" w:lineRule="auto" w:before="49"/>
        <w:ind w:right="103"/>
        <w:jc w:val="left"/>
      </w:pPr>
      <w:r>
        <w:rPr>
          <w:sz w:val="18"/>
          <w:szCs w:val="18"/>
        </w:rPr>
        <w:t>其他说明： </w:t>
      </w:r>
      <w:r>
        <w:rPr>
          <w:spacing w:val="-2"/>
        </w:rPr>
        <w:t>注：</w:t>
      </w:r>
      <w:r>
        <w:rPr>
          <w:rFonts w:ascii="Times New Roman" w:hAnsi="Times New Roman" w:cs="Times New Roman" w:eastAsia="Times New Roman" w:hint="default"/>
          <w:spacing w:val="-2"/>
        </w:rPr>
        <w:t>1</w:t>
      </w:r>
      <w:r>
        <w:rPr>
          <w:spacing w:val="-2"/>
        </w:rPr>
        <w:t>：公司</w:t>
      </w:r>
      <w:r>
        <w:rPr>
          <w:rFonts w:ascii="Times New Roman" w:hAnsi="Times New Roman" w:cs="Times New Roman" w:eastAsia="Times New Roman" w:hint="default"/>
          <w:spacing w:val="-2"/>
        </w:rPr>
        <w:t>2014</w:t>
      </w:r>
      <w:r>
        <w:rPr>
          <w:spacing w:val="-2"/>
        </w:rPr>
        <w:t>年年度权益分派方案已获</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13</w:t>
      </w:r>
      <w:r>
        <w:rPr>
          <w:spacing w:val="-2"/>
        </w:rPr>
        <w:t>日召开的</w:t>
      </w:r>
      <w:r>
        <w:rPr>
          <w:rFonts w:ascii="Times New Roman" w:hAnsi="Times New Roman" w:cs="Times New Roman" w:eastAsia="Times New Roman" w:hint="default"/>
          <w:spacing w:val="-2"/>
        </w:rPr>
        <w:t>2014</w:t>
      </w:r>
      <w:r>
        <w:rPr>
          <w:spacing w:val="-2"/>
        </w:rPr>
        <w:t>年年度股东大会审议通过。本公司以</w:t>
      </w:r>
      <w:r>
        <w:rPr>
          <w:spacing w:val="-35"/>
        </w:rPr>
        <w:t> </w:t>
      </w:r>
      <w:r>
        <w:rPr>
          <w:spacing w:val="-35"/>
        </w:rPr>
      </w:r>
      <w:r>
        <w:rPr/>
        <w:t>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5.000000</w:t>
      </w:r>
      <w:r>
        <w:rPr/>
        <w:t>股。本次权益分派已于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日实施完毕。</w:t>
      </w:r>
      <w:r>
        <w:rPr>
          <w:w w:val="100"/>
        </w:rPr>
        <w:t> </w:t>
      </w:r>
      <w:r>
        <w:rPr>
          <w:spacing w:val="-8"/>
          <w:w w:val="100"/>
        </w:rPr>
        <w:t>上述股本变更业经立信会计师事务所（特殊普通合伙）于</w:t>
      </w:r>
      <w:r>
        <w:rPr>
          <w:rFonts w:ascii="Times New Roman" w:hAnsi="Times New Roman" w:cs="Times New Roman" w:eastAsia="Times New Roman" w:hint="default"/>
          <w:spacing w:val="-8"/>
          <w:w w:val="100"/>
        </w:rPr>
        <w:t>2015</w:t>
      </w:r>
      <w:r>
        <w:rPr>
          <w:spacing w:val="-8"/>
          <w:w w:val="100"/>
        </w:rPr>
        <w:t>年</w:t>
      </w:r>
      <w:r>
        <w:rPr>
          <w:rFonts w:ascii="Times New Roman" w:hAnsi="Times New Roman" w:cs="Times New Roman" w:eastAsia="Times New Roman" w:hint="default"/>
          <w:spacing w:val="-8"/>
          <w:w w:val="100"/>
        </w:rPr>
        <w:t>5</w:t>
      </w:r>
      <w:r>
        <w:rPr>
          <w:spacing w:val="-8"/>
          <w:w w:val="100"/>
        </w:rPr>
        <w:t>月</w:t>
      </w:r>
      <w:r>
        <w:rPr>
          <w:rFonts w:ascii="Times New Roman" w:hAnsi="Times New Roman" w:cs="Times New Roman" w:eastAsia="Times New Roman" w:hint="default"/>
          <w:spacing w:val="-8"/>
          <w:w w:val="100"/>
        </w:rPr>
        <w:t>28</w:t>
      </w:r>
      <w:r>
        <w:rPr>
          <w:spacing w:val="-8"/>
          <w:w w:val="100"/>
        </w:rPr>
        <w:t>日出具了信会师报字【</w:t>
      </w:r>
      <w:r>
        <w:rPr>
          <w:rFonts w:ascii="Times New Roman" w:hAnsi="Times New Roman" w:cs="Times New Roman" w:eastAsia="Times New Roman" w:hint="default"/>
          <w:spacing w:val="-8"/>
          <w:w w:val="100"/>
        </w:rPr>
        <w:t>2015</w:t>
      </w:r>
      <w:r>
        <w:rPr>
          <w:spacing w:val="-8"/>
          <w:w w:val="100"/>
        </w:rPr>
        <w:t>】第</w:t>
      </w:r>
      <w:r>
        <w:rPr>
          <w:rFonts w:ascii="Times New Roman" w:hAnsi="Times New Roman" w:cs="Times New Roman" w:eastAsia="Times New Roman" w:hint="default"/>
          <w:spacing w:val="-8"/>
          <w:w w:val="100"/>
        </w:rPr>
        <w:t>114300</w:t>
      </w:r>
      <w:r>
        <w:rPr>
          <w:rFonts w:ascii="Times New Roman" w:hAnsi="Times New Roman" w:cs="Times New Roman" w:eastAsia="Times New Roman" w:hint="default"/>
          <w:spacing w:val="-14"/>
          <w:w w:val="100"/>
        </w:rPr>
        <w:t> </w:t>
      </w:r>
      <w:r>
        <w:rPr>
          <w:rFonts w:ascii="Times New Roman" w:hAnsi="Times New Roman" w:cs="Times New Roman" w:eastAsia="Times New Roman" w:hint="default"/>
          <w:spacing w:val="-14"/>
          <w:w w:val="100"/>
        </w:rPr>
      </w:r>
      <w:r>
        <w:rPr/>
        <w:t>号验资报告验证。</w:t>
      </w:r>
    </w:p>
    <w:p>
      <w:pPr>
        <w:pStyle w:val="BodyText"/>
        <w:spacing w:line="240" w:lineRule="auto" w:before="59"/>
        <w:ind w:left="153" w:right="0"/>
        <w:jc w:val="left"/>
      </w:pPr>
      <w:r>
        <w:rPr>
          <w:spacing w:val="-3"/>
        </w:rPr>
        <w:t>注</w:t>
      </w:r>
      <w:r>
        <w:rPr>
          <w:rFonts w:ascii="Times New Roman" w:hAnsi="Times New Roman" w:cs="Times New Roman" w:eastAsia="Times New Roman" w:hint="default"/>
          <w:spacing w:val="-3"/>
        </w:rPr>
        <w:t>2</w:t>
      </w:r>
      <w:r>
        <w:rPr>
          <w:spacing w:val="-3"/>
        </w:rPr>
        <w:t>：本年度回购注销已授予但未能解锁的限制性股票所致减少，详见本报告第十节 </w:t>
      </w:r>
      <w:r>
        <w:rPr/>
        <w:t>十三 </w:t>
      </w:r>
      <w:r>
        <w:rPr>
          <w:rFonts w:ascii="Times New Roman" w:hAnsi="Times New Roman" w:cs="Times New Roman" w:eastAsia="Times New Roman" w:hint="default"/>
        </w:rPr>
        <w:t>2 </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3"/>
        </w:rPr>
        <w:t>-1</w:t>
      </w:r>
      <w:r>
        <w:rPr>
          <w:spacing w:val="-13"/>
        </w:rPr>
        <w:t>（</w:t>
      </w:r>
      <w:r>
        <w:rPr>
          <w:rFonts w:ascii="Times New Roman" w:hAnsi="Times New Roman" w:cs="Times New Roman" w:eastAsia="Times New Roman" w:hint="default"/>
          <w:spacing w:val="-13"/>
        </w:rPr>
        <w:t>3</w:t>
      </w:r>
      <w:r>
        <w:rPr>
          <w:spacing w:val="-13"/>
        </w:rPr>
        <w:t>）、（</w:t>
      </w:r>
      <w:r>
        <w:rPr>
          <w:rFonts w:ascii="Times New Roman" w:hAnsi="Times New Roman" w:cs="Times New Roman" w:eastAsia="Times New Roman" w:hint="default"/>
          <w:spacing w:val="-13"/>
        </w:rPr>
        <w:t>4</w:t>
      </w:r>
      <w:r>
        <w:rPr>
          <w:spacing w:val="-13"/>
        </w:rPr>
        <w:t>）</w:t>
      </w:r>
    </w:p>
    <w:p>
      <w:pPr>
        <w:spacing w:after="0" w:line="240" w:lineRule="auto"/>
        <w:jc w:val="left"/>
        <w:sectPr>
          <w:pgSz w:w="11910" w:h="16840"/>
          <w:pgMar w:header="745" w:footer="982" w:top="1060" w:bottom="1180" w:left="980" w:right="920"/>
        </w:sectPr>
      </w:pPr>
    </w:p>
    <w:p>
      <w:pPr>
        <w:spacing w:line="240" w:lineRule="auto" w:before="0"/>
        <w:rPr>
          <w:rFonts w:ascii="宋体" w:hAnsi="宋体" w:cs="宋体" w:eastAsia="宋体" w:hint="default"/>
          <w:sz w:val="20"/>
          <w:szCs w:val="20"/>
        </w:rPr>
      </w:pPr>
    </w:p>
    <w:p>
      <w:pPr>
        <w:pStyle w:val="BodyText"/>
        <w:spacing w:line="386" w:lineRule="auto" w:before="175"/>
        <w:ind w:right="114"/>
        <w:jc w:val="left"/>
      </w:pPr>
      <w:bookmarkStart w:name="56、库存股" w:id="350"/>
      <w:bookmarkEnd w:id="350"/>
      <w:r>
        <w:rPr/>
      </w:r>
      <w:r>
        <w:rPr/>
        <w:t>以及</w:t>
      </w:r>
      <w:r>
        <w:rPr>
          <w:rFonts w:ascii="Times New Roman" w:hAnsi="Times New Roman" w:cs="Times New Roman" w:eastAsia="Times New Roman" w:hint="default"/>
        </w:rPr>
        <w:t>2</w:t>
      </w: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w:t>
      </w:r>
      <w:r>
        <w:rPr>
          <w:spacing w:val="-3"/>
          <w:w w:val="100"/>
        </w:rPr>
        <w:t> </w:t>
      </w:r>
      <w:r>
        <w:rPr/>
        <w:t>上述股本变更业经立信会计师事务所（特殊普通合伙）于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日出具了信会师报字【</w:t>
      </w:r>
      <w:r>
        <w:rPr>
          <w:rFonts w:ascii="Times New Roman" w:hAnsi="Times New Roman" w:cs="Times New Roman" w:eastAsia="Times New Roman" w:hint="default"/>
        </w:rPr>
        <w:t>2015</w:t>
      </w:r>
      <w:r>
        <w:rPr/>
        <w:t>】第</w:t>
      </w:r>
      <w:r>
        <w:rPr>
          <w:spacing w:val="61"/>
        </w:rPr>
        <w:t> </w:t>
      </w:r>
      <w:r>
        <w:rPr>
          <w:rFonts w:ascii="Times New Roman" w:hAnsi="Times New Roman" w:cs="Times New Roman" w:eastAsia="Times New Roman" w:hint="default"/>
        </w:rPr>
        <w:t>115130</w:t>
      </w:r>
      <w:r>
        <w:rPr/>
        <w:t>号验资报告。</w:t>
      </w:r>
    </w:p>
    <w:p>
      <w:pPr>
        <w:spacing w:line="240" w:lineRule="auto" w:before="10"/>
        <w:rPr>
          <w:rFonts w:ascii="宋体" w:hAnsi="宋体" w:cs="宋体" w:eastAsia="宋体" w:hint="default"/>
          <w:sz w:val="19"/>
          <w:szCs w:val="19"/>
        </w:rPr>
      </w:pPr>
    </w:p>
    <w:p>
      <w:pPr>
        <w:pStyle w:val="Heading6"/>
        <w:spacing w:line="240" w:lineRule="auto"/>
        <w:ind w:right="114"/>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4"/>
        <w:jc w:val="left"/>
        <w:rPr>
          <w:b w:val="0"/>
          <w:bCs w:val="0"/>
        </w:rPr>
      </w:pPr>
      <w:r>
        <w:rPr/>
        <w:t>（</w:t>
      </w:r>
      <w:r>
        <w:rPr>
          <w:rFonts w:ascii="Times New Roman" w:hAnsi="Times New Roman" w:cs="Times New Roman" w:eastAsia="Times New Roman" w:hint="default"/>
        </w:rPr>
        <w:t>1</w:t>
      </w:r>
      <w:bookmarkStart w:name="54、其他权益工具" w:id="351"/>
      <w:bookmarkEnd w:id="351"/>
      <w:r>
        <w:rPr>
          <w:rFonts w:ascii="Times New Roman" w:hAnsi="Times New Roman" w:cs="Times New Roman" w:eastAsia="Times New Roman" w:hint="default"/>
        </w:rPr>
      </w:r>
      <w:r>
        <w:rPr/>
        <w:t>）期末发行在外的优先</w:t>
      </w:r>
      <w:bookmarkStart w:name="（1）期末发行在外的优先股、永续债等其他金融工具基本情况" w:id="352"/>
      <w:bookmarkEnd w:id="352"/>
      <w:r>
        <w:rPr/>
        <w:t>股、永续债等其他</w:t>
      </w:r>
      <w:r>
        <w:rPr/>
        <w:t>金融工具基本情况</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114"/>
        <w:jc w:val="left"/>
        <w:rPr>
          <w:b w:val="0"/>
          <w:bCs w:val="0"/>
        </w:rPr>
      </w:pPr>
      <w:r>
        <w:rPr/>
        <w:t>（</w:t>
      </w:r>
      <w:r>
        <w:rPr>
          <w:rFonts w:ascii="Times New Roman" w:hAnsi="Times New Roman" w:cs="Times New Roman" w:eastAsia="Times New Roman" w:hint="default"/>
        </w:rPr>
        <w:t>2</w:t>
      </w:r>
      <w:r>
        <w:rPr/>
        <w:t>）期末发行在外的优先</w:t>
      </w:r>
      <w:bookmarkStart w:name="（2）期末发行在外的优先股、永续债等金融工具变动情况表" w:id="353"/>
      <w:bookmarkEnd w:id="353"/>
      <w:r>
        <w:rPr/>
        <w:t>股、永续债等金融</w:t>
      </w:r>
      <w:r>
        <w:rPr/>
        <w:t>工具变动情况表</w:t>
      </w:r>
      <w:r>
        <w:rPr>
          <w:b w:val="0"/>
          <w:bCs w:val="0"/>
        </w:rPr>
      </w:r>
    </w:p>
    <w:p>
      <w:pPr>
        <w:spacing w:line="240" w:lineRule="auto" w:before="4"/>
        <w:rPr>
          <w:rFonts w:ascii="宋体" w:hAnsi="宋体" w:cs="宋体" w:eastAsia="宋体" w:hint="default"/>
          <w:b/>
          <w:bCs/>
          <w:sz w:val="26"/>
          <w:szCs w:val="26"/>
        </w:rPr>
      </w:pPr>
    </w:p>
    <w:p>
      <w:pPr>
        <w:spacing w:before="0"/>
        <w:ind w:left="0" w:right="19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6"/>
        <w:gridCol w:w="1063"/>
        <w:gridCol w:w="1063"/>
        <w:gridCol w:w="1063"/>
        <w:gridCol w:w="1063"/>
        <w:gridCol w:w="1062"/>
        <w:gridCol w:w="1062"/>
        <w:gridCol w:w="1061"/>
      </w:tblGrid>
      <w:tr>
        <w:trPr>
          <w:trHeight w:val="403" w:hRule="exact"/>
        </w:trPr>
        <w:tc>
          <w:tcPr>
            <w:tcW w:w="106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166"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4" w:type="dxa"/>
            <w:vMerge/>
            <w:tcBorders>
              <w:left w:val="single" w:sz="4" w:space="0" w:color="000000"/>
              <w:bottom w:val="single" w:sz="4" w:space="0" w:color="000000"/>
              <w:right w:val="single" w:sz="4" w:space="0" w:color="000000"/>
            </w:tcBorders>
            <w:shd w:val="clear" w:color="auto" w:fill="D4D4D4"/>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49"/>
        <w:ind w:left="152" w:right="3694"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2"/>
        <w:rPr>
          <w:rFonts w:ascii="宋体" w:hAnsi="宋体" w:cs="宋体" w:eastAsia="宋体" w:hint="default"/>
          <w:sz w:val="20"/>
          <w:szCs w:val="20"/>
        </w:rPr>
      </w:pPr>
    </w:p>
    <w:p>
      <w:pPr>
        <w:pStyle w:val="Heading6"/>
        <w:spacing w:line="240" w:lineRule="auto"/>
        <w:ind w:right="114"/>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12"/>
        <w:rPr>
          <w:rFonts w:ascii="宋体" w:hAnsi="宋体" w:cs="宋体" w:eastAsia="宋体" w:hint="default"/>
          <w:b/>
          <w:bCs/>
          <w:sz w:val="22"/>
          <w:szCs w:val="22"/>
        </w:rPr>
      </w:pPr>
    </w:p>
    <w:p>
      <w:pPr>
        <w:spacing w:before="44"/>
        <w:ind w:left="0" w:right="193" w:firstLine="0"/>
        <w:jc w:val="right"/>
        <w:rPr>
          <w:rFonts w:ascii="宋体" w:hAnsi="宋体" w:cs="宋体" w:eastAsia="宋体" w:hint="default"/>
          <w:sz w:val="18"/>
          <w:szCs w:val="18"/>
        </w:rPr>
      </w:pPr>
      <w:bookmarkStart w:name="55、资本公积" w:id="354"/>
      <w:bookmarkEnd w:id="354"/>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219,189,389.05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91,920,357.34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127,269,031.71</w:t>
            </w:r>
            <w:r>
              <w:rPr>
                <w:rFonts w:ascii="Times New Roman"/>
                <w:sz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7,080.00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7,080.00</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股份支付的权益成本</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10,292,645.00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1,013,350.01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9,286,374.99</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229,489,114.05</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92,933,707.35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136,555,406.70</w:t>
            </w:r>
            <w:r>
              <w:rPr>
                <w:rFonts w:ascii="Times New Roman"/>
                <w:sz w:val="18"/>
              </w:rPr>
            </w:r>
          </w:p>
        </w:tc>
      </w:tr>
    </w:tbl>
    <w:p>
      <w:pPr>
        <w:pStyle w:val="BodyText"/>
        <w:spacing w:line="400" w:lineRule="auto" w:before="49"/>
        <w:ind w:right="0"/>
        <w:jc w:val="left"/>
      </w:pPr>
      <w:r>
        <w:rPr>
          <w:sz w:val="18"/>
          <w:szCs w:val="18"/>
        </w:rPr>
        <w:t>其他说明，包括本期增减变动情况、变动原因说明： </w:t>
      </w:r>
      <w:r>
        <w:rPr>
          <w:spacing w:val="-3"/>
        </w:rPr>
        <w:t>注</w:t>
      </w:r>
      <w:r>
        <w:rPr>
          <w:rFonts w:ascii="Times New Roman" w:hAnsi="Times New Roman" w:cs="Times New Roman" w:eastAsia="Times New Roman" w:hint="default"/>
          <w:spacing w:val="-3"/>
        </w:rPr>
        <w:t>1</w:t>
      </w:r>
      <w:r>
        <w:rPr>
          <w:spacing w:val="-3"/>
        </w:rPr>
        <w:t>：本年减少系资本公积转增股本减少</w:t>
      </w:r>
      <w:r>
        <w:rPr>
          <w:rFonts w:ascii="Times New Roman" w:hAnsi="Times New Roman" w:cs="Times New Roman" w:eastAsia="Times New Roman" w:hint="default"/>
          <w:spacing w:val="-3"/>
        </w:rPr>
        <w:t>90,916,605.00</w:t>
      </w:r>
      <w:r>
        <w:rPr>
          <w:spacing w:val="-3"/>
        </w:rPr>
        <w:t>元，详见本报告第十节 </w:t>
      </w:r>
      <w:r>
        <w:rPr/>
        <w:t>七 </w:t>
      </w:r>
      <w:r>
        <w:rPr>
          <w:rFonts w:ascii="宋体" w:hAnsi="宋体" w:cs="宋体" w:eastAsia="宋体" w:hint="default"/>
          <w:spacing w:val="-4"/>
        </w:rPr>
        <w:t>53</w:t>
      </w:r>
      <w:r>
        <w:rPr>
          <w:spacing w:val="-4"/>
        </w:rPr>
        <w:t>；以及回购注销已授予</w:t>
      </w:r>
      <w:r>
        <w:rPr>
          <w:spacing w:val="-27"/>
        </w:rPr>
        <w:t> </w:t>
      </w:r>
      <w:r>
        <w:rPr>
          <w:spacing w:val="-27"/>
        </w:rPr>
      </w:r>
      <w:r>
        <w:rPr/>
        <w:t>但未能解锁的限制性股票所致减少</w:t>
      </w:r>
      <w:r>
        <w:rPr>
          <w:rFonts w:ascii="Times New Roman" w:hAnsi="Times New Roman" w:cs="Times New Roman" w:eastAsia="Times New Roman" w:hint="default"/>
        </w:rPr>
        <w:t>1,003,752.34</w:t>
      </w:r>
      <w:r>
        <w:rPr/>
        <w:t>元，详见本报告 第十节 十三</w:t>
      </w:r>
      <w:r>
        <w:rPr>
          <w:spacing w:val="-12"/>
        </w:rPr>
        <w:t> </w:t>
      </w:r>
      <w:r>
        <w:rPr>
          <w:rFonts w:ascii="Times New Roman" w:hAnsi="Times New Roman" w:cs="Times New Roman" w:eastAsia="Times New Roman" w:hint="default"/>
          <w:spacing w:val="-12"/>
        </w:rPr>
        <w:t>2</w:t>
      </w:r>
      <w:r>
        <w:rPr>
          <w:rFonts w:ascii="宋体" w:hAnsi="宋体" w:cs="宋体" w:eastAsia="宋体" w:hint="default"/>
          <w:spacing w:val="-12"/>
        </w:rPr>
        <w:t>-</w:t>
      </w:r>
      <w:r>
        <w:rPr>
          <w:rFonts w:ascii="Times New Roman" w:hAnsi="Times New Roman" w:cs="Times New Roman" w:eastAsia="Times New Roman" w:hint="default"/>
          <w:spacing w:val="-12"/>
        </w:rPr>
        <w:t>1</w:t>
      </w:r>
      <w:r>
        <w:rPr>
          <w:spacing w:val="-12"/>
        </w:rPr>
        <w:t>（</w:t>
      </w:r>
      <w:r>
        <w:rPr>
          <w:rFonts w:ascii="Times New Roman" w:hAnsi="Times New Roman" w:cs="Times New Roman" w:eastAsia="Times New Roman" w:hint="default"/>
          <w:spacing w:val="-12"/>
        </w:rPr>
        <w:t>3</w:t>
      </w:r>
      <w:r>
        <w:rPr>
          <w:spacing w:val="-12"/>
        </w:rPr>
        <w:t>）、（</w:t>
      </w:r>
      <w:r>
        <w:rPr>
          <w:rFonts w:ascii="Times New Roman" w:hAnsi="Times New Roman" w:cs="Times New Roman" w:eastAsia="Times New Roman" w:hint="default"/>
          <w:spacing w:val="-12"/>
        </w:rPr>
        <w:t>4</w:t>
      </w:r>
      <w:r>
        <w:rPr>
          <w:spacing w:val="-12"/>
        </w:rPr>
        <w:t>）以及</w:t>
      </w:r>
      <w:r>
        <w:rPr>
          <w:rFonts w:ascii="Times New Roman" w:hAnsi="Times New Roman" w:cs="Times New Roman" w:eastAsia="Times New Roman" w:hint="default"/>
          <w:spacing w:val="-12"/>
        </w:rPr>
        <w:t>2</w:t>
      </w:r>
      <w:r>
        <w:rPr>
          <w:spacing w:val="-12"/>
        </w:rPr>
        <w:t>（</w:t>
      </w:r>
      <w:r>
        <w:rPr>
          <w:rFonts w:ascii="Times New Roman" w:hAnsi="Times New Roman" w:cs="Times New Roman" w:eastAsia="Times New Roman" w:hint="default"/>
          <w:spacing w:val="-12"/>
        </w:rPr>
        <w:t>1</w:t>
      </w:r>
      <w:r>
        <w:rPr>
          <w:spacing w:val="-12"/>
        </w:rPr>
        <w:t>）、</w:t>
      </w:r>
      <w:r>
        <w:rPr/>
      </w:r>
    </w:p>
    <w:p>
      <w:pPr>
        <w:pStyle w:val="BodyText"/>
        <w:spacing w:line="240" w:lineRule="auto" w:before="21"/>
        <w:ind w:left="153" w:right="114"/>
        <w:jc w:val="left"/>
      </w:pPr>
      <w:r>
        <w:rPr/>
        <w:t>（</w:t>
      </w:r>
      <w:r>
        <w:rPr>
          <w:rFonts w:ascii="Times New Roman" w:hAnsi="Times New Roman" w:cs="Times New Roman" w:eastAsia="Times New Roman" w:hint="default"/>
        </w:rPr>
        <w:t>2</w:t>
      </w:r>
      <w:r>
        <w:rPr/>
        <w:t>）。</w:t>
      </w:r>
    </w:p>
    <w:p>
      <w:pPr>
        <w:pStyle w:val="BodyText"/>
        <w:spacing w:line="240" w:lineRule="auto" w:before="177"/>
        <w:ind w:left="153" w:right="114"/>
        <w:jc w:val="left"/>
      </w:pPr>
      <w:r>
        <w:rPr/>
        <w:t>注</w:t>
      </w:r>
      <w:r>
        <w:rPr>
          <w:rFonts w:ascii="Times New Roman" w:hAnsi="Times New Roman" w:cs="Times New Roman" w:eastAsia="Times New Roman" w:hint="default"/>
        </w:rPr>
        <w:t>2</w:t>
      </w:r>
      <w:r>
        <w:rPr/>
        <w:t>：详见本报告第十节 十三</w:t>
      </w:r>
      <w:r>
        <w:rPr>
          <w:spacing w:val="-2"/>
        </w:rPr>
        <w:t> </w:t>
      </w:r>
      <w:r>
        <w:rPr>
          <w:rFonts w:ascii="Times New Roman" w:hAnsi="Times New Roman" w:cs="Times New Roman" w:eastAsia="Times New Roman" w:hint="default"/>
        </w:rPr>
        <w:t>2</w:t>
      </w:r>
      <w:r>
        <w:rPr/>
        <w:t>。</w:t>
      </w:r>
    </w:p>
    <w:p>
      <w:pPr>
        <w:spacing w:line="240" w:lineRule="auto" w:before="8"/>
        <w:rPr>
          <w:rFonts w:ascii="宋体" w:hAnsi="宋体" w:cs="宋体" w:eastAsia="宋体" w:hint="default"/>
          <w:sz w:val="30"/>
          <w:szCs w:val="30"/>
        </w:rPr>
      </w:pPr>
    </w:p>
    <w:p>
      <w:pPr>
        <w:pStyle w:val="Heading6"/>
        <w:spacing w:line="240" w:lineRule="auto"/>
        <w:ind w:right="114"/>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2"/>
        <w:rPr>
          <w:rFonts w:ascii="宋体" w:hAnsi="宋体" w:cs="宋体" w:eastAsia="宋体" w:hint="default"/>
          <w:b/>
          <w:bCs/>
          <w:sz w:val="26"/>
          <w:szCs w:val="26"/>
        </w:rPr>
      </w:pPr>
    </w:p>
    <w:p>
      <w:pPr>
        <w:spacing w:before="0"/>
        <w:ind w:left="0" w:right="19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股权激励回购股（注）</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12,577,560.00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12,577,560.00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12,577,560.00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12,577,560.00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bookmarkStart w:name="60、未分配利润" w:id="355"/>
      <w:bookmarkEnd w:id="355"/>
      <w:r>
        <w:rPr/>
      </w:r>
      <w:r>
        <w:rPr>
          <w:rFonts w:ascii="宋体" w:hAnsi="宋体" w:cs="宋体" w:eastAsia="宋体" w:hint="default"/>
          <w:sz w:val="18"/>
          <w:szCs w:val="18"/>
        </w:rPr>
        <w:t>其他说明，包括本期增减变动情况、变动原因说明：</w:t>
      </w:r>
    </w:p>
    <w:p>
      <w:pPr>
        <w:pStyle w:val="BodyText"/>
        <w:spacing w:line="240" w:lineRule="auto" w:before="96"/>
        <w:ind w:right="0"/>
        <w:jc w:val="left"/>
      </w:pPr>
      <w:r>
        <w:rPr/>
        <w:t>注：详见本报告第十节 十三</w:t>
      </w:r>
      <w:r>
        <w:rPr>
          <w:spacing w:val="-4"/>
        </w:rPr>
        <w:t> </w:t>
      </w:r>
      <w:r>
        <w:rPr>
          <w:rFonts w:ascii="Times New Roman" w:hAnsi="Times New Roman" w:cs="Times New Roman" w:eastAsia="Times New Roman" w:hint="default"/>
        </w:rPr>
        <w:t>2-3</w:t>
      </w:r>
      <w:r>
        <w:rPr/>
        <w:t>。</w:t>
      </w:r>
    </w:p>
    <w:p>
      <w:pPr>
        <w:spacing w:line="240" w:lineRule="auto" w:before="7"/>
        <w:rPr>
          <w:rFonts w:ascii="宋体" w:hAnsi="宋体" w:cs="宋体" w:eastAsia="宋体" w:hint="default"/>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57</w:t>
      </w:r>
      <w:bookmarkStart w:name="57、其他综合收益" w:id="356"/>
      <w:bookmarkEnd w:id="356"/>
      <w:r>
        <w:rPr>
          <w:rFonts w:ascii="Times New Roman" w:hAnsi="Times New Roman" w:cs="Times New Roman" w:eastAsia="Times New Roman" w:hint="default"/>
        </w:rPr>
      </w:r>
      <w:r>
        <w:rPr/>
        <w:t>、其他综合收益</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98"/>
        <w:gridCol w:w="1068"/>
        <w:gridCol w:w="936"/>
        <w:gridCol w:w="1152"/>
        <w:gridCol w:w="934"/>
        <w:gridCol w:w="936"/>
        <w:gridCol w:w="936"/>
        <w:gridCol w:w="797"/>
      </w:tblGrid>
      <w:tr>
        <w:trPr>
          <w:trHeight w:val="402" w:hRule="exact"/>
        </w:trPr>
        <w:tc>
          <w:tcPr>
            <w:tcW w:w="2798" w:type="dxa"/>
            <w:vMerge w:val="restart"/>
            <w:tcBorders>
              <w:top w:val="single" w:sz="4" w:space="0" w:color="000000"/>
              <w:left w:val="single" w:sz="4" w:space="0" w:color="000000"/>
              <w:right w:val="single" w:sz="4" w:space="0" w:color="000000"/>
            </w:tcBorders>
            <w:shd w:val="clear" w:color="auto" w:fill="D4D4D4"/>
          </w:tcPr>
          <w:p>
            <w:pPr/>
          </w:p>
        </w:tc>
        <w:tc>
          <w:tcPr>
            <w:tcW w:w="1068" w:type="dxa"/>
            <w:vMerge w:val="restart"/>
            <w:tcBorders>
              <w:top w:val="single" w:sz="4" w:space="0" w:color="000000"/>
              <w:left w:val="single" w:sz="4" w:space="0" w:color="000000"/>
              <w:right w:val="single" w:sz="4" w:space="0" w:color="000000"/>
            </w:tcBorders>
            <w:shd w:val="clear" w:color="auto" w:fill="D4D4D4"/>
          </w:tcPr>
          <w:p>
            <w:pPr/>
          </w:p>
        </w:tc>
        <w:tc>
          <w:tcPr>
            <w:tcW w:w="48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4D4D4"/>
          </w:tcPr>
          <w:p>
            <w:pPr/>
          </w:p>
        </w:tc>
      </w:tr>
      <w:tr>
        <w:trPr>
          <w:trHeight w:val="116" w:hRule="exact"/>
        </w:trPr>
        <w:tc>
          <w:tcPr>
            <w:tcW w:w="2798" w:type="dxa"/>
            <w:vMerge/>
            <w:tcBorders>
              <w:left w:val="single" w:sz="4" w:space="0" w:color="000000"/>
              <w:bottom w:val="nil" w:sz="6" w:space="0" w:color="auto"/>
              <w:right w:val="single" w:sz="4" w:space="0" w:color="000000"/>
            </w:tcBorders>
            <w:shd w:val="clear" w:color="auto" w:fill="D4D4D4"/>
          </w:tcPr>
          <w:p>
            <w:pPr/>
          </w:p>
        </w:tc>
        <w:tc>
          <w:tcPr>
            <w:tcW w:w="1068" w:type="dxa"/>
            <w:vMerge/>
            <w:tcBorders>
              <w:left w:val="single" w:sz="4" w:space="0" w:color="000000"/>
              <w:bottom w:val="nil" w:sz="6" w:space="0" w:color="auto"/>
              <w:right w:val="single" w:sz="4" w:space="0" w:color="000000"/>
            </w:tcBorders>
            <w:shd w:val="clear" w:color="auto" w:fill="D4D4D4"/>
          </w:tcPr>
          <w:p>
            <w:pPr/>
          </w:p>
        </w:tc>
        <w:tc>
          <w:tcPr>
            <w:tcW w:w="93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0"/>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0"/>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6" w:type="dxa"/>
            <w:tcBorders>
              <w:top w:val="single" w:sz="4" w:space="0" w:color="000000"/>
              <w:left w:val="single" w:sz="4" w:space="0" w:color="000000"/>
              <w:bottom w:val="nil" w:sz="6" w:space="0" w:color="auto"/>
              <w:right w:val="single" w:sz="4" w:space="0" w:color="000000"/>
            </w:tcBorders>
            <w:shd w:val="clear" w:color="auto" w:fill="D4D4D4"/>
          </w:tcPr>
          <w:p>
            <w:pPr/>
          </w:p>
        </w:tc>
        <w:tc>
          <w:tcPr>
            <w:tcW w:w="93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0"/>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4D4D4"/>
          </w:tcPr>
          <w:p>
            <w:pPr/>
          </w:p>
        </w:tc>
      </w:tr>
      <w:tr>
        <w:trPr>
          <w:trHeight w:val="368" w:hRule="exact"/>
        </w:trPr>
        <w:tc>
          <w:tcPr>
            <w:tcW w:w="279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6" w:type="dxa"/>
            <w:vMerge/>
            <w:tcBorders>
              <w:left w:val="single" w:sz="4" w:space="0" w:color="000000"/>
              <w:right w:val="single" w:sz="4" w:space="0" w:color="000000"/>
            </w:tcBorders>
            <w:shd w:val="clear" w:color="auto" w:fill="D4D4D4"/>
          </w:tcPr>
          <w:p>
            <w:pPr/>
          </w:p>
        </w:tc>
        <w:tc>
          <w:tcPr>
            <w:tcW w:w="1152" w:type="dxa"/>
            <w:vMerge/>
            <w:tcBorders>
              <w:left w:val="single" w:sz="4" w:space="0" w:color="000000"/>
              <w:right w:val="single" w:sz="4" w:space="0" w:color="000000"/>
            </w:tcBorders>
            <w:shd w:val="clear" w:color="auto" w:fill="D4D4D4"/>
          </w:tcPr>
          <w:p>
            <w:pP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71"/>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71"/>
              <w:ind w:left="105" w:right="9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vMerge/>
            <w:tcBorders>
              <w:left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26"/>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8" w:type="dxa"/>
            <w:vMerge w:val="restart"/>
            <w:tcBorders>
              <w:top w:val="nil" w:sz="6" w:space="0" w:color="auto"/>
              <w:left w:val="single" w:sz="4" w:space="0" w:color="000000"/>
              <w:right w:val="single" w:sz="4" w:space="0" w:color="000000"/>
            </w:tcBorders>
            <w:shd w:val="clear" w:color="auto" w:fill="D4D4D4"/>
          </w:tcPr>
          <w:p>
            <w:pPr/>
          </w:p>
        </w:tc>
        <w:tc>
          <w:tcPr>
            <w:tcW w:w="1068" w:type="dxa"/>
            <w:vMerge w:val="restart"/>
            <w:tcBorders>
              <w:top w:val="nil" w:sz="6" w:space="0" w:color="auto"/>
              <w:left w:val="single" w:sz="4" w:space="0" w:color="000000"/>
              <w:right w:val="single" w:sz="4" w:space="0" w:color="000000"/>
            </w:tcBorders>
            <w:shd w:val="clear" w:color="auto" w:fill="D4D4D4"/>
          </w:tcPr>
          <w:p>
            <w:pPr/>
          </w:p>
        </w:tc>
        <w:tc>
          <w:tcPr>
            <w:tcW w:w="936" w:type="dxa"/>
            <w:vMerge/>
            <w:tcBorders>
              <w:left w:val="single" w:sz="4" w:space="0" w:color="000000"/>
              <w:right w:val="single" w:sz="4" w:space="0" w:color="000000"/>
            </w:tcBorders>
            <w:shd w:val="clear" w:color="auto" w:fill="D4D4D4"/>
          </w:tcPr>
          <w:p>
            <w:pPr/>
          </w:p>
        </w:tc>
        <w:tc>
          <w:tcPr>
            <w:tcW w:w="1152" w:type="dxa"/>
            <w:vMerge/>
            <w:tcBorders>
              <w:left w:val="single" w:sz="4" w:space="0" w:color="000000"/>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6" w:type="dxa"/>
            <w:vMerge/>
            <w:tcBorders>
              <w:left w:val="single" w:sz="4" w:space="0" w:color="000000"/>
              <w:bottom w:val="nil" w:sz="6" w:space="0" w:color="auto"/>
              <w:right w:val="single" w:sz="4" w:space="0" w:color="000000"/>
            </w:tcBorders>
            <w:shd w:val="clear" w:color="auto" w:fill="D4D4D4"/>
          </w:tcPr>
          <w:p>
            <w:pPr/>
          </w:p>
        </w:tc>
        <w:tc>
          <w:tcPr>
            <w:tcW w:w="936" w:type="dxa"/>
            <w:vMerge/>
            <w:tcBorders>
              <w:left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2798" w:type="dxa"/>
            <w:vMerge/>
            <w:tcBorders>
              <w:left w:val="single" w:sz="4" w:space="0" w:color="000000"/>
              <w:bottom w:val="single" w:sz="4" w:space="0" w:color="000000"/>
              <w:right w:val="single" w:sz="4" w:space="0" w:color="000000"/>
            </w:tcBorders>
            <w:shd w:val="clear" w:color="auto" w:fill="D4D4D4"/>
          </w:tcPr>
          <w:p>
            <w:pPr/>
          </w:p>
        </w:tc>
        <w:tc>
          <w:tcPr>
            <w:tcW w:w="1068" w:type="dxa"/>
            <w:vMerge/>
            <w:tcBorders>
              <w:left w:val="single" w:sz="4" w:space="0" w:color="000000"/>
              <w:bottom w:val="single" w:sz="4" w:space="0" w:color="000000"/>
              <w:right w:val="single" w:sz="4" w:space="0" w:color="000000"/>
            </w:tcBorders>
            <w:shd w:val="clear" w:color="auto" w:fill="D4D4D4"/>
          </w:tcPr>
          <w:p>
            <w:pPr/>
          </w:p>
        </w:tc>
        <w:tc>
          <w:tcPr>
            <w:tcW w:w="936" w:type="dxa"/>
            <w:vMerge/>
            <w:tcBorders>
              <w:left w:val="single" w:sz="4" w:space="0" w:color="000000"/>
              <w:bottom w:val="single" w:sz="4" w:space="0" w:color="000000"/>
              <w:right w:val="single" w:sz="4" w:space="0" w:color="000000"/>
            </w:tcBorders>
            <w:shd w:val="clear" w:color="auto" w:fill="D4D4D4"/>
          </w:tcPr>
          <w:p>
            <w:pPr/>
          </w:p>
        </w:tc>
        <w:tc>
          <w:tcPr>
            <w:tcW w:w="1152" w:type="dxa"/>
            <w:vMerge/>
            <w:tcBorders>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6" w:type="dxa"/>
            <w:tcBorders>
              <w:top w:val="nil" w:sz="6" w:space="0" w:color="auto"/>
              <w:left w:val="single" w:sz="4" w:space="0" w:color="000000"/>
              <w:bottom w:val="single" w:sz="4" w:space="0" w:color="000000"/>
              <w:right w:val="single" w:sz="4" w:space="0" w:color="000000"/>
            </w:tcBorders>
            <w:shd w:val="clear" w:color="auto" w:fill="D4D4D4"/>
          </w:tcPr>
          <w:p>
            <w:pPr/>
          </w:p>
        </w:tc>
        <w:tc>
          <w:tcPr>
            <w:tcW w:w="936"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r>
      <w:tr>
        <w:trPr>
          <w:trHeight w:val="713" w:hRule="exact"/>
        </w:trPr>
        <w:tc>
          <w:tcPr>
            <w:tcW w:w="2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74"/>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-205,988.47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154,124.28</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154,124.28</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-51,864.1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163" w:hRule="exact"/>
        </w:trPr>
        <w:tc>
          <w:tcPr>
            <w:tcW w:w="2798" w:type="dxa"/>
            <w:tcBorders>
              <w:top w:val="single" w:sz="4" w:space="0" w:color="000000"/>
              <w:left w:val="single" w:sz="4" w:space="0" w:color="000000"/>
              <w:bottom w:val="nil" w:sz="6" w:space="0" w:color="auto"/>
              <w:right w:val="single" w:sz="4" w:space="0" w:color="000000"/>
            </w:tcBorders>
            <w:shd w:val="clear" w:color="auto" w:fill="D4D4D4"/>
          </w:tcPr>
          <w:p>
            <w:pPr/>
          </w:p>
        </w:tc>
        <w:tc>
          <w:tcPr>
            <w:tcW w:w="1068" w:type="dxa"/>
            <w:vMerge w:val="restart"/>
            <w:tcBorders>
              <w:top w:val="single" w:sz="4" w:space="0" w:color="000000"/>
              <w:left w:val="single" w:sz="9" w:space="0" w:color="D4D4D4"/>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-205,988.47</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154,124.28</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154,124.28</w:t>
            </w:r>
          </w:p>
        </w:tc>
        <w:tc>
          <w:tcPr>
            <w:tcW w:w="936"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-51,864.1</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9</w:t>
            </w:r>
          </w:p>
        </w:tc>
      </w:tr>
      <w:tr>
        <w:trPr>
          <w:trHeight w:val="391" w:hRule="exact"/>
        </w:trPr>
        <w:tc>
          <w:tcPr>
            <w:tcW w:w="279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8" w:type="dxa"/>
            <w:vMerge/>
            <w:tcBorders>
              <w:left w:val="single" w:sz="9" w:space="0" w:color="D4D4D4"/>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8"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8" w:type="dxa"/>
            <w:vMerge/>
            <w:tcBorders>
              <w:left w:val="single" w:sz="9" w:space="0" w:color="D4D4D4"/>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1" w:hRule="exact"/>
        </w:trPr>
        <w:tc>
          <w:tcPr>
            <w:tcW w:w="2798" w:type="dxa"/>
            <w:tcBorders>
              <w:top w:val="single" w:sz="4" w:space="0" w:color="000000"/>
              <w:left w:val="single" w:sz="4" w:space="0" w:color="000000"/>
              <w:bottom w:val="nil" w:sz="6" w:space="0" w:color="auto"/>
              <w:right w:val="single" w:sz="4" w:space="0" w:color="000000"/>
            </w:tcBorders>
            <w:shd w:val="clear" w:color="auto" w:fill="D4D4D4"/>
          </w:tcPr>
          <w:p>
            <w:pPr/>
          </w:p>
        </w:tc>
        <w:tc>
          <w:tcPr>
            <w:tcW w:w="1068"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-205,988.47</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154,124.28</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154,124.28</w:t>
            </w:r>
          </w:p>
        </w:tc>
        <w:tc>
          <w:tcPr>
            <w:tcW w:w="936"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-51,864.1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391" w:hRule="exact"/>
        </w:trPr>
        <w:tc>
          <w:tcPr>
            <w:tcW w:w="279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vMerge/>
            <w:tcBorders>
              <w:left w:val="single" w:sz="9" w:space="0" w:color="D4D4D4"/>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3" w:hRule="exact"/>
        </w:trPr>
        <w:tc>
          <w:tcPr>
            <w:tcW w:w="2798"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8" w:type="dxa"/>
            <w:vMerge/>
            <w:tcBorders>
              <w:left w:val="single" w:sz="9" w:space="0" w:color="D4D4D4"/>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58、专项储备" w:id="357"/>
      <w:bookmarkEnd w:id="357"/>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59、盈余公积" w:id="358"/>
      <w:bookmarkEnd w:id="358"/>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29,564,455.56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6,147,264.24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35,711,719.80</w:t>
            </w:r>
            <w:r>
              <w:rPr>
                <w:rFonts w:ascii="Times New Roman"/>
                <w:sz w:val="18"/>
              </w:rPr>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29,564,455.56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6,147,264.24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35,711,719.80</w:t>
            </w:r>
            <w:r>
              <w:rPr>
                <w:rFonts w:ascii="Times New Roman"/>
                <w:sz w:val="18"/>
              </w:rPr>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2"/>
        <w:gridCol w:w="2934"/>
        <w:gridCol w:w="2918"/>
      </w:tblGrid>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229,350,926.01</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177,513,586.83</w:t>
            </w:r>
            <w:r>
              <w:rPr>
                <w:rFonts w:ascii="Times New Roman"/>
                <w:sz w:val="18"/>
              </w:rPr>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45,302,096.37</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72,347,373.04</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6,147,264.24</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6,570,533.86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4"/>
        <w:gridCol w:w="2923"/>
        <w:gridCol w:w="2918"/>
      </w:tblGrid>
      <w:tr>
        <w:trPr>
          <w:trHeight w:val="402" w:hRule="exact"/>
        </w:trPr>
        <w:tc>
          <w:tcPr>
            <w:tcW w:w="37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18,183,321.00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13,939,500.00</w:t>
            </w:r>
          </w:p>
        </w:tc>
      </w:tr>
      <w:tr>
        <w:trPr>
          <w:trHeight w:val="402" w:hRule="exact"/>
        </w:trPr>
        <w:tc>
          <w:tcPr>
            <w:tcW w:w="37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250,322,437.14</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229,350,926.01</w:t>
            </w:r>
            <w:r>
              <w:rPr>
                <w:rFonts w:ascii="Times New Roman"/>
                <w:sz w:val="18"/>
              </w:rPr>
            </w:r>
          </w:p>
        </w:tc>
      </w:tr>
    </w:tbl>
    <w:p>
      <w:pPr>
        <w:spacing w:before="49"/>
        <w:ind w:left="152" w:right="0" w:firstLine="0"/>
        <w:jc w:val="left"/>
        <w:rPr>
          <w:rFonts w:ascii="宋体" w:hAnsi="宋体" w:cs="宋体" w:eastAsia="宋体" w:hint="default"/>
          <w:sz w:val="18"/>
          <w:szCs w:val="18"/>
        </w:rPr>
      </w:pPr>
      <w:bookmarkStart w:name="63、销售费用" w:id="359"/>
      <w:bookmarkEnd w:id="359"/>
      <w:r>
        <w:rPr/>
      </w:r>
      <w:r>
        <w:rPr>
          <w:rFonts w:ascii="宋体" w:hAnsi="宋体" w:cs="宋体" w:eastAsia="宋体" w:hint="default"/>
          <w:sz w:val="18"/>
          <w:szCs w:val="18"/>
        </w:rPr>
        <w:t>调整期初未分配利润明细：</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p>
    <w:p>
      <w:pPr>
        <w:spacing w:line="240" w:lineRule="auto" w:before="2"/>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61、营业收入和营业成本" w:id="360"/>
      <w:bookmarkEnd w:id="360"/>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5"/>
        <w:gridCol w:w="1915"/>
        <w:gridCol w:w="1913"/>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4D4D4"/>
          </w:tcPr>
          <w:p>
            <w:pPr/>
          </w:p>
        </w:tc>
        <w:tc>
          <w:tcPr>
            <w:tcW w:w="383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01"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393,711,120.73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235,772,408.14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408,935,468.23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225,464,786.85</w:t>
            </w:r>
            <w:r>
              <w:rPr>
                <w:rFonts w:ascii="Times New Roman"/>
                <w:sz w:val="18"/>
              </w:rPr>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1,284,503.10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1,235,077.14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105,253.20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49,329.63</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394,995,623.83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237,007,485.28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409,040,721.43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225,514,116.48</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62</w:t>
      </w:r>
      <w:r>
        <w:rPr/>
        <w:t>、营业税金及附加</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62、营业税金及附加" w:id="361"/>
      <w:bookmarkEnd w:id="361"/>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49,586.28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982,976.79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373,168.40</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997,685.33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871,058.37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196,008.20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172,690.00</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2,226,256.60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1,416,916.77</w:t>
            </w:r>
            <w:r>
              <w:rPr>
                <w:rFonts w:ascii="Times New Roman"/>
                <w:sz w:val="18"/>
              </w:rPr>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0"/>
        <w:ind w:right="0"/>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22,552,488.96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19,712,404.59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2,321,771.02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2,873,232.92</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业务宣传及广告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773,465.75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169,419.81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车辆运行费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47,082.00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81,320.15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1,149,534.05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846,121.18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393,596.51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320,763.75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246,629.87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262,403.71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27,484,568.16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24,265,666.11</w:t>
            </w:r>
          </w:p>
        </w:tc>
      </w:tr>
    </w:tbl>
    <w:p>
      <w:pPr>
        <w:spacing w:before="49"/>
        <w:ind w:left="152" w:right="0" w:firstLine="0"/>
        <w:jc w:val="left"/>
        <w:rPr>
          <w:rFonts w:ascii="宋体" w:hAnsi="宋体" w:cs="宋体" w:eastAsia="宋体" w:hint="default"/>
          <w:sz w:val="18"/>
          <w:szCs w:val="18"/>
        </w:rPr>
      </w:pPr>
      <w:bookmarkStart w:name="65、财务费用" w:id="362"/>
      <w:bookmarkEnd w:id="362"/>
      <w:r>
        <w:rPr/>
      </w: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64、管理费用" w:id="363"/>
      <w:bookmarkEnd w:id="363"/>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29,406,467.71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20,577,067.02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43,772,092.50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35,163,993.38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11,131,493.91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7,371,261.94</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1,625,773.79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1,513,057.89</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2,701,661.72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3,017,098.44</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3,146,244.30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2,725,894.25</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1,042,303.52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1,650,763.18</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电话网络通讯费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1,026,577.00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889,427.29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1,851,087.35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1,130,420.56</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市内交通运行费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1,597,458.73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1,492,085.66</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1,075,345.27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1,039,593.10</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336,852.27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683,110.92</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571,104.40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620,338.09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房产税及印花税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787,191.02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574,647.70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股份支付（注）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-1,013,350.01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7,290,352.58</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1,953,757.37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1,474,239.68</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101,012,060.85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87,213,351.68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4"/>
        <w:ind w:right="0"/>
        <w:jc w:val="left"/>
      </w:pPr>
      <w:r>
        <w:rPr/>
        <w:t>注：详见本报告第十节 十三 </w:t>
      </w: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w:t>
      </w:r>
    </w:p>
    <w:p>
      <w:pPr>
        <w:spacing w:line="240" w:lineRule="auto" w:before="7"/>
        <w:rPr>
          <w:rFonts w:ascii="宋体" w:hAnsi="宋体" w:cs="宋体" w:eastAsia="宋体" w:hint="default"/>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91,528.86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125,957.22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7,642,807.53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11,220,793.67</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498.08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1,221.29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203,315.64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79,965.14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-7,347,464.95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-11,013,650.02</w:t>
            </w:r>
            <w:r>
              <w:rPr>
                <w:rFonts w:ascii="Times New Roman"/>
                <w:sz w:val="18"/>
              </w:rPr>
            </w:r>
          </w:p>
        </w:tc>
      </w:tr>
    </w:tbl>
    <w:p>
      <w:pPr>
        <w:spacing w:before="49"/>
        <w:ind w:left="152" w:right="0" w:firstLine="0"/>
        <w:jc w:val="left"/>
        <w:rPr>
          <w:rFonts w:ascii="宋体" w:hAnsi="宋体" w:cs="宋体" w:eastAsia="宋体" w:hint="default"/>
          <w:sz w:val="18"/>
          <w:szCs w:val="18"/>
        </w:rPr>
      </w:pPr>
      <w:bookmarkStart w:name="69、营业外收入" w:id="364"/>
      <w:bookmarkEnd w:id="364"/>
      <w:r>
        <w:rPr/>
      </w: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66</w:t>
      </w:r>
      <w:r>
        <w:rPr/>
        <w:t>、资产减值</w:t>
      </w:r>
      <w:bookmarkStart w:name="66、资产减值损失" w:id="365"/>
      <w:bookmarkEnd w:id="365"/>
      <w:r>
        <w:rPr/>
        <w:t>损失</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1,069,064.20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1,231,076.17</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315,637.50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252,510.00</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1,384,701.70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1,483,586.17</w:t>
            </w:r>
            <w:r>
              <w:rPr>
                <w:rFonts w:ascii="Times New Roman"/>
                <w:sz w:val="18"/>
              </w:rPr>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0"/>
        <w:ind w:right="0"/>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67、公允价值变动收益" w:id="366"/>
      <w:bookmarkEnd w:id="366"/>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68、投资收益" w:id="367"/>
      <w:bookmarkEnd w:id="367"/>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7"/>
        <w:gridCol w:w="3202"/>
        <w:gridCol w:w="2918"/>
      </w:tblGrid>
      <w:tr>
        <w:trPr>
          <w:trHeight w:val="401" w:hRule="exact"/>
        </w:trPr>
        <w:tc>
          <w:tcPr>
            <w:tcW w:w="3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权益法核算的长期股权投资收益（注）</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-158,684.37</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-158,684.37</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49"/>
        <w:ind w:left="152" w:right="7164" w:firstLine="0"/>
        <w:jc w:val="left"/>
        <w:rPr>
          <w:rFonts w:ascii="宋体" w:hAnsi="宋体" w:cs="宋体" w:eastAsia="宋体" w:hint="default"/>
          <w:sz w:val="18"/>
          <w:szCs w:val="18"/>
        </w:rPr>
      </w:pPr>
      <w:r>
        <w:rPr>
          <w:rFonts w:ascii="宋体" w:hAnsi="宋体" w:cs="宋体" w:eastAsia="宋体" w:hint="default"/>
          <w:sz w:val="18"/>
          <w:szCs w:val="18"/>
        </w:rPr>
        <w:t>其他说明： 注：详见本报告第十节 七 </w:t>
      </w:r>
      <w:r>
        <w:rPr>
          <w:rFonts w:ascii="Times New Roman" w:hAnsi="Times New Roman" w:cs="Times New Roman" w:eastAsia="Times New Roman" w:hint="default"/>
          <w:sz w:val="18"/>
          <w:szCs w:val="18"/>
        </w:rPr>
        <w:t>50  </w:t>
      </w:r>
      <w:r>
        <w:rPr>
          <w:rFonts w:ascii="宋体" w:hAnsi="宋体" w:cs="宋体" w:eastAsia="宋体" w:hint="default"/>
          <w:sz w:val="18"/>
          <w:szCs w:val="18"/>
        </w:rPr>
        <w:t>。</w:t>
      </w:r>
    </w:p>
    <w:p>
      <w:pPr>
        <w:spacing w:line="240" w:lineRule="auto" w:before="5"/>
        <w:rPr>
          <w:rFonts w:ascii="宋体" w:hAnsi="宋体" w:cs="宋体" w:eastAsia="宋体" w:hint="default"/>
          <w:sz w:val="18"/>
          <w:szCs w:val="18"/>
        </w:rPr>
      </w:pPr>
    </w:p>
    <w:p>
      <w:pPr>
        <w:pStyle w:val="Heading6"/>
        <w:spacing w:line="240" w:lineRule="auto"/>
        <w:ind w:right="0"/>
        <w:jc w:val="left"/>
        <w:rPr>
          <w:b w:val="0"/>
          <w:bCs w:val="0"/>
        </w:rPr>
      </w:pPr>
      <w:r>
        <w:rPr>
          <w:rFonts w:ascii="Times New Roman" w:hAnsi="Times New Roman" w:cs="Times New Roman" w:eastAsia="Times New Roman" w:hint="default"/>
        </w:rPr>
        <w:t>69</w:t>
      </w:r>
      <w:r>
        <w:rPr/>
        <w:t>、营业外收入</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6"/>
        <w:gridCol w:w="2395"/>
        <w:gridCol w:w="2393"/>
        <w:gridCol w:w="2393"/>
      </w:tblGrid>
      <w:tr>
        <w:trPr>
          <w:trHeight w:val="161" w:hRule="exact"/>
        </w:trPr>
        <w:tc>
          <w:tcPr>
            <w:tcW w:w="2376"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5"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7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4D4D4"/>
          </w:tcPr>
          <w:p>
            <w:pPr/>
          </w:p>
        </w:tc>
      </w:tr>
      <w:tr>
        <w:trPr>
          <w:trHeight w:val="161" w:hRule="exact"/>
        </w:trPr>
        <w:tc>
          <w:tcPr>
            <w:tcW w:w="2376"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5"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15,130.30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60,633.98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15,130.30</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15,130.30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4,468.68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15,130.30</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2395" w:type="dxa"/>
            <w:tcBorders>
              <w:top w:val="single" w:sz="4" w:space="0" w:color="000000"/>
              <w:left w:val="single" w:sz="10" w:space="0" w:color="D4D4D4"/>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56,165.30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、扶持资金（注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8,843,389.04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5,212,910.00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8,843,389.04</w:t>
            </w:r>
            <w:r>
              <w:rPr>
                <w:rFonts w:ascii="Times New Roman"/>
                <w:sz w:val="18"/>
              </w:rPr>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、政府补助（注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4,080,000.00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363,500.00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4,080,000.00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、增值税免抵退</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366,692.96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508,827.54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、代扣代缴个税手续费返还</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150,889.08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384,518.83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150,889.08</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、赔款收入</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3,211.36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3,211.36</w:t>
            </w:r>
            <w:r>
              <w:rPr>
                <w:rFonts w:ascii="Times New Roman"/>
                <w:sz w:val="18"/>
              </w:rPr>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w w:val="95"/>
                <w:sz w:val="18"/>
              </w:rPr>
              <w:t>11,382.93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0.52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w w:val="95"/>
                <w:sz w:val="18"/>
              </w:rPr>
              <w:t>11,382.93</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13,470,695.67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6,686,490.87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5"/>
        <w:ind w:left="0" w:right="153" w:firstLine="0"/>
        <w:jc w:val="right"/>
        <w:rPr>
          <w:rFonts w:ascii="宋体" w:hAnsi="宋体" w:cs="宋体" w:eastAsia="宋体" w:hint="default"/>
          <w:sz w:val="18"/>
          <w:szCs w:val="18"/>
        </w:rPr>
      </w:pPr>
      <w:r>
        <w:rPr/>
        <w:pict>
          <v:group style="position:absolute;margin-left:56.400002pt;margin-top:22.738691pt;width:478.95pt;height:556.2pt;mso-position-horizontal-relative:page;mso-position-vertical-relative:paragraph;z-index:-905776" coordorigin="1128,455" coordsize="9579,11124">
            <v:group style="position:absolute;left:1140;top:469;width:1054;height:156" coordorigin="1140,469" coordsize="1054,156">
              <v:shape style="position:absolute;left:1140;top:469;width:1054;height:156" coordorigin="1140,469" coordsize="1054,156" path="m1140,625l2194,625,2194,469,1140,469,1140,625xe" filled="true" fillcolor="#d4d4d4" stroked="false">
                <v:path arrowok="t"/>
                <v:fill type="solid"/>
              </v:shape>
            </v:group>
            <v:group style="position:absolute;left:1151;top:625;width:2;height:392" coordorigin="1151,625" coordsize="2,392">
              <v:shape style="position:absolute;left:1151;top:625;width:2;height:392" coordorigin="1151,625" coordsize="0,392" path="m1151,625l1151,1016e" filled="false" stroked="true" strokeweight="1.08pt" strokecolor="#d4d4d4">
                <v:path arrowok="t"/>
              </v:shape>
            </v:group>
            <v:group style="position:absolute;left:2183;top:625;width:2;height:392" coordorigin="2183,625" coordsize="2,392">
              <v:shape style="position:absolute;left:2183;top:625;width:2;height:392" coordorigin="2183,625" coordsize="0,392" path="m2183,625l2183,1016e" filled="false" stroked="true" strokeweight="1.08pt" strokecolor="#d4d4d4">
                <v:path arrowok="t"/>
              </v:shape>
            </v:group>
            <v:group style="position:absolute;left:1140;top:1016;width:1054;height:156" coordorigin="1140,1016" coordsize="1054,156">
              <v:shape style="position:absolute;left:1140;top:1016;width:1054;height:156" coordorigin="1140,1016" coordsize="1054,156" path="m1140,1172l2194,1172,2194,1016,1140,1016,1140,1172xe" filled="true" fillcolor="#d4d4d4" stroked="false">
                <v:path arrowok="t"/>
                <v:fill type="solid"/>
              </v:shape>
            </v:group>
            <v:group style="position:absolute;left:1162;top:625;width:1011;height:392" coordorigin="1162,625" coordsize="1011,392">
              <v:shape style="position:absolute;left:1162;top:625;width:1011;height:392" coordorigin="1162,625" coordsize="1011,392" path="m1162,1016l2172,1016,2172,625,1162,625,1162,1016xe" filled="true" fillcolor="#d4d4d4" stroked="false">
                <v:path arrowok="t"/>
                <v:fill type="solid"/>
              </v:shape>
            </v:group>
            <v:group style="position:absolute;left:2203;top:469;width:1054;height:156" coordorigin="2203,469" coordsize="1054,156">
              <v:shape style="position:absolute;left:2203;top:469;width:1054;height:156" coordorigin="2203,469" coordsize="1054,156" path="m2203,625l3257,625,3257,469,2203,469,2203,625xe" filled="true" fillcolor="#d4d4d4" stroked="false">
                <v:path arrowok="t"/>
                <v:fill type="solid"/>
              </v:shape>
            </v:group>
            <v:group style="position:absolute;left:2215;top:625;width:2;height:392" coordorigin="2215,625" coordsize="2,392">
              <v:shape style="position:absolute;left:2215;top:625;width:2;height:392" coordorigin="2215,625" coordsize="0,392" path="m2215,625l2215,1016e" filled="false" stroked="true" strokeweight="1.2pt" strokecolor="#d4d4d4">
                <v:path arrowok="t"/>
              </v:shape>
            </v:group>
            <v:group style="position:absolute;left:3245;top:625;width:2;height:392" coordorigin="3245,625" coordsize="2,392">
              <v:shape style="position:absolute;left:3245;top:625;width:2;height:392" coordorigin="3245,625" coordsize="0,392" path="m3245,625l3245,1016e" filled="false" stroked="true" strokeweight="1.2pt" strokecolor="#d4d4d4">
                <v:path arrowok="t"/>
              </v:shape>
            </v:group>
            <v:group style="position:absolute;left:2203;top:1016;width:1054;height:156" coordorigin="2203,1016" coordsize="1054,156">
              <v:shape style="position:absolute;left:2203;top:1016;width:1054;height:156" coordorigin="2203,1016" coordsize="1054,156" path="m2203,1172l3257,1172,3257,1016,2203,1016,2203,1172xe" filled="true" fillcolor="#d4d4d4" stroked="false">
                <v:path arrowok="t"/>
                <v:fill type="solid"/>
              </v:shape>
            </v:group>
            <v:group style="position:absolute;left:2227;top:625;width:1006;height:392" coordorigin="2227,625" coordsize="1006,392">
              <v:shape style="position:absolute;left:2227;top:625;width:1006;height:392" coordorigin="2227,625" coordsize="1006,392" path="m2227,1016l3233,1016,3233,625,2227,625,2227,1016xe" filled="true" fillcolor="#d4d4d4" stroked="false">
                <v:path arrowok="t"/>
                <v:fill type="solid"/>
              </v:shape>
            </v:group>
            <v:group style="position:absolute;left:3266;top:469;width:1054;height:156" coordorigin="3266,469" coordsize="1054,156">
              <v:shape style="position:absolute;left:3266;top:469;width:1054;height:156" coordorigin="3266,469" coordsize="1054,156" path="m3266,625l4320,625,4320,469,3266,469,3266,625xe" filled="true" fillcolor="#d4d4d4" stroked="false">
                <v:path arrowok="t"/>
                <v:fill type="solid"/>
              </v:shape>
            </v:group>
            <v:group style="position:absolute;left:3278;top:625;width:2;height:392" coordorigin="3278,625" coordsize="2,392">
              <v:shape style="position:absolute;left:3278;top:625;width:2;height:392" coordorigin="3278,625" coordsize="0,392" path="m3278,625l3278,1016e" filled="false" stroked="true" strokeweight="1.2pt" strokecolor="#d4d4d4">
                <v:path arrowok="t"/>
              </v:shape>
            </v:group>
            <v:group style="position:absolute;left:4308;top:625;width:2;height:392" coordorigin="4308,625" coordsize="2,392">
              <v:shape style="position:absolute;left:4308;top:625;width:2;height:392" coordorigin="4308,625" coordsize="0,392" path="m4308,625l4308,1016e" filled="false" stroked="true" strokeweight="1.2pt" strokecolor="#d4d4d4">
                <v:path arrowok="t"/>
              </v:shape>
            </v:group>
            <v:group style="position:absolute;left:3266;top:1016;width:1054;height:156" coordorigin="3266,1016" coordsize="1054,156">
              <v:shape style="position:absolute;left:3266;top:1016;width:1054;height:156" coordorigin="3266,1016" coordsize="1054,156" path="m3266,1172l4320,1172,4320,1016,3266,1016,3266,1172xe" filled="true" fillcolor="#d4d4d4" stroked="false">
                <v:path arrowok="t"/>
                <v:fill type="solid"/>
              </v:shape>
            </v:group>
            <v:group style="position:absolute;left:3290;top:625;width:1006;height:392" coordorigin="3290,625" coordsize="1006,392">
              <v:shape style="position:absolute;left:3290;top:625;width:1006;height:392" coordorigin="3290,625" coordsize="1006,392" path="m3290,1016l4296,1016,4296,625,3290,625,3290,1016xe" filled="true" fillcolor="#d4d4d4" stroked="false">
                <v:path arrowok="t"/>
                <v:fill type="solid"/>
              </v:shape>
            </v:group>
            <v:group style="position:absolute;left:4330;top:469;width:1054;height:156" coordorigin="4330,469" coordsize="1054,156">
              <v:shape style="position:absolute;left:4330;top:469;width:1054;height:156" coordorigin="4330,469" coordsize="1054,156" path="m4330,625l5383,625,5383,469,4330,469,4330,625xe" filled="true" fillcolor="#d4d4d4" stroked="false">
                <v:path arrowok="t"/>
                <v:fill type="solid"/>
              </v:shape>
            </v:group>
            <v:group style="position:absolute;left:4342;top:625;width:2;height:392" coordorigin="4342,625" coordsize="2,392">
              <v:shape style="position:absolute;left:4342;top:625;width:2;height:392" coordorigin="4342,625" coordsize="0,392" path="m4342,625l4342,1016e" filled="false" stroked="true" strokeweight="1.2pt" strokecolor="#d4d4d4">
                <v:path arrowok="t"/>
              </v:shape>
            </v:group>
            <v:group style="position:absolute;left:5371;top:625;width:2;height:392" coordorigin="5371,625" coordsize="2,392">
              <v:shape style="position:absolute;left:5371;top:625;width:2;height:392" coordorigin="5371,625" coordsize="0,392" path="m5371,625l5371,1016e" filled="false" stroked="true" strokeweight="1.2pt" strokecolor="#d4d4d4">
                <v:path arrowok="t"/>
              </v:shape>
            </v:group>
            <v:group style="position:absolute;left:4330;top:1016;width:1054;height:156" coordorigin="4330,1016" coordsize="1054,156">
              <v:shape style="position:absolute;left:4330;top:1016;width:1054;height:156" coordorigin="4330,1016" coordsize="1054,156" path="m4330,1172l5383,1172,5383,1016,4330,1016,4330,1172xe" filled="true" fillcolor="#d4d4d4" stroked="false">
                <v:path arrowok="t"/>
                <v:fill type="solid"/>
              </v:shape>
            </v:group>
            <v:group style="position:absolute;left:4354;top:625;width:1006;height:392" coordorigin="4354,625" coordsize="1006,392">
              <v:shape style="position:absolute;left:4354;top:625;width:1006;height:392" coordorigin="4354,625" coordsize="1006,392" path="m4354,1016l5359,1016,5359,625,4354,625,4354,1016xe" filled="true" fillcolor="#d4d4d4" stroked="false">
                <v:path arrowok="t"/>
                <v:fill type="solid"/>
              </v:shape>
            </v:group>
            <v:group style="position:absolute;left:5405;top:469;width:2;height:704" coordorigin="5405,469" coordsize="2,704">
              <v:shape style="position:absolute;left:5405;top:469;width:2;height:704" coordorigin="5405,469" coordsize="0,704" path="m5405,469l5405,1172e" filled="false" stroked="true" strokeweight="1.2pt" strokecolor="#d4d4d4">
                <v:path arrowok="t"/>
              </v:shape>
            </v:group>
            <v:group style="position:absolute;left:6434;top:469;width:2;height:704" coordorigin="6434,469" coordsize="2,704">
              <v:shape style="position:absolute;left:6434;top:469;width:2;height:704" coordorigin="6434,469" coordsize="0,704" path="m6434,469l6434,1172e" filled="false" stroked="true" strokeweight="1.2pt" strokecolor="#d4d4d4">
                <v:path arrowok="t"/>
              </v:shape>
            </v:group>
            <v:group style="position:absolute;left:5417;top:469;width:1006;height:351" coordorigin="5417,469" coordsize="1006,351">
              <v:shape style="position:absolute;left:5417;top:469;width:1006;height:351" coordorigin="5417,469" coordsize="1006,351" path="m5417,820l6422,820,6422,469,5417,469,5417,820xe" filled="true" fillcolor="#d4d4d4" stroked="false">
                <v:path arrowok="t"/>
                <v:fill type="solid"/>
              </v:shape>
            </v:group>
            <v:group style="position:absolute;left:5417;top:820;width:1006;height:353" coordorigin="5417,820" coordsize="1006,353">
              <v:shape style="position:absolute;left:5417;top:820;width:1006;height:353" coordorigin="5417,820" coordsize="1006,353" path="m5417,1172l6422,1172,6422,820,5417,820,5417,1172xe" filled="true" fillcolor="#d4d4d4" stroked="false">
                <v:path arrowok="t"/>
                <v:fill type="solid"/>
              </v:shape>
            </v:group>
            <v:group style="position:absolute;left:6468;top:469;width:2;height:704" coordorigin="6468,469" coordsize="2,704">
              <v:shape style="position:absolute;left:6468;top:469;width:2;height:704" coordorigin="6468,469" coordsize="0,704" path="m6468,469l6468,1172e" filled="false" stroked="true" strokeweight="1.2pt" strokecolor="#d4d4d4">
                <v:path arrowok="t"/>
              </v:shape>
            </v:group>
            <v:group style="position:absolute;left:7498;top:469;width:2;height:704" coordorigin="7498,469" coordsize="2,704">
              <v:shape style="position:absolute;left:7498;top:469;width:2;height:704" coordorigin="7498,469" coordsize="0,704" path="m7498,469l7498,1172e" filled="false" stroked="true" strokeweight="1.2pt" strokecolor="#d4d4d4">
                <v:path arrowok="t"/>
              </v:shape>
            </v:group>
            <v:group style="position:absolute;left:6480;top:469;width:1006;height:351" coordorigin="6480,469" coordsize="1006,351">
              <v:shape style="position:absolute;left:6480;top:469;width:1006;height:351" coordorigin="6480,469" coordsize="1006,351" path="m6480,820l7486,820,7486,469,6480,469,6480,820xe" filled="true" fillcolor="#d4d4d4" stroked="false">
                <v:path arrowok="t"/>
                <v:fill type="solid"/>
              </v:shape>
            </v:group>
            <v:group style="position:absolute;left:6480;top:820;width:1006;height:353" coordorigin="6480,820" coordsize="1006,353">
              <v:shape style="position:absolute;left:6480;top:820;width:1006;height:353" coordorigin="6480,820" coordsize="1006,353" path="m6480,1172l7486,1172,7486,820,6480,820,6480,1172xe" filled="true" fillcolor="#d4d4d4" stroked="false">
                <v:path arrowok="t"/>
                <v:fill type="solid"/>
              </v:shape>
            </v:group>
            <v:group style="position:absolute;left:7530;top:469;width:2;height:704" coordorigin="7530,469" coordsize="2,704">
              <v:shape style="position:absolute;left:7530;top:469;width:2;height:704" coordorigin="7530,469" coordsize="0,704" path="m7530,469l7530,1172e" filled="false" stroked="true" strokeweight="1.08pt" strokecolor="#d4d4d4">
                <v:path arrowok="t"/>
              </v:shape>
            </v:group>
            <v:group style="position:absolute;left:8561;top:469;width:2;height:704" coordorigin="8561,469" coordsize="2,704">
              <v:shape style="position:absolute;left:8561;top:469;width:2;height:704" coordorigin="8561,469" coordsize="0,704" path="m8561,469l8561,1172e" filled="false" stroked="true" strokeweight="1.2pt" strokecolor="#d4d4d4">
                <v:path arrowok="t"/>
              </v:shape>
            </v:group>
            <v:group style="position:absolute;left:7541;top:469;width:1008;height:351" coordorigin="7541,469" coordsize="1008,351">
              <v:shape style="position:absolute;left:7541;top:469;width:1008;height:351" coordorigin="7541,469" coordsize="1008,351" path="m7541,820l8549,820,8549,469,7541,469,7541,820xe" filled="true" fillcolor="#d4d4d4" stroked="false">
                <v:path arrowok="t"/>
                <v:fill type="solid"/>
              </v:shape>
            </v:group>
            <v:group style="position:absolute;left:7541;top:820;width:1008;height:353" coordorigin="7541,820" coordsize="1008,353">
              <v:shape style="position:absolute;left:7541;top:820;width:1008;height:353" coordorigin="7541,820" coordsize="1008,353" path="m7541,1172l8549,1172,8549,820,7541,820,7541,1172xe" filled="true" fillcolor="#d4d4d4" stroked="false">
                <v:path arrowok="t"/>
                <v:fill type="solid"/>
              </v:shape>
            </v:group>
            <v:group style="position:absolute;left:8593;top:469;width:2;height:704" coordorigin="8593,469" coordsize="2,704">
              <v:shape style="position:absolute;left:8593;top:469;width:2;height:704" coordorigin="8593,469" coordsize="0,704" path="m8593,469l8593,1172e" filled="false" stroked="true" strokeweight="1.08pt" strokecolor="#d4d4d4">
                <v:path arrowok="t"/>
              </v:shape>
            </v:group>
            <v:group style="position:absolute;left:9624;top:469;width:2;height:704" coordorigin="9624,469" coordsize="2,704">
              <v:shape style="position:absolute;left:9624;top:469;width:2;height:704" coordorigin="9624,469" coordsize="0,704" path="m9624,469l9624,1172e" filled="false" stroked="true" strokeweight="1.2pt" strokecolor="#d4d4d4">
                <v:path arrowok="t"/>
              </v:shape>
            </v:group>
            <v:group style="position:absolute;left:8604;top:469;width:1008;height:351" coordorigin="8604,469" coordsize="1008,351">
              <v:shape style="position:absolute;left:8604;top:469;width:1008;height:351" coordorigin="8604,469" coordsize="1008,351" path="m8604,820l9612,820,9612,469,8604,469,8604,820xe" filled="true" fillcolor="#d4d4d4" stroked="false">
                <v:path arrowok="t"/>
                <v:fill type="solid"/>
              </v:shape>
            </v:group>
            <v:group style="position:absolute;left:8604;top:820;width:1008;height:353" coordorigin="8604,820" coordsize="1008,353">
              <v:shape style="position:absolute;left:8604;top:820;width:1008;height:353" coordorigin="8604,820" coordsize="1008,353" path="m8604,1172l9612,1172,9612,820,8604,820,8604,1172xe" filled="true" fillcolor="#d4d4d4" stroked="false">
                <v:path arrowok="t"/>
                <v:fill type="solid"/>
              </v:shape>
            </v:group>
            <v:group style="position:absolute;left:9656;top:469;width:2;height:704" coordorigin="9656,469" coordsize="2,704">
              <v:shape style="position:absolute;left:9656;top:469;width:2;height:704" coordorigin="9656,469" coordsize="0,704" path="m9656,469l9656,1172e" filled="false" stroked="true" strokeweight="1.08pt" strokecolor="#d4d4d4">
                <v:path arrowok="t"/>
              </v:shape>
            </v:group>
            <v:group style="position:absolute;left:10686;top:469;width:2;height:704" coordorigin="10686,469" coordsize="2,704">
              <v:shape style="position:absolute;left:10686;top:469;width:2;height:704" coordorigin="10686,469" coordsize="0,704" path="m10686,469l10686,1172e" filled="false" stroked="true" strokeweight="1.08pt" strokecolor="#d4d4d4">
                <v:path arrowok="t"/>
              </v:shape>
            </v:group>
            <v:group style="position:absolute;left:9667;top:469;width:1008;height:351" coordorigin="9667,469" coordsize="1008,351">
              <v:shape style="position:absolute;left:9667;top:469;width:1008;height:351" coordorigin="9667,469" coordsize="1008,351" path="m9667,820l10675,820,10675,469,9667,469,9667,820xe" filled="true" fillcolor="#d4d4d4" stroked="false">
                <v:path arrowok="t"/>
                <v:fill type="solid"/>
              </v:shape>
            </v:group>
            <v:group style="position:absolute;left:9667;top:820;width:1008;height:353" coordorigin="9667,820" coordsize="1008,353">
              <v:shape style="position:absolute;left:9667;top:820;width:1008;height:353" coordorigin="9667,820" coordsize="1008,353" path="m9667,1172l10675,1172,10675,820,9667,820,9667,1172xe" filled="true" fillcolor="#d4d4d4" stroked="false">
                <v:path arrowok="t"/>
                <v:fill type="solid"/>
              </v:shape>
            </v:group>
            <v:group style="position:absolute;left:1138;top:464;width:1056;height:2" coordorigin="1138,464" coordsize="1056,2">
              <v:shape style="position:absolute;left:1138;top:464;width:1056;height:2" coordorigin="1138,464" coordsize="1056,0" path="m1138,464l2194,464e" filled="false" stroked="true" strokeweight=".48pt" strokecolor="#000000">
                <v:path arrowok="t"/>
              </v:shape>
            </v:group>
            <v:group style="position:absolute;left:2203;top:464;width:1054;height:2" coordorigin="2203,464" coordsize="1054,2">
              <v:shape style="position:absolute;left:2203;top:464;width:1054;height:2" coordorigin="2203,464" coordsize="1054,0" path="m2203,464l3257,464e" filled="false" stroked="true" strokeweight=".48pt" strokecolor="#000000">
                <v:path arrowok="t"/>
              </v:shape>
            </v:group>
            <v:group style="position:absolute;left:3266;top:464;width:1054;height:2" coordorigin="3266,464" coordsize="1054,2">
              <v:shape style="position:absolute;left:3266;top:464;width:1054;height:2" coordorigin="3266,464" coordsize="1054,0" path="m3266,464l4320,464e" filled="false" stroked="true" strokeweight=".48pt" strokecolor="#000000">
                <v:path arrowok="t"/>
              </v:shape>
            </v:group>
            <v:group style="position:absolute;left:4330;top:464;width:1054;height:2" coordorigin="4330,464" coordsize="1054,2">
              <v:shape style="position:absolute;left:4330;top:464;width:1054;height:2" coordorigin="4330,464" coordsize="1054,0" path="m4330,464l5383,464e" filled="false" stroked="true" strokeweight=".48pt" strokecolor="#000000">
                <v:path arrowok="t"/>
              </v:shape>
            </v:group>
            <v:group style="position:absolute;left:5393;top:464;width:1052;height:2" coordorigin="5393,464" coordsize="1052,2">
              <v:shape style="position:absolute;left:5393;top:464;width:1052;height:2" coordorigin="5393,464" coordsize="1052,0" path="m5393,464l6444,464e" filled="false" stroked="true" strokeweight=".48pt" strokecolor="#000000">
                <v:path arrowok="t"/>
              </v:shape>
            </v:group>
            <v:group style="position:absolute;left:6454;top:464;width:1054;height:2" coordorigin="6454,464" coordsize="1054,2">
              <v:shape style="position:absolute;left:6454;top:464;width:1054;height:2" coordorigin="6454,464" coordsize="1054,0" path="m6454,464l7507,464e" filled="false" stroked="true" strokeweight=".48pt" strokecolor="#000000">
                <v:path arrowok="t"/>
              </v:shape>
            </v:group>
            <v:group style="position:absolute;left:7517;top:464;width:1054;height:2" coordorigin="7517,464" coordsize="1054,2">
              <v:shape style="position:absolute;left:7517;top:464;width:1054;height:2" coordorigin="7517,464" coordsize="1054,0" path="m7517,464l8570,464e" filled="false" stroked="true" strokeweight=".48pt" strokecolor="#000000">
                <v:path arrowok="t"/>
              </v:shape>
            </v:group>
            <v:group style="position:absolute;left:8580;top:464;width:1054;height:2" coordorigin="8580,464" coordsize="1054,2">
              <v:shape style="position:absolute;left:8580;top:464;width:1054;height:2" coordorigin="8580,464" coordsize="1054,0" path="m8580,464l9634,464e" filled="false" stroked="true" strokeweight=".48pt" strokecolor="#000000">
                <v:path arrowok="t"/>
              </v:shape>
            </v:group>
            <v:group style="position:absolute;left:9643;top:464;width:1054;height:2" coordorigin="9643,464" coordsize="1054,2">
              <v:shape style="position:absolute;left:9643;top:464;width:1054;height:2" coordorigin="9643,464" coordsize="1054,0" path="m9643,464l10697,464e" filled="false" stroked="true" strokeweight=".48pt" strokecolor="#000000">
                <v:path arrowok="t"/>
              </v:shape>
            </v:group>
            <v:group style="position:absolute;left:5393;top:1182;width:1054;height:624" coordorigin="5393,1182" coordsize="1054,624">
              <v:shape style="position:absolute;left:5393;top:1182;width:1054;height:624" coordorigin="5393,1182" coordsize="1054,624" path="m5393,1806l6446,1806,6446,1182,5393,1182,5393,1806xe" filled="true" fillcolor="#ffffff" stroked="false">
                <v:path arrowok="t"/>
                <v:fill type="solid"/>
              </v:shape>
            </v:group>
            <v:group style="position:absolute;left:1138;top:1177;width:1056;height:2" coordorigin="1138,1177" coordsize="1056,2">
              <v:shape style="position:absolute;left:1138;top:1177;width:1056;height:2" coordorigin="1138,1177" coordsize="1056,0" path="m1138,1177l2194,1177e" filled="false" stroked="true" strokeweight=".48pt" strokecolor="#000000">
                <v:path arrowok="t"/>
              </v:shape>
            </v:group>
            <v:group style="position:absolute;left:2203;top:1177;width:1054;height:2" coordorigin="2203,1177" coordsize="1054,2">
              <v:shape style="position:absolute;left:2203;top:1177;width:1054;height:2" coordorigin="2203,1177" coordsize="1054,0" path="m2203,1177l3257,1177e" filled="false" stroked="true" strokeweight=".48pt" strokecolor="#000000">
                <v:path arrowok="t"/>
              </v:shape>
            </v:group>
            <v:group style="position:absolute;left:3266;top:1177;width:1054;height:2" coordorigin="3266,1177" coordsize="1054,2">
              <v:shape style="position:absolute;left:3266;top:1177;width:1054;height:2" coordorigin="3266,1177" coordsize="1054,0" path="m3266,1177l4320,1177e" filled="false" stroked="true" strokeweight=".48pt" strokecolor="#000000">
                <v:path arrowok="t"/>
              </v:shape>
            </v:group>
            <v:group style="position:absolute;left:4330;top:1177;width:1054;height:2" coordorigin="4330,1177" coordsize="1054,2">
              <v:shape style="position:absolute;left:4330;top:1177;width:1054;height:2" coordorigin="4330,1177" coordsize="1054,0" path="m4330,1177l5383,1177e" filled="false" stroked="true" strokeweight=".48pt" strokecolor="#000000">
                <v:path arrowok="t"/>
              </v:shape>
            </v:group>
            <v:group style="position:absolute;left:5393;top:1177;width:1052;height:2" coordorigin="5393,1177" coordsize="1052,2">
              <v:shape style="position:absolute;left:5393;top:1177;width:1052;height:2" coordorigin="5393,1177" coordsize="1052,0" path="m5393,1177l6444,1177e" filled="false" stroked="true" strokeweight=".48pt" strokecolor="#000000">
                <v:path arrowok="t"/>
              </v:shape>
            </v:group>
            <v:group style="position:absolute;left:6454;top:1177;width:1054;height:2" coordorigin="6454,1177" coordsize="1054,2">
              <v:shape style="position:absolute;left:6454;top:1177;width:1054;height:2" coordorigin="6454,1177" coordsize="1054,0" path="m6454,1177l7507,1177e" filled="false" stroked="true" strokeweight=".48pt" strokecolor="#000000">
                <v:path arrowok="t"/>
              </v:shape>
            </v:group>
            <v:group style="position:absolute;left:7517;top:1177;width:1054;height:2" coordorigin="7517,1177" coordsize="1054,2">
              <v:shape style="position:absolute;left:7517;top:1177;width:1054;height:2" coordorigin="7517,1177" coordsize="1054,0" path="m7517,1177l8570,1177e" filled="false" stroked="true" strokeweight=".48pt" strokecolor="#000000">
                <v:path arrowok="t"/>
              </v:shape>
            </v:group>
            <v:group style="position:absolute;left:8580;top:1177;width:1054;height:2" coordorigin="8580,1177" coordsize="1054,2">
              <v:shape style="position:absolute;left:8580;top:1177;width:1054;height:2" coordorigin="8580,1177" coordsize="1054,0" path="m8580,1177l9634,1177e" filled="false" stroked="true" strokeweight=".48pt" strokecolor="#000000">
                <v:path arrowok="t"/>
              </v:shape>
            </v:group>
            <v:group style="position:absolute;left:9643;top:1177;width:1054;height:2" coordorigin="9643,1177" coordsize="1054,2">
              <v:shape style="position:absolute;left:9643;top:1177;width:1054;height:2" coordorigin="9643,1177" coordsize="1054,0" path="m9643,1177l10697,1177e" filled="false" stroked="true" strokeweight=".48pt" strokecolor="#000000">
                <v:path arrowok="t"/>
              </v:shape>
            </v:group>
            <v:group style="position:absolute;left:5393;top:2833;width:1054;height:468" coordorigin="5393,2833" coordsize="1054,468">
              <v:shape style="position:absolute;left:5393;top:2833;width:1054;height:468" coordorigin="5393,2833" coordsize="1054,468" path="m5393,3301l6446,3301,6446,2833,5393,2833,5393,3301xe" filled="true" fillcolor="#ffffff" stroked="false">
                <v:path arrowok="t"/>
                <v:fill type="solid"/>
              </v:shape>
            </v:group>
            <v:group style="position:absolute;left:1138;top:2828;width:1056;height:2" coordorigin="1138,2828" coordsize="1056,2">
              <v:shape style="position:absolute;left:1138;top:2828;width:1056;height:2" coordorigin="1138,2828" coordsize="1056,0" path="m1138,2828l2194,2828e" filled="false" stroked="true" strokeweight=".48pt" strokecolor="#000000">
                <v:path arrowok="t"/>
              </v:shape>
            </v:group>
            <v:group style="position:absolute;left:2203;top:2828;width:1054;height:2" coordorigin="2203,2828" coordsize="1054,2">
              <v:shape style="position:absolute;left:2203;top:2828;width:1054;height:2" coordorigin="2203,2828" coordsize="1054,0" path="m2203,2828l3257,2828e" filled="false" stroked="true" strokeweight=".48pt" strokecolor="#000000">
                <v:path arrowok="t"/>
              </v:shape>
            </v:group>
            <v:group style="position:absolute;left:3266;top:2828;width:1054;height:2" coordorigin="3266,2828" coordsize="1054,2">
              <v:shape style="position:absolute;left:3266;top:2828;width:1054;height:2" coordorigin="3266,2828" coordsize="1054,0" path="m3266,2828l4320,2828e" filled="false" stroked="true" strokeweight=".48pt" strokecolor="#000000">
                <v:path arrowok="t"/>
              </v:shape>
            </v:group>
            <v:group style="position:absolute;left:4330;top:2828;width:1054;height:2" coordorigin="4330,2828" coordsize="1054,2">
              <v:shape style="position:absolute;left:4330;top:2828;width:1054;height:2" coordorigin="4330,2828" coordsize="1054,0" path="m4330,2828l5383,2828e" filled="false" stroked="true" strokeweight=".48pt" strokecolor="#000000">
                <v:path arrowok="t"/>
              </v:shape>
            </v:group>
            <v:group style="position:absolute;left:5393;top:2828;width:1052;height:2" coordorigin="5393,2828" coordsize="1052,2">
              <v:shape style="position:absolute;left:5393;top:2828;width:1052;height:2" coordorigin="5393,2828" coordsize="1052,0" path="m5393,2828l6444,2828e" filled="false" stroked="true" strokeweight=".48pt" strokecolor="#000000">
                <v:path arrowok="t"/>
              </v:shape>
            </v:group>
            <v:group style="position:absolute;left:6454;top:2828;width:1054;height:2" coordorigin="6454,2828" coordsize="1054,2">
              <v:shape style="position:absolute;left:6454;top:2828;width:1054;height:2" coordorigin="6454,2828" coordsize="1054,0" path="m6454,2828l7507,2828e" filled="false" stroked="true" strokeweight=".48pt" strokecolor="#000000">
                <v:path arrowok="t"/>
              </v:shape>
            </v:group>
            <v:group style="position:absolute;left:7517;top:2828;width:1054;height:2" coordorigin="7517,2828" coordsize="1054,2">
              <v:shape style="position:absolute;left:7517;top:2828;width:1054;height:2" coordorigin="7517,2828" coordsize="1054,0" path="m7517,2828l8570,2828e" filled="false" stroked="true" strokeweight=".48pt" strokecolor="#000000">
                <v:path arrowok="t"/>
              </v:shape>
            </v:group>
            <v:group style="position:absolute;left:8580;top:2828;width:1054;height:2" coordorigin="8580,2828" coordsize="1054,2">
              <v:shape style="position:absolute;left:8580;top:2828;width:1054;height:2" coordorigin="8580,2828" coordsize="1054,0" path="m8580,2828l9634,2828e" filled="false" stroked="true" strokeweight=".48pt" strokecolor="#000000">
                <v:path arrowok="t"/>
              </v:shape>
            </v:group>
            <v:group style="position:absolute;left:9643;top:2828;width:1054;height:2" coordorigin="9643,2828" coordsize="1054,2">
              <v:shape style="position:absolute;left:9643;top:2828;width:1054;height:2" coordorigin="9643,2828" coordsize="1054,0" path="m9643,2828l10697,2828e" filled="false" stroked="true" strokeweight=".48pt" strokecolor="#000000">
                <v:path arrowok="t"/>
              </v:shape>
            </v:group>
            <v:group style="position:absolute;left:5393;top:4170;width:1054;height:468" coordorigin="5393,4170" coordsize="1054,468">
              <v:shape style="position:absolute;left:5393;top:4170;width:1054;height:468" coordorigin="5393,4170" coordsize="1054,468" path="m5393,4638l6446,4638,6446,4170,5393,4170,5393,4638xe" filled="true" fillcolor="#ffffff" stroked="false">
                <v:path arrowok="t"/>
                <v:fill type="solid"/>
              </v:shape>
            </v:group>
            <v:group style="position:absolute;left:1138;top:4165;width:1056;height:2" coordorigin="1138,4165" coordsize="1056,2">
              <v:shape style="position:absolute;left:1138;top:4165;width:1056;height:2" coordorigin="1138,4165" coordsize="1056,0" path="m1138,4165l2194,4165e" filled="false" stroked="true" strokeweight=".48pt" strokecolor="#000000">
                <v:path arrowok="t"/>
              </v:shape>
            </v:group>
            <v:group style="position:absolute;left:2203;top:4165;width:1054;height:2" coordorigin="2203,4165" coordsize="1054,2">
              <v:shape style="position:absolute;left:2203;top:4165;width:1054;height:2" coordorigin="2203,4165" coordsize="1054,0" path="m2203,4165l3257,4165e" filled="false" stroked="true" strokeweight=".48pt" strokecolor="#000000">
                <v:path arrowok="t"/>
              </v:shape>
            </v:group>
            <v:group style="position:absolute;left:3266;top:4165;width:1054;height:2" coordorigin="3266,4165" coordsize="1054,2">
              <v:shape style="position:absolute;left:3266;top:4165;width:1054;height:2" coordorigin="3266,4165" coordsize="1054,0" path="m3266,4165l4320,4165e" filled="false" stroked="true" strokeweight=".48pt" strokecolor="#000000">
                <v:path arrowok="t"/>
              </v:shape>
            </v:group>
            <v:group style="position:absolute;left:4330;top:4165;width:1054;height:2" coordorigin="4330,4165" coordsize="1054,2">
              <v:shape style="position:absolute;left:4330;top:4165;width:1054;height:2" coordorigin="4330,4165" coordsize="1054,0" path="m4330,4165l5383,4165e" filled="false" stroked="true" strokeweight=".48pt" strokecolor="#000000">
                <v:path arrowok="t"/>
              </v:shape>
            </v:group>
            <v:group style="position:absolute;left:5393;top:4165;width:1052;height:2" coordorigin="5393,4165" coordsize="1052,2">
              <v:shape style="position:absolute;left:5393;top:4165;width:1052;height:2" coordorigin="5393,4165" coordsize="1052,0" path="m5393,4165l6444,4165e" filled="false" stroked="true" strokeweight=".48pt" strokecolor="#000000">
                <v:path arrowok="t"/>
              </v:shape>
            </v:group>
            <v:group style="position:absolute;left:6454;top:4165;width:1054;height:2" coordorigin="6454,4165" coordsize="1054,2">
              <v:shape style="position:absolute;left:6454;top:4165;width:1054;height:2" coordorigin="6454,4165" coordsize="1054,0" path="m6454,4165l7507,4165e" filled="false" stroked="true" strokeweight=".48pt" strokecolor="#000000">
                <v:path arrowok="t"/>
              </v:shape>
            </v:group>
            <v:group style="position:absolute;left:7517;top:4165;width:1054;height:2" coordorigin="7517,4165" coordsize="1054,2">
              <v:shape style="position:absolute;left:7517;top:4165;width:1054;height:2" coordorigin="7517,4165" coordsize="1054,0" path="m7517,4165l8570,4165e" filled="false" stroked="true" strokeweight=".48pt" strokecolor="#000000">
                <v:path arrowok="t"/>
              </v:shape>
            </v:group>
            <v:group style="position:absolute;left:8580;top:4165;width:1054;height:2" coordorigin="8580,4165" coordsize="1054,2">
              <v:shape style="position:absolute;left:8580;top:4165;width:1054;height:2" coordorigin="8580,4165" coordsize="1054,0" path="m8580,4165l9634,4165e" filled="false" stroked="true" strokeweight=".48pt" strokecolor="#000000">
                <v:path arrowok="t"/>
              </v:shape>
            </v:group>
            <v:group style="position:absolute;left:9643;top:4165;width:1054;height:2" coordorigin="9643,4165" coordsize="1054,2">
              <v:shape style="position:absolute;left:9643;top:4165;width:1054;height:2" coordorigin="9643,4165" coordsize="1054,0" path="m9643,4165l10697,4165e" filled="false" stroked="true" strokeweight=".48pt" strokecolor="#000000">
                <v:path arrowok="t"/>
              </v:shape>
            </v:group>
            <v:group style="position:absolute;left:5393;top:5509;width:1054;height:468" coordorigin="5393,5509" coordsize="1054,468">
              <v:shape style="position:absolute;left:5393;top:5509;width:1054;height:468" coordorigin="5393,5509" coordsize="1054,468" path="m5393,5977l6446,5977,6446,5509,5393,5509,5393,5977xe" filled="true" fillcolor="#ffffff" stroked="false">
                <v:path arrowok="t"/>
                <v:fill type="solid"/>
              </v:shape>
            </v:group>
            <v:group style="position:absolute;left:1138;top:5504;width:1056;height:2" coordorigin="1138,5504" coordsize="1056,2">
              <v:shape style="position:absolute;left:1138;top:5504;width:1056;height:2" coordorigin="1138,5504" coordsize="1056,0" path="m1138,5504l2194,5504e" filled="false" stroked="true" strokeweight=".48pt" strokecolor="#000000">
                <v:path arrowok="t"/>
              </v:shape>
            </v:group>
            <v:group style="position:absolute;left:2203;top:5504;width:1054;height:2" coordorigin="2203,5504" coordsize="1054,2">
              <v:shape style="position:absolute;left:2203;top:5504;width:1054;height:2" coordorigin="2203,5504" coordsize="1054,0" path="m2203,5504l3257,5504e" filled="false" stroked="true" strokeweight=".48pt" strokecolor="#000000">
                <v:path arrowok="t"/>
              </v:shape>
            </v:group>
            <v:group style="position:absolute;left:3266;top:5504;width:1054;height:2" coordorigin="3266,5504" coordsize="1054,2">
              <v:shape style="position:absolute;left:3266;top:5504;width:1054;height:2" coordorigin="3266,5504" coordsize="1054,0" path="m3266,5504l4320,5504e" filled="false" stroked="true" strokeweight=".48pt" strokecolor="#000000">
                <v:path arrowok="t"/>
              </v:shape>
            </v:group>
            <v:group style="position:absolute;left:4330;top:5504;width:1054;height:2" coordorigin="4330,5504" coordsize="1054,2">
              <v:shape style="position:absolute;left:4330;top:5504;width:1054;height:2" coordorigin="4330,5504" coordsize="1054,0" path="m4330,5504l5383,5504e" filled="false" stroked="true" strokeweight=".48pt" strokecolor="#000000">
                <v:path arrowok="t"/>
              </v:shape>
            </v:group>
            <v:group style="position:absolute;left:5393;top:5504;width:1052;height:2" coordorigin="5393,5504" coordsize="1052,2">
              <v:shape style="position:absolute;left:5393;top:5504;width:1052;height:2" coordorigin="5393,5504" coordsize="1052,0" path="m5393,5504l6444,5504e" filled="false" stroked="true" strokeweight=".48pt" strokecolor="#000000">
                <v:path arrowok="t"/>
              </v:shape>
            </v:group>
            <v:group style="position:absolute;left:6454;top:5504;width:1054;height:2" coordorigin="6454,5504" coordsize="1054,2">
              <v:shape style="position:absolute;left:6454;top:5504;width:1054;height:2" coordorigin="6454,5504" coordsize="1054,0" path="m6454,5504l7507,5504e" filled="false" stroked="true" strokeweight=".48pt" strokecolor="#000000">
                <v:path arrowok="t"/>
              </v:shape>
            </v:group>
            <v:group style="position:absolute;left:7517;top:5504;width:1054;height:2" coordorigin="7517,5504" coordsize="1054,2">
              <v:shape style="position:absolute;left:7517;top:5504;width:1054;height:2" coordorigin="7517,5504" coordsize="1054,0" path="m7517,5504l8570,5504e" filled="false" stroked="true" strokeweight=".48pt" strokecolor="#000000">
                <v:path arrowok="t"/>
              </v:shape>
            </v:group>
            <v:group style="position:absolute;left:8580;top:5504;width:1054;height:2" coordorigin="8580,5504" coordsize="1054,2">
              <v:shape style="position:absolute;left:8580;top:5504;width:1054;height:2" coordorigin="8580,5504" coordsize="1054,0" path="m8580,5504l9634,5504e" filled="false" stroked="true" strokeweight=".48pt" strokecolor="#000000">
                <v:path arrowok="t"/>
              </v:shape>
            </v:group>
            <v:group style="position:absolute;left:9643;top:5504;width:1054;height:2" coordorigin="9643,5504" coordsize="1054,2">
              <v:shape style="position:absolute;left:9643;top:5504;width:1054;height:2" coordorigin="9643,5504" coordsize="1054,0" path="m9643,5504l10697,5504e" filled="false" stroked="true" strokeweight=".48pt" strokecolor="#000000">
                <v:path arrowok="t"/>
              </v:shape>
            </v:group>
            <v:group style="position:absolute;left:5393;top:6846;width:1054;height:624" coordorigin="5393,6846" coordsize="1054,624">
              <v:shape style="position:absolute;left:5393;top:6846;width:1054;height:624" coordorigin="5393,6846" coordsize="1054,624" path="m5393,7470l6446,7470,6446,6846,5393,6846,5393,7470xe" filled="true" fillcolor="#ffffff" stroked="false">
                <v:path arrowok="t"/>
                <v:fill type="solid"/>
              </v:shape>
            </v:group>
            <v:group style="position:absolute;left:1138;top:6841;width:1056;height:2" coordorigin="1138,6841" coordsize="1056,2">
              <v:shape style="position:absolute;left:1138;top:6841;width:1056;height:2" coordorigin="1138,6841" coordsize="1056,0" path="m1138,6841l2194,6841e" filled="false" stroked="true" strokeweight=".48pt" strokecolor="#000000">
                <v:path arrowok="t"/>
              </v:shape>
            </v:group>
            <v:group style="position:absolute;left:2203;top:6841;width:1054;height:2" coordorigin="2203,6841" coordsize="1054,2">
              <v:shape style="position:absolute;left:2203;top:6841;width:1054;height:2" coordorigin="2203,6841" coordsize="1054,0" path="m2203,6841l3257,6841e" filled="false" stroked="true" strokeweight=".48pt" strokecolor="#000000">
                <v:path arrowok="t"/>
              </v:shape>
            </v:group>
            <v:group style="position:absolute;left:3266;top:6841;width:1054;height:2" coordorigin="3266,6841" coordsize="1054,2">
              <v:shape style="position:absolute;left:3266;top:6841;width:1054;height:2" coordorigin="3266,6841" coordsize="1054,0" path="m3266,6841l4320,6841e" filled="false" stroked="true" strokeweight=".48pt" strokecolor="#000000">
                <v:path arrowok="t"/>
              </v:shape>
            </v:group>
            <v:group style="position:absolute;left:4330;top:6841;width:1054;height:2" coordorigin="4330,6841" coordsize="1054,2">
              <v:shape style="position:absolute;left:4330;top:6841;width:1054;height:2" coordorigin="4330,6841" coordsize="1054,0" path="m4330,6841l5383,6841e" filled="false" stroked="true" strokeweight=".48pt" strokecolor="#000000">
                <v:path arrowok="t"/>
              </v:shape>
            </v:group>
            <v:group style="position:absolute;left:5393;top:6841;width:1052;height:2" coordorigin="5393,6841" coordsize="1052,2">
              <v:shape style="position:absolute;left:5393;top:6841;width:1052;height:2" coordorigin="5393,6841" coordsize="1052,0" path="m5393,6841l6444,6841e" filled="false" stroked="true" strokeweight=".48pt" strokecolor="#000000">
                <v:path arrowok="t"/>
              </v:shape>
            </v:group>
            <v:group style="position:absolute;left:6454;top:6841;width:1054;height:2" coordorigin="6454,6841" coordsize="1054,2">
              <v:shape style="position:absolute;left:6454;top:6841;width:1054;height:2" coordorigin="6454,6841" coordsize="1054,0" path="m6454,6841l7507,6841e" filled="false" stroked="true" strokeweight=".48pt" strokecolor="#000000">
                <v:path arrowok="t"/>
              </v:shape>
            </v:group>
            <v:group style="position:absolute;left:7517;top:6841;width:1054;height:2" coordorigin="7517,6841" coordsize="1054,2">
              <v:shape style="position:absolute;left:7517;top:6841;width:1054;height:2" coordorigin="7517,6841" coordsize="1054,0" path="m7517,6841l8570,6841e" filled="false" stroked="true" strokeweight=".48pt" strokecolor="#000000">
                <v:path arrowok="t"/>
              </v:shape>
            </v:group>
            <v:group style="position:absolute;left:8580;top:6841;width:1054;height:2" coordorigin="8580,6841" coordsize="1054,2">
              <v:shape style="position:absolute;left:8580;top:6841;width:1054;height:2" coordorigin="8580,6841" coordsize="1054,0" path="m8580,6841l9634,6841e" filled="false" stroked="true" strokeweight=".48pt" strokecolor="#000000">
                <v:path arrowok="t"/>
              </v:shape>
            </v:group>
            <v:group style="position:absolute;left:9643;top:6841;width:1054;height:2" coordorigin="9643,6841" coordsize="1054,2">
              <v:shape style="position:absolute;left:9643;top:6841;width:1054;height:2" coordorigin="9643,6841" coordsize="1054,0" path="m9643,6841l10697,6841e" filled="false" stroked="true" strokeweight=".48pt" strokecolor="#000000">
                <v:path arrowok="t"/>
              </v:shape>
            </v:group>
            <v:group style="position:absolute;left:5393;top:8497;width:1054;height:468" coordorigin="5393,8497" coordsize="1054,468">
              <v:shape style="position:absolute;left:5393;top:8497;width:1054;height:468" coordorigin="5393,8497" coordsize="1054,468" path="m5393,8965l6446,8965,6446,8497,5393,8497,5393,8965xe" filled="true" fillcolor="#ffffff" stroked="false">
                <v:path arrowok="t"/>
                <v:fill type="solid"/>
              </v:shape>
            </v:group>
            <v:group style="position:absolute;left:1138;top:8492;width:1056;height:2" coordorigin="1138,8492" coordsize="1056,2">
              <v:shape style="position:absolute;left:1138;top:8492;width:1056;height:2" coordorigin="1138,8492" coordsize="1056,0" path="m1138,8492l2194,8492e" filled="false" stroked="true" strokeweight=".48pt" strokecolor="#000000">
                <v:path arrowok="t"/>
              </v:shape>
            </v:group>
            <v:group style="position:absolute;left:2203;top:8492;width:1054;height:2" coordorigin="2203,8492" coordsize="1054,2">
              <v:shape style="position:absolute;left:2203;top:8492;width:1054;height:2" coordorigin="2203,8492" coordsize="1054,0" path="m2203,8492l3257,8492e" filled="false" stroked="true" strokeweight=".48pt" strokecolor="#000000">
                <v:path arrowok="t"/>
              </v:shape>
            </v:group>
            <v:group style="position:absolute;left:3266;top:8492;width:1054;height:2" coordorigin="3266,8492" coordsize="1054,2">
              <v:shape style="position:absolute;left:3266;top:8492;width:1054;height:2" coordorigin="3266,8492" coordsize="1054,0" path="m3266,8492l4320,8492e" filled="false" stroked="true" strokeweight=".48pt" strokecolor="#000000">
                <v:path arrowok="t"/>
              </v:shape>
            </v:group>
            <v:group style="position:absolute;left:4330;top:8492;width:1054;height:2" coordorigin="4330,8492" coordsize="1054,2">
              <v:shape style="position:absolute;left:4330;top:8492;width:1054;height:2" coordorigin="4330,8492" coordsize="1054,0" path="m4330,8492l5383,8492e" filled="false" stroked="true" strokeweight=".48pt" strokecolor="#000000">
                <v:path arrowok="t"/>
              </v:shape>
            </v:group>
            <v:group style="position:absolute;left:5393;top:8492;width:1052;height:2" coordorigin="5393,8492" coordsize="1052,2">
              <v:shape style="position:absolute;left:5393;top:8492;width:1052;height:2" coordorigin="5393,8492" coordsize="1052,0" path="m5393,8492l6444,8492e" filled="false" stroked="true" strokeweight=".48pt" strokecolor="#000000">
                <v:path arrowok="t"/>
              </v:shape>
            </v:group>
            <v:group style="position:absolute;left:6454;top:8492;width:1054;height:2" coordorigin="6454,8492" coordsize="1054,2">
              <v:shape style="position:absolute;left:6454;top:8492;width:1054;height:2" coordorigin="6454,8492" coordsize="1054,0" path="m6454,8492l7507,8492e" filled="false" stroked="true" strokeweight=".48pt" strokecolor="#000000">
                <v:path arrowok="t"/>
              </v:shape>
            </v:group>
            <v:group style="position:absolute;left:7517;top:8492;width:1054;height:2" coordorigin="7517,8492" coordsize="1054,2">
              <v:shape style="position:absolute;left:7517;top:8492;width:1054;height:2" coordorigin="7517,8492" coordsize="1054,0" path="m7517,8492l8570,8492e" filled="false" stroked="true" strokeweight=".48pt" strokecolor="#000000">
                <v:path arrowok="t"/>
              </v:shape>
            </v:group>
            <v:group style="position:absolute;left:8580;top:8492;width:1054;height:2" coordorigin="8580,8492" coordsize="1054,2">
              <v:shape style="position:absolute;left:8580;top:8492;width:1054;height:2" coordorigin="8580,8492" coordsize="1054,0" path="m8580,8492l9634,8492e" filled="false" stroked="true" strokeweight=".48pt" strokecolor="#000000">
                <v:path arrowok="t"/>
              </v:shape>
            </v:group>
            <v:group style="position:absolute;left:9643;top:8492;width:1054;height:2" coordorigin="9643,8492" coordsize="1054,2">
              <v:shape style="position:absolute;left:9643;top:8492;width:1054;height:2" coordorigin="9643,8492" coordsize="1054,0" path="m9643,8492l10697,8492e" filled="false" stroked="true" strokeweight=".48pt" strokecolor="#000000">
                <v:path arrowok="t"/>
              </v:shape>
            </v:group>
            <v:group style="position:absolute;left:5393;top:9834;width:1054;height:468" coordorigin="5393,9834" coordsize="1054,468">
              <v:shape style="position:absolute;left:5393;top:9834;width:1054;height:468" coordorigin="5393,9834" coordsize="1054,468" path="m5393,10302l6446,10302,6446,9834,5393,9834,5393,10302xe" filled="true" fillcolor="#ffffff" stroked="false">
                <v:path arrowok="t"/>
                <v:fill type="solid"/>
              </v:shape>
            </v:group>
            <v:group style="position:absolute;left:1138;top:9829;width:1056;height:2" coordorigin="1138,9829" coordsize="1056,2">
              <v:shape style="position:absolute;left:1138;top:9829;width:1056;height:2" coordorigin="1138,9829" coordsize="1056,0" path="m1138,9829l2194,9829e" filled="false" stroked="true" strokeweight=".48pt" strokecolor="#000000">
                <v:path arrowok="t"/>
              </v:shape>
            </v:group>
            <v:group style="position:absolute;left:2203;top:9829;width:1054;height:2" coordorigin="2203,9829" coordsize="1054,2">
              <v:shape style="position:absolute;left:2203;top:9829;width:1054;height:2" coordorigin="2203,9829" coordsize="1054,0" path="m2203,9829l3257,9829e" filled="false" stroked="true" strokeweight=".48pt" strokecolor="#000000">
                <v:path arrowok="t"/>
              </v:shape>
            </v:group>
            <v:group style="position:absolute;left:3266;top:9829;width:1054;height:2" coordorigin="3266,9829" coordsize="1054,2">
              <v:shape style="position:absolute;left:3266;top:9829;width:1054;height:2" coordorigin="3266,9829" coordsize="1054,0" path="m3266,9829l4320,9829e" filled="false" stroked="true" strokeweight=".48pt" strokecolor="#000000">
                <v:path arrowok="t"/>
              </v:shape>
            </v:group>
            <v:group style="position:absolute;left:4330;top:9829;width:1054;height:2" coordorigin="4330,9829" coordsize="1054,2">
              <v:shape style="position:absolute;left:4330;top:9829;width:1054;height:2" coordorigin="4330,9829" coordsize="1054,0" path="m4330,9829l5383,9829e" filled="false" stroked="true" strokeweight=".48pt" strokecolor="#000000">
                <v:path arrowok="t"/>
              </v:shape>
            </v:group>
            <v:group style="position:absolute;left:5393;top:9829;width:1052;height:2" coordorigin="5393,9829" coordsize="1052,2">
              <v:shape style="position:absolute;left:5393;top:9829;width:1052;height:2" coordorigin="5393,9829" coordsize="1052,0" path="m5393,9829l6444,9829e" filled="false" stroked="true" strokeweight=".48pt" strokecolor="#000000">
                <v:path arrowok="t"/>
              </v:shape>
            </v:group>
            <v:group style="position:absolute;left:6454;top:9829;width:1054;height:2" coordorigin="6454,9829" coordsize="1054,2">
              <v:shape style="position:absolute;left:6454;top:9829;width:1054;height:2" coordorigin="6454,9829" coordsize="1054,0" path="m6454,9829l7507,9829e" filled="false" stroked="true" strokeweight=".48pt" strokecolor="#000000">
                <v:path arrowok="t"/>
              </v:shape>
            </v:group>
            <v:group style="position:absolute;left:7517;top:9829;width:1054;height:2" coordorigin="7517,9829" coordsize="1054,2">
              <v:shape style="position:absolute;left:7517;top:9829;width:1054;height:2" coordorigin="7517,9829" coordsize="1054,0" path="m7517,9829l8570,9829e" filled="false" stroked="true" strokeweight=".48pt" strokecolor="#000000">
                <v:path arrowok="t"/>
              </v:shape>
            </v:group>
            <v:group style="position:absolute;left:8580;top:9829;width:1054;height:2" coordorigin="8580,9829" coordsize="1054,2">
              <v:shape style="position:absolute;left:8580;top:9829;width:1054;height:2" coordorigin="8580,9829" coordsize="1054,0" path="m8580,9829l9634,9829e" filled="false" stroked="true" strokeweight=".48pt" strokecolor="#000000">
                <v:path arrowok="t"/>
              </v:shape>
            </v:group>
            <v:group style="position:absolute;left:9643;top:9829;width:1054;height:2" coordorigin="9643,9829" coordsize="1054,2">
              <v:shape style="position:absolute;left:9643;top:9829;width:1054;height:2" coordorigin="9643,9829" coordsize="1054,0" path="m9643,9829l10697,9829e" filled="false" stroked="true" strokeweight=".48pt" strokecolor="#000000">
                <v:path arrowok="t"/>
              </v:shape>
            </v:group>
            <v:group style="position:absolute;left:1151;top:11173;width:2;height:392" coordorigin="1151,11173" coordsize="2,392">
              <v:shape style="position:absolute;left:1151;top:11173;width:2;height:392" coordorigin="1151,11173" coordsize="0,392" path="m1151,11173l1151,11564e" filled="false" stroked="true" strokeweight="1.08pt" strokecolor="#d4d4d4">
                <v:path arrowok="t"/>
              </v:shape>
            </v:group>
            <v:group style="position:absolute;left:2183;top:11173;width:2;height:392" coordorigin="2183,11173" coordsize="2,392">
              <v:shape style="position:absolute;left:2183;top:11173;width:2;height:392" coordorigin="2183,11173" coordsize="0,392" path="m2183,11173l2183,11564e" filled="false" stroked="true" strokeweight="1.08pt" strokecolor="#d4d4d4">
                <v:path arrowok="t"/>
              </v:shape>
            </v:group>
            <v:group style="position:absolute;left:1162;top:11173;width:1011;height:392" coordorigin="1162,11173" coordsize="1011,392">
              <v:shape style="position:absolute;left:1162;top:11173;width:1011;height:392" coordorigin="1162,11173" coordsize="1011,392" path="m1162,11564l2172,11564,2172,11173,1162,11173,1162,11564xe" filled="true" fillcolor="#d4d4d4" stroked="false">
                <v:path arrowok="t"/>
                <v:fill type="solid"/>
              </v:shape>
            </v:group>
            <v:group style="position:absolute;left:2215;top:11173;width:2;height:392" coordorigin="2215,11173" coordsize="2,392">
              <v:shape style="position:absolute;left:2215;top:11173;width:2;height:392" coordorigin="2215,11173" coordsize="0,392" path="m2215,11173l2215,11564e" filled="false" stroked="true" strokeweight="1.2pt" strokecolor="#d4d4d4">
                <v:path arrowok="t"/>
              </v:shape>
            </v:group>
            <v:group style="position:absolute;left:3245;top:11173;width:2;height:392" coordorigin="3245,11173" coordsize="2,392">
              <v:shape style="position:absolute;left:3245;top:11173;width:2;height:392" coordorigin="3245,11173" coordsize="0,392" path="m3245,11173l3245,11564e" filled="false" stroked="true" strokeweight="1.2pt" strokecolor="#d4d4d4">
                <v:path arrowok="t"/>
              </v:shape>
            </v:group>
            <v:group style="position:absolute;left:2227;top:11173;width:1006;height:392" coordorigin="2227,11173" coordsize="1006,392">
              <v:shape style="position:absolute;left:2227;top:11173;width:1006;height:392" coordorigin="2227,11173" coordsize="1006,392" path="m2227,11564l3233,11564,3233,11173,2227,11173,2227,11564xe" filled="true" fillcolor="#d4d4d4" stroked="false">
                <v:path arrowok="t"/>
                <v:fill type="solid"/>
              </v:shape>
            </v:group>
            <v:group style="position:absolute;left:3278;top:11173;width:2;height:392" coordorigin="3278,11173" coordsize="2,392">
              <v:shape style="position:absolute;left:3278;top:11173;width:2;height:392" coordorigin="3278,11173" coordsize="0,392" path="m3278,11173l3278,11564e" filled="false" stroked="true" strokeweight="1.2pt" strokecolor="#d4d4d4">
                <v:path arrowok="t"/>
              </v:shape>
            </v:group>
            <v:group style="position:absolute;left:4308;top:11173;width:2;height:392" coordorigin="4308,11173" coordsize="2,392">
              <v:shape style="position:absolute;left:4308;top:11173;width:2;height:392" coordorigin="4308,11173" coordsize="0,392" path="m4308,11173l4308,11564e" filled="false" stroked="true" strokeweight="1.2pt" strokecolor="#d4d4d4">
                <v:path arrowok="t"/>
              </v:shape>
            </v:group>
            <v:group style="position:absolute;left:3290;top:11173;width:1006;height:392" coordorigin="3290,11173" coordsize="1006,392">
              <v:shape style="position:absolute;left:3290;top:11173;width:1006;height:392" coordorigin="3290,11173" coordsize="1006,392" path="m3290,11564l4296,11564,4296,11173,3290,11173,3290,11564xe" filled="true" fillcolor="#d4d4d4" stroked="false">
                <v:path arrowok="t"/>
                <v:fill type="solid"/>
              </v:shape>
            </v:group>
            <v:group style="position:absolute;left:4342;top:11173;width:2;height:392" coordorigin="4342,11173" coordsize="2,392">
              <v:shape style="position:absolute;left:4342;top:11173;width:2;height:392" coordorigin="4342,11173" coordsize="0,392" path="m4342,11173l4342,11564e" filled="false" stroked="true" strokeweight="1.2pt" strokecolor="#d4d4d4">
                <v:path arrowok="t"/>
              </v:shape>
            </v:group>
            <v:group style="position:absolute;left:5371;top:11173;width:2;height:392" coordorigin="5371,11173" coordsize="2,392">
              <v:shape style="position:absolute;left:5371;top:11173;width:2;height:392" coordorigin="5371,11173" coordsize="0,392" path="m5371,11173l5371,11564e" filled="false" stroked="true" strokeweight="1.2pt" strokecolor="#d4d4d4">
                <v:path arrowok="t"/>
              </v:shape>
            </v:group>
            <v:group style="position:absolute;left:4354;top:11173;width:1006;height:392" coordorigin="4354,11173" coordsize="1006,392">
              <v:shape style="position:absolute;left:4354;top:11173;width:1006;height:392" coordorigin="4354,11173" coordsize="1006,392" path="m4354,11564l5359,11564,5359,11173,4354,11173,4354,11564xe" filled="true" fillcolor="#d4d4d4" stroked="false">
                <v:path arrowok="t"/>
                <v:fill type="solid"/>
              </v:shape>
            </v:group>
            <v:group style="position:absolute;left:5405;top:11173;width:2;height:392" coordorigin="5405,11173" coordsize="2,392">
              <v:shape style="position:absolute;left:5405;top:11173;width:2;height:392" coordorigin="5405,11173" coordsize="0,392" path="m5405,11173l5405,11564e" filled="false" stroked="true" strokeweight="1.2pt" strokecolor="#d4d4d4">
                <v:path arrowok="t"/>
              </v:shape>
            </v:group>
            <v:group style="position:absolute;left:6434;top:11173;width:2;height:392" coordorigin="6434,11173" coordsize="2,392">
              <v:shape style="position:absolute;left:6434;top:11173;width:2;height:392" coordorigin="6434,11173" coordsize="0,392" path="m6434,11173l6434,11564e" filled="false" stroked="true" strokeweight="1.2pt" strokecolor="#d4d4d4">
                <v:path arrowok="t"/>
              </v:shape>
            </v:group>
            <v:group style="position:absolute;left:5417;top:11173;width:1006;height:392" coordorigin="5417,11173" coordsize="1006,392">
              <v:shape style="position:absolute;left:5417;top:11173;width:1006;height:392" coordorigin="5417,11173" coordsize="1006,392" path="m5417,11564l6422,11564,6422,11173,5417,11173,5417,11564xe" filled="true" fillcolor="#d4d4d4" stroked="false">
                <v:path arrowok="t"/>
                <v:fill type="solid"/>
              </v:shape>
            </v:group>
            <v:group style="position:absolute;left:6468;top:11173;width:2;height:392" coordorigin="6468,11173" coordsize="2,392">
              <v:shape style="position:absolute;left:6468;top:11173;width:2;height:392" coordorigin="6468,11173" coordsize="0,392" path="m6468,11173l6468,11564e" filled="false" stroked="true" strokeweight="1.2pt" strokecolor="#d4d4d4">
                <v:path arrowok="t"/>
              </v:shape>
            </v:group>
            <v:group style="position:absolute;left:7498;top:11173;width:2;height:392" coordorigin="7498,11173" coordsize="2,392">
              <v:shape style="position:absolute;left:7498;top:11173;width:2;height:392" coordorigin="7498,11173" coordsize="0,392" path="m7498,11173l7498,11564e" filled="false" stroked="true" strokeweight="1.2pt" strokecolor="#d4d4d4">
                <v:path arrowok="t"/>
              </v:shape>
            </v:group>
            <v:group style="position:absolute;left:6480;top:11173;width:1006;height:392" coordorigin="6480,11173" coordsize="1006,392">
              <v:shape style="position:absolute;left:6480;top:11173;width:1006;height:392" coordorigin="6480,11173" coordsize="1006,392" path="m6480,11564l7486,11564,7486,11173,6480,11173,6480,11564xe" filled="true" fillcolor="#d4d4d4" stroked="false">
                <v:path arrowok="t"/>
                <v:fill type="solid"/>
              </v:shape>
            </v:group>
            <v:group style="position:absolute;left:1138;top:11168;width:1056;height:2" coordorigin="1138,11168" coordsize="1056,2">
              <v:shape style="position:absolute;left:1138;top:11168;width:1056;height:2" coordorigin="1138,11168" coordsize="1056,0" path="m1138,11168l2194,11168e" filled="false" stroked="true" strokeweight=".48pt" strokecolor="#000000">
                <v:path arrowok="t"/>
              </v:shape>
            </v:group>
            <v:group style="position:absolute;left:2203;top:11168;width:1054;height:2" coordorigin="2203,11168" coordsize="1054,2">
              <v:shape style="position:absolute;left:2203;top:11168;width:1054;height:2" coordorigin="2203,11168" coordsize="1054,0" path="m2203,11168l3257,11168e" filled="false" stroked="true" strokeweight=".48pt" strokecolor="#000000">
                <v:path arrowok="t"/>
              </v:shape>
            </v:group>
            <v:group style="position:absolute;left:3266;top:11168;width:1054;height:2" coordorigin="3266,11168" coordsize="1054,2">
              <v:shape style="position:absolute;left:3266;top:11168;width:1054;height:2" coordorigin="3266,11168" coordsize="1054,0" path="m3266,11168l4320,11168e" filled="false" stroked="true" strokeweight=".48pt" strokecolor="#000000">
                <v:path arrowok="t"/>
              </v:shape>
            </v:group>
            <v:group style="position:absolute;left:4330;top:11168;width:1054;height:2" coordorigin="4330,11168" coordsize="1054,2">
              <v:shape style="position:absolute;left:4330;top:11168;width:1054;height:2" coordorigin="4330,11168" coordsize="1054,0" path="m4330,11168l5383,11168e" filled="false" stroked="true" strokeweight=".48pt" strokecolor="#000000">
                <v:path arrowok="t"/>
              </v:shape>
            </v:group>
            <v:group style="position:absolute;left:5393;top:11168;width:1052;height:2" coordorigin="5393,11168" coordsize="1052,2">
              <v:shape style="position:absolute;left:5393;top:11168;width:1052;height:2" coordorigin="5393,11168" coordsize="1052,0" path="m5393,11168l6444,11168e" filled="false" stroked="true" strokeweight=".48pt" strokecolor="#000000">
                <v:path arrowok="t"/>
              </v:shape>
            </v:group>
            <v:group style="position:absolute;left:6454;top:11168;width:1054;height:2" coordorigin="6454,11168" coordsize="1054,2">
              <v:shape style="position:absolute;left:6454;top:11168;width:1054;height:2" coordorigin="6454,11168" coordsize="1054,0" path="m6454,11168l7507,11168e" filled="false" stroked="true" strokeweight=".48pt" strokecolor="#000000">
                <v:path arrowok="t"/>
              </v:shape>
            </v:group>
            <v:group style="position:absolute;left:7517;top:11168;width:1054;height:2" coordorigin="7517,11168" coordsize="1054,2">
              <v:shape style="position:absolute;left:7517;top:11168;width:1054;height:2" coordorigin="7517,11168" coordsize="1054,0" path="m7517,11168l8570,11168e" filled="false" stroked="true" strokeweight=".48pt" strokecolor="#000000">
                <v:path arrowok="t"/>
              </v:shape>
            </v:group>
            <v:group style="position:absolute;left:9656;top:11173;width:2;height:392" coordorigin="9656,11173" coordsize="2,392">
              <v:shape style="position:absolute;left:9656;top:11173;width:2;height:392" coordorigin="9656,11173" coordsize="0,392" path="m9656,11173l9656,11564e" filled="false" stroked="true" strokeweight="1.08pt" strokecolor="#d4d4d4">
                <v:path arrowok="t"/>
              </v:shape>
            </v:group>
            <v:group style="position:absolute;left:10686;top:11173;width:2;height:392" coordorigin="10686,11173" coordsize="2,392">
              <v:shape style="position:absolute;left:10686;top:11173;width:2;height:392" coordorigin="10686,11173" coordsize="0,392" path="m10686,11173l10686,11564e" filled="false" stroked="true" strokeweight="1.08pt" strokecolor="#d4d4d4">
                <v:path arrowok="t"/>
              </v:shape>
            </v:group>
            <v:group style="position:absolute;left:9667;top:11173;width:1008;height:392" coordorigin="9667,11173" coordsize="1008,392">
              <v:shape style="position:absolute;left:9667;top:11173;width:1008;height:392" coordorigin="9667,11173" coordsize="1008,392" path="m9667,11564l10675,11564,10675,11173,9667,11173,9667,11564xe" filled="true" fillcolor="#d4d4d4" stroked="false">
                <v:path arrowok="t"/>
                <v:fill type="solid"/>
              </v:shape>
            </v:group>
            <v:group style="position:absolute;left:8580;top:11168;width:1054;height:2" coordorigin="8580,11168" coordsize="1054,2">
              <v:shape style="position:absolute;left:8580;top:11168;width:1054;height:2" coordorigin="8580,11168" coordsize="1054,0" path="m8580,11168l9634,11168e" filled="false" stroked="true" strokeweight=".48pt" strokecolor="#000000">
                <v:path arrowok="t"/>
              </v:shape>
            </v:group>
            <v:group style="position:absolute;left:9643;top:11168;width:1054;height:2" coordorigin="9643,11168" coordsize="1054,2">
              <v:shape style="position:absolute;left:9643;top:11168;width:1054;height:2" coordorigin="9643,11168" coordsize="1054,0" path="m9643,11168l10697,11168e" filled="false" stroked="true" strokeweight=".48pt" strokecolor="#000000">
                <v:path arrowok="t"/>
              </v:shape>
            </v:group>
            <v:group style="position:absolute;left:1133;top:460;width:2;height:11115" coordorigin="1133,460" coordsize="2,11115">
              <v:shape style="position:absolute;left:1133;top:460;width:2;height:11115" coordorigin="1133,460" coordsize="0,11115" path="m1133,460l1133,11574e" filled="false" stroked="true" strokeweight=".48pt" strokecolor="#000000">
                <v:path arrowok="t"/>
              </v:shape>
            </v:group>
            <v:group style="position:absolute;left:1138;top:11569;width:1056;height:2" coordorigin="1138,11569" coordsize="1056,2">
              <v:shape style="position:absolute;left:1138;top:11569;width:1056;height:2" coordorigin="1138,11569" coordsize="1056,0" path="m1138,11569l2194,11569e" filled="false" stroked="true" strokeweight=".48pt" strokecolor="#000000">
                <v:path arrowok="t"/>
              </v:shape>
            </v:group>
            <v:group style="position:absolute;left:2198;top:460;width:2;height:11115" coordorigin="2198,460" coordsize="2,11115">
              <v:shape style="position:absolute;left:2198;top:460;width:2;height:11115" coordorigin="2198,460" coordsize="0,11115" path="m2198,460l2198,11574e" filled="false" stroked="true" strokeweight=".48pt" strokecolor="#000000">
                <v:path arrowok="t"/>
              </v:shape>
            </v:group>
            <v:group style="position:absolute;left:2203;top:11569;width:1054;height:2" coordorigin="2203,11569" coordsize="1054,2">
              <v:shape style="position:absolute;left:2203;top:11569;width:1054;height:2" coordorigin="2203,11569" coordsize="1054,0" path="m2203,11569l3257,11569e" filled="false" stroked="true" strokeweight=".48pt" strokecolor="#000000">
                <v:path arrowok="t"/>
              </v:shape>
            </v:group>
            <v:group style="position:absolute;left:3262;top:460;width:2;height:11115" coordorigin="3262,460" coordsize="2,11115">
              <v:shape style="position:absolute;left:3262;top:460;width:2;height:11115" coordorigin="3262,460" coordsize="0,11115" path="m3262,460l3262,11574e" filled="false" stroked="true" strokeweight=".48pt" strokecolor="#000000">
                <v:path arrowok="t"/>
              </v:shape>
            </v:group>
            <v:group style="position:absolute;left:3266;top:11569;width:1054;height:2" coordorigin="3266,11569" coordsize="1054,2">
              <v:shape style="position:absolute;left:3266;top:11569;width:1054;height:2" coordorigin="3266,11569" coordsize="1054,0" path="m3266,11569l4320,11569e" filled="false" stroked="true" strokeweight=".48pt" strokecolor="#000000">
                <v:path arrowok="t"/>
              </v:shape>
            </v:group>
            <v:group style="position:absolute;left:4325;top:460;width:2;height:11115" coordorigin="4325,460" coordsize="2,11115">
              <v:shape style="position:absolute;left:4325;top:460;width:2;height:11115" coordorigin="4325,460" coordsize="0,11115" path="m4325,460l4325,11574e" filled="false" stroked="true" strokeweight=".48pt" strokecolor="#000000">
                <v:path arrowok="t"/>
              </v:shape>
            </v:group>
            <v:group style="position:absolute;left:4330;top:11569;width:1054;height:2" coordorigin="4330,11569" coordsize="1054,2">
              <v:shape style="position:absolute;left:4330;top:11569;width:1054;height:2" coordorigin="4330,11569" coordsize="1054,0" path="m4330,11569l5383,11569e" filled="false" stroked="true" strokeweight=".48pt" strokecolor="#000000">
                <v:path arrowok="t"/>
              </v:shape>
            </v:group>
            <v:group style="position:absolute;left:5388;top:460;width:2;height:11115" coordorigin="5388,460" coordsize="2,11115">
              <v:shape style="position:absolute;left:5388;top:460;width:2;height:11115" coordorigin="5388,460" coordsize="0,11115" path="m5388,460l5388,11574e" filled="false" stroked="true" strokeweight=".48pt" strokecolor="#000000">
                <v:path arrowok="t"/>
              </v:shape>
            </v:group>
            <v:group style="position:absolute;left:5393;top:11569;width:1052;height:2" coordorigin="5393,11569" coordsize="1052,2">
              <v:shape style="position:absolute;left:5393;top:11569;width:1052;height:2" coordorigin="5393,11569" coordsize="1052,0" path="m5393,11569l6444,11569e" filled="false" stroked="true" strokeweight=".48pt" strokecolor="#000000">
                <v:path arrowok="t"/>
              </v:shape>
            </v:group>
            <v:group style="position:absolute;left:6449;top:460;width:2;height:11115" coordorigin="6449,460" coordsize="2,11115">
              <v:shape style="position:absolute;left:6449;top:460;width:2;height:11115" coordorigin="6449,460" coordsize="0,11115" path="m6449,460l6449,11574e" filled="false" stroked="true" strokeweight=".48pt" strokecolor="#000000">
                <v:path arrowok="t"/>
              </v:shape>
            </v:group>
            <v:group style="position:absolute;left:6454;top:11569;width:1054;height:2" coordorigin="6454,11569" coordsize="1054,2">
              <v:shape style="position:absolute;left:6454;top:11569;width:1054;height:2" coordorigin="6454,11569" coordsize="1054,0" path="m6454,11569l7507,11569e" filled="false" stroked="true" strokeweight=".48pt" strokecolor="#000000">
                <v:path arrowok="t"/>
              </v:shape>
            </v:group>
            <v:group style="position:absolute;left:7512;top:460;width:2;height:11115" coordorigin="7512,460" coordsize="2,11115">
              <v:shape style="position:absolute;left:7512;top:460;width:2;height:11115" coordorigin="7512,460" coordsize="0,11115" path="m7512,460l7512,11574e" filled="false" stroked="true" strokeweight=".48pt" strokecolor="#000000">
                <v:path arrowok="t"/>
              </v:shape>
            </v:group>
            <v:group style="position:absolute;left:7517;top:11569;width:1054;height:2" coordorigin="7517,11569" coordsize="1054,2">
              <v:shape style="position:absolute;left:7517;top:11569;width:1054;height:2" coordorigin="7517,11569" coordsize="1054,0" path="m7517,11569l8570,11569e" filled="false" stroked="true" strokeweight=".48pt" strokecolor="#000000">
                <v:path arrowok="t"/>
              </v:shape>
            </v:group>
            <v:group style="position:absolute;left:8575;top:460;width:2;height:11115" coordorigin="8575,460" coordsize="2,11115">
              <v:shape style="position:absolute;left:8575;top:460;width:2;height:11115" coordorigin="8575,460" coordsize="0,11115" path="m8575,460l8575,11574e" filled="false" stroked="true" strokeweight=".48pt" strokecolor="#000000">
                <v:path arrowok="t"/>
              </v:shape>
            </v:group>
            <v:group style="position:absolute;left:8580;top:11569;width:1054;height:2" coordorigin="8580,11569" coordsize="1054,2">
              <v:shape style="position:absolute;left:8580;top:11569;width:1054;height:2" coordorigin="8580,11569" coordsize="1054,0" path="m8580,11569l9634,11569e" filled="false" stroked="true" strokeweight=".48pt" strokecolor="#000000">
                <v:path arrowok="t"/>
              </v:shape>
            </v:group>
            <v:group style="position:absolute;left:9638;top:460;width:2;height:11115" coordorigin="9638,460" coordsize="2,11115">
              <v:shape style="position:absolute;left:9638;top:460;width:2;height:11115" coordorigin="9638,460" coordsize="0,11115" path="m9638,460l9638,11574e" filled="false" stroked="true" strokeweight=".48pt" strokecolor="#000000">
                <v:path arrowok="t"/>
              </v:shape>
            </v:group>
            <v:group style="position:absolute;left:9643;top:11569;width:1054;height:2" coordorigin="9643,11569" coordsize="1054,2">
              <v:shape style="position:absolute;left:9643;top:11569;width:1054;height:2" coordorigin="9643,11569" coordsize="1054,0" path="m9643,11569l10697,11569e" filled="false" stroked="true" strokeweight=".48pt" strokecolor="#000000">
                <v:path arrowok="t"/>
              </v:shape>
            </v:group>
            <v:group style="position:absolute;left:10702;top:460;width:2;height:11115" coordorigin="10702,460" coordsize="2,11115">
              <v:shape style="position:absolute;left:10702;top:460;width:2;height:11115" coordorigin="10702,460" coordsize="0,11115" path="m10702,460l10702,11574e" filled="false" stroked="true" strokeweight=".48pt" strokecolor="#000000">
                <v:path arrowok="t"/>
              </v:shape>
            </v:group>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5" w:footer="982" w:top="1060" w:bottom="1180" w:left="980" w:right="980"/>
        </w:sectPr>
      </w:pPr>
    </w:p>
    <w:p>
      <w:pPr>
        <w:spacing w:line="240" w:lineRule="auto" w:before="4"/>
        <w:rPr>
          <w:rFonts w:ascii="宋体" w:hAnsi="宋体" w:cs="宋体" w:eastAsia="宋体" w:hint="default"/>
          <w:sz w:val="15"/>
          <w:szCs w:val="15"/>
        </w:rPr>
      </w:pPr>
    </w:p>
    <w:p>
      <w:pPr>
        <w:tabs>
          <w:tab w:pos="1391" w:val="left" w:leader="none"/>
          <w:tab w:pos="2454" w:val="left" w:leader="none"/>
          <w:tab w:pos="3517" w:val="left" w:leader="none"/>
        </w:tabs>
        <w:spacing w:before="0"/>
        <w:ind w:left="325" w:right="-20" w:firstLine="0"/>
        <w:jc w:val="left"/>
        <w:rPr>
          <w:rFonts w:ascii="宋体" w:hAnsi="宋体" w:cs="宋体" w:eastAsia="宋体" w:hint="default"/>
          <w:sz w:val="18"/>
          <w:szCs w:val="18"/>
        </w:rPr>
      </w:pPr>
      <w:r>
        <w:rPr>
          <w:rFonts w:ascii="宋体" w:hAnsi="宋体" w:cs="宋体" w:eastAsia="宋体" w:hint="default"/>
          <w:sz w:val="18"/>
          <w:szCs w:val="18"/>
        </w:rPr>
        <w:t>补助项目</w:t>
        <w:tab/>
        <w:t>发放主体</w:t>
        <w:tab/>
        <w:t>发放原因</w:t>
        <w:tab/>
        <w:t>性质类型</w:t>
      </w:r>
    </w:p>
    <w:p>
      <w:pPr>
        <w:spacing w:line="314" w:lineRule="auto" w:before="44"/>
        <w:ind w:left="211"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补贴是否影 响当年盈亏</w:t>
      </w:r>
    </w:p>
    <w:p>
      <w:pPr>
        <w:spacing w:line="314" w:lineRule="auto" w:before="44"/>
        <w:ind w:left="483" w:right="-20" w:hanging="360"/>
        <w:jc w:val="left"/>
        <w:rPr>
          <w:rFonts w:ascii="宋体" w:hAnsi="宋体" w:cs="宋体" w:eastAsia="宋体" w:hint="default"/>
          <w:sz w:val="18"/>
          <w:szCs w:val="18"/>
        </w:rPr>
      </w:pPr>
      <w:r>
        <w:rPr/>
        <w:br w:type="column"/>
      </w:r>
      <w:r>
        <w:rPr>
          <w:rFonts w:ascii="宋体" w:hAnsi="宋体" w:cs="宋体" w:eastAsia="宋体" w:hint="default"/>
          <w:sz w:val="18"/>
          <w:szCs w:val="18"/>
        </w:rPr>
        <w:t>是否特殊补 贴</w:t>
      </w:r>
    </w:p>
    <w:p>
      <w:pPr>
        <w:spacing w:line="314" w:lineRule="auto" w:before="44"/>
        <w:ind w:left="480" w:right="-20" w:hanging="360"/>
        <w:jc w:val="left"/>
        <w:rPr>
          <w:rFonts w:ascii="宋体" w:hAnsi="宋体" w:cs="宋体" w:eastAsia="宋体" w:hint="default"/>
          <w:sz w:val="18"/>
          <w:szCs w:val="18"/>
        </w:rPr>
      </w:pPr>
      <w:r>
        <w:rPr/>
        <w:br w:type="column"/>
      </w:r>
      <w:r>
        <w:rPr>
          <w:rFonts w:ascii="宋体" w:hAnsi="宋体" w:cs="宋体" w:eastAsia="宋体" w:hint="default"/>
          <w:sz w:val="18"/>
          <w:szCs w:val="18"/>
        </w:rPr>
        <w:t>本期发生金 额</w:t>
      </w:r>
    </w:p>
    <w:p>
      <w:pPr>
        <w:spacing w:line="314" w:lineRule="auto" w:before="44"/>
        <w:ind w:left="483" w:right="-20" w:hanging="360"/>
        <w:jc w:val="left"/>
        <w:rPr>
          <w:rFonts w:ascii="宋体" w:hAnsi="宋体" w:cs="宋体" w:eastAsia="宋体" w:hint="default"/>
          <w:sz w:val="18"/>
          <w:szCs w:val="18"/>
        </w:rPr>
      </w:pPr>
      <w:r>
        <w:rPr/>
        <w:br w:type="column"/>
      </w:r>
      <w:r>
        <w:rPr>
          <w:rFonts w:ascii="宋体" w:hAnsi="宋体" w:cs="宋体" w:eastAsia="宋体" w:hint="default"/>
          <w:sz w:val="18"/>
          <w:szCs w:val="18"/>
        </w:rPr>
        <w:t>上期发生金 额</w:t>
      </w:r>
    </w:p>
    <w:p>
      <w:pPr>
        <w:spacing w:line="297" w:lineRule="auto" w:before="44"/>
        <w:ind w:left="123" w:right="260" w:hanging="24"/>
        <w:jc w:val="left"/>
        <w:rPr>
          <w:rFonts w:ascii="宋体" w:hAnsi="宋体" w:cs="宋体" w:eastAsia="宋体" w:hint="default"/>
          <w:sz w:val="18"/>
          <w:szCs w:val="18"/>
        </w:rPr>
      </w:pPr>
      <w:r>
        <w:rPr/>
        <w:br w:type="column"/>
      </w: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p>
      <w:pPr>
        <w:spacing w:after="0" w:line="297" w:lineRule="auto"/>
        <w:jc w:val="left"/>
        <w:rPr>
          <w:rFonts w:ascii="宋体" w:hAnsi="宋体" w:cs="宋体" w:eastAsia="宋体" w:hint="default"/>
          <w:sz w:val="18"/>
          <w:szCs w:val="18"/>
        </w:rPr>
        <w:sectPr>
          <w:type w:val="continuous"/>
          <w:pgSz w:w="11910" w:h="16840"/>
          <w:pgMar w:top="1060" w:bottom="1180" w:left="980" w:right="980"/>
          <w:cols w:num="6" w:equalWidth="0">
            <w:col w:w="4238" w:space="40"/>
            <w:col w:w="1113" w:space="40"/>
            <w:col w:w="1024" w:space="40"/>
            <w:col w:w="1021" w:space="40"/>
            <w:col w:w="1024" w:space="40"/>
            <w:col w:w="1330"/>
          </w:cols>
        </w:sectPr>
      </w:pPr>
    </w:p>
    <w:p>
      <w:pPr>
        <w:spacing w:line="316" w:lineRule="auto" w:before="112"/>
        <w:ind w:left="181" w:right="0" w:firstLine="0"/>
        <w:jc w:val="both"/>
        <w:rPr>
          <w:rFonts w:ascii="宋体" w:hAnsi="宋体" w:cs="宋体" w:eastAsia="宋体" w:hint="default"/>
          <w:sz w:val="18"/>
          <w:szCs w:val="18"/>
        </w:rPr>
      </w:pPr>
      <w:r>
        <w:rPr>
          <w:rFonts w:ascii="宋体" w:hAnsi="宋体" w:cs="宋体" w:eastAsia="宋体" w:hint="default"/>
          <w:sz w:val="18"/>
          <w:szCs w:val="18"/>
        </w:rPr>
        <w:t>关于政府支 持和鼓励本 区企业组织 开展职工职 业培训补贴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26"/>
          <w:szCs w:val="26"/>
        </w:rPr>
      </w:pPr>
    </w:p>
    <w:p>
      <w:pPr>
        <w:spacing w:line="196" w:lineRule="exact" w:before="0"/>
        <w:ind w:left="125" w:right="-16" w:firstLine="0"/>
        <w:jc w:val="left"/>
        <w:rPr>
          <w:rFonts w:ascii="宋体" w:hAnsi="宋体" w:cs="宋体" w:eastAsia="宋体" w:hint="default"/>
          <w:sz w:val="18"/>
          <w:szCs w:val="18"/>
        </w:rPr>
      </w:pPr>
      <w:r>
        <w:rPr>
          <w:rFonts w:ascii="宋体" w:hAnsi="宋体" w:cs="宋体" w:eastAsia="宋体" w:hint="default"/>
          <w:sz w:val="18"/>
          <w:szCs w:val="18"/>
        </w:rPr>
        <w:t>沪府办发</w:t>
      </w:r>
    </w:p>
    <w:p>
      <w:pPr>
        <w:spacing w:line="15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补助</w:t>
      </w:r>
    </w:p>
    <w:p>
      <w:pPr>
        <w:spacing w:line="209" w:lineRule="exact" w:before="0"/>
        <w:ind w:left="125"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p>
      <w:pPr>
        <w:spacing w:line="240" w:lineRule="auto" w:before="10"/>
        <w:rPr>
          <w:rFonts w:ascii="宋体" w:hAnsi="宋体" w:cs="宋体" w:eastAsia="宋体" w:hint="default"/>
          <w:sz w:val="14"/>
          <w:szCs w:val="14"/>
        </w:rPr>
      </w:pPr>
      <w:r>
        <w:rPr/>
        <w:br w:type="column"/>
      </w:r>
      <w:r>
        <w:rPr>
          <w:rFonts w:ascii="宋体"/>
          <w:sz w:val="14"/>
        </w:rPr>
      </w:r>
    </w:p>
    <w:p>
      <w:pPr>
        <w:spacing w:line="310" w:lineRule="atLeast" w:before="0"/>
        <w:ind w:left="181" w:right="5473" w:firstLine="0"/>
        <w:jc w:val="left"/>
        <w:rPr>
          <w:rFonts w:ascii="宋体" w:hAnsi="宋体" w:cs="宋体" w:eastAsia="宋体" w:hint="default"/>
          <w:sz w:val="18"/>
          <w:szCs w:val="18"/>
        </w:rPr>
      </w:pPr>
      <w:r>
        <w:rPr>
          <w:rFonts w:ascii="宋体" w:hAnsi="宋体" w:cs="宋体" w:eastAsia="宋体" w:hint="default"/>
          <w:sz w:val="18"/>
          <w:szCs w:val="18"/>
        </w:rPr>
        <w:t>因研究开发、 技术更新及</w:t>
      </w:r>
    </w:p>
    <w:p>
      <w:pPr>
        <w:tabs>
          <w:tab w:pos="2307" w:val="left" w:leader="none"/>
          <w:tab w:pos="4628" w:val="left" w:leader="none"/>
        </w:tabs>
        <w:spacing w:line="123" w:lineRule="exact" w:before="0"/>
        <w:ind w:left="1244" w:right="0" w:firstLine="0"/>
        <w:jc w:val="left"/>
        <w:rPr>
          <w:rFonts w:ascii="宋体" w:hAnsi="宋体" w:cs="宋体" w:eastAsia="宋体" w:hint="default"/>
          <w:sz w:val="18"/>
          <w:szCs w:val="18"/>
        </w:rPr>
      </w:pPr>
      <w:r>
        <w:rPr>
          <w:rFonts w:ascii="宋体" w:hAnsi="宋体" w:cs="宋体" w:eastAsia="宋体" w:hint="default"/>
          <w:sz w:val="18"/>
          <w:szCs w:val="18"/>
        </w:rPr>
        <w:t>是</w:t>
        <w:tab/>
        <w:t>否</w:t>
        <w:tab/>
      </w:r>
      <w:r>
        <w:rPr>
          <w:rFonts w:ascii="Times New Roman" w:hAnsi="Times New Roman" w:cs="Times New Roman" w:eastAsia="Times New Roman" w:hint="default"/>
          <w:sz w:val="18"/>
          <w:szCs w:val="18"/>
        </w:rPr>
        <w:t>133,100.00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与收益相关</w:t>
      </w:r>
    </w:p>
    <w:p>
      <w:pPr>
        <w:spacing w:line="189" w:lineRule="exact" w:before="0"/>
        <w:ind w:left="181" w:right="5473"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181" w:right="5473"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80" w:left="980" w:right="980"/>
          <w:cols w:num="3" w:equalWidth="0">
            <w:col w:w="1082" w:space="40"/>
            <w:col w:w="1549" w:space="521"/>
            <w:col w:w="6758"/>
          </w:cols>
        </w:sect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spacing w:line="314" w:lineRule="auto" w:before="0"/>
        <w:ind w:left="181" w:right="-20" w:firstLine="0"/>
        <w:jc w:val="left"/>
        <w:rPr>
          <w:rFonts w:ascii="宋体" w:hAnsi="宋体" w:cs="宋体" w:eastAsia="宋体" w:hint="default"/>
          <w:sz w:val="18"/>
          <w:szCs w:val="18"/>
        </w:rPr>
      </w:pPr>
      <w:r>
        <w:rPr/>
        <w:pict>
          <v:shape style="position:absolute;margin-left:56.639999pt;margin-top:26.057346pt;width:127.65pt;height:81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6"/>
                    <w:gridCol w:w="1063"/>
                    <w:gridCol w:w="424"/>
                  </w:tblGrid>
                  <w:tr>
                    <w:trPr>
                      <w:trHeight w:val="450" w:hRule="exact"/>
                    </w:trPr>
                    <w:tc>
                      <w:tcPr>
                        <w:tcW w:w="1066"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194" w:lineRule="exact"/>
                          <w:ind w:left="28"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424" w:type="dxa"/>
                        <w:tcBorders>
                          <w:top w:val="nil" w:sz="6" w:space="0" w:color="auto"/>
                          <w:left w:val="nil" w:sz="6" w:space="0" w:color="auto"/>
                          <w:bottom w:val="nil" w:sz="6" w:space="0" w:color="auto"/>
                          <w:right w:val="nil" w:sz="6" w:space="0" w:color="auto"/>
                        </w:tcBorders>
                      </w:tcPr>
                      <w:p>
                        <w:pPr/>
                      </w:p>
                    </w:tc>
                  </w:tr>
                  <w:tr>
                    <w:trPr>
                      <w:trHeight w:val="1169"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8" w:right="134"/>
                          <w:jc w:val="both"/>
                          <w:rPr>
                            <w:rFonts w:ascii="宋体" w:hAnsi="宋体" w:cs="宋体" w:eastAsia="宋体" w:hint="default"/>
                            <w:sz w:val="18"/>
                            <w:szCs w:val="18"/>
                          </w:rPr>
                        </w:pPr>
                        <w:r>
                          <w:rPr>
                            <w:rFonts w:ascii="宋体" w:hAnsi="宋体" w:cs="宋体" w:eastAsia="宋体" w:hint="default"/>
                            <w:sz w:val="18"/>
                            <w:szCs w:val="18"/>
                          </w:rPr>
                          <w:t>上海市软件 著作权登记 费用补贴</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8" w:right="132"/>
                          <w:jc w:val="both"/>
                          <w:rPr>
                            <w:rFonts w:ascii="宋体" w:hAnsi="宋体" w:cs="宋体" w:eastAsia="宋体" w:hint="default"/>
                            <w:sz w:val="18"/>
                            <w:szCs w:val="18"/>
                          </w:rPr>
                        </w:pPr>
                        <w:r>
                          <w:rPr>
                            <w:rFonts w:ascii="宋体" w:hAnsi="宋体" w:cs="宋体" w:eastAsia="宋体" w:hint="default"/>
                            <w:sz w:val="18"/>
                            <w:szCs w:val="18"/>
                          </w:rPr>
                          <w:t>上海市软件 著作权登记 费资助办法</w:t>
                        </w:r>
                      </w:p>
                    </w:tc>
                    <w:tc>
                      <w:tcPr>
                        <w:tcW w:w="4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8" w:right="0"/>
                          <w:jc w:val="left"/>
                          <w:rPr>
                            <w:rFonts w:ascii="宋体" w:hAnsi="宋体" w:cs="宋体" w:eastAsia="宋体" w:hint="default"/>
                            <w:sz w:val="18"/>
                            <w:szCs w:val="18"/>
                          </w:rPr>
                        </w:pPr>
                        <w:r>
                          <w:rPr>
                            <w:rFonts w:ascii="宋体" w:hAnsi="宋体" w:cs="宋体" w:eastAsia="宋体" w:hint="default"/>
                            <w:sz w:val="18"/>
                            <w:szCs w:val="18"/>
                          </w:rPr>
                          <w:t>补助</w:t>
                        </w:r>
                      </w:p>
                    </w:tc>
                  </w:tr>
                </w:tbl>
                <w:p>
                  <w:pPr/>
                </w:p>
              </w:txbxContent>
            </v:textbox>
            <w10:wrap type="none"/>
          </v:shape>
        </w:pict>
      </w:r>
      <w:r>
        <w:rPr>
          <w:rFonts w:ascii="宋体" w:hAnsi="宋体" w:cs="宋体" w:eastAsia="宋体" w:hint="default"/>
          <w:sz w:val="18"/>
          <w:szCs w:val="18"/>
        </w:rPr>
        <w:t>自主品牌建 设奖励补贴</w:t>
      </w:r>
    </w:p>
    <w:p>
      <w:pPr>
        <w:spacing w:line="240" w:lineRule="auto" w:before="4"/>
        <w:rPr>
          <w:rFonts w:ascii="宋体" w:hAnsi="宋体" w:cs="宋体" w:eastAsia="宋体" w:hint="default"/>
          <w:sz w:val="20"/>
          <w:szCs w:val="20"/>
        </w:rPr>
      </w:pPr>
      <w:r>
        <w:rPr/>
        <w:br w:type="column"/>
      </w:r>
      <w:r>
        <w:rPr>
          <w:rFonts w:ascii="宋体"/>
          <w:sz w:val="20"/>
        </w:rPr>
      </w:r>
    </w:p>
    <w:p>
      <w:pPr>
        <w:spacing w:before="0"/>
        <w:ind w:left="125" w:right="-16" w:firstLine="0"/>
        <w:jc w:val="left"/>
        <w:rPr>
          <w:rFonts w:ascii="宋体" w:hAnsi="宋体" w:cs="宋体" w:eastAsia="宋体" w:hint="default"/>
          <w:sz w:val="18"/>
          <w:szCs w:val="18"/>
        </w:rPr>
      </w:pPr>
      <w:r>
        <w:rPr>
          <w:rFonts w:ascii="宋体" w:hAnsi="宋体" w:cs="宋体" w:eastAsia="宋体" w:hint="default"/>
          <w:sz w:val="18"/>
          <w:szCs w:val="18"/>
        </w:rPr>
        <w:t>青府办发</w:t>
      </w:r>
    </w:p>
    <w:p>
      <w:pPr>
        <w:spacing w:before="76"/>
        <w:ind w:left="125"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[2014]87 </w:t>
      </w:r>
      <w:r>
        <w:rPr>
          <w:rFonts w:ascii="宋体" w:hAnsi="宋体" w:cs="宋体" w:eastAsia="宋体" w:hint="default"/>
          <w:sz w:val="18"/>
          <w:szCs w:val="18"/>
        </w:rPr>
        <w:t>号</w:t>
      </w:r>
      <w:r>
        <w:rPr>
          <w:rFonts w:ascii="宋体" w:hAnsi="宋体" w:cs="宋体" w:eastAsia="宋体" w:hint="default"/>
          <w:spacing w:val="84"/>
          <w:sz w:val="18"/>
          <w:szCs w:val="18"/>
        </w:rPr>
        <w:t> </w:t>
      </w:r>
      <w:r>
        <w:rPr>
          <w:rFonts w:ascii="宋体" w:hAnsi="宋体" w:cs="宋体" w:eastAsia="宋体" w:hint="default"/>
          <w:sz w:val="18"/>
          <w:szCs w:val="18"/>
        </w:rPr>
        <w:t>补助</w:t>
      </w:r>
    </w:p>
    <w:p>
      <w:pPr>
        <w:spacing w:line="310" w:lineRule="atLeast" w:before="35"/>
        <w:ind w:left="181" w:right="5473"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因研究开发、 技术更新及</w:t>
      </w:r>
    </w:p>
    <w:p>
      <w:pPr>
        <w:tabs>
          <w:tab w:pos="2307" w:val="left" w:leader="none"/>
          <w:tab w:pos="4628" w:val="left" w:leader="none"/>
        </w:tabs>
        <w:spacing w:line="124" w:lineRule="exact" w:before="0"/>
        <w:ind w:left="1244" w:right="0" w:firstLine="0"/>
        <w:jc w:val="left"/>
        <w:rPr>
          <w:rFonts w:ascii="宋体" w:hAnsi="宋体" w:cs="宋体" w:eastAsia="宋体" w:hint="default"/>
          <w:sz w:val="18"/>
          <w:szCs w:val="18"/>
        </w:rPr>
      </w:pPr>
      <w:r>
        <w:rPr>
          <w:rFonts w:ascii="宋体" w:hAnsi="宋体" w:cs="宋体" w:eastAsia="宋体" w:hint="default"/>
          <w:sz w:val="18"/>
          <w:szCs w:val="18"/>
        </w:rPr>
        <w:t>是</w:t>
        <w:tab/>
        <w:t>否</w:t>
        <w:tab/>
      </w:r>
      <w:r>
        <w:rPr>
          <w:rFonts w:ascii="Times New Roman" w:hAnsi="Times New Roman" w:cs="Times New Roman" w:eastAsia="Times New Roman" w:hint="default"/>
          <w:sz w:val="18"/>
          <w:szCs w:val="18"/>
        </w:rPr>
        <w:t>220,000.00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与收益相关</w:t>
      </w:r>
    </w:p>
    <w:p>
      <w:pPr>
        <w:spacing w:line="188" w:lineRule="exact" w:before="0"/>
        <w:ind w:left="181" w:right="5473"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181" w:right="5473"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80" w:left="980" w:right="980"/>
          <w:cols w:num="3" w:equalWidth="0">
            <w:col w:w="1082" w:space="40"/>
            <w:col w:w="1549" w:space="521"/>
            <w:col w:w="6758"/>
          </w:cols>
        </w:sectPr>
      </w:pPr>
    </w:p>
    <w:p>
      <w:pPr>
        <w:spacing w:line="240" w:lineRule="auto" w:before="5"/>
        <w:rPr>
          <w:rFonts w:ascii="宋体" w:hAnsi="宋体" w:cs="宋体" w:eastAsia="宋体" w:hint="default"/>
          <w:sz w:val="9"/>
          <w:szCs w:val="9"/>
        </w:rPr>
      </w:pPr>
    </w:p>
    <w:p>
      <w:pPr>
        <w:spacing w:line="312" w:lineRule="exact" w:before="5"/>
        <w:ind w:left="3373" w:right="5473" w:firstLine="0"/>
        <w:jc w:val="left"/>
        <w:rPr>
          <w:rFonts w:ascii="宋体" w:hAnsi="宋体" w:cs="宋体" w:eastAsia="宋体" w:hint="default"/>
          <w:sz w:val="18"/>
          <w:szCs w:val="18"/>
        </w:rPr>
      </w:pPr>
      <w:r>
        <w:rPr>
          <w:rFonts w:ascii="宋体" w:hAnsi="宋体" w:cs="宋体" w:eastAsia="宋体" w:hint="default"/>
          <w:sz w:val="18"/>
          <w:szCs w:val="18"/>
        </w:rPr>
        <w:t>因研究开发、 技术更新及</w:t>
      </w:r>
    </w:p>
    <w:p>
      <w:pPr>
        <w:spacing w:after="0" w:line="312" w:lineRule="exact"/>
        <w:jc w:val="left"/>
        <w:rPr>
          <w:rFonts w:ascii="宋体" w:hAnsi="宋体" w:cs="宋体" w:eastAsia="宋体" w:hint="default"/>
          <w:sz w:val="18"/>
          <w:szCs w:val="18"/>
        </w:rPr>
        <w:sectPr>
          <w:type w:val="continuous"/>
          <w:pgSz w:w="11910" w:h="16840"/>
          <w:pgMar w:top="1060" w:bottom="1180" w:left="980" w:right="980"/>
        </w:sectPr>
      </w:pPr>
    </w:p>
    <w:p>
      <w:pPr>
        <w:spacing w:line="316" w:lineRule="auto" w:before="39"/>
        <w:ind w:left="3373" w:right="-20" w:firstLine="0"/>
        <w:jc w:val="left"/>
        <w:rPr>
          <w:rFonts w:ascii="宋体" w:hAnsi="宋体" w:cs="宋体" w:eastAsia="宋体" w:hint="default"/>
          <w:sz w:val="18"/>
          <w:szCs w:val="18"/>
        </w:rPr>
      </w:pPr>
      <w:r>
        <w:rPr>
          <w:rFonts w:ascii="宋体" w:hAnsi="宋体" w:cs="宋体" w:eastAsia="宋体" w:hint="default"/>
          <w:sz w:val="18"/>
          <w:szCs w:val="18"/>
        </w:rPr>
        <w:t>改造等获得 的补助</w:t>
      </w:r>
    </w:p>
    <w:p>
      <w:pPr>
        <w:tabs>
          <w:tab w:pos="1186" w:val="left" w:leader="none"/>
          <w:tab w:pos="3598" w:val="left" w:leader="none"/>
        </w:tabs>
        <w:spacing w:line="133" w:lineRule="exact" w:before="0"/>
        <w:ind w:left="12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是</w:t>
        <w:tab/>
        <w:t>否</w:t>
        <w:tab/>
      </w:r>
      <w:r>
        <w:rPr>
          <w:rFonts w:ascii="Times New Roman" w:hAnsi="Times New Roman" w:cs="Times New Roman" w:eastAsia="Times New Roman" w:hint="default"/>
          <w:sz w:val="18"/>
          <w:szCs w:val="18"/>
        </w:rPr>
        <w:t>10,400.00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与收益相关</w:t>
      </w:r>
    </w:p>
    <w:p>
      <w:pPr>
        <w:spacing w:after="0" w:line="133" w:lineRule="exact"/>
        <w:jc w:val="left"/>
        <w:rPr>
          <w:rFonts w:ascii="宋体" w:hAnsi="宋体" w:cs="宋体" w:eastAsia="宋体" w:hint="default"/>
          <w:sz w:val="18"/>
          <w:szCs w:val="18"/>
        </w:rPr>
        <w:sectPr>
          <w:type w:val="continuous"/>
          <w:pgSz w:w="11910" w:h="16840"/>
          <w:pgMar w:top="1060" w:bottom="1180" w:left="980" w:right="980"/>
          <w:cols w:num="2" w:equalWidth="0">
            <w:col w:w="4274" w:space="40"/>
            <w:col w:w="5636"/>
          </w:cols>
        </w:sectPr>
      </w:pPr>
    </w:p>
    <w:p>
      <w:pPr>
        <w:spacing w:line="240" w:lineRule="auto" w:before="4"/>
        <w:rPr>
          <w:rFonts w:ascii="宋体" w:hAnsi="宋体" w:cs="宋体" w:eastAsia="宋体" w:hint="default"/>
          <w:sz w:val="20"/>
          <w:szCs w:val="20"/>
        </w:rPr>
      </w:pPr>
    </w:p>
    <w:p>
      <w:pPr>
        <w:spacing w:line="316" w:lineRule="auto" w:before="0"/>
        <w:ind w:left="181" w:right="0" w:firstLine="0"/>
        <w:jc w:val="both"/>
        <w:rPr>
          <w:rFonts w:ascii="宋体" w:hAnsi="宋体" w:cs="宋体" w:eastAsia="宋体" w:hint="default"/>
          <w:sz w:val="18"/>
          <w:szCs w:val="18"/>
        </w:rPr>
      </w:pPr>
      <w:r>
        <w:rPr>
          <w:rFonts w:ascii="宋体" w:hAnsi="宋体" w:cs="宋体" w:eastAsia="宋体" w:hint="default"/>
          <w:sz w:val="18"/>
          <w:szCs w:val="18"/>
        </w:rPr>
        <w:t>复深蓝云资 源管理平台 补贴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4"/>
          <w:szCs w:val="14"/>
        </w:rPr>
      </w:pPr>
    </w:p>
    <w:p>
      <w:pPr>
        <w:spacing w:line="196" w:lineRule="exact" w:before="0"/>
        <w:ind w:left="125" w:right="-16" w:firstLine="0"/>
        <w:jc w:val="left"/>
        <w:rPr>
          <w:rFonts w:ascii="宋体" w:hAnsi="宋体" w:cs="宋体" w:eastAsia="宋体" w:hint="default"/>
          <w:sz w:val="18"/>
          <w:szCs w:val="18"/>
        </w:rPr>
      </w:pPr>
      <w:r>
        <w:rPr>
          <w:rFonts w:ascii="宋体" w:hAnsi="宋体" w:cs="宋体" w:eastAsia="宋体" w:hint="default"/>
          <w:sz w:val="18"/>
          <w:szCs w:val="18"/>
        </w:rPr>
        <w:t>上海市科学</w:t>
      </w:r>
    </w:p>
    <w:p>
      <w:pPr>
        <w:spacing w:line="155"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补助</w:t>
      </w:r>
    </w:p>
    <w:p>
      <w:pPr>
        <w:spacing w:line="195" w:lineRule="exact" w:before="0"/>
        <w:ind w:left="125" w:right="-16" w:firstLine="0"/>
        <w:jc w:val="left"/>
        <w:rPr>
          <w:rFonts w:ascii="宋体" w:hAnsi="宋体" w:cs="宋体" w:eastAsia="宋体" w:hint="default"/>
          <w:sz w:val="18"/>
          <w:szCs w:val="18"/>
        </w:rPr>
      </w:pPr>
      <w:r>
        <w:rPr>
          <w:rFonts w:ascii="宋体" w:hAnsi="宋体" w:cs="宋体" w:eastAsia="宋体" w:hint="default"/>
          <w:sz w:val="18"/>
          <w:szCs w:val="18"/>
        </w:rPr>
        <w:t>技术委员会</w:t>
      </w:r>
    </w:p>
    <w:p>
      <w:pPr>
        <w:spacing w:line="310" w:lineRule="atLeast" w:before="35"/>
        <w:ind w:left="181" w:right="5473"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因研究开发、 技术更新及</w:t>
      </w:r>
    </w:p>
    <w:p>
      <w:pPr>
        <w:tabs>
          <w:tab w:pos="2307" w:val="left" w:leader="none"/>
          <w:tab w:pos="3565" w:val="left" w:leader="none"/>
          <w:tab w:pos="5495" w:val="left" w:leader="none"/>
        </w:tabs>
        <w:spacing w:line="124" w:lineRule="exact" w:before="0"/>
        <w:ind w:left="1244" w:right="0" w:firstLine="0"/>
        <w:jc w:val="left"/>
        <w:rPr>
          <w:rFonts w:ascii="宋体" w:hAnsi="宋体" w:cs="宋体" w:eastAsia="宋体" w:hint="default"/>
          <w:sz w:val="18"/>
          <w:szCs w:val="18"/>
        </w:rPr>
      </w:pPr>
      <w:r>
        <w:rPr>
          <w:rFonts w:ascii="宋体" w:hAnsi="宋体" w:cs="宋体" w:eastAsia="宋体" w:hint="default"/>
          <w:sz w:val="18"/>
          <w:szCs w:val="18"/>
        </w:rPr>
        <w:t>是</w:t>
        <w:tab/>
        <w:t>否</w:t>
        <w:tab/>
      </w:r>
      <w:r>
        <w:rPr>
          <w:rFonts w:ascii="Times New Roman" w:hAnsi="Times New Roman" w:cs="Times New Roman" w:eastAsia="Times New Roman" w:hint="default"/>
          <w:spacing w:val="-1"/>
          <w:sz w:val="18"/>
          <w:szCs w:val="18"/>
        </w:rPr>
        <w:t>180,000.00</w:t>
        <w:tab/>
      </w:r>
      <w:r>
        <w:rPr>
          <w:rFonts w:ascii="宋体" w:hAnsi="宋体" w:cs="宋体" w:eastAsia="宋体" w:hint="default"/>
          <w:sz w:val="18"/>
          <w:szCs w:val="18"/>
        </w:rPr>
        <w:t>与收益相关</w:t>
      </w:r>
    </w:p>
    <w:p>
      <w:pPr>
        <w:spacing w:line="188" w:lineRule="exact" w:before="0"/>
        <w:ind w:left="181" w:right="5473"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181" w:right="5473"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80" w:left="980" w:right="980"/>
          <w:cols w:num="3" w:equalWidth="0">
            <w:col w:w="1082" w:space="40"/>
            <w:col w:w="1549" w:space="521"/>
            <w:col w:w="6758"/>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314" w:lineRule="auto" w:before="44"/>
        <w:ind w:left="181" w:right="0" w:firstLine="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FairyTest</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大 型应用系统 自动化回归 测试管理云 平台补贴</w:t>
      </w:r>
    </w:p>
    <w:p>
      <w:pPr>
        <w:spacing w:line="240" w:lineRule="auto" w:before="0"/>
        <w:rPr>
          <w:rFonts w:ascii="宋体" w:hAnsi="宋体" w:cs="宋体" w:eastAsia="宋体" w:hint="default"/>
          <w:sz w:val="18"/>
          <w:szCs w:val="18"/>
        </w:rPr>
      </w:pPr>
      <w:r>
        <w:rPr/>
        <w:br w:type="column"/>
      </w:r>
      <w:r>
        <w:rPr>
          <w:rFonts w:ascii="宋体"/>
          <w:sz w:val="18"/>
        </w:rPr>
      </w:r>
    </w:p>
    <w:p>
      <w:pPr>
        <w:spacing w:line="316" w:lineRule="auto" w:before="121"/>
        <w:ind w:left="80" w:right="-20" w:firstLine="0"/>
        <w:jc w:val="left"/>
        <w:rPr>
          <w:rFonts w:ascii="宋体" w:hAnsi="宋体" w:cs="宋体" w:eastAsia="宋体" w:hint="default"/>
          <w:sz w:val="18"/>
          <w:szCs w:val="18"/>
        </w:rPr>
      </w:pPr>
      <w:r>
        <w:rPr>
          <w:rFonts w:ascii="宋体" w:hAnsi="宋体" w:cs="宋体" w:eastAsia="宋体" w:hint="default"/>
          <w:sz w:val="18"/>
          <w:szCs w:val="18"/>
        </w:rPr>
        <w:t>上海市徐汇 区科学技术</w:t>
      </w:r>
      <w:r>
        <w:rPr>
          <w:rFonts w:ascii="宋体" w:hAnsi="宋体" w:cs="宋体" w:eastAsia="宋体" w:hint="default"/>
          <w:spacing w:val="73"/>
          <w:sz w:val="18"/>
          <w:szCs w:val="18"/>
        </w:rPr>
        <w:t> </w:t>
      </w:r>
      <w:r>
        <w:rPr>
          <w:rFonts w:ascii="宋体" w:hAnsi="宋体" w:cs="宋体" w:eastAsia="宋体" w:hint="default"/>
          <w:sz w:val="18"/>
          <w:szCs w:val="18"/>
        </w:rPr>
        <w:t>补助</w:t>
      </w:r>
      <w:r>
        <w:rPr>
          <w:rFonts w:ascii="宋体" w:hAnsi="宋体" w:cs="宋体" w:eastAsia="宋体" w:hint="default"/>
          <w:sz w:val="18"/>
          <w:szCs w:val="18"/>
        </w:rPr>
        <w:t> 委员会</w:t>
      </w:r>
    </w:p>
    <w:p>
      <w:pPr>
        <w:spacing w:line="310" w:lineRule="atLeast" w:before="126"/>
        <w:ind w:left="181" w:right="5473"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因研究开发、 技术更新及</w:t>
      </w:r>
    </w:p>
    <w:p>
      <w:pPr>
        <w:tabs>
          <w:tab w:pos="2307" w:val="left" w:leader="none"/>
          <w:tab w:pos="3565" w:val="left" w:leader="none"/>
          <w:tab w:pos="5495" w:val="left" w:leader="none"/>
        </w:tabs>
        <w:spacing w:line="123" w:lineRule="exact" w:before="0"/>
        <w:ind w:left="1244" w:right="0" w:firstLine="0"/>
        <w:jc w:val="left"/>
        <w:rPr>
          <w:rFonts w:ascii="宋体" w:hAnsi="宋体" w:cs="宋体" w:eastAsia="宋体" w:hint="default"/>
          <w:sz w:val="18"/>
          <w:szCs w:val="18"/>
        </w:rPr>
      </w:pPr>
      <w:r>
        <w:rPr>
          <w:rFonts w:ascii="宋体" w:hAnsi="宋体" w:cs="宋体" w:eastAsia="宋体" w:hint="default"/>
          <w:sz w:val="18"/>
          <w:szCs w:val="18"/>
        </w:rPr>
        <w:t>是</w:t>
        <w:tab/>
        <w:t>否</w:t>
        <w:tab/>
      </w:r>
      <w:r>
        <w:rPr>
          <w:rFonts w:ascii="Times New Roman" w:hAnsi="Times New Roman" w:cs="Times New Roman" w:eastAsia="Times New Roman" w:hint="default"/>
          <w:spacing w:val="-1"/>
          <w:sz w:val="18"/>
          <w:szCs w:val="18"/>
        </w:rPr>
        <w:t>500,000.00</w:t>
        <w:tab/>
      </w:r>
      <w:r>
        <w:rPr>
          <w:rFonts w:ascii="宋体" w:hAnsi="宋体" w:cs="宋体" w:eastAsia="宋体" w:hint="default"/>
          <w:sz w:val="18"/>
          <w:szCs w:val="18"/>
        </w:rPr>
        <w:t>与收益相关</w:t>
      </w:r>
    </w:p>
    <w:p>
      <w:pPr>
        <w:spacing w:line="189" w:lineRule="exact" w:before="0"/>
        <w:ind w:left="181" w:right="5473"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181" w:right="5473"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80" w:left="980" w:right="980"/>
          <w:cols w:num="3" w:equalWidth="0">
            <w:col w:w="1128" w:space="40"/>
            <w:col w:w="1504" w:space="521"/>
            <w:col w:w="6757"/>
          </w:cols>
        </w:sect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spacing w:line="314" w:lineRule="auto"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小巨人项目 补贴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4"/>
          <w:szCs w:val="14"/>
        </w:rPr>
      </w:pPr>
    </w:p>
    <w:p>
      <w:pPr>
        <w:spacing w:line="196" w:lineRule="exact" w:before="0"/>
        <w:ind w:left="125" w:right="-16" w:firstLine="0"/>
        <w:jc w:val="left"/>
        <w:rPr>
          <w:rFonts w:ascii="宋体" w:hAnsi="宋体" w:cs="宋体" w:eastAsia="宋体" w:hint="default"/>
          <w:sz w:val="18"/>
          <w:szCs w:val="18"/>
        </w:rPr>
      </w:pPr>
      <w:r>
        <w:rPr>
          <w:rFonts w:ascii="宋体" w:hAnsi="宋体" w:cs="宋体" w:eastAsia="宋体" w:hint="default"/>
          <w:sz w:val="18"/>
          <w:szCs w:val="18"/>
        </w:rPr>
        <w:t>上海市科学</w:t>
      </w:r>
    </w:p>
    <w:p>
      <w:pPr>
        <w:spacing w:line="155"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补助</w:t>
      </w:r>
    </w:p>
    <w:p>
      <w:pPr>
        <w:spacing w:line="195" w:lineRule="exact" w:before="0"/>
        <w:ind w:left="125" w:right="-16" w:firstLine="0"/>
        <w:jc w:val="left"/>
        <w:rPr>
          <w:rFonts w:ascii="宋体" w:hAnsi="宋体" w:cs="宋体" w:eastAsia="宋体" w:hint="default"/>
          <w:sz w:val="18"/>
          <w:szCs w:val="18"/>
        </w:rPr>
      </w:pPr>
      <w:r>
        <w:rPr>
          <w:rFonts w:ascii="宋体" w:hAnsi="宋体" w:cs="宋体" w:eastAsia="宋体" w:hint="default"/>
          <w:sz w:val="18"/>
          <w:szCs w:val="18"/>
        </w:rPr>
        <w:t>技术委员会</w:t>
      </w:r>
    </w:p>
    <w:p>
      <w:pPr>
        <w:spacing w:line="310" w:lineRule="atLeast" w:before="37"/>
        <w:ind w:left="181" w:right="5473"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因研究开发、 技术更新及</w:t>
      </w:r>
    </w:p>
    <w:p>
      <w:pPr>
        <w:tabs>
          <w:tab w:pos="2307" w:val="left" w:leader="none"/>
          <w:tab w:pos="3431" w:val="left" w:leader="none"/>
          <w:tab w:pos="5495" w:val="left" w:leader="none"/>
        </w:tabs>
        <w:spacing w:line="124" w:lineRule="exact" w:before="0"/>
        <w:ind w:left="1244" w:right="0" w:firstLine="0"/>
        <w:jc w:val="left"/>
        <w:rPr>
          <w:rFonts w:ascii="宋体" w:hAnsi="宋体" w:cs="宋体" w:eastAsia="宋体" w:hint="default"/>
          <w:sz w:val="18"/>
          <w:szCs w:val="18"/>
        </w:rPr>
      </w:pPr>
      <w:r>
        <w:rPr>
          <w:rFonts w:ascii="宋体" w:hAnsi="宋体" w:cs="宋体" w:eastAsia="宋体" w:hint="default"/>
          <w:sz w:val="18"/>
          <w:szCs w:val="18"/>
        </w:rPr>
        <w:t>是</w:t>
        <w:tab/>
        <w:t>否</w:t>
        <w:tab/>
      </w:r>
      <w:r>
        <w:rPr>
          <w:rFonts w:ascii="Times New Roman" w:hAnsi="Times New Roman" w:cs="Times New Roman" w:eastAsia="Times New Roman" w:hint="default"/>
          <w:spacing w:val="-1"/>
          <w:sz w:val="18"/>
          <w:szCs w:val="18"/>
        </w:rPr>
        <w:t>1,400,000.00</w:t>
        <w:tab/>
      </w:r>
      <w:r>
        <w:rPr>
          <w:rFonts w:ascii="宋体" w:hAnsi="宋体" w:cs="宋体" w:eastAsia="宋体" w:hint="default"/>
          <w:sz w:val="18"/>
          <w:szCs w:val="18"/>
        </w:rPr>
        <w:t>与收益相关</w:t>
      </w:r>
    </w:p>
    <w:p>
      <w:pPr>
        <w:spacing w:line="188" w:lineRule="exact" w:before="0"/>
        <w:ind w:left="181" w:right="5473"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181" w:right="5473"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80" w:left="980" w:right="980"/>
          <w:cols w:num="3" w:equalWidth="0">
            <w:col w:w="1082" w:space="40"/>
            <w:col w:w="1549" w:space="521"/>
            <w:col w:w="6758"/>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316" w:lineRule="auto" w:before="44"/>
        <w:ind w:left="181" w:right="0" w:firstLine="0"/>
        <w:jc w:val="both"/>
        <w:rPr>
          <w:rFonts w:ascii="宋体" w:hAnsi="宋体" w:cs="宋体" w:eastAsia="宋体" w:hint="default"/>
          <w:sz w:val="18"/>
          <w:szCs w:val="18"/>
        </w:rPr>
      </w:pPr>
      <w:r>
        <w:rPr>
          <w:rFonts w:ascii="宋体" w:hAnsi="宋体" w:cs="宋体" w:eastAsia="宋体" w:hint="default"/>
          <w:sz w:val="18"/>
          <w:szCs w:val="18"/>
        </w:rPr>
        <w:t>智能数据中 心运维管理 服务平台项 目补贴</w:t>
      </w:r>
    </w:p>
    <w:p>
      <w:pPr>
        <w:spacing w:line="240" w:lineRule="auto" w:before="4"/>
        <w:rPr>
          <w:rFonts w:ascii="宋体" w:hAnsi="宋体" w:cs="宋体" w:eastAsia="宋体" w:hint="default"/>
          <w:sz w:val="15"/>
          <w:szCs w:val="15"/>
        </w:rPr>
      </w:pPr>
      <w:r>
        <w:rPr/>
        <w:br w:type="column"/>
      </w:r>
      <w:r>
        <w:rPr>
          <w:rFonts w:ascii="宋体"/>
          <w:sz w:val="15"/>
        </w:rPr>
      </w:r>
    </w:p>
    <w:p>
      <w:pPr>
        <w:spacing w:line="316" w:lineRule="auto" w:before="0"/>
        <w:ind w:left="125" w:right="-20" w:firstLine="0"/>
        <w:jc w:val="left"/>
        <w:rPr>
          <w:rFonts w:ascii="宋体" w:hAnsi="宋体" w:cs="宋体" w:eastAsia="宋体" w:hint="default"/>
          <w:sz w:val="18"/>
          <w:szCs w:val="18"/>
        </w:rPr>
      </w:pPr>
      <w:r>
        <w:rPr>
          <w:rFonts w:ascii="宋体" w:hAnsi="宋体" w:cs="宋体" w:eastAsia="宋体" w:hint="default"/>
          <w:sz w:val="18"/>
          <w:szCs w:val="18"/>
        </w:rPr>
        <w:t>上海市经济 和信息化委</w:t>
      </w:r>
      <w:r>
        <w:rPr>
          <w:rFonts w:ascii="宋体" w:hAnsi="宋体" w:cs="宋体" w:eastAsia="宋体" w:hint="default"/>
          <w:spacing w:val="73"/>
          <w:sz w:val="18"/>
          <w:szCs w:val="18"/>
        </w:rPr>
        <w:t> </w:t>
      </w:r>
      <w:r>
        <w:rPr>
          <w:rFonts w:ascii="宋体" w:hAnsi="宋体" w:cs="宋体" w:eastAsia="宋体" w:hint="default"/>
          <w:sz w:val="18"/>
          <w:szCs w:val="18"/>
        </w:rPr>
        <w:t>补助</w:t>
      </w:r>
      <w:r>
        <w:rPr>
          <w:rFonts w:ascii="宋体" w:hAnsi="宋体" w:cs="宋体" w:eastAsia="宋体" w:hint="default"/>
          <w:sz w:val="18"/>
          <w:szCs w:val="18"/>
        </w:rPr>
        <w:t> 员会</w:t>
      </w:r>
    </w:p>
    <w:p>
      <w:pPr>
        <w:spacing w:line="312" w:lineRule="exact" w:before="5"/>
        <w:ind w:left="181" w:right="5473"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因研究开发、 技术更新及</w:t>
      </w:r>
    </w:p>
    <w:p>
      <w:pPr>
        <w:tabs>
          <w:tab w:pos="2307" w:val="left" w:leader="none"/>
          <w:tab w:pos="3431" w:val="left" w:leader="none"/>
          <w:tab w:pos="5495" w:val="left" w:leader="none"/>
        </w:tabs>
        <w:spacing w:line="86" w:lineRule="exact" w:before="0"/>
        <w:ind w:left="1244" w:right="0" w:firstLine="0"/>
        <w:jc w:val="left"/>
        <w:rPr>
          <w:rFonts w:ascii="宋体" w:hAnsi="宋体" w:cs="宋体" w:eastAsia="宋体" w:hint="default"/>
          <w:sz w:val="18"/>
          <w:szCs w:val="18"/>
        </w:rPr>
      </w:pPr>
      <w:r>
        <w:rPr>
          <w:rFonts w:ascii="宋体" w:hAnsi="宋体" w:cs="宋体" w:eastAsia="宋体" w:hint="default"/>
          <w:sz w:val="18"/>
          <w:szCs w:val="18"/>
        </w:rPr>
        <w:t>是</w:t>
        <w:tab/>
        <w:t>否</w:t>
        <w:tab/>
      </w:r>
      <w:r>
        <w:rPr>
          <w:rFonts w:ascii="Times New Roman" w:hAnsi="Times New Roman" w:cs="Times New Roman" w:eastAsia="Times New Roman" w:hint="default"/>
          <w:spacing w:val="-1"/>
          <w:sz w:val="18"/>
          <w:szCs w:val="18"/>
        </w:rPr>
        <w:t>2,000,000.00</w:t>
        <w:tab/>
      </w:r>
      <w:r>
        <w:rPr>
          <w:rFonts w:ascii="宋体" w:hAnsi="宋体" w:cs="宋体" w:eastAsia="宋体" w:hint="default"/>
          <w:sz w:val="18"/>
          <w:szCs w:val="18"/>
        </w:rPr>
        <w:t>与收益相关</w:t>
      </w:r>
    </w:p>
    <w:p>
      <w:pPr>
        <w:spacing w:line="189" w:lineRule="exact" w:before="0"/>
        <w:ind w:left="181" w:right="5473"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181" w:right="5473"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80" w:left="980" w:right="980"/>
          <w:cols w:num="3" w:equalWidth="0">
            <w:col w:w="1082" w:space="40"/>
            <w:col w:w="1549" w:space="521"/>
            <w:col w:w="6758"/>
          </w:cols>
        </w:sectPr>
      </w:pPr>
    </w:p>
    <w:p>
      <w:pPr>
        <w:tabs>
          <w:tab w:pos="1691" w:val="left" w:leader="none"/>
          <w:tab w:pos="2754" w:val="left" w:leader="none"/>
          <w:tab w:pos="3817" w:val="left" w:leader="none"/>
          <w:tab w:pos="4880" w:val="left" w:leader="none"/>
          <w:tab w:pos="5943" w:val="left" w:leader="none"/>
          <w:tab w:pos="6623" w:val="left" w:leader="none"/>
          <w:tab w:pos="7820" w:val="left" w:leader="none"/>
          <w:tab w:pos="9131" w:val="left" w:leader="none"/>
        </w:tabs>
        <w:spacing w:before="110"/>
        <w:ind w:left="18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z w:val="18"/>
          <w:szCs w:val="18"/>
        </w:rPr>
        <w:t>--</w:t>
        <w:tab/>
        <w:t>--</w:t>
        <w:tab/>
        <w:t>--</w:t>
        <w:tab/>
        <w:t>--</w:t>
        <w:tab/>
        <w:t>--</w:t>
        <w:tab/>
      </w:r>
      <w:r>
        <w:rPr>
          <w:rFonts w:ascii="Times New Roman" w:hAnsi="Times New Roman" w:cs="Times New Roman" w:eastAsia="Times New Roman" w:hint="default"/>
          <w:spacing w:val="-1"/>
          <w:sz w:val="18"/>
          <w:szCs w:val="18"/>
        </w:rPr>
        <w:t>4,080,000.00</w:t>
        <w:tab/>
        <w:t>363,500.00</w:t>
        <w:tab/>
      </w:r>
      <w:r>
        <w:rPr>
          <w:rFonts w:ascii="Times New Roman" w:hAnsi="Times New Roman" w:cs="Times New Roman" w:eastAsia="Times New Roman" w:hint="default"/>
          <w:sz w:val="18"/>
          <w:szCs w:val="18"/>
        </w:rPr>
        <w:t>--</w:t>
      </w:r>
    </w:p>
    <w:p>
      <w:pPr>
        <w:spacing w:after="0"/>
        <w:jc w:val="lef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3"/>
        <w:rPr>
          <w:rFonts w:ascii="Times New Roman" w:hAnsi="Times New Roman" w:cs="Times New Roman" w:eastAsia="Times New Roman" w:hint="default"/>
          <w:sz w:val="29"/>
          <w:szCs w:val="29"/>
        </w:rPr>
      </w:pPr>
    </w:p>
    <w:p>
      <w:pPr>
        <w:pStyle w:val="BodyText"/>
        <w:spacing w:line="398" w:lineRule="auto" w:before="44"/>
        <w:ind w:right="114"/>
        <w:jc w:val="left"/>
      </w:pPr>
      <w:bookmarkStart w:name="（2）会计利润与所得税费用调整过程" w:id="368"/>
      <w:bookmarkEnd w:id="368"/>
      <w:r>
        <w:rPr/>
      </w:r>
      <w:r>
        <w:rPr>
          <w:sz w:val="18"/>
          <w:szCs w:val="18"/>
        </w:rPr>
        <w:t>其他说明： </w:t>
      </w:r>
      <w:r>
        <w:rPr>
          <w:spacing w:val="-2"/>
        </w:rPr>
        <w:t>注</w:t>
      </w:r>
      <w:r>
        <w:rPr>
          <w:rFonts w:ascii="Times New Roman" w:hAnsi="Times New Roman" w:cs="Times New Roman" w:eastAsia="Times New Roman" w:hint="default"/>
          <w:spacing w:val="-2"/>
        </w:rPr>
        <w:t>1</w:t>
      </w:r>
      <w:r>
        <w:rPr>
          <w:spacing w:val="-2"/>
        </w:rPr>
        <w:t>：本年度，公司获得上海青浦工业园区发展（集团）有限公司协议拨付的扶持资金人民币</w:t>
      </w:r>
      <w:r>
        <w:rPr>
          <w:rFonts w:ascii="Times New Roman" w:hAnsi="Times New Roman" w:cs="Times New Roman" w:eastAsia="Times New Roman" w:hint="default"/>
          <w:spacing w:val="-2"/>
        </w:rPr>
        <w:t>857.40</w:t>
      </w:r>
      <w:r>
        <w:rPr>
          <w:spacing w:val="-2"/>
        </w:rPr>
        <w:t>万元；</w:t>
      </w:r>
      <w:r>
        <w:rPr>
          <w:spacing w:val="-14"/>
        </w:rPr>
        <w:t> </w:t>
      </w:r>
      <w:r>
        <w:rPr>
          <w:spacing w:val="-14"/>
        </w:rPr>
      </w:r>
      <w:r>
        <w:rPr>
          <w:spacing w:val="-3"/>
        </w:rPr>
        <w:t>公司子公司上海力克数码科技有限公司收到上海漕河泾开发区松江高科技园拨付的扶持资金</w:t>
      </w:r>
      <w:r>
        <w:rPr>
          <w:rFonts w:ascii="Times New Roman" w:hAnsi="Times New Roman" w:cs="Times New Roman" w:eastAsia="Times New Roman" w:hint="default"/>
          <w:spacing w:val="-3"/>
        </w:rPr>
        <w:t>11.00</w:t>
      </w:r>
      <w:r>
        <w:rPr>
          <w:spacing w:val="-3"/>
        </w:rPr>
        <w:t>万元；公</w:t>
      </w:r>
      <w:r>
        <w:rPr>
          <w:spacing w:val="-42"/>
        </w:rPr>
        <w:t> </w:t>
      </w:r>
      <w:r>
        <w:rPr>
          <w:spacing w:val="-42"/>
        </w:rPr>
      </w:r>
      <w:r>
        <w:rPr>
          <w:spacing w:val="2"/>
        </w:rPr>
        <w:t>司子公司上海领卓企业管理咨询有限公司根据上海市青浦区金泽镇人民政府和上海淀山湖经济城相关文</w:t>
      </w:r>
      <w:r>
        <w:rPr>
          <w:spacing w:val="-28"/>
        </w:rPr>
        <w:t> </w:t>
      </w:r>
      <w:r>
        <w:rPr>
          <w:spacing w:val="-28"/>
        </w:rPr>
      </w:r>
      <w:r>
        <w:rPr/>
        <w:t>件和协议收到扶持资金</w:t>
      </w:r>
      <w:r>
        <w:rPr>
          <w:rFonts w:ascii="Times New Roman" w:hAnsi="Times New Roman" w:cs="Times New Roman" w:eastAsia="Times New Roman" w:hint="default"/>
        </w:rPr>
        <w:t>15.94</w:t>
      </w:r>
      <w:r>
        <w:rPr/>
        <w:t>万元。</w:t>
      </w:r>
    </w:p>
    <w:p>
      <w:pPr>
        <w:spacing w:line="240" w:lineRule="auto" w:before="11"/>
        <w:rPr>
          <w:rFonts w:ascii="宋体" w:hAnsi="宋体" w:cs="宋体" w:eastAsia="宋体" w:hint="default"/>
          <w:sz w:val="18"/>
          <w:szCs w:val="18"/>
        </w:rPr>
      </w:pPr>
    </w:p>
    <w:p>
      <w:pPr>
        <w:pStyle w:val="Heading6"/>
        <w:spacing w:line="240" w:lineRule="auto"/>
        <w:ind w:right="114"/>
        <w:jc w:val="left"/>
        <w:rPr>
          <w:b w:val="0"/>
          <w:bCs w:val="0"/>
        </w:rPr>
      </w:pPr>
      <w:r>
        <w:rPr>
          <w:rFonts w:ascii="Times New Roman" w:hAnsi="Times New Roman" w:cs="Times New Roman" w:eastAsia="Times New Roman" w:hint="default"/>
        </w:rPr>
        <w:t>70</w:t>
      </w:r>
      <w:r>
        <w:rPr/>
        <w:t>、营业外支出</w:t>
      </w:r>
      <w:r>
        <w:rPr>
          <w:b w:val="0"/>
          <w:bCs w:val="0"/>
        </w:rPr>
      </w:r>
    </w:p>
    <w:p>
      <w:pPr>
        <w:spacing w:line="240" w:lineRule="auto" w:before="2"/>
        <w:rPr>
          <w:rFonts w:ascii="宋体" w:hAnsi="宋体" w:cs="宋体" w:eastAsia="宋体" w:hint="default"/>
          <w:b/>
          <w:bCs/>
          <w:sz w:val="26"/>
          <w:szCs w:val="26"/>
        </w:rPr>
      </w:pPr>
    </w:p>
    <w:p>
      <w:pPr>
        <w:spacing w:before="0"/>
        <w:ind w:left="0" w:right="193" w:firstLine="0"/>
        <w:jc w:val="right"/>
        <w:rPr>
          <w:rFonts w:ascii="宋体" w:hAnsi="宋体" w:cs="宋体" w:eastAsia="宋体" w:hint="default"/>
          <w:sz w:val="18"/>
          <w:szCs w:val="18"/>
        </w:rPr>
      </w:pPr>
      <w:bookmarkStart w:name="70、营业外支出" w:id="369"/>
      <w:bookmarkEnd w:id="369"/>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5"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4D4D4"/>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5"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662,424.04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118,649.90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662,424.04</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662,424.04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118,649.90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662,424.04</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150,000.00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150,000.00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公益性捐赠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罚款、赔偿和违约支出</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13,795.00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13,795.00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31.26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4,195.77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31.26</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826,250.30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157,845.67</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4"/>
        <w:jc w:val="left"/>
        <w:rPr>
          <w:b w:val="0"/>
          <w:bCs w:val="0"/>
        </w:rPr>
      </w:pPr>
      <w:r>
        <w:rPr>
          <w:rFonts w:ascii="Times New Roman" w:hAnsi="Times New Roman" w:cs="Times New Roman" w:eastAsia="Times New Roman" w:hint="default"/>
        </w:rPr>
        <w:t>71</w:t>
      </w:r>
      <w:r>
        <w:rPr/>
        <w:t>、所得税费用</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4"/>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spacing w:before="44"/>
        <w:ind w:left="0" w:right="193" w:firstLine="0"/>
        <w:jc w:val="right"/>
        <w:rPr>
          <w:rFonts w:ascii="宋体" w:hAnsi="宋体" w:cs="宋体" w:eastAsia="宋体" w:hint="default"/>
          <w:sz w:val="18"/>
          <w:szCs w:val="18"/>
        </w:rPr>
      </w:pPr>
      <w:bookmarkStart w:name="71、所得税费用" w:id="370"/>
      <w:bookmarkEnd w:id="370"/>
      <w:r>
        <w:rPr/>
      </w:r>
      <w:bookmarkStart w:name="（1）所得税费用表" w:id="371"/>
      <w:bookmarkEnd w:id="371"/>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3,071,262.10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11,775,249.79</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-255,745.25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-212,335.18</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2,815,516.85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11,562,914.61</w:t>
            </w:r>
            <w:r>
              <w:rPr>
                <w:rFonts w:ascii="Times New Roman"/>
                <w:sz w:val="18"/>
              </w:rPr>
            </w:r>
          </w:p>
        </w:tc>
      </w:tr>
    </w:tbl>
    <w:p>
      <w:pPr>
        <w:spacing w:line="240" w:lineRule="auto" w:before="3"/>
        <w:rPr>
          <w:rFonts w:ascii="宋体" w:hAnsi="宋体" w:cs="宋体" w:eastAsia="宋体" w:hint="default"/>
          <w:sz w:val="19"/>
          <w:szCs w:val="19"/>
        </w:rPr>
      </w:pPr>
    </w:p>
    <w:p>
      <w:pPr>
        <w:pStyle w:val="Heading6"/>
        <w:spacing w:line="240" w:lineRule="auto" w:before="36"/>
        <w:ind w:right="114"/>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spacing w:before="44"/>
        <w:ind w:left="0" w:right="19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6"/>
        <w:gridCol w:w="4801"/>
      </w:tblGrid>
      <w:tr>
        <w:trPr>
          <w:trHeight w:val="401"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3"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45,713,777.19</w:t>
            </w:r>
          </w:p>
        </w:tc>
      </w:tr>
      <w:tr>
        <w:trPr>
          <w:trHeight w:val="401"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6,857,066.58</w:t>
            </w:r>
            <w:r>
              <w:rPr>
                <w:rFonts w:ascii="Times New Roman"/>
                <w:sz w:val="18"/>
              </w:rPr>
            </w:r>
          </w:p>
        </w:tc>
      </w:tr>
      <w:tr>
        <w:trPr>
          <w:trHeight w:val="403"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2,129.96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77"/>
        <w:gridCol w:w="4790"/>
      </w:tblGrid>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-1,822,465.25</w:t>
            </w:r>
            <w:r>
              <w:rPr>
                <w:rFonts w:ascii="Times New Roman"/>
                <w:sz w:val="18"/>
              </w:rPr>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23,802.65</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1,076,070.32</w:t>
            </w:r>
            <w:r>
              <w:rPr>
                <w:rFonts w:ascii="Times New Roman"/>
                <w:sz w:val="18"/>
              </w:rPr>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-2,964,214.05</w:t>
            </w:r>
            <w:r>
              <w:rPr>
                <w:rFonts w:ascii="Times New Roman"/>
                <w:sz w:val="18"/>
              </w:rPr>
            </w:r>
          </w:p>
        </w:tc>
      </w:tr>
      <w:tr>
        <w:trPr>
          <w:trHeight w:val="713" w:hRule="exact"/>
        </w:trPr>
        <w:tc>
          <w:tcPr>
            <w:tcW w:w="47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62"/>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2,217,995.97</w:t>
            </w:r>
            <w:r>
              <w:rPr>
                <w:rFonts w:ascii="Times New Roman"/>
                <w:sz w:val="18"/>
              </w:rPr>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加计扣除费用的影响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-2,574,869.33</w:t>
            </w:r>
            <w:r>
              <w:rPr>
                <w:rFonts w:ascii="Times New Roman"/>
                <w:sz w:val="18"/>
              </w:rPr>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2,815,516.85</w:t>
            </w:r>
            <w:r>
              <w:rPr>
                <w:rFonts w:ascii="Times New Roman"/>
                <w:sz w:val="18"/>
              </w:rPr>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72</w:t>
      </w:r>
      <w:r>
        <w:rPr/>
        <w:t>、其他综合收益</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详见附注。</w:t>
      </w:r>
    </w:p>
    <w:p>
      <w:pPr>
        <w:spacing w:line="240" w:lineRule="auto" w:before="0"/>
        <w:rPr>
          <w:rFonts w:ascii="宋体" w:hAnsi="宋体" w:cs="宋体" w:eastAsia="宋体" w:hint="default"/>
          <w:sz w:val="18"/>
          <w:szCs w:val="18"/>
        </w:rPr>
      </w:pPr>
    </w:p>
    <w:p>
      <w:pPr>
        <w:pStyle w:val="Heading6"/>
        <w:spacing w:line="240" w:lineRule="auto" w:before="120"/>
        <w:ind w:right="0"/>
        <w:jc w:val="left"/>
        <w:rPr>
          <w:b w:val="0"/>
          <w:bCs w:val="0"/>
        </w:rPr>
      </w:pPr>
      <w:r>
        <w:rPr>
          <w:rFonts w:ascii="Times New Roman" w:hAnsi="Times New Roman" w:cs="Times New Roman" w:eastAsia="Times New Roman" w:hint="default"/>
        </w:rPr>
        <w:t>73</w:t>
      </w:r>
      <w:r>
        <w:rPr/>
        <w:t>、现金流量表项目</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72、其他综合收益" w:id="372"/>
      <w:bookmarkEnd w:id="372"/>
      <w:r>
        <w:rPr/>
      </w:r>
      <w:bookmarkStart w:name="73、现金流量表项目" w:id="373"/>
      <w:bookmarkEnd w:id="373"/>
      <w:r>
        <w:rPr/>
      </w:r>
      <w:bookmarkStart w:name="（1）收到的其他与经营活动有关的现金" w:id="374"/>
      <w:bookmarkEnd w:id="374"/>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10,923,093.02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10,804,198.50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补贴收入及其他营业外收入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3,933,472.41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7,868,308.94</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收回押金、保证金及备用金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272,605.89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172,102.02</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15,129,171.32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18,844,609.46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pStyle w:val="Heading6"/>
        <w:spacing w:line="240" w:lineRule="auto" w:before="120"/>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支付的其他与经营活动有关的现金" w:id="375"/>
      <w:bookmarkEnd w:id="375"/>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4,944,591.59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4,553,261.52</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22,041,930.09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21,058,642.62</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保证金、押金及备用金支付等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5,102,608.15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3,436,840.80</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202,992.08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80,654.81</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其他营业外支出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150,031.26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39,195.77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32,442,153.17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29,168,595.52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0"/>
        <w:jc w:val="left"/>
        <w:rPr>
          <w:b w:val="0"/>
          <w:bCs w:val="0"/>
        </w:rPr>
      </w:pPr>
      <w:bookmarkStart w:name="（1）现金流量表补充资料" w:id="376"/>
      <w:bookmarkEnd w:id="376"/>
      <w:r>
        <w:rPr>
          <w:b w:val="0"/>
          <w:bCs w:val="0"/>
        </w:rPr>
      </w:r>
      <w:r>
        <w:rPr/>
        <w:t>（</w:t>
      </w:r>
      <w:r>
        <w:rPr>
          <w:rFonts w:ascii="Times New Roman" w:hAnsi="Times New Roman" w:cs="Times New Roman" w:eastAsia="Times New Roman" w:hint="default"/>
        </w:rPr>
        <w:t>3</w:t>
      </w:r>
      <w:bookmarkStart w:name="（3）收到的其他与投资活动有关的现金" w:id="377"/>
      <w:bookmarkEnd w:id="377"/>
      <w:r>
        <w:rPr>
          <w:rFonts w:ascii="Times New Roman" w:hAnsi="Times New Roman" w:cs="Times New Roman" w:eastAsia="Times New Roman" w:hint="default"/>
        </w:rPr>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t>（</w:t>
      </w:r>
      <w:r>
        <w:rPr>
          <w:rFonts w:ascii="Times New Roman" w:hAnsi="Times New Roman" w:cs="Times New Roman" w:eastAsia="Times New Roman" w:hint="default"/>
        </w:rPr>
        <w:t>4</w:t>
      </w:r>
      <w:r>
        <w:rPr/>
        <w:t>）支付的其他与</w:t>
      </w:r>
      <w:bookmarkStart w:name="（4）支付的其他与投资活动有关的现金" w:id="378"/>
      <w:bookmarkEnd w:id="378"/>
      <w:r>
        <w:rPr/>
        <w:t>投资</w:t>
      </w:r>
      <w:r>
        <w:rPr/>
        <w:t>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0"/>
        <w:rPr>
          <w:rFonts w:ascii="宋体" w:hAnsi="宋体" w:cs="宋体" w:eastAsia="宋体" w:hint="default"/>
          <w:sz w:val="18"/>
          <w:szCs w:val="18"/>
        </w:rPr>
      </w:pPr>
    </w:p>
    <w:p>
      <w:pPr>
        <w:pStyle w:val="Heading6"/>
        <w:spacing w:line="240" w:lineRule="auto" w:before="120"/>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5）收到的其他与筹资活动有关的现金" w:id="379"/>
      <w:bookmarkEnd w:id="379"/>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6）支付的其他与筹资活动有关的现金" w:id="380"/>
      <w:bookmarkEnd w:id="380"/>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员工股权激励退股款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1,206,422.34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1,206,422.34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pStyle w:val="Heading6"/>
        <w:spacing w:line="240" w:lineRule="auto" w:before="120"/>
        <w:ind w:right="0"/>
        <w:jc w:val="left"/>
        <w:rPr>
          <w:b w:val="0"/>
          <w:bCs w:val="0"/>
        </w:rPr>
      </w:pPr>
      <w:r>
        <w:rPr>
          <w:rFonts w:ascii="Times New Roman" w:hAnsi="Times New Roman" w:cs="Times New Roman" w:eastAsia="Times New Roman" w:hint="default"/>
        </w:rPr>
        <w:t>74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74、现金流量表补充资料" w:id="381"/>
      <w:bookmarkEnd w:id="381"/>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5"/>
      </w:tblGrid>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42,898,260.34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75,126,464.83</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1,384,701.70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1,483,586.17</w:t>
            </w:r>
            <w:r>
              <w:rPr>
                <w:rFonts w:ascii="Times New Roman"/>
                <w:sz w:val="18"/>
              </w:rPr>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6,729,480.07</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6,762,417.55</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607,281.45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6,614.44</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1,083,715.94</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1,553,969.94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r>
        <w:rPr/>
        <w:pict>
          <v:group style="position:absolute;margin-left:223.320007pt;margin-top:127.739983pt;width:151.2pt;height:20.65pt;mso-position-horizontal-relative:page;mso-position-vertical-relative:page;z-index:-905728" coordorigin="4466,2555" coordsize="3024,413">
            <v:group style="position:absolute;left:4477;top:2566;width:2;height:392" coordorigin="4477,2566" coordsize="2,392">
              <v:shape style="position:absolute;left:4477;top:2566;width:2;height:392" coordorigin="4477,2566" coordsize="0,392" path="m4477,2566l4477,2957e" filled="false" stroked="true" strokeweight="1.08pt" strokecolor="#ffffff">
                <v:path arrowok="t"/>
              </v:shape>
            </v:group>
            <v:group style="position:absolute;left:4488;top:2566;width:3003;height:392" coordorigin="4488,2566" coordsize="3003,392">
              <v:shape style="position:absolute;left:4488;top:2566;width:3003;height:392" coordorigin="4488,2566" coordsize="3003,392" path="m4488,2957l7490,2957,7490,2566,4488,2566,4488,2957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4"/>
        <w:gridCol w:w="1121"/>
        <w:gridCol w:w="1948"/>
        <w:gridCol w:w="3185"/>
      </w:tblGrid>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647,293.74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58,015.92</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91,528.86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125,957.22</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1" w:type="dxa"/>
            <w:tcBorders>
              <w:top w:val="single" w:sz="4" w:space="0" w:color="000000"/>
              <w:left w:val="single" w:sz="10" w:space="0" w:color="D4D4D4"/>
              <w:bottom w:val="single" w:sz="4" w:space="0" w:color="000000"/>
              <w:right w:val="nil" w:sz="6" w:space="0" w:color="auto"/>
            </w:tcBorders>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7" w:right="0"/>
              <w:jc w:val="left"/>
              <w:rPr>
                <w:rFonts w:ascii="Times New Roman" w:hAnsi="Times New Roman" w:cs="Times New Roman" w:eastAsia="Times New Roman" w:hint="default"/>
                <w:sz w:val="18"/>
                <w:szCs w:val="18"/>
              </w:rPr>
            </w:pPr>
            <w:r>
              <w:rPr>
                <w:rFonts w:ascii="Times New Roman"/>
                <w:sz w:val="18"/>
              </w:rPr>
              <w:t>-254,768.89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-212,350.25</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2022" w:right="0"/>
              <w:jc w:val="left"/>
              <w:rPr>
                <w:rFonts w:ascii="Times New Roman" w:hAnsi="Times New Roman" w:cs="Times New Roman" w:eastAsia="Times New Roman" w:hint="default"/>
                <w:sz w:val="18"/>
                <w:szCs w:val="18"/>
              </w:rPr>
            </w:pPr>
            <w:r>
              <w:rPr>
                <w:rFonts w:ascii="Times New Roman"/>
                <w:sz w:val="18"/>
              </w:rPr>
              <w:t>-1,252,698.75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-10,207,394.58</w:t>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3" w:right="0"/>
              <w:jc w:val="left"/>
              <w:rPr>
                <w:rFonts w:ascii="Times New Roman" w:hAnsi="Times New Roman" w:cs="Times New Roman" w:eastAsia="Times New Roman" w:hint="default"/>
                <w:sz w:val="18"/>
                <w:szCs w:val="18"/>
              </w:rPr>
            </w:pPr>
            <w:r>
              <w:rPr>
                <w:rFonts w:ascii="Times New Roman"/>
                <w:sz w:val="18"/>
              </w:rPr>
              <w:t>-20,980,906.22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-29,548,783.91</w:t>
            </w: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4,031,187.52</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1,511,524.91</w:t>
            </w:r>
            <w:r>
              <w:rPr>
                <w:rFonts w:ascii="Times New Roman"/>
                <w:sz w:val="18"/>
              </w:rPr>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sz w:val="18"/>
              </w:rPr>
              <w:t>-1,013,350.01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7,290,352.58</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1993" w:right="0"/>
              <w:jc w:val="left"/>
              <w:rPr>
                <w:rFonts w:ascii="Times New Roman" w:hAnsi="Times New Roman" w:cs="Times New Roman" w:eastAsia="Times New Roman" w:hint="default"/>
                <w:sz w:val="18"/>
                <w:szCs w:val="18"/>
              </w:rPr>
            </w:pPr>
            <w:r>
              <w:rPr>
                <w:rFonts w:ascii="Times New Roman"/>
                <w:sz w:val="18"/>
              </w:rPr>
              <w:t>33,971,725.75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53,950,374.82</w:t>
            </w:r>
          </w:p>
        </w:tc>
      </w:tr>
      <w:tr>
        <w:trPr>
          <w:trHeight w:val="161" w:hRule="exact"/>
        </w:trPr>
        <w:tc>
          <w:tcPr>
            <w:tcW w:w="3304" w:type="dxa"/>
            <w:vMerge w:val="restart"/>
            <w:tcBorders>
              <w:top w:val="single" w:sz="4" w:space="0" w:color="000000"/>
              <w:left w:val="single" w:sz="4" w:space="0" w:color="000000"/>
              <w:right w:val="single" w:sz="4" w:space="0" w:color="000000"/>
            </w:tcBorders>
            <w:shd w:val="clear" w:color="auto" w:fill="D4D4D4"/>
          </w:tcPr>
          <w:p>
            <w:pPr>
              <w:pStyle w:val="TableParagraph"/>
              <w:spacing w:line="300" w:lineRule="auto" w:before="49"/>
              <w:ind w:left="12" w:right="12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8"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3185"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3304" w:type="dxa"/>
            <w:vMerge/>
            <w:tcBorders>
              <w:left w:val="single" w:sz="4" w:space="0" w:color="000000"/>
              <w:right w:val="single" w:sz="4" w:space="0" w:color="000000"/>
            </w:tcBorders>
            <w:shd w:val="clear" w:color="auto" w:fill="D4D4D4"/>
          </w:tcPr>
          <w:p>
            <w:pPr/>
          </w:p>
        </w:tc>
        <w:tc>
          <w:tcPr>
            <w:tcW w:w="3068" w:type="dxa"/>
            <w:gridSpan w:val="2"/>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04" w:type="dxa"/>
            <w:vMerge/>
            <w:tcBorders>
              <w:left w:val="single" w:sz="4" w:space="0" w:color="000000"/>
              <w:bottom w:val="single" w:sz="4" w:space="0" w:color="000000"/>
              <w:right w:val="single" w:sz="4" w:space="0" w:color="000000"/>
            </w:tcBorders>
            <w:shd w:val="clear" w:color="auto" w:fill="D4D4D4"/>
          </w:tcPr>
          <w:p>
            <w:pPr/>
          </w:p>
        </w:tc>
        <w:tc>
          <w:tcPr>
            <w:tcW w:w="3068"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3185"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394,329,362.17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471,842,681.84</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1902" w:right="0"/>
              <w:jc w:val="left"/>
              <w:rPr>
                <w:rFonts w:ascii="Times New Roman" w:hAnsi="Times New Roman" w:cs="Times New Roman" w:eastAsia="Times New Roman" w:hint="default"/>
                <w:sz w:val="18"/>
                <w:szCs w:val="18"/>
              </w:rPr>
            </w:pPr>
            <w:r>
              <w:rPr>
                <w:rFonts w:ascii="Times New Roman"/>
                <w:sz w:val="18"/>
              </w:rPr>
              <w:t>471,842,681.84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416,523,690.15</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-77,513,319.67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55,318,991.69</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bookmarkStart w:name="（3）本期收到的处置子公司的现金净额" w:id="382"/>
      <w:bookmarkEnd w:id="382"/>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本期支付的取得子公司的现金净额" w:id="383"/>
      <w:bookmarkEnd w:id="383"/>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6"/>
        <w:gridCol w:w="4582"/>
      </w:tblGrid>
      <w:tr>
        <w:trPr>
          <w:trHeight w:val="402"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6"/>
        <w:gridCol w:w="4582"/>
      </w:tblGrid>
      <w:tr>
        <w:trPr>
          <w:trHeight w:val="402"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0"/>
        <w:jc w:val="left"/>
        <w:rPr>
          <w:b w:val="0"/>
          <w:bCs w:val="0"/>
        </w:rPr>
      </w:pPr>
      <w:bookmarkStart w:name="（2）境外经营实体说明，包括对于重要的境外经营实体，应披露其境外主要经营地、记账" w:id="384"/>
      <w:bookmarkEnd w:id="384"/>
      <w:r>
        <w:rPr>
          <w:b w:val="0"/>
          <w:bCs w:val="0"/>
        </w:rPr>
      </w:r>
      <w:r>
        <w:rPr/>
        <w:t>（</w:t>
      </w:r>
      <w:r>
        <w:rPr>
          <w:rFonts w:ascii="Times New Roman" w:hAnsi="Times New Roman" w:cs="Times New Roman" w:eastAsia="Times New Roman" w:hint="default"/>
        </w:rPr>
        <w:t>4</w:t>
      </w:r>
      <w:bookmarkStart w:name="（4）现金和现金等价物的构成" w:id="385"/>
      <w:bookmarkEnd w:id="385"/>
      <w:r>
        <w:rPr>
          <w:rFonts w:ascii="Times New Roman" w:hAnsi="Times New Roman" w:cs="Times New Roman" w:eastAsia="Times New Roman" w:hint="default"/>
        </w:rPr>
      </w:r>
      <w:r>
        <w:rPr/>
        <w:t>）现金和现金等价物的构成</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5"/>
      </w:tblGrid>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394,329,362.17</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471,842,681.84</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70,375.06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34,949.64</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394,258,987.11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471,678,232.20</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809,868.16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129,500.00</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394,329,362.17</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471,842,681.84</w:t>
            </w:r>
            <w:r>
              <w:rPr>
                <w:rFonts w:ascii="Times New Roman"/>
                <w:sz w:val="18"/>
              </w:rPr>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544" w:lineRule="auto" w:before="120"/>
        <w:ind w:left="152" w:right="43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bookmarkStart w:name="75、所有者权益变动表项目注释" w:id="386"/>
      <w:bookmarkEnd w:id="386"/>
      <w:r>
        <w:rPr>
          <w:rFonts w:ascii="Times New Roman" w:hAnsi="Times New Roman" w:cs="Times New Roman" w:eastAsia="Times New Roman" w:hint="default"/>
          <w:sz w:val="18"/>
          <w:szCs w:val="18"/>
        </w:rPr>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49"/>
        <w:ind w:left="0" w:right="153" w:firstLine="0"/>
        <w:jc w:val="right"/>
        <w:rPr>
          <w:rFonts w:ascii="宋体" w:hAnsi="宋体" w:cs="宋体" w:eastAsia="宋体" w:hint="default"/>
          <w:sz w:val="18"/>
          <w:szCs w:val="18"/>
        </w:rPr>
      </w:pPr>
      <w:bookmarkStart w:name="76、所有权或使用权受到限制的资产" w:id="387"/>
      <w:bookmarkEnd w:id="387"/>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5"/>
      </w:tblGrid>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2,227,800.03</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履约保函保证金</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8" w:type="dxa"/>
            <w:tcBorders>
              <w:top w:val="single" w:sz="4" w:space="0" w:color="000000"/>
              <w:left w:val="single" w:sz="10" w:space="0" w:color="D4D4D4"/>
              <w:bottom w:val="single" w:sz="4" w:space="0" w:color="000000"/>
              <w:right w:val="single" w:sz="13" w:space="0" w:color="D4D4D4"/>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2,227,800.03</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0"/>
        <w:ind w:right="0"/>
        <w:jc w:val="left"/>
        <w:rPr>
          <w:b w:val="0"/>
          <w:bCs w:val="0"/>
        </w:rPr>
      </w:pPr>
      <w:r>
        <w:rPr>
          <w:rFonts w:ascii="Times New Roman" w:hAnsi="Times New Roman" w:cs="Times New Roman" w:eastAsia="Times New Roman" w:hint="default"/>
        </w:rPr>
        <w:t>77</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77、外币货币性项目" w:id="388"/>
      <w:bookmarkEnd w:id="388"/>
      <w:r>
        <w:rPr/>
      </w:r>
      <w:bookmarkStart w:name="（1）外币货币性项目" w:id="389"/>
      <w:bookmarkEnd w:id="389"/>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2"/>
        <w:gridCol w:w="2304"/>
        <w:gridCol w:w="2390"/>
        <w:gridCol w:w="2390"/>
      </w:tblGrid>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409,115.45</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6.4936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2,656,632.08</w:t>
            </w:r>
            <w:r>
              <w:rPr>
                <w:rFonts w:ascii="Times New Roman"/>
                <w:sz w:val="18"/>
              </w:rPr>
            </w: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19,504.95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0.8378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16,341.25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59" w:lineRule="auto" w:before="118"/>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p>
    <w:p>
      <w:pPr>
        <w:spacing w:before="98"/>
        <w:ind w:left="152" w:right="0" w:firstLine="0"/>
        <w:jc w:val="left"/>
        <w:rPr>
          <w:rFonts w:ascii="宋体" w:hAnsi="宋体" w:cs="宋体" w:eastAsia="宋体" w:hint="default"/>
          <w:sz w:val="18"/>
          <w:szCs w:val="18"/>
        </w:rPr>
      </w:pPr>
      <w:r>
        <w:rPr>
          <w:rFonts w:ascii="宋体" w:hAnsi="宋体" w:cs="宋体" w:eastAsia="宋体" w:hint="default"/>
          <w:sz w:val="18"/>
          <w:szCs w:val="18"/>
        </w:rPr>
        <w:t>详见本报告第十节 九</w:t>
      </w:r>
      <w:r>
        <w:rPr>
          <w:rFonts w:ascii="宋体" w:hAnsi="宋体" w:cs="宋体" w:eastAsia="宋体" w:hint="default"/>
          <w:spacing w:val="32"/>
          <w:sz w:val="18"/>
          <w:szCs w:val="18"/>
        </w:rPr>
        <w:t> </w:t>
      </w:r>
      <w:r>
        <w:rPr>
          <w:rFonts w:ascii="宋体" w:hAnsi="宋体" w:cs="宋体" w:eastAsia="宋体" w:hint="default"/>
          <w:sz w:val="18"/>
          <w:szCs w:val="18"/>
        </w:rPr>
        <w:t>1-（1）</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0"/>
        <w:jc w:val="left"/>
        <w:rPr>
          <w:b w:val="0"/>
          <w:bCs w:val="0"/>
        </w:rPr>
      </w:pPr>
      <w:bookmarkStart w:name="（4）购买日之前持有的股权按照公允价值重新计量产生的利得或损失" w:id="390"/>
      <w:bookmarkEnd w:id="390"/>
      <w:r>
        <w:rPr>
          <w:b w:val="0"/>
          <w:bCs w:val="0"/>
        </w:rPr>
      </w:r>
      <w:r>
        <w:rPr>
          <w:rFonts w:ascii="Times New Roman" w:hAnsi="Times New Roman" w:cs="Times New Roman" w:eastAsia="Times New Roman" w:hint="default"/>
        </w:rPr>
        <w:t>78</w:t>
      </w:r>
      <w:bookmarkStart w:name="78、套期" w:id="391"/>
      <w:bookmarkEnd w:id="391"/>
      <w:r>
        <w:rPr>
          <w:rFonts w:ascii="Times New Roman" w:hAnsi="Times New Roman" w:cs="Times New Roman" w:eastAsia="Times New Roman" w:hint="default"/>
        </w:rPr>
      </w:r>
      <w:r>
        <w:rPr/>
        <w:t>、套期</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spacing w:line="487" w:lineRule="auto" w:before="118"/>
        <w:ind w:left="152" w:right="735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八、合</w:t>
      </w:r>
      <w:bookmarkStart w:name="79、其他" w:id="392"/>
      <w:bookmarkEnd w:id="392"/>
      <w:r>
        <w:rPr>
          <w:rFonts w:ascii="宋体" w:hAnsi="宋体" w:cs="宋体" w:eastAsia="宋体" w:hint="default"/>
          <w:b/>
          <w:bCs/>
          <w:sz w:val="24"/>
          <w:szCs w:val="24"/>
        </w:rPr>
        <w:t>并范</w:t>
      </w:r>
      <w:r>
        <w:rPr>
          <w:rFonts w:ascii="宋体" w:hAnsi="宋体" w:cs="宋体" w:eastAsia="宋体" w:hint="default"/>
          <w:b/>
          <w:bCs/>
          <w:sz w:val="24"/>
          <w:szCs w:val="24"/>
        </w:rPr>
        <w:t>围的变</w:t>
      </w:r>
      <w:bookmarkStart w:name="八、合并范围的变更" w:id="393"/>
      <w:bookmarkEnd w:id="393"/>
      <w:r>
        <w:rPr>
          <w:rFonts w:ascii="宋体" w:hAnsi="宋体" w:cs="宋体" w:eastAsia="宋体" w:hint="default"/>
          <w:b/>
          <w:bCs/>
          <w:sz w:val="24"/>
          <w:szCs w:val="24"/>
        </w:rPr>
        <w:t>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6"/>
        <w:spacing w:line="240" w:lineRule="auto" w:before="81"/>
        <w:ind w:right="0"/>
        <w:jc w:val="left"/>
        <w:rPr>
          <w:b w:val="0"/>
          <w:bCs w:val="0"/>
        </w:rPr>
      </w:pPr>
      <w:r>
        <w:rPr/>
        <w:t>（</w:t>
      </w:r>
      <w:r>
        <w:rPr>
          <w:rFonts w:ascii="Times New Roman" w:hAnsi="Times New Roman" w:cs="Times New Roman" w:eastAsia="Times New Roman" w:hint="default"/>
        </w:rPr>
        <w:t>1</w:t>
      </w:r>
      <w:r>
        <w:rPr/>
        <w:t>）本期发生的非同一控</w:t>
      </w:r>
      <w:bookmarkStart w:name="1、非同一控制下企业合并" w:id="394"/>
      <w:bookmarkEnd w:id="394"/>
      <w:r>
        <w:rPr/>
      </w:r>
      <w:bookmarkStart w:name="（1）本期发生的非同一控制下企业合并" w:id="395"/>
      <w:bookmarkEnd w:id="395"/>
      <w:r>
        <w:rPr/>
        <w:t>制下企业合并</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3"/>
        <w:gridCol w:w="1066"/>
        <w:gridCol w:w="1061"/>
        <w:gridCol w:w="1063"/>
        <w:gridCol w:w="1061"/>
      </w:tblGrid>
      <w:tr>
        <w:trPr>
          <w:trHeight w:val="1026" w:hRule="exact"/>
        </w:trPr>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5"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76"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合并成本及商誉" w:id="396"/>
      <w:bookmarkEnd w:id="396"/>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3;top:14;width:2;height:392" coordorigin="23,14" coordsize="2,392">
              <v:shape style="position:absolute;left:23;top:14;width:2;height:392" coordorigin="23,14" coordsize="0,392" path="m23,14l23,406e" filled="false" stroked="true" strokeweight="1.08pt" strokecolor="#d4d4d4">
                <v:path arrowok="t"/>
              </v:shape>
            </v:group>
            <v:group style="position:absolute;left:4774;top:14;width:2;height:392" coordorigin="4774,14" coordsize="2,392">
              <v:shape style="position:absolute;left:4774;top:14;width:2;height:392" coordorigin="4774,14" coordsize="0,392" path="m4774,14l4774,406e" filled="false" stroked="true" strokeweight="1.2pt" strokecolor="#d4d4d4">
                <v:path arrowok="t"/>
              </v:shape>
            </v:group>
            <v:group style="position:absolute;left:34;top:14;width:4728;height:392" coordorigin="34,14" coordsize="4728,392">
              <v:shape style="position:absolute;left:34;top:14;width:4728;height:392" coordorigin="34,14" coordsize="4728,392" path="m34,406l4762,406,4762,14,34,14,34,406xe" filled="true" fillcolor="#d4d4d4" stroked="false">
                <v:path arrowok="t"/>
                <v:fill type="solid"/>
              </v:shape>
            </v:group>
            <v:group style="position:absolute;left:4806;top:14;width:2;height:392" coordorigin="4806,14" coordsize="2,392">
              <v:shape style="position:absolute;left:4806;top:14;width:2;height:392" coordorigin="4806,14" coordsize="0,392" path="m4806,14l4806,406e" filled="false" stroked="true" strokeweight="1.08pt" strokecolor="#e1ffff">
                <v:path arrowok="t"/>
              </v:shape>
            </v:group>
            <v:group style="position:absolute;left:9557;top:14;width:2;height:392" coordorigin="9557,14" coordsize="2,392">
              <v:shape style="position:absolute;left:9557;top:14;width:2;height:392" coordorigin="9557,14" coordsize="0,392" path="m9557,14l9557,406e" filled="false" stroked="true" strokeweight="1.2pt" strokecolor="#e1ffff">
                <v:path arrowok="t"/>
              </v:shape>
            </v:group>
            <v:group style="position:absolute;left:4817;top:14;width:4728;height:392" coordorigin="4817,14" coordsize="4728,392">
              <v:shape style="position:absolute;left:4817;top:14;width:4728;height:392" coordorigin="4817,14" coordsize="4728,392" path="m4817,406l9545,406,9545,14,4817,14,4817,406xe" filled="true" fillcolor="#e1ffff" stroked="false">
                <v:path arrowok="t"/>
                <v:fill type="solid"/>
              </v:shape>
            </v:group>
            <v:group style="position:absolute;left:10;top:10;width:4774;height:2" coordorigin="10,10" coordsize="4774,2">
              <v:shape style="position:absolute;left:10;top:10;width:4774;height:2" coordorigin="10,10" coordsize="4774,0" path="m10,10l4783,10e" filled="false" stroked="true" strokeweight=".48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4;height:2" coordorigin="10,413" coordsize="4774,2">
              <v:shape style="position:absolute;left:10;top:413;width:4774;height:2" coordorigin="10,413" coordsize="4774,0" path="m10,413l4783,413e" filled="false" stroked="true" strokeweight=".48pt" strokecolor="#000000">
                <v:path arrowok="t"/>
              </v:shape>
            </v:group>
            <v:group style="position:absolute;left:4788;top:5;width:2;height:413" coordorigin="4788,5" coordsize="2,413">
              <v:shape style="position:absolute;left:4788;top:5;width:2;height:413" coordorigin="4788,5" coordsize="0,413" path="m4788,5l4788,418e" filled="false" stroked="true" strokeweight=".48pt" strokecolor="#000000">
                <v:path arrowok="t"/>
              </v:shape>
            </v:group>
            <v:group style="position:absolute;left:4793;top:413;width:4776;height:2" coordorigin="4793,413" coordsize="4776,2">
              <v:shape style="position:absolute;left:4793;top:413;width:4776;height:2" coordorigin="4793,413" coordsize="4776,0" path="m4793,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6;top:10;width:4784;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44"/>
        <w:ind w:left="152" w:right="5094"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3）被购买方于购买日可辨认资产、负债" w:id="397"/>
      <w:bookmarkEnd w:id="397"/>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79"/>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380" w:type="dxa"/>
            <w:gridSpan w:val="2"/>
            <w:tcBorders>
              <w:top w:val="single" w:sz="4" w:space="0" w:color="000000"/>
              <w:left w:val="single" w:sz="10" w:space="0" w:color="D4D4D4"/>
              <w:bottom w:val="single" w:sz="4" w:space="0" w:color="000000"/>
              <w:right w:val="single" w:sz="4" w:space="0" w:color="000000"/>
            </w:tcBorders>
            <w:shd w:val="clear" w:color="auto" w:fill="E1FFFF"/>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7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58"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line="357" w:lineRule="auto" w:before="49"/>
        <w:ind w:left="152" w:right="6551"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6"/>
        <w:rPr>
          <w:rFonts w:ascii="宋体" w:hAnsi="宋体" w:cs="宋体" w:eastAsia="宋体" w:hint="default"/>
          <w:sz w:val="20"/>
          <w:szCs w:val="20"/>
        </w:rPr>
      </w:pPr>
    </w:p>
    <w:p>
      <w:pPr>
        <w:pStyle w:val="Heading6"/>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both"/>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0"/>
        <w:jc w:val="left"/>
        <w:rPr>
          <w:b w:val="0"/>
          <w:bCs w:val="0"/>
        </w:rPr>
      </w:pPr>
      <w:bookmarkStart w:name="3、反向购买" w:id="398"/>
      <w:bookmarkEnd w:id="398"/>
      <w:r>
        <w:rPr>
          <w:b w:val="0"/>
          <w:bCs w:val="0"/>
        </w:rPr>
      </w:r>
      <w:bookmarkStart w:name="4、处置子公司" w:id="399"/>
      <w:bookmarkEnd w:id="399"/>
      <w:r>
        <w:rPr>
          <w:b w:val="0"/>
          <w:bCs w:val="0"/>
        </w:rPr>
      </w:r>
      <w:r>
        <w:rPr/>
        <w:t>（</w:t>
      </w:r>
      <w:r>
        <w:rPr>
          <w:rFonts w:ascii="Times New Roman" w:hAnsi="Times New Roman" w:cs="Times New Roman" w:eastAsia="Times New Roman" w:hint="default"/>
        </w:rPr>
        <w:t>5</w:t>
      </w:r>
      <w:bookmarkStart w:name="（5）购买日或合并当期期末无法合理确定合并对价或被购买方可辨认资产、负债公允价值" w:id="400"/>
      <w:bookmarkEnd w:id="400"/>
      <w:r>
        <w:rPr>
          <w:rFonts w:ascii="Times New Roman" w:hAnsi="Times New Roman" w:cs="Times New Roman" w:eastAsia="Times New Roman" w:hint="default"/>
        </w:rPr>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6</w:t>
      </w:r>
      <w:bookmarkStart w:name="（6）其他说明" w:id="401"/>
      <w:bookmarkEnd w:id="401"/>
      <w:r>
        <w:rPr>
          <w:rFonts w:ascii="Times New Roman" w:hAnsi="Times New Roman" w:cs="Times New Roman" w:eastAsia="Times New Roman" w:hint="default"/>
        </w:rPr>
      </w:r>
      <w:r>
        <w:rPr/>
        <w:t>）其他说明</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2</w:t>
      </w:r>
      <w:r>
        <w:rPr/>
        <w:t>、</w:t>
      </w:r>
      <w:bookmarkStart w:name="2、同一控制下企业合并" w:id="402"/>
      <w:bookmarkEnd w:id="402"/>
      <w:r>
        <w:rPr/>
        <w:t>同一控制下企</w:t>
      </w:r>
      <w:r>
        <w:rPr/>
        <w:t>业合并</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）本期发生的同</w:t>
      </w:r>
      <w:bookmarkStart w:name="（1）本期发生的同一控制下企业合并" w:id="403"/>
      <w:bookmarkEnd w:id="403"/>
      <w:r>
        <w:rPr/>
        <w:t>一控</w:t>
      </w:r>
      <w:r>
        <w:rPr/>
        <w:t>制下企业合并</w:t>
      </w:r>
      <w:r>
        <w:rPr>
          <w:b w:val="0"/>
          <w:bCs w:val="0"/>
        </w:rPr>
      </w:r>
    </w:p>
    <w:p>
      <w:pPr>
        <w:spacing w:line="240" w:lineRule="auto" w:before="2"/>
        <w:rPr>
          <w:rFonts w:ascii="宋体" w:hAnsi="宋体" w:cs="宋体" w:eastAsia="宋体" w:hint="default"/>
          <w:b/>
          <w:bCs/>
          <w:sz w:val="26"/>
          <w:szCs w:val="26"/>
        </w:rPr>
      </w:pPr>
    </w:p>
    <w:p>
      <w:pPr>
        <w:spacing w:before="0"/>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3"/>
        <w:gridCol w:w="1063"/>
        <w:gridCol w:w="1066"/>
        <w:gridCol w:w="1064"/>
        <w:gridCol w:w="1062"/>
        <w:gridCol w:w="1066"/>
        <w:gridCol w:w="1063"/>
      </w:tblGrid>
      <w:tr>
        <w:trPr>
          <w:trHeight w:val="1337" w:hRule="exact"/>
        </w:trPr>
        <w:tc>
          <w:tcPr>
            <w:tcW w:w="1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5" w:right="72"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9" w:right="74"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7"/>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5"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4"/>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0"/>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合并成本" w:id="404"/>
      <w:bookmarkEnd w:id="404"/>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3;top:17;width:2;height:392" coordorigin="23,17" coordsize="2,392">
              <v:shape style="position:absolute;left:23;top:17;width:2;height:392" coordorigin="23,17" coordsize="0,392" path="m23,17l23,408e" filled="false" stroked="true" strokeweight="1.08pt" strokecolor="#d4d4d4">
                <v:path arrowok="t"/>
              </v:shape>
            </v:group>
            <v:group style="position:absolute;left:4774;top:17;width:2;height:392" coordorigin="4774,17" coordsize="2,392">
              <v:shape style="position:absolute;left:4774;top:17;width:2;height:392" coordorigin="4774,17" coordsize="0,392" path="m4774,17l4774,408e" filled="false" stroked="true" strokeweight="1.2pt" strokecolor="#d4d4d4">
                <v:path arrowok="t"/>
              </v:shape>
            </v:group>
            <v:group style="position:absolute;left:34;top:17;width:4728;height:392" coordorigin="34,17" coordsize="4728,392">
              <v:shape style="position:absolute;left:34;top:17;width:4728;height:392" coordorigin="34,17" coordsize="4728,392" path="m34,408l4762,408,4762,17,34,17,34,408xe" filled="true" fillcolor="#d4d4d4" stroked="false">
                <v:path arrowok="t"/>
                <v:fill type="solid"/>
              </v:shape>
            </v:group>
            <v:group style="position:absolute;left:4806;top:17;width:2;height:392" coordorigin="4806,17" coordsize="2,392">
              <v:shape style="position:absolute;left:4806;top:17;width:2;height:392" coordorigin="4806,17" coordsize="0,392" path="m4806,17l4806,408e" filled="false" stroked="true" strokeweight="1.08pt" strokecolor="#e1ffff">
                <v:path arrowok="t"/>
              </v:shape>
            </v:group>
            <v:group style="position:absolute;left:9557;top:17;width:2;height:392" coordorigin="9557,17" coordsize="2,392">
              <v:shape style="position:absolute;left:9557;top:17;width:2;height:392" coordorigin="9557,17" coordsize="0,392" path="m9557,17l9557,408e" filled="false" stroked="true" strokeweight="1.2pt" strokecolor="#e1ffff">
                <v:path arrowok="t"/>
              </v:shape>
            </v:group>
            <v:group style="position:absolute;left:4817;top:17;width:4728;height:392" coordorigin="4817,17" coordsize="4728,392">
              <v:shape style="position:absolute;left:4817;top:17;width:4728;height:392" coordorigin="4817,17" coordsize="4728,392" path="m4817,408l9545,408,9545,17,4817,17,4817,408xe" filled="true" fillcolor="#e1ffff" stroked="false">
                <v:path arrowok="t"/>
                <v:fill type="solid"/>
              </v:shape>
            </v:group>
            <v:group style="position:absolute;left:10;top:10;width:4774;height:2" coordorigin="10,10" coordsize="4774,2">
              <v:shape style="position:absolute;left:10;top:10;width:4774;height:2" coordorigin="10,10" coordsize="4774,0" path="m10,10l4783,10e" filled="false" stroked="true" strokeweight=".48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4;height:2" coordorigin="10,413" coordsize="4774,2">
              <v:shape style="position:absolute;left:10;top:413;width:4774;height:2" coordorigin="10,413" coordsize="4774,0" path="m10,413l4783,413e" filled="false" stroked="true" strokeweight=".48pt" strokecolor="#000000">
                <v:path arrowok="t"/>
              </v:shape>
            </v:group>
            <v:group style="position:absolute;left:4788;top:5;width:2;height:413" coordorigin="4788,5" coordsize="2,413">
              <v:shape style="position:absolute;left:4788;top:5;width:2;height:413" coordorigin="4788,5" coordsize="0,413" path="m4788,5l4788,418e" filled="false" stroked="true" strokeweight=".48pt" strokecolor="#000000">
                <v:path arrowok="t"/>
              </v:shape>
            </v:group>
            <v:group style="position:absolute;left:4793;top:413;width:4776;height:2" coordorigin="4793,413" coordsize="4776,2">
              <v:shape style="position:absolute;left:4793;top:413;width:4776;height:2" coordorigin="4793,413" coordsize="4776,0" path="m4793,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6;top:10;width:4784;height:404"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44"/>
        <w:ind w:left="152" w:right="7614"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line="240" w:lineRule="auto" w:before="6"/>
        <w:rPr>
          <w:rFonts w:ascii="宋体" w:hAnsi="宋体" w:cs="宋体" w:eastAsia="宋体" w:hint="default"/>
          <w:sz w:val="20"/>
          <w:szCs w:val="20"/>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3）合并日被合并方资产、负债的账面价值" w:id="405"/>
      <w:bookmarkEnd w:id="405"/>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3;top:14;width:2;height:392" coordorigin="23,14" coordsize="2,392">
              <v:shape style="position:absolute;left:23;top:14;width:2;height:392" coordorigin="23,14" coordsize="0,392" path="m23,14l23,406e" filled="false" stroked="true" strokeweight="1.08pt" strokecolor="#d4d4d4">
                <v:path arrowok="t"/>
              </v:shape>
            </v:group>
            <v:group style="position:absolute;left:3180;top:14;width:2;height:392" coordorigin="3180,14" coordsize="2,392">
              <v:shape style="position:absolute;left:3180;top:14;width:2;height:392" coordorigin="3180,14" coordsize="0,392" path="m3180,14l3180,406e" filled="false" stroked="true" strokeweight="1.2pt" strokecolor="#d4d4d4">
                <v:path arrowok="t"/>
              </v:shape>
            </v:group>
            <v:group style="position:absolute;left:34;top:14;width:3135;height:392" coordorigin="34,14" coordsize="3135,392">
              <v:shape style="position:absolute;left:34;top:14;width:3135;height:392" coordorigin="34,14" coordsize="3135,392" path="m34,406l3168,406,3168,14,34,14,34,406xe" filled="true" fillcolor="#d4d4d4" stroked="false">
                <v:path arrowok="t"/>
                <v:fill type="solid"/>
              </v:shape>
            </v:group>
            <v:group style="position:absolute;left:3212;top:14;width:2;height:392" coordorigin="3212,14" coordsize="2,392">
              <v:shape style="position:absolute;left:3212;top:14;width:2;height:392" coordorigin="3212,14" coordsize="0,392" path="m3212,14l3212,406e" filled="false" stroked="true" strokeweight="1.08pt" strokecolor="#e1ffff">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e1ffff">
                <v:path arrowok="t"/>
              </v:shape>
            </v:group>
            <v:group style="position:absolute;left:3223;top:14;width:6324;height:392" coordorigin="3223,14" coordsize="6324,392">
              <v:shape style="position:absolute;left:3223;top:14;width:6324;height:392" coordorigin="3223,14" coordsize="6324,392" path="m3223,406l9547,406,9547,14,3223,14,3223,406xe" filled="true" fillcolor="#e1ffff" stroked="false">
                <v:path arrowok="t"/>
                <v:fill type="solid"/>
              </v:shape>
            </v:group>
            <v:group style="position:absolute;left:10;top:10;width:3180;height:2" coordorigin="10,10" coordsize="3180,2">
              <v:shape style="position:absolute;left:10;top:10;width:3180;height:2" coordorigin="10,10" coordsize="3180,0" path="m10,10l3190,10e" filled="false" stroked="true" strokeweight=".48pt" strokecolor="#000000">
                <v:path arrowok="t"/>
              </v:shape>
            </v:group>
            <v:group style="position:absolute;left:3199;top:10;width:6372;height:2" coordorigin="3199,10" coordsize="6372,2">
              <v:shape style="position:absolute;left:3199;top:10;width:6372;height:2" coordorigin="3199,10" coordsize="6372,0" path="m3199,10l9571,10e" filled="false" stroked="true" strokeweight=".48pt" strokecolor="#000000">
                <v:path arrowok="t"/>
              </v:shape>
            </v:group>
            <v:group style="position:absolute;left:23;top:415;width:2;height:394" coordorigin="23,415" coordsize="2,394">
              <v:shape style="position:absolute;left:23;top:415;width:2;height:394" coordorigin="23,415" coordsize="0,394" path="m23,415l23,809e" filled="false" stroked="true" strokeweight="1.08pt" strokecolor="#d4d4d4">
                <v:path arrowok="t"/>
              </v:shape>
            </v:group>
            <v:group style="position:absolute;left:3180;top:415;width:2;height:394" coordorigin="3180,415" coordsize="2,394">
              <v:shape style="position:absolute;left:3180;top:415;width:2;height:394" coordorigin="3180,415" coordsize="0,394" path="m3180,415l3180,809e" filled="false" stroked="true" strokeweight="1.2pt" strokecolor="#d4d4d4">
                <v:path arrowok="t"/>
              </v:shape>
            </v:group>
            <v:group style="position:absolute;left:34;top:415;width:3135;height:394" coordorigin="34,415" coordsize="3135,394">
              <v:shape style="position:absolute;left:34;top:415;width:3135;height:394" coordorigin="34,415" coordsize="3135,394" path="m34,809l3168,809,3168,415,34,415,34,809xe" filled="true" fillcolor="#d4d4d4" stroked="false">
                <v:path arrowok="t"/>
                <v:fill type="solid"/>
              </v:shape>
            </v:group>
            <v:group style="position:absolute;left:3212;top:415;width:2;height:394" coordorigin="3212,415" coordsize="2,394">
              <v:shape style="position:absolute;left:3212;top:415;width:2;height:394" coordorigin="3212,415" coordsize="0,394" path="m3212,415l3212,809e" filled="false" stroked="true" strokeweight="1.08pt" strokecolor="#d4d4d4">
                <v:path arrowok="t"/>
              </v:shape>
            </v:group>
            <v:group style="position:absolute;left:6370;top:415;width:2;height:394" coordorigin="6370,415" coordsize="2,394">
              <v:shape style="position:absolute;left:6370;top:415;width:2;height:394" coordorigin="6370,415" coordsize="0,394" path="m6370,415l6370,809e" filled="false" stroked="true" strokeweight="1.2pt" strokecolor="#d4d4d4">
                <v:path arrowok="t"/>
              </v:shape>
            </v:group>
            <v:group style="position:absolute;left:3223;top:415;width:3135;height:394" coordorigin="3223,415" coordsize="3135,394">
              <v:shape style="position:absolute;left:3223;top:415;width:3135;height:394" coordorigin="3223,415" coordsize="3135,394" path="m3223,809l6358,809,6358,415,3223,415,3223,809xe" filled="true" fillcolor="#d4d4d4" stroked="false">
                <v:path arrowok="t"/>
                <v:fill type="solid"/>
              </v:shape>
            </v:group>
            <v:group style="position:absolute;left:6402;top:415;width:2;height:394" coordorigin="6402,415" coordsize="2,394">
              <v:shape style="position:absolute;left:6402;top:415;width:2;height:394" coordorigin="6402,415" coordsize="0,394" path="m6402,415l6402,809e" filled="false" stroked="true" strokeweight="1.08pt" strokecolor="#d4d4d4">
                <v:path arrowok="t"/>
              </v:shape>
            </v:group>
            <v:group style="position:absolute;left:9559;top:415;width:2;height:394" coordorigin="9559,415" coordsize="2,394">
              <v:shape style="position:absolute;left:9559;top:415;width:2;height:394" coordorigin="9559,415" coordsize="0,394" path="m9559,415l9559,809e" filled="false" stroked="true" strokeweight="1.2pt" strokecolor="#d4d4d4">
                <v:path arrowok="t"/>
              </v:shape>
            </v:group>
            <v:group style="position:absolute;left:6413;top:415;width:3135;height:394" coordorigin="6413,415" coordsize="3135,394">
              <v:shape style="position:absolute;left:6413;top:415;width:3135;height:394" coordorigin="6413,415" coordsize="3135,394" path="m6413,809l9547,809,9547,415,6413,415,6413,809xe" filled="true" fillcolor="#d4d4d4" stroked="false">
                <v:path arrowok="t"/>
                <v:fill type="solid"/>
              </v:shape>
            </v:group>
            <v:group style="position:absolute;left:10;top:410;width:3180;height:2" coordorigin="10,410" coordsize="3180,2">
              <v:shape style="position:absolute;left:10;top:410;width:3180;height:2" coordorigin="10,410" coordsize="3180,0" path="m10,410l3190,410e" filled="false" stroked="true" strokeweight=".48pt" strokecolor="#000000">
                <v:path arrowok="t"/>
              </v:shape>
            </v:group>
            <v:group style="position:absolute;left:3199;top:410;width:3180;height:2" coordorigin="3199,410" coordsize="3180,2">
              <v:shape style="position:absolute;left:3199;top:410;width:3180;height:2" coordorigin="3199,410" coordsize="3180,0" path="m3199,410l6379,410e" filled="false" stroked="true" strokeweight=".48pt" strokecolor="#000000">
                <v:path arrowok="t"/>
              </v:shape>
            </v:group>
            <v:group style="position:absolute;left:6389;top:410;width:3183;height:2" coordorigin="6389,410" coordsize="3183,2">
              <v:shape style="position:absolute;left:6389;top:410;width:3183;height:2" coordorigin="6389,410" coordsize="3183,0" path="m6389,410l9571,410e" filled="false" stroked="true" strokeweight=".4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0;height:2" coordorigin="10,814" coordsize="3180,2">
              <v:shape style="position:absolute;left:10;top:814;width:3180;height:2" coordorigin="10,814" coordsize="3180,0" path="m10,814l3190,814e" filled="false" stroked="true" strokeweight=".48pt" strokecolor="#000000">
                <v:path arrowok="t"/>
              </v:shape>
            </v:group>
            <v:group style="position:absolute;left:3194;top:5;width:2;height:814" coordorigin="3194,5" coordsize="2,814">
              <v:shape style="position:absolute;left:3194;top:5;width:2;height:814" coordorigin="3194,5" coordsize="0,814" path="m3194,5l3194,818e" filled="false" stroked="true" strokeweight=".48pt" strokecolor="#000000">
                <v:path arrowok="t"/>
              </v:shape>
            </v:group>
            <v:group style="position:absolute;left:3199;top:814;width:3180;height:2" coordorigin="3199,814" coordsize="3180,2">
              <v:shape style="position:absolute;left:3199;top:814;width:3180;height:2" coordorigin="3199,814" coordsize="3180,0" path="m3199,814l6379,814e" filled="false" stroked="true" strokeweight=".48pt" strokecolor="#000000">
                <v:path arrowok="t"/>
              </v:shape>
            </v:group>
            <v:group style="position:absolute;left:6384;top:406;width:2;height:413" coordorigin="6384,406" coordsize="2,413">
              <v:shape style="position:absolute;left:6384;top:406;width:2;height:413" coordorigin="6384,406" coordsize="0,413" path="m6384,406l6384,818e" filled="false" stroked="true" strokeweight=".48pt" strokecolor="#000000">
                <v:path arrowok="t"/>
              </v:shape>
            </v:group>
            <v:group style="position:absolute;left:6389;top:814;width:3183;height:2" coordorigin="6389,814" coordsize="3183,2">
              <v:shape style="position:absolute;left:6389;top:814;width:3183;height:2" coordorigin="6389,814" coordsize="3183,0" path="m6389,814l9571,814e" filled="false" stroked="true" strokeweight=".48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pt" strokecolor="#000000">
                <v:path arrowok="t"/>
              </v:shape>
              <v:shape style="position:absolute;left:3184;top:410;width:3202;height:404" type="#_x0000_t202" filled="false" stroked="false">
                <v:textbox inset="0,0,0,0">
                  <w:txbxContent>
                    <w:p>
                      <w:pPr>
                        <w:spacing w:before="53"/>
                        <w:ind w:left="9"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0;width:3179;height:404" type="#_x0000_t202" filled="false" stroked="false">
                <v:textbox inset="0,0,0,0">
                  <w:txbxContent>
                    <w:p>
                      <w:pPr>
                        <w:spacing w:before="53"/>
                        <w:ind w:left="1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line="357" w:lineRule="auto" w:before="44"/>
        <w:ind w:left="152" w:right="6534"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6"/>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4"/>
        <w:rPr>
          <w:rFonts w:ascii="宋体" w:hAnsi="宋体" w:cs="宋体" w:eastAsia="宋体" w:hint="default"/>
          <w:b/>
          <w:bCs/>
          <w:sz w:val="26"/>
          <w:szCs w:val="26"/>
        </w:rPr>
      </w:pPr>
    </w:p>
    <w:p>
      <w:pPr>
        <w:spacing w:line="316" w:lineRule="auto" w:before="0"/>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性交易处理时调整权益的金额及其计算：</w:t>
      </w:r>
    </w:p>
    <w:p>
      <w:pPr>
        <w:spacing w:line="240" w:lineRule="auto" w:before="8"/>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38" w:lineRule="auto" w:before="117"/>
        <w:ind w:left="152" w:right="401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0"/>
        <w:jc w:val="both"/>
        <w:rPr>
          <w:b w:val="0"/>
          <w:bCs w:val="0"/>
        </w:rPr>
      </w:pPr>
      <w:bookmarkStart w:name="九、在其他主体中的权益" w:id="406"/>
      <w:bookmarkEnd w:id="406"/>
      <w:r>
        <w:rPr>
          <w:b w:val="0"/>
          <w:bCs w:val="0"/>
        </w:rPr>
      </w:r>
      <w:bookmarkStart w:name="1、在子公司中的权益" w:id="407"/>
      <w:bookmarkEnd w:id="407"/>
      <w:r>
        <w:rPr>
          <w:b w:val="0"/>
          <w:bCs w:val="0"/>
        </w:rPr>
      </w:r>
      <w:bookmarkStart w:name="（1）企业集团的构成" w:id="408"/>
      <w:bookmarkEnd w:id="408"/>
      <w:r>
        <w:rPr>
          <w:b w:val="0"/>
          <w:bCs w:val="0"/>
        </w:rPr>
      </w:r>
      <w:r>
        <w:rPr>
          <w:rFonts w:ascii="Times New Roman" w:hAnsi="Times New Roman" w:cs="Times New Roman" w:eastAsia="Times New Roman" w:hint="default"/>
        </w:rPr>
        <w:t>5</w:t>
      </w:r>
      <w:bookmarkStart w:name="5、其他原因的合并范围变动" w:id="409"/>
      <w:bookmarkEnd w:id="409"/>
      <w:r>
        <w:rPr>
          <w:rFonts w:ascii="Times New Roman" w:hAnsi="Times New Roman" w:cs="Times New Roman" w:eastAsia="Times New Roman" w:hint="default"/>
        </w:rPr>
      </w:r>
      <w:r>
        <w:rPr/>
        <w:t>、其他原因的合并范围变动</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1"/>
        <w:rPr>
          <w:rFonts w:ascii="宋体" w:hAnsi="宋体" w:cs="宋体" w:eastAsia="宋体" w:hint="default"/>
          <w:sz w:val="13"/>
          <w:szCs w:val="13"/>
        </w:rPr>
      </w:pPr>
    </w:p>
    <w:p>
      <w:pPr>
        <w:pStyle w:val="BodyText"/>
        <w:spacing w:line="386" w:lineRule="auto"/>
        <w:ind w:right="149"/>
        <w:jc w:val="both"/>
      </w:pPr>
      <w:r>
        <w:rPr/>
        <w:t>（</w:t>
      </w:r>
      <w:r>
        <w:rPr>
          <w:rFonts w:ascii="Times New Roman" w:hAnsi="Times New Roman" w:cs="Times New Roman" w:eastAsia="Times New Roman" w:hint="default"/>
        </w:rPr>
        <w:t>1</w:t>
      </w:r>
      <w:r>
        <w:rPr/>
        <w:t>）根据董事会决议，公司以自有资金人民币</w:t>
      </w:r>
      <w:r>
        <w:rPr>
          <w:rFonts w:ascii="Times New Roman" w:hAnsi="Times New Roman" w:cs="Times New Roman" w:eastAsia="Times New Roman" w:hint="default"/>
        </w:rPr>
        <w:t>600</w:t>
      </w:r>
      <w:r>
        <w:rPr/>
        <w:t>万元合资新设上海缔塔科技有限公司（以下简称</w:t>
      </w:r>
      <w:r>
        <w:rPr>
          <w:rFonts w:ascii="Times New Roman" w:hAnsi="Times New Roman" w:cs="Times New Roman" w:eastAsia="Times New Roman" w:hint="default"/>
        </w:rPr>
        <w:t>“</w:t>
      </w:r>
      <w:r>
        <w:rPr/>
        <w:t>缔塔</w:t>
      </w:r>
      <w:r>
        <w:rPr>
          <w:spacing w:val="-15"/>
        </w:rPr>
        <w:t> </w:t>
      </w:r>
      <w:r>
        <w:rPr/>
        <w:t>科技</w:t>
      </w:r>
      <w:r>
        <w:rPr>
          <w:rFonts w:ascii="Times New Roman" w:hAnsi="Times New Roman" w:cs="Times New Roman" w:eastAsia="Times New Roman" w:hint="default"/>
        </w:rPr>
        <w:t>”</w:t>
      </w:r>
      <w:r>
        <w:rPr/>
        <w:t>）。根据章程规定，该公司注册资本为人民币</w:t>
      </w:r>
      <w:r>
        <w:rPr>
          <w:rFonts w:ascii="Times New Roman" w:hAnsi="Times New Roman" w:cs="Times New Roman" w:eastAsia="Times New Roman" w:hint="default"/>
        </w:rPr>
        <w:t>1,000</w:t>
      </w:r>
      <w:r>
        <w:rPr/>
        <w:t>万元，本公司占该公司</w:t>
      </w:r>
      <w:r>
        <w:rPr>
          <w:rFonts w:ascii="Times New Roman" w:hAnsi="Times New Roman" w:cs="Times New Roman" w:eastAsia="Times New Roman" w:hint="default"/>
        </w:rPr>
        <w:t>60%</w:t>
      </w:r>
      <w:r>
        <w:rPr/>
        <w:t>的股权并具有表决权</w:t>
      </w:r>
      <w:r>
        <w:rPr>
          <w:spacing w:val="-35"/>
        </w:rPr>
        <w:t> </w:t>
      </w:r>
      <w:r>
        <w:rPr>
          <w:spacing w:val="-35"/>
        </w:rPr>
      </w:r>
      <w:r>
        <w:rPr>
          <w:spacing w:val="-2"/>
        </w:rPr>
        <w:t>控制。</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23</w:t>
      </w:r>
      <w:r>
        <w:rPr>
          <w:spacing w:val="-2"/>
        </w:rPr>
        <w:t>日，缔塔科技完成工商设立登记。故自</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月起，将其纳入合并报表范围。截至本</w:t>
      </w:r>
      <w:r>
        <w:rPr>
          <w:spacing w:val="-34"/>
        </w:rPr>
        <w:t> </w:t>
      </w:r>
      <w:r>
        <w:rPr>
          <w:spacing w:val="-34"/>
        </w:rPr>
      </w:r>
      <w:r>
        <w:rPr/>
        <w:t>年末，公司已累计支付投资款人民币</w:t>
      </w:r>
      <w:r>
        <w:rPr>
          <w:rFonts w:ascii="Times New Roman" w:hAnsi="Times New Roman" w:cs="Times New Roman" w:eastAsia="Times New Roman" w:hint="default"/>
        </w:rPr>
        <w:t>75</w:t>
      </w:r>
      <w:r>
        <w:rPr/>
        <w:t>万元。</w:t>
      </w:r>
    </w:p>
    <w:p>
      <w:pPr>
        <w:pStyle w:val="BodyText"/>
        <w:spacing w:line="362" w:lineRule="auto" w:before="19"/>
        <w:ind w:right="148"/>
        <w:jc w:val="both"/>
      </w:pPr>
      <w:r>
        <w:rPr>
          <w:spacing w:val="-2"/>
        </w:rPr>
        <w:t>（</w:t>
      </w:r>
      <w:r>
        <w:rPr>
          <w:rFonts w:ascii="Times New Roman" w:hAnsi="Times New Roman" w:cs="Times New Roman" w:eastAsia="Times New Roman" w:hint="default"/>
          <w:spacing w:val="-2"/>
        </w:rPr>
        <w:t>2</w:t>
      </w:r>
      <w:r>
        <w:rPr>
          <w:spacing w:val="-2"/>
        </w:rPr>
        <w:t>）根据董事会决议，公司以募集资金人民币</w:t>
      </w:r>
      <w:r>
        <w:rPr>
          <w:rFonts w:ascii="Times New Roman" w:hAnsi="Times New Roman" w:cs="Times New Roman" w:eastAsia="Times New Roman" w:hint="default"/>
          <w:spacing w:val="-2"/>
        </w:rPr>
        <w:t>2,500</w:t>
      </w:r>
      <w:r>
        <w:rPr>
          <w:spacing w:val="-2"/>
        </w:rPr>
        <w:t>万元合资新设</w:t>
      </w:r>
      <w:r>
        <w:rPr>
          <w:spacing w:val="-2"/>
          <w:sz w:val="23"/>
          <w:szCs w:val="23"/>
        </w:rPr>
        <w:t>上海卓之联信息科技有限公司</w:t>
      </w:r>
      <w:r>
        <w:rPr>
          <w:spacing w:val="-2"/>
        </w:rPr>
        <w:t>（以下</w:t>
      </w:r>
      <w:r>
        <w:rPr>
          <w:spacing w:val="-46"/>
        </w:rPr>
        <w:t> </w:t>
      </w:r>
      <w:r>
        <w:rPr>
          <w:spacing w:val="-46"/>
        </w:rPr>
      </w:r>
      <w:r>
        <w:rPr>
          <w:spacing w:val="-3"/>
        </w:rPr>
        <w:t>简称</w:t>
      </w:r>
      <w:r>
        <w:rPr>
          <w:rFonts w:ascii="Times New Roman" w:hAnsi="Times New Roman" w:cs="Times New Roman" w:eastAsia="Times New Roman" w:hint="default"/>
          <w:spacing w:val="-3"/>
        </w:rPr>
        <w:t>“</w:t>
      </w:r>
      <w:r>
        <w:rPr>
          <w:spacing w:val="-3"/>
          <w:sz w:val="23"/>
          <w:szCs w:val="23"/>
        </w:rPr>
        <w:t>卓之联</w:t>
      </w:r>
      <w:r>
        <w:rPr>
          <w:rFonts w:ascii="Times New Roman" w:hAnsi="Times New Roman" w:cs="Times New Roman" w:eastAsia="Times New Roman" w:hint="default"/>
          <w:spacing w:val="-3"/>
        </w:rPr>
        <w:t>”</w:t>
      </w:r>
      <w:r>
        <w:rPr>
          <w:spacing w:val="-3"/>
        </w:rPr>
        <w:t>）。根据章程规定，该公司注册资本为人民币</w:t>
      </w:r>
      <w:r>
        <w:rPr>
          <w:rFonts w:ascii="Times New Roman" w:hAnsi="Times New Roman" w:cs="Times New Roman" w:eastAsia="Times New Roman" w:hint="default"/>
          <w:spacing w:val="-3"/>
        </w:rPr>
        <w:t>5,000</w:t>
      </w:r>
      <w:r>
        <w:rPr>
          <w:spacing w:val="-3"/>
        </w:rPr>
        <w:t>万元，本公司占该公司</w:t>
      </w:r>
      <w:r>
        <w:rPr>
          <w:rFonts w:ascii="Times New Roman" w:hAnsi="Times New Roman" w:cs="Times New Roman" w:eastAsia="Times New Roman" w:hint="default"/>
          <w:spacing w:val="-3"/>
        </w:rPr>
        <w:t>50%</w:t>
      </w:r>
      <w:r>
        <w:rPr>
          <w:spacing w:val="-3"/>
        </w:rPr>
        <w:t>的股权并具有</w:t>
      </w:r>
      <w:r>
        <w:rPr>
          <w:spacing w:val="-40"/>
        </w:rPr>
        <w:t> </w:t>
      </w:r>
      <w:r>
        <w:rPr>
          <w:spacing w:val="-40"/>
        </w:rPr>
      </w:r>
      <w:r>
        <w:rPr>
          <w:spacing w:val="-1"/>
        </w:rPr>
        <w:t>表决权控制。</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18</w:t>
      </w:r>
      <w:r>
        <w:rPr>
          <w:spacing w:val="-1"/>
        </w:rPr>
        <w:t>日，</w:t>
      </w:r>
      <w:r>
        <w:rPr>
          <w:spacing w:val="-1"/>
          <w:sz w:val="23"/>
          <w:szCs w:val="23"/>
        </w:rPr>
        <w:t>卓之联</w:t>
      </w:r>
      <w:r>
        <w:rPr>
          <w:spacing w:val="-1"/>
        </w:rPr>
        <w:t>完成工商设立登记。故自</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10</w:t>
      </w:r>
      <w:r>
        <w:rPr>
          <w:spacing w:val="-1"/>
        </w:rPr>
        <w:t>月起，将其纳入合并报表范围。</w:t>
      </w:r>
      <w:r>
        <w:rPr>
          <w:spacing w:val="-34"/>
        </w:rPr>
        <w:t> </w:t>
      </w:r>
      <w:r>
        <w:rPr>
          <w:spacing w:val="-34"/>
        </w:rPr>
      </w:r>
      <w:r>
        <w:rPr/>
        <w:t>截至本年末，公司尚未支付投资款。</w:t>
      </w:r>
    </w:p>
    <w:p>
      <w:pPr>
        <w:pStyle w:val="BodyText"/>
        <w:spacing w:line="386" w:lineRule="auto" w:before="86"/>
        <w:ind w:right="147"/>
        <w:jc w:val="both"/>
      </w:pPr>
      <w:r>
        <w:rPr>
          <w:spacing w:val="-3"/>
        </w:rPr>
        <w:t>（</w:t>
      </w:r>
      <w:r>
        <w:rPr>
          <w:rFonts w:ascii="Times New Roman" w:hAnsi="Times New Roman" w:cs="Times New Roman" w:eastAsia="Times New Roman" w:hint="default"/>
          <w:spacing w:val="-3"/>
        </w:rPr>
        <w:t>3</w:t>
      </w:r>
      <w:r>
        <w:rPr>
          <w:spacing w:val="-3"/>
        </w:rPr>
        <w:t>）根据董事会决议，公司以募集资金人民币</w:t>
      </w:r>
      <w:r>
        <w:rPr>
          <w:rFonts w:ascii="Times New Roman" w:hAnsi="Times New Roman" w:cs="Times New Roman" w:eastAsia="Times New Roman" w:hint="default"/>
          <w:spacing w:val="-3"/>
        </w:rPr>
        <w:t>1,900</w:t>
      </w:r>
      <w:r>
        <w:rPr>
          <w:spacing w:val="-3"/>
        </w:rPr>
        <w:t>万元全资设立杭州广捷科技有限公司（以下简称</w:t>
      </w:r>
      <w:r>
        <w:rPr>
          <w:rFonts w:ascii="Times New Roman" w:hAnsi="Times New Roman" w:cs="Times New Roman" w:eastAsia="Times New Roman" w:hint="default"/>
          <w:spacing w:val="-3"/>
        </w:rPr>
        <w:t>“</w:t>
      </w:r>
      <w:r>
        <w:rPr>
          <w:spacing w:val="-3"/>
        </w:rPr>
        <w:t>广捷</w:t>
      </w:r>
      <w:r>
        <w:rPr>
          <w:spacing w:val="-34"/>
        </w:rPr>
        <w:t> </w:t>
      </w:r>
      <w:r>
        <w:rPr>
          <w:spacing w:val="-2"/>
        </w:rPr>
        <w:t>科技</w:t>
      </w:r>
      <w:r>
        <w:rPr>
          <w:rFonts w:ascii="Times New Roman" w:hAnsi="Times New Roman" w:cs="Times New Roman" w:eastAsia="Times New Roman" w:hint="default"/>
          <w:spacing w:val="-2"/>
        </w:rPr>
        <w:t>”</w:t>
      </w:r>
      <w:r>
        <w:rPr>
          <w:spacing w:val="-2"/>
        </w:rPr>
        <w:t>）。根据章程规定，该公司注册资本为人民币</w:t>
      </w:r>
      <w:r>
        <w:rPr>
          <w:rFonts w:ascii="Times New Roman" w:hAnsi="Times New Roman" w:cs="Times New Roman" w:eastAsia="Times New Roman" w:hint="default"/>
          <w:spacing w:val="-2"/>
        </w:rPr>
        <w:t>1,900</w:t>
      </w:r>
      <w:r>
        <w:rPr>
          <w:spacing w:val="-2"/>
        </w:rPr>
        <w:t>万元，本公司占该公司</w:t>
      </w:r>
      <w:r>
        <w:rPr>
          <w:rFonts w:ascii="Times New Roman" w:hAnsi="Times New Roman" w:cs="Times New Roman" w:eastAsia="Times New Roman" w:hint="default"/>
          <w:spacing w:val="-2"/>
        </w:rPr>
        <w:t>100%</w:t>
      </w:r>
      <w:r>
        <w:rPr>
          <w:spacing w:val="-2"/>
        </w:rPr>
        <w:t>的股权并具有表决权</w:t>
      </w:r>
      <w:r>
        <w:rPr>
          <w:spacing w:val="-47"/>
        </w:rPr>
        <w:t> </w:t>
      </w:r>
      <w:r>
        <w:rPr>
          <w:spacing w:val="-47"/>
        </w:rPr>
      </w:r>
      <w:r>
        <w:rPr>
          <w:spacing w:val="-2"/>
        </w:rPr>
        <w:t>控制。</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23</w:t>
      </w:r>
      <w:r>
        <w:rPr>
          <w:spacing w:val="-2"/>
        </w:rPr>
        <w:t>日，广捷科技完成工商设立登记。故自</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月起，将其纳入合并报表范围。截至</w:t>
      </w:r>
      <w:r>
        <w:rPr>
          <w:spacing w:val="-29"/>
        </w:rPr>
        <w:t> </w:t>
      </w:r>
      <w:r>
        <w:rPr>
          <w:spacing w:val="-29"/>
        </w:rPr>
      </w:r>
      <w:r>
        <w:rPr/>
        <w:t>本年末，公司已全额支付投资款。</w:t>
      </w:r>
    </w:p>
    <w:p>
      <w:pPr>
        <w:pStyle w:val="BodyText"/>
        <w:spacing w:line="362" w:lineRule="auto" w:before="49"/>
        <w:ind w:right="152"/>
        <w:jc w:val="both"/>
      </w:pPr>
      <w:r>
        <w:rPr>
          <w:spacing w:val="-3"/>
        </w:rPr>
        <w:t>（</w:t>
      </w:r>
      <w:r>
        <w:rPr>
          <w:rFonts w:ascii="Times New Roman" w:hAnsi="Times New Roman" w:cs="Times New Roman" w:eastAsia="Times New Roman" w:hint="default"/>
          <w:spacing w:val="-3"/>
        </w:rPr>
        <w:t>4</w:t>
      </w:r>
      <w:r>
        <w:rPr>
          <w:spacing w:val="-3"/>
        </w:rPr>
        <w:t>）根据董事会决议，公司以募集资金人民币</w:t>
      </w:r>
      <w:r>
        <w:rPr>
          <w:rFonts w:ascii="Times New Roman" w:hAnsi="Times New Roman" w:cs="Times New Roman" w:eastAsia="Times New Roman" w:hint="default"/>
          <w:spacing w:val="-3"/>
        </w:rPr>
        <w:t>1,900</w:t>
      </w:r>
      <w:r>
        <w:rPr>
          <w:spacing w:val="-3"/>
        </w:rPr>
        <w:t>万元全资设立</w:t>
      </w:r>
      <w:r>
        <w:rPr>
          <w:spacing w:val="-3"/>
          <w:sz w:val="23"/>
          <w:szCs w:val="23"/>
        </w:rPr>
        <w:t>杭州鸿昇科技有限公司</w:t>
      </w:r>
      <w:r>
        <w:rPr>
          <w:spacing w:val="-3"/>
        </w:rPr>
        <w:t>（以下简称</w:t>
      </w:r>
      <w:r>
        <w:rPr>
          <w:rFonts w:ascii="Times New Roman" w:hAnsi="Times New Roman" w:cs="Times New Roman" w:eastAsia="Times New Roman" w:hint="default"/>
          <w:spacing w:val="-3"/>
        </w:rPr>
        <w:t>“</w:t>
      </w:r>
      <w:r>
        <w:rPr>
          <w:spacing w:val="-3"/>
          <w:sz w:val="23"/>
          <w:szCs w:val="23"/>
        </w:rPr>
        <w:t>鸿</w:t>
      </w:r>
      <w:r>
        <w:rPr>
          <w:spacing w:val="-57"/>
          <w:sz w:val="23"/>
          <w:szCs w:val="23"/>
        </w:rPr>
        <w:t> </w:t>
      </w:r>
      <w:r>
        <w:rPr>
          <w:spacing w:val="-3"/>
          <w:sz w:val="23"/>
          <w:szCs w:val="23"/>
        </w:rPr>
        <w:t>昇</w:t>
      </w:r>
      <w:r>
        <w:rPr>
          <w:spacing w:val="-3"/>
        </w:rPr>
        <w:t>科技</w:t>
      </w:r>
      <w:r>
        <w:rPr>
          <w:rFonts w:ascii="Times New Roman" w:hAnsi="Times New Roman" w:cs="Times New Roman" w:eastAsia="Times New Roman" w:hint="default"/>
          <w:spacing w:val="-3"/>
        </w:rPr>
        <w:t>”</w:t>
      </w:r>
      <w:r>
        <w:rPr>
          <w:spacing w:val="-3"/>
        </w:rPr>
        <w:t>）。根据章程规定，该公司注册资本为人民币</w:t>
      </w:r>
      <w:r>
        <w:rPr>
          <w:rFonts w:ascii="Times New Roman" w:hAnsi="Times New Roman" w:cs="Times New Roman" w:eastAsia="Times New Roman" w:hint="default"/>
          <w:spacing w:val="-3"/>
        </w:rPr>
        <w:t>1,900</w:t>
      </w:r>
      <w:r>
        <w:rPr>
          <w:spacing w:val="-3"/>
        </w:rPr>
        <w:t>万元，本公司占该公司</w:t>
      </w:r>
      <w:r>
        <w:rPr>
          <w:rFonts w:ascii="Times New Roman" w:hAnsi="Times New Roman" w:cs="Times New Roman" w:eastAsia="Times New Roman" w:hint="default"/>
          <w:spacing w:val="-3"/>
        </w:rPr>
        <w:t>100%</w:t>
      </w:r>
      <w:r>
        <w:rPr>
          <w:spacing w:val="-3"/>
        </w:rPr>
        <w:t>的股权并具有表决</w:t>
      </w:r>
      <w:r>
        <w:rPr>
          <w:spacing w:val="-17"/>
        </w:rPr>
        <w:t> </w:t>
      </w:r>
      <w:r>
        <w:rPr>
          <w:spacing w:val="-17"/>
        </w:rPr>
      </w:r>
      <w:r>
        <w:rPr>
          <w:spacing w:val="-3"/>
        </w:rPr>
        <w:t>权控制。</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23</w:t>
      </w:r>
      <w:r>
        <w:rPr>
          <w:spacing w:val="-3"/>
        </w:rPr>
        <w:t>日，</w:t>
      </w:r>
      <w:r>
        <w:rPr>
          <w:spacing w:val="-3"/>
          <w:sz w:val="23"/>
          <w:szCs w:val="23"/>
        </w:rPr>
        <w:t>鸿昇</w:t>
      </w:r>
      <w:r>
        <w:rPr>
          <w:spacing w:val="-3"/>
        </w:rPr>
        <w:t>科技完成工商设立登记。故自</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月起，将其纳入合并报表范围。截</w:t>
      </w:r>
      <w:r>
        <w:rPr>
          <w:spacing w:val="-29"/>
        </w:rPr>
        <w:t> </w:t>
      </w:r>
      <w:r>
        <w:rPr>
          <w:spacing w:val="-29"/>
        </w:rPr>
      </w:r>
      <w:r>
        <w:rPr/>
        <w:t>至本年末，公司已全额支付投资款。</w:t>
      </w:r>
    </w:p>
    <w:p>
      <w:pPr>
        <w:spacing w:line="240" w:lineRule="auto" w:before="8"/>
        <w:rPr>
          <w:rFonts w:ascii="宋体" w:hAnsi="宋体" w:cs="宋体" w:eastAsia="宋体" w:hint="default"/>
          <w:sz w:val="23"/>
          <w:szCs w:val="23"/>
        </w:rPr>
      </w:pPr>
    </w:p>
    <w:p>
      <w:pPr>
        <w:spacing w:line="487" w:lineRule="auto" w:before="0"/>
        <w:ind w:left="152" w:right="7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6"/>
        <w:spacing w:line="240" w:lineRule="auto" w:before="84"/>
        <w:ind w:right="0"/>
        <w:jc w:val="both"/>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bookmarkStart w:name="6、其他" w:id="410"/>
            <w:bookmarkEnd w:id="410"/>
            <w:r>
              <w:rPr/>
            </w:r>
            <w:r>
              <w:rPr>
                <w:rFonts w:ascii="宋体" w:hAnsi="宋体" w:cs="宋体" w:eastAsia="宋体" w:hint="default"/>
                <w:sz w:val="18"/>
                <w:szCs w:val="18"/>
              </w:rPr>
              <w:t>取得方式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133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极品数据系统公 司</w:t>
            </w:r>
          </w:p>
          <w:p>
            <w:pPr>
              <w:pStyle w:val="TableParagraph"/>
              <w:spacing w:line="300" w:lineRule="auto" w:before="19"/>
              <w:ind w:left="24" w:right="148"/>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TopDataSyste</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Times New Roman" w:hAnsi="Times New Roman" w:cs="Times New Roman" w:eastAsia="Times New Roman" w:hint="default"/>
                <w:sz w:val="18"/>
                <w:szCs w:val="18"/>
              </w:rPr>
              <w:t>msInc.</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硬件服务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上海力克数码科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硬件服务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3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极品数据系统</w:t>
            </w:r>
          </w:p>
          <w:p>
            <w:pPr>
              <w:pStyle w:val="TableParagraph"/>
              <w:spacing w:line="316" w:lineRule="auto" w:before="76"/>
              <w:ind w:left="24" w:right="74"/>
              <w:jc w:val="left"/>
              <w:rPr>
                <w:rFonts w:ascii="宋体" w:hAnsi="宋体" w:cs="宋体" w:eastAsia="宋体" w:hint="default"/>
                <w:sz w:val="18"/>
                <w:szCs w:val="18"/>
              </w:rPr>
            </w:pPr>
            <w:r>
              <w:rPr>
                <w:rFonts w:ascii="宋体" w:hAnsi="宋体" w:cs="宋体" w:eastAsia="宋体" w:hint="default"/>
                <w:sz w:val="18"/>
                <w:szCs w:val="18"/>
              </w:rPr>
              <w:t>（香港）有限公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硬件服务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上海领卓企业管 理咨询有限公司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咨询服务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上海复深蓝信息 技术有限公司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维护服务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非同一控制下并 购</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上海天玑数据技 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硬件服务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北京天玑力拓信 息技术有限公司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维护服务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杭州平民软件有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维护服务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上海缔塔科技有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硬件服务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上海卓之联信息 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维护服务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杭州广捷科技有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维护服务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杭州鸿昇科技有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维护服务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357" w:lineRule="auto" w:before="49"/>
        <w:ind w:left="152" w:right="1854" w:firstLine="0"/>
        <w:jc w:val="left"/>
        <w:rPr>
          <w:rFonts w:ascii="宋体" w:hAnsi="宋体" w:cs="宋体" w:eastAsia="宋体" w:hint="default"/>
          <w:sz w:val="18"/>
          <w:szCs w:val="18"/>
        </w:rPr>
      </w:pPr>
      <w:bookmarkStart w:name="（2）重要的非全资子公司" w:id="411"/>
      <w:bookmarkEnd w:id="411"/>
      <w:r>
        <w:rPr/>
      </w: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57" w:lineRule="auto" w:before="29"/>
        <w:ind w:left="152" w:right="6714"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6"/>
        <w:rPr>
          <w:rFonts w:ascii="宋体" w:hAnsi="宋体" w:cs="宋体" w:eastAsia="宋体" w:hint="default"/>
          <w:sz w:val="20"/>
          <w:szCs w:val="20"/>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3"/>
        <w:gridCol w:w="1913"/>
        <w:gridCol w:w="1915"/>
      </w:tblGrid>
      <w:tr>
        <w:trPr>
          <w:trHeight w:val="76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73"/>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73"/>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上海复深蓝信息技术有 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1,722,325.34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3" w:right="0"/>
              <w:jc w:val="left"/>
              <w:rPr>
                <w:rFonts w:ascii="Times New Roman" w:hAnsi="Times New Roman" w:cs="Times New Roman" w:eastAsia="Times New Roman" w:hint="default"/>
                <w:sz w:val="18"/>
                <w:szCs w:val="18"/>
              </w:rPr>
            </w:pPr>
            <w:r>
              <w:rPr>
                <w:rFonts w:ascii="Times New Roman"/>
                <w:sz w:val="18"/>
              </w:rPr>
              <w:t>6,119,763.85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11,546,437.08</w:t>
            </w:r>
            <w:r>
              <w:rPr>
                <w:rFonts w:ascii="Times New Roman"/>
                <w:sz w:val="18"/>
              </w:rPr>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上海天玑数据技术有限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-2,512,949.42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-1,967,390.76</w:t>
            </w:r>
            <w:r>
              <w:rPr>
                <w:rFonts w:ascii="Times New Roman"/>
                <w:sz w:val="18"/>
              </w:rPr>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5"/>
              <w:jc w:val="center"/>
              <w:rPr>
                <w:rFonts w:ascii="宋体" w:hAnsi="宋体" w:cs="宋体" w:eastAsia="宋体" w:hint="default"/>
                <w:sz w:val="18"/>
                <w:szCs w:val="18"/>
              </w:rPr>
            </w:pPr>
            <w:r>
              <w:rPr>
                <w:rFonts w:ascii="宋体" w:hAnsi="宋体" w:cs="宋体" w:eastAsia="宋体" w:hint="default"/>
                <w:sz w:val="18"/>
                <w:szCs w:val="18"/>
              </w:rPr>
              <w:t>杭州平民软件有限公司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-667,003.39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3,825,472.05</w:t>
            </w:r>
            <w:r>
              <w:rPr>
                <w:rFonts w:ascii="Times New Roman"/>
                <w:sz w:val="18"/>
              </w:rPr>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上海缔塔科技有限公司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-502,934.13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-2,934.13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3"/>
        <w:gridCol w:w="1913"/>
        <w:gridCol w:w="1915"/>
      </w:tblGrid>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上海卓之联信息科技有 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0" w:right="0"/>
              <w:jc w:val="left"/>
              <w:rPr>
                <w:rFonts w:ascii="Times New Roman" w:hAnsi="Times New Roman" w:cs="Times New Roman" w:eastAsia="Times New Roman" w:hint="default"/>
                <w:sz w:val="18"/>
                <w:szCs w:val="18"/>
              </w:rPr>
            </w:pPr>
            <w:r>
              <w:rPr>
                <w:rFonts w:ascii="Times New Roman"/>
                <w:sz w:val="18"/>
              </w:rPr>
              <w:t>-443,274.43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2" w:right="0"/>
              <w:jc w:val="left"/>
              <w:rPr>
                <w:rFonts w:ascii="Times New Roman" w:hAnsi="Times New Roman" w:cs="Times New Roman" w:eastAsia="Times New Roman" w:hint="default"/>
                <w:sz w:val="18"/>
                <w:szCs w:val="18"/>
              </w:rPr>
            </w:pPr>
            <w:r>
              <w:rPr>
                <w:rFonts w:ascii="Times New Roman"/>
                <w:sz w:val="18"/>
              </w:rPr>
              <w:t>-443,274.43</w:t>
            </w:r>
          </w:p>
        </w:tc>
      </w:tr>
    </w:tbl>
    <w:p>
      <w:pPr>
        <w:spacing w:line="357" w:lineRule="auto" w:before="49"/>
        <w:ind w:left="152" w:right="5454"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6"/>
        <w:rPr>
          <w:rFonts w:ascii="宋体" w:hAnsi="宋体" w:cs="宋体" w:eastAsia="宋体" w:hint="default"/>
          <w:sz w:val="20"/>
          <w:szCs w:val="20"/>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bookmarkStart w:name="（3）重要非全资子公司的主要财务信息" w:id="412"/>
      <w:bookmarkEnd w:id="412"/>
      <w:r>
        <w:rPr>
          <w:rFonts w:ascii="Times New Roman" w:hAnsi="Times New Roman" w:cs="Times New Roman" w:eastAsia="Times New Roman" w:hint="default"/>
        </w:rPr>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4"/>
        <w:gridCol w:w="734"/>
        <w:gridCol w:w="737"/>
        <w:gridCol w:w="737"/>
        <w:gridCol w:w="734"/>
        <w:gridCol w:w="737"/>
      </w:tblGrid>
      <w:tr>
        <w:trPr>
          <w:trHeight w:val="403" w:hRule="exact"/>
        </w:trPr>
        <w:tc>
          <w:tcPr>
            <w:tcW w:w="73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7" w:type="dxa"/>
            <w:vMerge/>
            <w:tcBorders>
              <w:left w:val="single" w:sz="4" w:space="0" w:color="000000"/>
              <w:bottom w:val="single" w:sz="4" w:space="0" w:color="000000"/>
              <w:right w:val="single" w:sz="4" w:space="0" w:color="000000"/>
            </w:tcBorders>
            <w:shd w:val="clear" w:color="auto" w:fill="D4D4D4"/>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上海复 深蓝信 息技术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70,226,0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57.58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678,966.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70,905,0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23.84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40,880,2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65.45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41,380,2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65.45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56,084,9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85.99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596,540.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56,681,5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26.85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15,033,1</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72.17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1,130,00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16,163,1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72.17</w:t>
            </w: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上海天 玑数据 技术有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1,516,54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10,185,8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32.08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11,702,3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80.29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11,752,0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68.18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11,752,0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68.18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962,605.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962,605.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271,487.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271,487.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83</w:t>
            </w:r>
          </w:p>
        </w:tc>
      </w:tr>
      <w:tr>
        <w:trPr>
          <w:trHeight w:val="133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杭州平 民软件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8,715,40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98,919.8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8,814,32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1.39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313,272.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313,272.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9,983,27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8.75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9,983,27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8.75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上海缔 塔科技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3,202,54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2.83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3,202,54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2.83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3,209,87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8.15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3,209,87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8.15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上海卓 之联信 息科技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241,737.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48,280.0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290,017.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1,176,56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6.67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1,176,56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6.67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before="49"/>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3"/>
        <w:gridCol w:w="1063"/>
        <w:gridCol w:w="1066"/>
        <w:gridCol w:w="1063"/>
        <w:gridCol w:w="1063"/>
        <w:gridCol w:w="1063"/>
        <w:gridCol w:w="1066"/>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4D4D4"/>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上海复深蓝 信息技术有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97,603,636.7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6,633,161.98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6,633,161.98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-2,982,320.90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81,229,158.6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8,602,644.23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8,602,644.23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-348,299.87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3"/>
        <w:gridCol w:w="1063"/>
        <w:gridCol w:w="1066"/>
        <w:gridCol w:w="1063"/>
        <w:gridCol w:w="1063"/>
        <w:gridCol w:w="1063"/>
        <w:gridCol w:w="1066"/>
      </w:tblGrid>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上海天玑数 据技术有限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1,274,992.48</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-7,740,805.20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-7,740,805.20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2,316,416.46</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-1,308,882.69</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-1,308,882.69</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-1,079,394.86</w:t>
            </w:r>
            <w:r>
              <w:rPr>
                <w:rFonts w:ascii="Times New Roman"/>
                <w:sz w:val="18"/>
              </w:rPr>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5"/>
              <w:jc w:val="left"/>
              <w:rPr>
                <w:rFonts w:ascii="宋体" w:hAnsi="宋体" w:cs="宋体" w:eastAsia="宋体" w:hint="default"/>
                <w:sz w:val="18"/>
                <w:szCs w:val="18"/>
              </w:rPr>
            </w:pPr>
            <w:r>
              <w:rPr>
                <w:rFonts w:ascii="宋体" w:hAnsi="宋体" w:cs="宋体" w:eastAsia="宋体" w:hint="default"/>
                <w:sz w:val="18"/>
                <w:szCs w:val="18"/>
              </w:rPr>
              <w:t>杭州平民软 件有限公司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49,126.21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-1,482,229.75</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-1,482,229.75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-1,150,429.17</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-16,721.25</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-16,721.25</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-16,721.25</w:t>
            </w:r>
            <w:r>
              <w:rPr>
                <w:rFonts w:ascii="Times New Roman"/>
                <w:sz w:val="18"/>
              </w:rPr>
            </w:r>
          </w:p>
        </w:tc>
      </w:tr>
      <w:tr>
        <w:trPr>
          <w:trHeight w:val="71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left"/>
              <w:rPr>
                <w:rFonts w:ascii="宋体" w:hAnsi="宋体" w:cs="宋体" w:eastAsia="宋体" w:hint="default"/>
                <w:sz w:val="18"/>
                <w:szCs w:val="18"/>
              </w:rPr>
            </w:pPr>
            <w:r>
              <w:rPr>
                <w:rFonts w:ascii="宋体" w:hAnsi="宋体" w:cs="宋体" w:eastAsia="宋体" w:hint="default"/>
                <w:sz w:val="18"/>
                <w:szCs w:val="18"/>
              </w:rPr>
              <w:t>上海缔塔科 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2,979,875.12</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-1,257,335.32</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-1,257,335.32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-191,287.17</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5"/>
              <w:jc w:val="both"/>
              <w:rPr>
                <w:rFonts w:ascii="宋体" w:hAnsi="宋体" w:cs="宋体" w:eastAsia="宋体" w:hint="default"/>
                <w:sz w:val="18"/>
                <w:szCs w:val="18"/>
              </w:rPr>
            </w:pPr>
            <w:r>
              <w:rPr>
                <w:rFonts w:ascii="宋体" w:hAnsi="宋体" w:cs="宋体" w:eastAsia="宋体" w:hint="default"/>
                <w:sz w:val="18"/>
                <w:szCs w:val="18"/>
              </w:rPr>
              <w:t>上海卓之联 信息科技有 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-886,548.86</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41" w:right="0"/>
              <w:jc w:val="center"/>
              <w:rPr>
                <w:rFonts w:ascii="Times New Roman" w:hAnsi="Times New Roman" w:cs="Times New Roman" w:eastAsia="Times New Roman" w:hint="default"/>
                <w:sz w:val="18"/>
                <w:szCs w:val="18"/>
              </w:rPr>
            </w:pPr>
            <w:r>
              <w:rPr>
                <w:rFonts w:ascii="Times New Roman"/>
                <w:sz w:val="18"/>
              </w:rPr>
              <w:t>-886,548.86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113,652.01</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bookmarkStart w:name="（1）重要的合营企业或联营企业" w:id="413"/>
      <w:bookmarkEnd w:id="413"/>
      <w:r>
        <w:rPr/>
      </w: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t>（</w:t>
      </w:r>
      <w:r>
        <w:rPr>
          <w:rFonts w:ascii="Times New Roman" w:hAnsi="Times New Roman" w:cs="Times New Roman" w:eastAsia="Times New Roman" w:hint="default"/>
        </w:rPr>
        <w:t>4</w:t>
      </w:r>
      <w:r>
        <w:rPr/>
        <w:t>）使用企业集团资产和</w:t>
      </w:r>
      <w:bookmarkStart w:name="（4）使用企业集团资产和清偿企业集团债务的重大限制" w:id="414"/>
      <w:bookmarkEnd w:id="414"/>
      <w:r>
        <w:rPr/>
        <w:t>清偿企业集团债务</w:t>
      </w:r>
      <w:r>
        <w:rPr/>
        <w:t>的重大限制</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5</w:t>
      </w:r>
      <w:r>
        <w:rPr/>
        <w:t>）向纳入合并财务报表范围的结构化主体提供的</w:t>
      </w:r>
      <w:bookmarkStart w:name="（5）向纳入合并财务报表范围的结构化主体提供的财务支持或其他支持" w:id="415"/>
      <w:bookmarkEnd w:id="415"/>
      <w:r>
        <w:rPr/>
        <w:t>财务支持或其他支持</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0"/>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在子公司的所有者权益份额发生变化且仍控制子公司的交易" w:id="416"/>
      <w:bookmarkEnd w:id="416"/>
      <w:r>
        <w:rPr/>
      </w:r>
      <w:bookmarkStart w:name="（1）在子公司所有者权益份额发生变化的情况说明" w:id="417"/>
      <w:bookmarkEnd w:id="417"/>
      <w:r>
        <w:rPr/>
      </w:r>
      <w:bookmarkStart w:name="（2）交易对于少数股东权益及归属于母公司所有者权益的影响" w:id="418"/>
      <w:bookmarkEnd w:id="418"/>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3;top:14;width:2;height:394" coordorigin="23,14" coordsize="2,394">
              <v:shape style="position:absolute;left:23;top:14;width:2;height:394" coordorigin="23,14" coordsize="0,394" path="m23,14l23,408e" filled="false" stroked="true" strokeweight="1.08pt" strokecolor="#d4d4d4">
                <v:path arrowok="t"/>
              </v:shape>
            </v:group>
            <v:group style="position:absolute;left:4774;top:14;width:2;height:394" coordorigin="4774,14" coordsize="2,394">
              <v:shape style="position:absolute;left:4774;top:14;width:2;height:394" coordorigin="4774,14" coordsize="0,394" path="m4774,14l4774,408e" filled="false" stroked="true" strokeweight="1.2pt" strokecolor="#d4d4d4">
                <v:path arrowok="t"/>
              </v:shape>
            </v:group>
            <v:group style="position:absolute;left:34;top:14;width:4728;height:394" coordorigin="34,14" coordsize="4728,394">
              <v:shape style="position:absolute;left:34;top:14;width:4728;height:394" coordorigin="34,14" coordsize="4728,394" path="m34,408l4762,408,4762,14,34,14,34,408xe" filled="true" fillcolor="#d4d4d4" stroked="false">
                <v:path arrowok="t"/>
                <v:fill type="solid"/>
              </v:shape>
            </v:group>
            <v:group style="position:absolute;left:4806;top:14;width:2;height:394" coordorigin="4806,14" coordsize="2,394">
              <v:shape style="position:absolute;left:4806;top:14;width:2;height:394" coordorigin="4806,14" coordsize="0,394" path="m4806,14l4806,408e" filled="false" stroked="true" strokeweight="1.08pt" strokecolor="#e1ffff">
                <v:path arrowok="t"/>
              </v:shape>
            </v:group>
            <v:group style="position:absolute;left:9557;top:14;width:2;height:394" coordorigin="9557,14" coordsize="2,394">
              <v:shape style="position:absolute;left:9557;top:14;width:2;height:394" coordorigin="9557,14" coordsize="0,394" path="m9557,14l9557,408e" filled="false" stroked="true" strokeweight="1.2pt" strokecolor="#e1ffff">
                <v:path arrowok="t"/>
              </v:shape>
            </v:group>
            <v:group style="position:absolute;left:4817;top:14;width:4728;height:394" coordorigin="4817,14" coordsize="4728,394">
              <v:shape style="position:absolute;left:4817;top:14;width:4728;height:394" coordorigin="4817,14" coordsize="4728,394" path="m4817,408l9545,408,9545,14,4817,14,4817,408xe" filled="true" fillcolor="#e1ffff" stroked="false">
                <v:path arrowok="t"/>
                <v:fill type="solid"/>
              </v:shape>
            </v:group>
            <v:group style="position:absolute;left:10;top:10;width:4774;height:2" coordorigin="10,10" coordsize="4774,2">
              <v:shape style="position:absolute;left:10;top:10;width:4774;height:2" coordorigin="10,10" coordsize="4774,0" path="m10,10l4783,10e" filled="false" stroked="true" strokeweight=".48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4;height:2" coordorigin="10,413" coordsize="4774,2">
              <v:shape style="position:absolute;left:10;top:413;width:4774;height:2" coordorigin="10,413" coordsize="4774,0" path="m10,413l4783,413e" filled="false" stroked="true" strokeweight=".48pt" strokecolor="#000000">
                <v:path arrowok="t"/>
              </v:shape>
            </v:group>
            <v:group style="position:absolute;left:4788;top:5;width:2;height:413" coordorigin="4788,5" coordsize="2,413">
              <v:shape style="position:absolute;left:4788;top:5;width:2;height:413" coordorigin="4788,5" coordsize="0,413" path="m4788,5l4788,418e" filled="false" stroked="true" strokeweight=".48pt" strokecolor="#000000">
                <v:path arrowok="t"/>
              </v:shape>
            </v:group>
            <v:group style="position:absolute;left:4793;top:413;width:4776;height:2" coordorigin="4793,413" coordsize="4776,2">
              <v:shape style="position:absolute;left:4793;top:413;width:4776;height:2" coordorigin="4793,413" coordsize="4776,0" path="m4793,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group>
          </v:group>
        </w:pict>
      </w:r>
      <w:r>
        <w:rPr>
          <w:rFonts w:ascii="宋体" w:hAnsi="宋体" w:cs="宋体" w:eastAsia="宋体" w:hint="default"/>
          <w:position w:val="-7"/>
          <w:sz w:val="20"/>
          <w:szCs w:val="20"/>
        </w:rPr>
      </w: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21"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47" w:right="47"/>
              <w:jc w:val="center"/>
              <w:rPr>
                <w:rFonts w:ascii="宋体" w:hAnsi="宋体" w:cs="宋体" w:eastAsia="宋体" w:hint="default"/>
                <w:sz w:val="18"/>
                <w:szCs w:val="18"/>
              </w:rPr>
            </w:pPr>
            <w:bookmarkStart w:name="3、在合营安排或联营企业中的权益" w:id="419"/>
            <w:bookmarkEnd w:id="419"/>
            <w:r>
              <w:rPr/>
            </w: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1"/>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上海亿富金融信 息服务有限公司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深圳市杉岩数据 技术有限公司</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0"/>
        <w:ind w:left="152" w:right="0" w:firstLine="0"/>
        <w:jc w:val="left"/>
        <w:rPr>
          <w:rFonts w:ascii="宋体" w:hAnsi="宋体" w:cs="宋体" w:eastAsia="宋体" w:hint="default"/>
          <w:sz w:val="18"/>
          <w:szCs w:val="18"/>
        </w:rPr>
      </w:pPr>
      <w:bookmarkStart w:name="（4）不重要的合营企业和联营企业的汇总财务信息" w:id="420"/>
      <w:bookmarkEnd w:id="420"/>
      <w:r>
        <w:rPr/>
      </w:r>
      <w:r>
        <w:rPr>
          <w:rFonts w:ascii="宋体" w:hAnsi="宋体" w:cs="宋体" w:eastAsia="宋体" w:hint="default"/>
          <w:sz w:val="18"/>
          <w:szCs w:val="18"/>
        </w:rPr>
        <w:t>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pStyle w:val="BodyText"/>
        <w:spacing w:line="240" w:lineRule="auto" w:before="80"/>
        <w:ind w:right="0"/>
        <w:jc w:val="left"/>
      </w:pPr>
      <w:r>
        <w:rPr/>
        <w:t>董事会中占有席位，具有重大影响。</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bookmarkStart w:name="（2）重要合营企业的主要财务信息" w:id="421"/>
      <w:bookmarkEnd w:id="421"/>
      <w:r>
        <w:rPr>
          <w:rFonts w:ascii="Times New Roman" w:hAnsi="Times New Roman" w:cs="Times New Roman" w:eastAsia="Times New Roman" w:hint="default"/>
        </w:rPr>
      </w:r>
      <w:r>
        <w:rPr/>
        <w:t>）重要合营企业的主要财务信息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9"/>
        <w:gridCol w:w="3188"/>
        <w:gridCol w:w="3192"/>
      </w:tblGrid>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188" w:type="dxa"/>
            <w:tcBorders>
              <w:top w:val="single" w:sz="4" w:space="0" w:color="000000"/>
              <w:left w:val="single" w:sz="10" w:space="0" w:color="D4D4D4"/>
              <w:bottom w:val="single" w:sz="4" w:space="0" w:color="000000"/>
              <w:right w:val="single" w:sz="4" w:space="0" w:color="000000"/>
            </w:tcBorders>
            <w:shd w:val="clear" w:color="auto" w:fill="E1FFFF"/>
          </w:tcPr>
          <w:p>
            <w:pPr/>
          </w:p>
        </w:tc>
        <w:tc>
          <w:tcPr>
            <w:tcW w:w="3192" w:type="dxa"/>
            <w:tcBorders>
              <w:top w:val="single" w:sz="4" w:space="0" w:color="000000"/>
              <w:left w:val="single" w:sz="4" w:space="0" w:color="000000"/>
              <w:bottom w:val="single" w:sz="4" w:space="0" w:color="000000"/>
              <w:right w:val="single" w:sz="4" w:space="0" w:color="000000"/>
            </w:tcBorders>
            <w:shd w:val="clear" w:color="auto" w:fill="E1FFFF"/>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3）重要联营企业的主要财务信息" w:id="422"/>
      <w:bookmarkEnd w:id="422"/>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2"/>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00" w:type="dxa"/>
            <w:tcBorders>
              <w:top w:val="single" w:sz="4" w:space="0" w:color="000000"/>
              <w:left w:val="single" w:sz="10" w:space="0" w:color="D4D4D4"/>
              <w:bottom w:val="single" w:sz="4" w:space="0" w:color="000000"/>
              <w:right w:val="single" w:sz="4" w:space="0" w:color="000000"/>
            </w:tcBorders>
            <w:shd w:val="clear" w:color="auto" w:fill="E1FFFF"/>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亿富金融</w:t>
            </w:r>
          </w:p>
        </w:tc>
        <w:tc>
          <w:tcPr>
            <w:tcW w:w="3192" w:type="dxa"/>
            <w:tcBorders>
              <w:top w:val="single" w:sz="4" w:space="0" w:color="000000"/>
              <w:left w:val="single" w:sz="4" w:space="0" w:color="000000"/>
              <w:bottom w:val="single" w:sz="4" w:space="0" w:color="000000"/>
              <w:right w:val="single" w:sz="4" w:space="0" w:color="000000"/>
            </w:tcBorders>
            <w:shd w:val="clear" w:color="auto" w:fill="E1FFFF"/>
          </w:tcPr>
          <w:p>
            <w:pP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3,294,489.23</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750,365.29</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4,044,854.52</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98,276.39</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98,276.39</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3,946,578.13</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789,315.63</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-793,421.87</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-793,421.87</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0"/>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5"/>
      </w:tblGrid>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5</w:t>
      </w:r>
      <w:bookmarkStart w:name="（5）合营企业或联营企业向本公司转移资金的能力存在重大限制的说明" w:id="423"/>
      <w:bookmarkEnd w:id="423"/>
      <w:r>
        <w:rPr>
          <w:rFonts w:ascii="Times New Roman" w:hAnsi="Times New Roman" w:cs="Times New Roman" w:eastAsia="Times New Roman" w:hint="default"/>
        </w:rPr>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6</w:t>
      </w:r>
      <w:bookmarkStart w:name="（6）合营企业或联营企业发生的超额亏损" w:id="424"/>
      <w:bookmarkEnd w:id="424"/>
      <w:r>
        <w:rPr>
          <w:rFonts w:ascii="Times New Roman" w:hAnsi="Times New Roman" w:cs="Times New Roman" w:eastAsia="Times New Roman" w:hint="default"/>
        </w:rPr>
      </w:r>
      <w:r>
        <w:rPr/>
        <w:t>）合营企业或联营企业发生的超额亏损</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0"/>
        <w:gridCol w:w="2395"/>
      </w:tblGrid>
      <w:tr>
        <w:trPr>
          <w:trHeight w:val="713"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50" w:right="19"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0"/>
        <w:ind w:right="0"/>
        <w:jc w:val="left"/>
        <w:rPr>
          <w:b w:val="0"/>
          <w:bCs w:val="0"/>
        </w:rPr>
      </w:pPr>
      <w:r>
        <w:rPr/>
        <w:t>（</w:t>
      </w:r>
      <w:r>
        <w:rPr>
          <w:rFonts w:ascii="Times New Roman" w:hAnsi="Times New Roman" w:cs="Times New Roman" w:eastAsia="Times New Roman" w:hint="default"/>
        </w:rPr>
        <w:t>7</w:t>
      </w:r>
      <w:r>
        <w:rPr/>
        <w:t>）与合营企业投资相关</w:t>
      </w:r>
      <w:bookmarkStart w:name="（7）与合营企业投资相关的未确认承诺" w:id="425"/>
      <w:bookmarkEnd w:id="425"/>
      <w:r>
        <w:rPr/>
        <w:t>的未确认承诺</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8</w:t>
      </w:r>
      <w:r>
        <w:rPr/>
        <w:t>）与合营企业或联营企</w:t>
      </w:r>
      <w:bookmarkStart w:name="（8）与合营企业或联营企业投资相关的或有负债" w:id="426"/>
      <w:bookmarkEnd w:id="426"/>
      <w:r>
        <w:rPr/>
        <w:t>业投资相关的或有</w:t>
      </w:r>
      <w:r>
        <w:rPr/>
        <w:t>负债</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6"/>
        <w:gridCol w:w="1594"/>
        <w:gridCol w:w="1594"/>
        <w:gridCol w:w="1594"/>
        <w:gridCol w:w="1583"/>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1" w:right="0"/>
              <w:jc w:val="left"/>
              <w:rPr>
                <w:rFonts w:ascii="宋体" w:hAnsi="宋体" w:cs="宋体" w:eastAsia="宋体" w:hint="default"/>
                <w:sz w:val="18"/>
                <w:szCs w:val="18"/>
              </w:rPr>
            </w:pPr>
            <w:bookmarkStart w:name="4、重要的共同经营" w:id="427"/>
            <w:bookmarkEnd w:id="427"/>
            <w:r>
              <w:rPr/>
            </w:r>
            <w:r>
              <w:rPr>
                <w:rFonts w:ascii="宋体" w:hAnsi="宋体" w:cs="宋体" w:eastAsia="宋体" w:hint="default"/>
                <w:sz w:val="18"/>
                <w:szCs w:val="18"/>
              </w:rPr>
              <w:t>业务性质</w:t>
            </w:r>
          </w:p>
        </w:tc>
        <w:tc>
          <w:tcPr>
            <w:tcW w:w="317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4D4D4"/>
          </w:tcPr>
          <w:p>
            <w:pPr/>
          </w:p>
        </w:tc>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57" w:lineRule="auto" w:before="49"/>
        <w:ind w:left="152" w:right="4554"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0"/>
        <w:ind w:right="0"/>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line="240" w:lineRule="auto" w:before="0"/>
        <w:rPr>
          <w:rFonts w:ascii="宋体" w:hAnsi="宋体" w:cs="宋体" w:eastAsia="宋体" w:hint="default"/>
          <w:sz w:val="18"/>
          <w:szCs w:val="18"/>
        </w:rPr>
      </w:pPr>
    </w:p>
    <w:p>
      <w:pPr>
        <w:pStyle w:val="Heading6"/>
        <w:spacing w:line="240" w:lineRule="auto" w:before="120"/>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4"/>
        <w:spacing w:line="240" w:lineRule="auto"/>
        <w:ind w:right="0"/>
        <w:jc w:val="left"/>
        <w:rPr>
          <w:b w:val="0"/>
          <w:bCs w:val="0"/>
        </w:rPr>
      </w:pPr>
      <w:r>
        <w:rPr/>
        <w:t>十、与金融工具相关的风险</w:t>
      </w:r>
      <w:r>
        <w:rPr>
          <w:b w:val="0"/>
          <w:bCs w:val="0"/>
        </w:rPr>
      </w:r>
    </w:p>
    <w:p>
      <w:pPr>
        <w:spacing w:line="240" w:lineRule="auto" w:before="9"/>
        <w:rPr>
          <w:rFonts w:ascii="宋体" w:hAnsi="宋体" w:cs="宋体" w:eastAsia="宋体" w:hint="default"/>
          <w:b/>
          <w:bCs/>
          <w:sz w:val="24"/>
          <w:szCs w:val="24"/>
        </w:rPr>
      </w:pPr>
    </w:p>
    <w:p>
      <w:pPr>
        <w:pStyle w:val="BodyText"/>
        <w:spacing w:line="273" w:lineRule="auto"/>
        <w:ind w:right="0"/>
        <w:jc w:val="left"/>
      </w:pPr>
      <w:r>
        <w:rPr>
          <w:spacing w:val="-2"/>
        </w:rPr>
        <w:t>本公司主要的金融工具包括应收账款、应收票据、预付账款、应付账款等。</w:t>
      </w:r>
      <w:bookmarkStart w:name="5、在未纳入合并财务报表范围的结构化主体中的权益" w:id="428"/>
      <w:bookmarkEnd w:id="428"/>
      <w:r>
        <w:rPr>
          <w:spacing w:val="-2"/>
        </w:rPr>
        <w:t>公司</w:t>
      </w:r>
      <w:r>
        <w:rPr>
          <w:spacing w:val="-2"/>
        </w:rPr>
        <w:t>在经营</w:t>
      </w:r>
      <w:bookmarkStart w:name="6、其他" w:id="429"/>
      <w:bookmarkEnd w:id="429"/>
      <w:r>
        <w:rPr>
          <w:spacing w:val="-2"/>
        </w:rPr>
        <w:t>过</w:t>
      </w:r>
      <w:r>
        <w:rPr>
          <w:spacing w:val="-2"/>
        </w:rPr>
        <w:t>程中面</w:t>
      </w:r>
      <w:bookmarkStart w:name="十、与金融工具相关的风险" w:id="430"/>
      <w:bookmarkEnd w:id="430"/>
      <w:r>
        <w:rPr>
          <w:spacing w:val="-2"/>
        </w:rPr>
        <w:t>临</w:t>
      </w:r>
      <w:r>
        <w:rPr>
          <w:spacing w:val="-2"/>
        </w:rPr>
        <w:t>各种金</w:t>
      </w:r>
      <w:r>
        <w:rPr>
          <w:spacing w:val="-44"/>
        </w:rPr>
        <w:t> </w:t>
      </w:r>
      <w:r>
        <w:rPr>
          <w:spacing w:val="-44"/>
        </w:rPr>
      </w:r>
      <w:r>
        <w:rPr>
          <w:spacing w:val="-2"/>
        </w:rPr>
        <w:t>融风险：信用风险、市场风险和流动性风险。公司董事会全面负责风险管理目标和政策的确定，并对风险</w:t>
      </w:r>
      <w:r>
        <w:rPr>
          <w:spacing w:val="-47"/>
        </w:rPr>
        <w:t> </w:t>
      </w:r>
      <w:r>
        <w:rPr>
          <w:spacing w:val="-47"/>
        </w:rPr>
      </w:r>
      <w:r>
        <w:rPr>
          <w:spacing w:val="-2"/>
        </w:rPr>
        <w:t>管理目标和政策承担最终责任，但是董事会已授权本公司财务部门设计和实施能确保风险管理目标和政策</w:t>
      </w:r>
      <w:r>
        <w:rPr>
          <w:spacing w:val="-43"/>
        </w:rPr>
        <w:t> </w:t>
      </w:r>
      <w:r>
        <w:rPr>
          <w:spacing w:val="-43"/>
        </w:rPr>
      </w:r>
      <w:r>
        <w:rPr>
          <w:spacing w:val="-2"/>
        </w:rPr>
        <w:t>得以有效执行的程序。董事会通过财务负责人递交的月度报告来审查已执行程序的有效性以及风险管理目</w:t>
      </w:r>
      <w:r>
        <w:rPr>
          <w:spacing w:val="-43"/>
        </w:rPr>
        <w:t> </w:t>
      </w:r>
      <w:r>
        <w:rPr>
          <w:spacing w:val="-43"/>
        </w:rPr>
      </w:r>
      <w:r>
        <w:rPr>
          <w:spacing w:val="-2"/>
        </w:rPr>
        <w:t>标和政策的合理性。本公司的内部审计师也会审计风险管理的政策和程序，并且将有关发现汇报给审计委</w:t>
      </w:r>
      <w:r>
        <w:rPr>
          <w:spacing w:val="-42"/>
        </w:rPr>
        <w:t> </w:t>
      </w:r>
      <w:r>
        <w:rPr>
          <w:spacing w:val="-42"/>
        </w:rPr>
      </w:r>
      <w:r>
        <w:rPr/>
        <w:t>员会。</w:t>
      </w:r>
      <w:r>
        <w:rPr>
          <w:spacing w:val="-102"/>
        </w:rPr>
        <w:t> </w:t>
      </w:r>
      <w:r>
        <w:rPr>
          <w:spacing w:val="-2"/>
        </w:rPr>
        <w:t>本公司风险管理的总体目标是在不过度影响公司竞争力和应变力的情况下，制定尽可能降低风险的风险管</w:t>
      </w:r>
      <w:r>
        <w:rPr>
          <w:spacing w:val="-43"/>
        </w:rPr>
        <w:t> </w:t>
      </w:r>
      <w:r>
        <w:rPr>
          <w:spacing w:val="-43"/>
        </w:rPr>
      </w:r>
      <w:r>
        <w:rPr/>
        <w:t>理政策。</w:t>
      </w:r>
    </w:p>
    <w:p>
      <w:pPr>
        <w:spacing w:line="240" w:lineRule="auto" w:before="6"/>
        <w:rPr>
          <w:rFonts w:ascii="宋体" w:hAnsi="宋体" w:cs="宋体" w:eastAsia="宋体" w:hint="default"/>
          <w:sz w:val="24"/>
          <w:szCs w:val="24"/>
        </w:rPr>
      </w:pPr>
    </w:p>
    <w:p>
      <w:pPr>
        <w:pStyle w:val="BodyText"/>
        <w:tabs>
          <w:tab w:pos="992" w:val="left" w:leader="none"/>
        </w:tabs>
        <w:spacing w:line="268" w:lineRule="auto"/>
        <w:ind w:right="149"/>
        <w:jc w:val="left"/>
      </w:pPr>
      <w:r>
        <w:rPr>
          <w:rFonts w:ascii="Times New Roman" w:hAnsi="Times New Roman" w:cs="Times New Roman" w:eastAsia="Times New Roman" w:hint="default"/>
          <w:b/>
          <w:bCs/>
        </w:rPr>
        <w:t>(</w:t>
      </w:r>
      <w:r>
        <w:rPr>
          <w:rFonts w:ascii="宋体" w:hAnsi="宋体" w:cs="宋体" w:eastAsia="宋体" w:hint="default"/>
          <w:b/>
          <w:bCs/>
        </w:rPr>
        <w:t>一</w:t>
      </w:r>
      <w:r>
        <w:rPr>
          <w:rFonts w:ascii="Times New Roman" w:hAnsi="Times New Roman" w:cs="Times New Roman" w:eastAsia="Times New Roman" w:hint="default"/>
          <w:b/>
          <w:bCs/>
        </w:rPr>
        <w:t>)</w:t>
        <w:tab/>
      </w:r>
      <w:r>
        <w:rPr>
          <w:rFonts w:ascii="宋体" w:hAnsi="宋体" w:cs="宋体" w:eastAsia="宋体" w:hint="default"/>
          <w:b/>
          <w:bCs/>
        </w:rPr>
        <w:t>信用风险</w:t>
      </w:r>
      <w:r>
        <w:rPr>
          <w:rFonts w:ascii="宋体" w:hAnsi="宋体" w:cs="宋体" w:eastAsia="宋体" w:hint="default"/>
          <w:b/>
          <w:bCs/>
          <w:w w:val="100"/>
        </w:rPr>
        <w:t> </w:t>
      </w:r>
      <w:r>
        <w:rPr>
          <w:spacing w:val="-2"/>
        </w:rPr>
        <w:t>信用风险是指金融工具的一方不履行义务，造成另一方发生财务损失的风险。本公司主要面临赊销导致的</w:t>
      </w:r>
      <w:r>
        <w:rPr>
          <w:spacing w:val="-44"/>
        </w:rPr>
        <w:t> </w:t>
      </w:r>
      <w:r>
        <w:rPr>
          <w:spacing w:val="-44"/>
        </w:rPr>
      </w:r>
      <w:r>
        <w:rPr>
          <w:spacing w:val="-2"/>
        </w:rPr>
        <w:t>客户信用风险。在签订新合同之前，本公司会对新客户的信用风险进行评估，包括外部信用评级和在某些</w:t>
      </w:r>
      <w:r>
        <w:rPr>
          <w:spacing w:val="-48"/>
        </w:rPr>
        <w:t> </w:t>
      </w:r>
      <w:r>
        <w:rPr>
          <w:spacing w:val="-48"/>
        </w:rPr>
      </w:r>
      <w:r>
        <w:rPr>
          <w:spacing w:val="-2"/>
        </w:rPr>
        <w:t>情况下的银行资信证明（当此信息可获取时）。公司对每一客户均设置了赊销限额，该限额为无需获得额</w:t>
      </w:r>
      <w:r>
        <w:rPr>
          <w:spacing w:val="-47"/>
        </w:rPr>
        <w:t> </w:t>
      </w:r>
      <w:r>
        <w:rPr>
          <w:spacing w:val="-47"/>
        </w:rPr>
      </w:r>
      <w:r>
        <w:rPr/>
        <w:t>外批准的最大额度。</w:t>
      </w:r>
    </w:p>
    <w:p>
      <w:pPr>
        <w:spacing w:after="0" w:line="268"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BodyText"/>
        <w:spacing w:line="266" w:lineRule="auto" w:before="36"/>
        <w:ind w:right="146"/>
        <w:jc w:val="both"/>
      </w:pPr>
      <w:bookmarkStart w:name="十一、公允价值的披露" w:id="431"/>
      <w:bookmarkEnd w:id="431"/>
      <w:r>
        <w:rPr/>
      </w:r>
      <w:bookmarkStart w:name="1、以公允价值计量的资产和负债的期末公允价值" w:id="432"/>
      <w:bookmarkEnd w:id="432"/>
      <w:r>
        <w:rPr/>
      </w:r>
      <w:r>
        <w:rPr>
          <w:spacing w:val="2"/>
        </w:rPr>
        <w:t>公司通过对已有客户信用评级的定期监控以及应收账款账龄分析的月度审核来确保公司的整体信用风险</w:t>
      </w:r>
      <w:r>
        <w:rPr>
          <w:spacing w:val="-28"/>
        </w:rPr>
        <w:t> </w:t>
      </w:r>
      <w:r>
        <w:rPr>
          <w:spacing w:val="-28"/>
        </w:rPr>
      </w:r>
      <w:r>
        <w:rPr>
          <w:spacing w:val="-2"/>
        </w:rPr>
        <w:t>在可控的范围内。在监控客户的信用风险时，按照客户的信用特征对其分组。被评为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级别的客户</w:t>
      </w:r>
      <w:r>
        <w:rPr>
          <w:spacing w:val="-18"/>
        </w:rPr>
        <w:t> </w:t>
      </w:r>
      <w:r>
        <w:rPr>
          <w:spacing w:val="-18"/>
        </w:rPr>
      </w:r>
      <w:r>
        <w:rPr>
          <w:spacing w:val="-2"/>
        </w:rPr>
        <w:t>会放在受限制客户名单里，并且只有在额外批准的前提下，公司才可在未来期间内对其赊销，否则必须要</w:t>
      </w:r>
      <w:r>
        <w:rPr>
          <w:spacing w:val="-44"/>
        </w:rPr>
        <w:t> </w:t>
      </w:r>
      <w:r>
        <w:rPr>
          <w:spacing w:val="-44"/>
        </w:rPr>
      </w:r>
      <w:r>
        <w:rPr/>
        <w:t>求其提前支付相应款项。</w:t>
      </w:r>
    </w:p>
    <w:p>
      <w:pPr>
        <w:spacing w:line="240" w:lineRule="auto" w:before="12"/>
        <w:rPr>
          <w:rFonts w:ascii="宋体" w:hAnsi="宋体" w:cs="宋体" w:eastAsia="宋体" w:hint="default"/>
          <w:sz w:val="24"/>
          <w:szCs w:val="24"/>
        </w:rPr>
      </w:pPr>
    </w:p>
    <w:p>
      <w:pPr>
        <w:pStyle w:val="BodyText"/>
        <w:tabs>
          <w:tab w:pos="992" w:val="left" w:leader="none"/>
        </w:tabs>
        <w:spacing w:line="264" w:lineRule="auto"/>
        <w:ind w:right="149"/>
        <w:jc w:val="left"/>
      </w:pPr>
      <w:r>
        <w:rPr>
          <w:rFonts w:ascii="Times New Roman" w:hAnsi="Times New Roman" w:cs="Times New Roman" w:eastAsia="Times New Roman" w:hint="default"/>
          <w:b/>
          <w:bCs/>
        </w:rPr>
        <w:t>(</w:t>
      </w:r>
      <w:r>
        <w:rPr>
          <w:rFonts w:ascii="宋体" w:hAnsi="宋体" w:cs="宋体" w:eastAsia="宋体" w:hint="default"/>
          <w:b/>
          <w:bCs/>
        </w:rPr>
        <w:t>二</w:t>
      </w:r>
      <w:r>
        <w:rPr>
          <w:rFonts w:ascii="Times New Roman" w:hAnsi="Times New Roman" w:cs="Times New Roman" w:eastAsia="Times New Roman" w:hint="default"/>
          <w:b/>
          <w:bCs/>
        </w:rPr>
        <w:t>)</w:t>
        <w:tab/>
      </w:r>
      <w:r>
        <w:rPr>
          <w:rFonts w:ascii="宋体" w:hAnsi="宋体" w:cs="宋体" w:eastAsia="宋体" w:hint="default"/>
          <w:b/>
          <w:bCs/>
        </w:rPr>
        <w:t>市场风险</w:t>
      </w:r>
      <w:r>
        <w:rPr>
          <w:rFonts w:ascii="宋体" w:hAnsi="宋体" w:cs="宋体" w:eastAsia="宋体" w:hint="default"/>
          <w:b/>
          <w:bCs/>
          <w:w w:val="100"/>
        </w:rPr>
        <w:t> </w:t>
      </w:r>
      <w:r>
        <w:rPr>
          <w:spacing w:val="-2"/>
        </w:rPr>
        <w:t>金融工具的市场风险，是指金融工具的公允价值或未来现金流量因市场价格变动而发生波动的风险，包括</w:t>
      </w:r>
      <w:r>
        <w:rPr>
          <w:spacing w:val="-43"/>
        </w:rPr>
        <w:t> </w:t>
      </w:r>
      <w:r>
        <w:rPr>
          <w:spacing w:val="-43"/>
        </w:rPr>
      </w:r>
      <w:r>
        <w:rPr/>
        <w:t>汇率风险和利率风险。</w:t>
      </w:r>
    </w:p>
    <w:p>
      <w:pPr>
        <w:pStyle w:val="BodyText"/>
        <w:spacing w:line="261" w:lineRule="auto" w:before="16"/>
        <w:ind w:right="0"/>
        <w:jc w:val="left"/>
      </w:pPr>
      <w:r>
        <w:rPr/>
        <w:t>（</w:t>
      </w:r>
      <w:r>
        <w:rPr>
          <w:rFonts w:ascii="Times New Roman" w:hAnsi="Times New Roman" w:cs="Times New Roman" w:eastAsia="Times New Roman" w:hint="default"/>
        </w:rPr>
        <w:t>1</w:t>
      </w:r>
      <w:r>
        <w:rPr/>
        <w:t>）利率风险</w:t>
      </w:r>
      <w:r>
        <w:rPr>
          <w:w w:val="100"/>
        </w:rPr>
        <w:t> </w:t>
      </w:r>
      <w:r>
        <w:rPr>
          <w:spacing w:val="-2"/>
        </w:rPr>
        <w:t>利率风险，是指金融工具的公允价值或未来现金流量因市场利率变动而发生波动的风险。本公司目前不存</w:t>
      </w:r>
      <w:r>
        <w:rPr>
          <w:spacing w:val="-44"/>
        </w:rPr>
        <w:t> </w:t>
      </w:r>
      <w:r>
        <w:rPr>
          <w:spacing w:val="-44"/>
        </w:rPr>
      </w:r>
      <w:r>
        <w:rPr>
          <w:spacing w:val="-2"/>
        </w:rPr>
        <w:t>在长期带息负债，短期借款金额较小且即将于</w:t>
      </w:r>
      <w:r>
        <w:rPr>
          <w:rFonts w:ascii="Times New Roman" w:hAnsi="Times New Roman" w:cs="Times New Roman" w:eastAsia="Times New Roman" w:hint="default"/>
          <w:spacing w:val="-2"/>
        </w:rPr>
        <w:t>2015</w:t>
      </w:r>
      <w:r>
        <w:rPr>
          <w:spacing w:val="-2"/>
        </w:rPr>
        <w:t>年第一季度内到期，管理层认为公司目前利率风险较小</w:t>
      </w:r>
      <w:r>
        <w:rPr>
          <w:spacing w:val="-39"/>
        </w:rPr>
        <w:t> </w:t>
      </w:r>
      <w:r>
        <w:rPr>
          <w:spacing w:val="-39"/>
        </w:rPr>
      </w:r>
      <w:r>
        <w:rPr/>
        <w:t>且可控。</w:t>
      </w:r>
      <w:r>
        <w:rPr>
          <w:w w:val="100"/>
        </w:rPr>
        <w:t> </w:t>
      </w:r>
      <w:r>
        <w:rPr>
          <w:spacing w:val="-1"/>
        </w:rPr>
        <w:t>公司目前的银行短期借款均为基准利率上浮</w:t>
      </w:r>
      <w:r>
        <w:rPr>
          <w:rFonts w:ascii="Times New Roman" w:hAnsi="Times New Roman" w:cs="Times New Roman" w:eastAsia="Times New Roman" w:hint="default"/>
          <w:spacing w:val="-1"/>
        </w:rPr>
        <w:t>10%</w:t>
      </w:r>
      <w:r>
        <w:rPr>
          <w:spacing w:val="-1"/>
        </w:rPr>
        <w:t>。于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日，在其他变量保持不变的情况下，如</w:t>
      </w:r>
      <w:r>
        <w:rPr>
          <w:spacing w:val="-48"/>
        </w:rPr>
        <w:t> </w:t>
      </w:r>
      <w:r>
        <w:rPr>
          <w:spacing w:val="-48"/>
        </w:rPr>
      </w:r>
      <w:r>
        <w:rPr>
          <w:spacing w:val="-3"/>
        </w:rPr>
        <w:t>果以浮动利率计算的借款利率上升或下降</w:t>
      </w:r>
      <w:r>
        <w:rPr>
          <w:rFonts w:ascii="Times New Roman" w:hAnsi="Times New Roman" w:cs="Times New Roman" w:eastAsia="Times New Roman" w:hint="default"/>
          <w:spacing w:val="-3"/>
        </w:rPr>
        <w:t>100</w:t>
      </w:r>
      <w:r>
        <w:rPr>
          <w:spacing w:val="-3"/>
        </w:rPr>
        <w:t>个基点，则本公司的净利润将减少或增加</w:t>
      </w:r>
      <w:r>
        <w:rPr>
          <w:rFonts w:ascii="Times New Roman" w:hAnsi="Times New Roman" w:cs="Times New Roman" w:eastAsia="Times New Roman" w:hint="default"/>
          <w:spacing w:val="-3"/>
        </w:rPr>
        <w:t>1.40</w:t>
      </w:r>
      <w:r>
        <w:rPr>
          <w:spacing w:val="-3"/>
        </w:rPr>
        <w:t>万元（</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19"/>
        </w:rPr>
        <w:t> </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2.04</w:t>
      </w:r>
      <w:r>
        <w:rPr/>
        <w:t>万元）。管理层认为</w:t>
      </w:r>
      <w:r>
        <w:rPr>
          <w:rFonts w:ascii="Times New Roman" w:hAnsi="Times New Roman" w:cs="Times New Roman" w:eastAsia="Times New Roman" w:hint="default"/>
        </w:rPr>
        <w:t>100</w:t>
      </w:r>
      <w:r>
        <w:rPr/>
        <w:t>个基点合理反映了下一年度利率可能发生变动的合理范围。</w:t>
      </w:r>
    </w:p>
    <w:p>
      <w:pPr>
        <w:pStyle w:val="BodyText"/>
        <w:spacing w:line="268" w:lineRule="auto"/>
        <w:ind w:right="0"/>
        <w:jc w:val="left"/>
      </w:pPr>
      <w:r>
        <w:rPr/>
        <w:t>（</w:t>
      </w:r>
      <w:r>
        <w:rPr>
          <w:rFonts w:ascii="Times New Roman" w:hAnsi="Times New Roman" w:cs="Times New Roman" w:eastAsia="Times New Roman" w:hint="default"/>
        </w:rPr>
        <w:t>2</w:t>
      </w:r>
      <w:r>
        <w:rPr/>
        <w:t>）汇率风险</w:t>
      </w:r>
      <w:r>
        <w:rPr>
          <w:w w:val="100"/>
        </w:rPr>
        <w:t> </w:t>
      </w:r>
      <w:r>
        <w:rPr>
          <w:spacing w:val="-2"/>
        </w:rPr>
        <w:t>汇率风险，是指金融工具的公允价值或未来现金流量因外汇汇率变动而发生波动的风险。本公司尽可能将</w:t>
      </w:r>
      <w:r>
        <w:rPr>
          <w:spacing w:val="-43"/>
        </w:rPr>
        <w:t> </w:t>
      </w:r>
      <w:r>
        <w:rPr>
          <w:spacing w:val="-43"/>
        </w:rPr>
      </w:r>
      <w:r>
        <w:rPr/>
        <w:t>外币收入与外币支出相匹配以降低汇率风险。</w:t>
      </w:r>
      <w:r>
        <w:rPr>
          <w:w w:val="100"/>
        </w:rPr>
        <w:t> </w:t>
      </w:r>
      <w:r>
        <w:rPr>
          <w:spacing w:val="-2"/>
        </w:rPr>
        <w:t>本公司面临的汇率风险主要来源于以美元计价的金融资产和金融负债，外币金融资产和外币金融负债折算</w:t>
      </w:r>
      <w:r>
        <w:rPr>
          <w:spacing w:val="-43"/>
        </w:rPr>
        <w:t> </w:t>
      </w:r>
      <w:r>
        <w:rPr>
          <w:spacing w:val="-43"/>
        </w:rPr>
      </w:r>
      <w:r>
        <w:rPr/>
        <w:t>成人民币的金额列示如下：</w:t>
      </w:r>
    </w:p>
    <w:p>
      <w:pPr>
        <w:spacing w:line="240" w:lineRule="auto" w:before="0"/>
        <w:rPr>
          <w:rFonts w:ascii="宋体" w:hAnsi="宋体" w:cs="宋体" w:eastAsia="宋体" w:hint="default"/>
          <w:sz w:val="2"/>
          <w:szCs w:val="2"/>
        </w:rPr>
      </w:pPr>
    </w:p>
    <w:tbl>
      <w:tblPr>
        <w:tblW w:w="0" w:type="auto"/>
        <w:jc w:val="left"/>
        <w:tblInd w:w="755" w:type="dxa"/>
        <w:tblLayout w:type="fixed"/>
        <w:tblCellMar>
          <w:top w:w="0" w:type="dxa"/>
          <w:left w:w="0" w:type="dxa"/>
          <w:bottom w:w="0" w:type="dxa"/>
          <w:right w:w="0" w:type="dxa"/>
        </w:tblCellMar>
        <w:tblLook w:val="01E0"/>
      </w:tblPr>
      <w:tblGrid>
        <w:gridCol w:w="1135"/>
        <w:gridCol w:w="1159"/>
        <w:gridCol w:w="936"/>
        <w:gridCol w:w="1162"/>
        <w:gridCol w:w="1162"/>
        <w:gridCol w:w="936"/>
        <w:gridCol w:w="1217"/>
      </w:tblGrid>
      <w:tr>
        <w:trPr>
          <w:trHeight w:val="355" w:hRule="exact"/>
        </w:trPr>
        <w:tc>
          <w:tcPr>
            <w:tcW w:w="1135" w:type="dxa"/>
            <w:vMerge w:val="restart"/>
            <w:tcBorders>
              <w:top w:val="single" w:sz="6" w:space="0" w:color="000000"/>
              <w:left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57"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3314"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1135" w:type="dxa"/>
            <w:vMerge/>
            <w:tcBorders>
              <w:left w:val="single" w:sz="6" w:space="0" w:color="000000"/>
              <w:bottom w:val="single" w:sz="12" w:space="0" w:color="000000"/>
              <w:right w:val="single" w:sz="6" w:space="0" w:color="000000"/>
            </w:tcBorders>
          </w:tcPr>
          <w:p>
            <w:pPr/>
          </w:p>
        </w:tc>
        <w:tc>
          <w:tcPr>
            <w:tcW w:w="11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9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1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9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2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3" w:hRule="exact"/>
        </w:trPr>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196" w:right="-1"/>
              <w:jc w:val="left"/>
              <w:rPr>
                <w:rFonts w:ascii="Times New Roman" w:hAnsi="Times New Roman" w:cs="Times New Roman" w:eastAsia="Times New Roman" w:hint="default"/>
                <w:sz w:val="18"/>
                <w:szCs w:val="18"/>
              </w:rPr>
            </w:pPr>
            <w:r>
              <w:rPr>
                <w:rFonts w:ascii="Times New Roman"/>
                <w:sz w:val="18"/>
              </w:rPr>
              <w:t>2,656,632.08</w:t>
            </w:r>
          </w:p>
        </w:tc>
        <w:tc>
          <w:tcPr>
            <w:tcW w:w="9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01" w:right="-2"/>
              <w:jc w:val="left"/>
              <w:rPr>
                <w:rFonts w:ascii="Times New Roman" w:hAnsi="Times New Roman" w:cs="Times New Roman" w:eastAsia="Times New Roman" w:hint="default"/>
                <w:sz w:val="18"/>
                <w:szCs w:val="18"/>
              </w:rPr>
            </w:pPr>
            <w:r>
              <w:rPr>
                <w:rFonts w:ascii="Times New Roman"/>
                <w:sz w:val="18"/>
              </w:rPr>
              <w:t>16,341.25</w:t>
            </w:r>
          </w:p>
        </w:tc>
        <w:tc>
          <w:tcPr>
            <w:tcW w:w="11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199" w:right="-1"/>
              <w:jc w:val="left"/>
              <w:rPr>
                <w:rFonts w:ascii="Times New Roman" w:hAnsi="Times New Roman" w:cs="Times New Roman" w:eastAsia="Times New Roman" w:hint="default"/>
                <w:sz w:val="18"/>
                <w:szCs w:val="18"/>
              </w:rPr>
            </w:pPr>
            <w:r>
              <w:rPr>
                <w:rFonts w:ascii="Times New Roman"/>
                <w:sz w:val="18"/>
              </w:rPr>
              <w:t>2,672,973.33</w:t>
            </w:r>
          </w:p>
        </w:tc>
        <w:tc>
          <w:tcPr>
            <w:tcW w:w="11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809,071.19</w:t>
            </w:r>
          </w:p>
        </w:tc>
        <w:tc>
          <w:tcPr>
            <w:tcW w:w="9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01" w:right="-2"/>
              <w:jc w:val="left"/>
              <w:rPr>
                <w:rFonts w:ascii="Times New Roman" w:hAnsi="Times New Roman" w:cs="Times New Roman" w:eastAsia="Times New Roman" w:hint="default"/>
                <w:sz w:val="18"/>
                <w:szCs w:val="18"/>
              </w:rPr>
            </w:pPr>
            <w:r>
              <w:rPr>
                <w:rFonts w:ascii="Times New Roman"/>
                <w:sz w:val="18"/>
              </w:rPr>
              <w:t>10,603.37</w:t>
            </w:r>
          </w:p>
        </w:tc>
        <w:tc>
          <w:tcPr>
            <w:tcW w:w="12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z w:val="18"/>
              </w:rPr>
              <w:t>819,674.56</w:t>
            </w:r>
          </w:p>
        </w:tc>
      </w:tr>
      <w:tr>
        <w:trPr>
          <w:trHeight w:val="353" w:hRule="exact"/>
        </w:trPr>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59" w:type="dxa"/>
            <w:tcBorders>
              <w:top w:val="single" w:sz="12" w:space="0" w:color="000000"/>
              <w:left w:val="single" w:sz="6" w:space="0" w:color="000000"/>
              <w:bottom w:val="single" w:sz="12" w:space="0" w:color="000000"/>
              <w:right w:val="single" w:sz="6" w:space="0" w:color="000000"/>
            </w:tcBorders>
          </w:tcPr>
          <w:p>
            <w:pPr/>
          </w:p>
        </w:tc>
        <w:tc>
          <w:tcPr>
            <w:tcW w:w="936" w:type="dxa"/>
            <w:tcBorders>
              <w:top w:val="single" w:sz="12" w:space="0" w:color="000000"/>
              <w:left w:val="single" w:sz="6" w:space="0" w:color="000000"/>
              <w:bottom w:val="single" w:sz="12" w:space="0" w:color="000000"/>
              <w:right w:val="single" w:sz="6" w:space="0" w:color="000000"/>
            </w:tcBorders>
          </w:tcPr>
          <w:p>
            <w:pPr/>
          </w:p>
        </w:tc>
        <w:tc>
          <w:tcPr>
            <w:tcW w:w="1162" w:type="dxa"/>
            <w:tcBorders>
              <w:top w:val="single" w:sz="12" w:space="0" w:color="000000"/>
              <w:left w:val="single" w:sz="6" w:space="0" w:color="000000"/>
              <w:bottom w:val="single" w:sz="12" w:space="0" w:color="000000"/>
              <w:right w:val="single" w:sz="6" w:space="0" w:color="000000"/>
            </w:tcBorders>
          </w:tcPr>
          <w:p>
            <w:pPr/>
          </w:p>
        </w:tc>
        <w:tc>
          <w:tcPr>
            <w:tcW w:w="11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1,817,343.00</w:t>
            </w:r>
            <w:r>
              <w:rPr>
                <w:rFonts w:ascii="Times New Roman"/>
                <w:sz w:val="18"/>
              </w:rPr>
            </w:r>
          </w:p>
        </w:tc>
        <w:tc>
          <w:tcPr>
            <w:tcW w:w="936" w:type="dxa"/>
            <w:tcBorders>
              <w:top w:val="single" w:sz="12" w:space="0" w:color="000000"/>
              <w:left w:val="single" w:sz="6" w:space="0" w:color="000000"/>
              <w:bottom w:val="single" w:sz="12" w:space="0" w:color="000000"/>
              <w:right w:val="single" w:sz="6" w:space="0" w:color="000000"/>
            </w:tcBorders>
          </w:tcPr>
          <w:p>
            <w:pPr/>
          </w:p>
        </w:tc>
        <w:tc>
          <w:tcPr>
            <w:tcW w:w="12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1,817,343.00</w:t>
            </w:r>
            <w:r>
              <w:rPr>
                <w:rFonts w:ascii="Times New Roman"/>
                <w:sz w:val="18"/>
              </w:rPr>
            </w:r>
          </w:p>
        </w:tc>
      </w:tr>
      <w:tr>
        <w:trPr>
          <w:trHeight w:val="350" w:hRule="exact"/>
        </w:trPr>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59" w:type="dxa"/>
            <w:tcBorders>
              <w:top w:val="single" w:sz="12" w:space="0" w:color="000000"/>
              <w:left w:val="single" w:sz="6" w:space="0" w:color="000000"/>
              <w:bottom w:val="single" w:sz="12" w:space="0" w:color="000000"/>
              <w:right w:val="single" w:sz="6" w:space="0" w:color="000000"/>
            </w:tcBorders>
          </w:tcPr>
          <w:p>
            <w:pPr/>
          </w:p>
        </w:tc>
        <w:tc>
          <w:tcPr>
            <w:tcW w:w="936" w:type="dxa"/>
            <w:tcBorders>
              <w:top w:val="single" w:sz="12" w:space="0" w:color="000000"/>
              <w:left w:val="single" w:sz="6" w:space="0" w:color="000000"/>
              <w:bottom w:val="single" w:sz="12" w:space="0" w:color="000000"/>
              <w:right w:val="single" w:sz="6" w:space="0" w:color="000000"/>
            </w:tcBorders>
          </w:tcPr>
          <w:p>
            <w:pPr/>
          </w:p>
        </w:tc>
        <w:tc>
          <w:tcPr>
            <w:tcW w:w="1162" w:type="dxa"/>
            <w:tcBorders>
              <w:top w:val="single" w:sz="12" w:space="0" w:color="000000"/>
              <w:left w:val="single" w:sz="6" w:space="0" w:color="000000"/>
              <w:bottom w:val="single" w:sz="12" w:space="0" w:color="000000"/>
              <w:right w:val="single" w:sz="6" w:space="0" w:color="000000"/>
            </w:tcBorders>
          </w:tcPr>
          <w:p>
            <w:pPr/>
          </w:p>
        </w:tc>
        <w:tc>
          <w:tcPr>
            <w:tcW w:w="11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49,227.36</w:t>
            </w:r>
          </w:p>
        </w:tc>
        <w:tc>
          <w:tcPr>
            <w:tcW w:w="936" w:type="dxa"/>
            <w:tcBorders>
              <w:top w:val="single" w:sz="12" w:space="0" w:color="000000"/>
              <w:left w:val="single" w:sz="6" w:space="0" w:color="000000"/>
              <w:bottom w:val="single" w:sz="12" w:space="0" w:color="000000"/>
              <w:right w:val="single" w:sz="6" w:space="0" w:color="000000"/>
            </w:tcBorders>
          </w:tcPr>
          <w:p>
            <w:pPr/>
          </w:p>
        </w:tc>
        <w:tc>
          <w:tcPr>
            <w:tcW w:w="12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49,227.36</w:t>
            </w:r>
          </w:p>
        </w:tc>
      </w:tr>
      <w:tr>
        <w:trPr>
          <w:trHeight w:val="353" w:hRule="exact"/>
        </w:trPr>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59" w:type="dxa"/>
            <w:tcBorders>
              <w:top w:val="single" w:sz="12" w:space="0" w:color="000000"/>
              <w:left w:val="single" w:sz="6" w:space="0" w:color="000000"/>
              <w:bottom w:val="single" w:sz="12" w:space="0" w:color="000000"/>
              <w:right w:val="single" w:sz="6" w:space="0" w:color="000000"/>
            </w:tcBorders>
          </w:tcPr>
          <w:p>
            <w:pPr/>
          </w:p>
        </w:tc>
        <w:tc>
          <w:tcPr>
            <w:tcW w:w="936" w:type="dxa"/>
            <w:tcBorders>
              <w:top w:val="single" w:sz="12" w:space="0" w:color="000000"/>
              <w:left w:val="single" w:sz="6" w:space="0" w:color="000000"/>
              <w:bottom w:val="single" w:sz="12" w:space="0" w:color="000000"/>
              <w:right w:val="single" w:sz="6" w:space="0" w:color="000000"/>
            </w:tcBorders>
          </w:tcPr>
          <w:p>
            <w:pPr/>
          </w:p>
        </w:tc>
        <w:tc>
          <w:tcPr>
            <w:tcW w:w="1162" w:type="dxa"/>
            <w:tcBorders>
              <w:top w:val="single" w:sz="12" w:space="0" w:color="000000"/>
              <w:left w:val="single" w:sz="6" w:space="0" w:color="000000"/>
              <w:bottom w:val="single" w:sz="12" w:space="0" w:color="000000"/>
              <w:right w:val="single" w:sz="6" w:space="0" w:color="000000"/>
            </w:tcBorders>
          </w:tcPr>
          <w:p>
            <w:pPr/>
          </w:p>
        </w:tc>
        <w:tc>
          <w:tcPr>
            <w:tcW w:w="11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44,117.44</w:t>
            </w:r>
          </w:p>
        </w:tc>
        <w:tc>
          <w:tcPr>
            <w:tcW w:w="936" w:type="dxa"/>
            <w:tcBorders>
              <w:top w:val="single" w:sz="12" w:space="0" w:color="000000"/>
              <w:left w:val="single" w:sz="6" w:space="0" w:color="000000"/>
              <w:bottom w:val="single" w:sz="12" w:space="0" w:color="000000"/>
              <w:right w:val="single" w:sz="6" w:space="0" w:color="000000"/>
            </w:tcBorders>
          </w:tcPr>
          <w:p>
            <w:pPr/>
          </w:p>
        </w:tc>
        <w:tc>
          <w:tcPr>
            <w:tcW w:w="12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spacing w:val="-1"/>
                <w:sz w:val="18"/>
              </w:rPr>
              <w:t>44,117.44</w:t>
            </w:r>
          </w:p>
        </w:tc>
      </w:tr>
    </w:tbl>
    <w:p>
      <w:pPr>
        <w:pStyle w:val="BodyText"/>
        <w:spacing w:line="277" w:lineRule="exact"/>
        <w:ind w:right="0" w:firstLine="419"/>
        <w:jc w:val="left"/>
      </w:pPr>
      <w:r>
        <w:rPr>
          <w:spacing w:val="-4"/>
        </w:rPr>
        <w:t>于</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日，在所有其他变量保持不变的情况下，如果人民币对美元升值或贬值</w:t>
      </w:r>
      <w:r>
        <w:rPr>
          <w:rFonts w:ascii="Times New Roman" w:hAnsi="Times New Roman" w:cs="Times New Roman" w:eastAsia="Times New Roman" w:hint="default"/>
          <w:spacing w:val="-4"/>
        </w:rPr>
        <w:t>5%</w:t>
      </w:r>
      <w:r>
        <w:rPr>
          <w:spacing w:val="-4"/>
        </w:rPr>
        <w:t>，则公司将</w:t>
      </w:r>
    </w:p>
    <w:p>
      <w:pPr>
        <w:pStyle w:val="BodyText"/>
        <w:spacing w:line="256" w:lineRule="auto" w:before="21"/>
        <w:ind w:left="153" w:right="150" w:hanging="1"/>
        <w:jc w:val="both"/>
      </w:pPr>
      <w:r>
        <w:rPr>
          <w:spacing w:val="-1"/>
        </w:rPr>
        <w:t>减少或增加净利润</w:t>
      </w:r>
      <w:r>
        <w:rPr>
          <w:rFonts w:ascii="Times New Roman" w:hAnsi="Times New Roman" w:cs="Times New Roman" w:eastAsia="Times New Roman" w:hint="default"/>
          <w:spacing w:val="-1"/>
        </w:rPr>
        <w:t>13.37</w:t>
      </w:r>
      <w:r>
        <w:rPr>
          <w:spacing w:val="-1"/>
        </w:rPr>
        <w:t>万元（</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rFonts w:ascii="Times New Roman" w:hAnsi="Times New Roman" w:cs="Times New Roman" w:eastAsia="Times New Roman" w:hint="default"/>
          <w:spacing w:val="-1"/>
        </w:rPr>
        <w:t>12.72</w:t>
      </w:r>
      <w:r>
        <w:rPr>
          <w:spacing w:val="-1"/>
        </w:rPr>
        <w:t>万元）。管理层认为</w:t>
      </w:r>
      <w:r>
        <w:rPr>
          <w:rFonts w:ascii="Times New Roman" w:hAnsi="Times New Roman" w:cs="Times New Roman" w:eastAsia="Times New Roman" w:hint="default"/>
          <w:spacing w:val="-1"/>
        </w:rPr>
        <w:t>5%</w:t>
      </w:r>
      <w:r>
        <w:rPr>
          <w:spacing w:val="-1"/>
        </w:rPr>
        <w:t>合理反映了下一年度人民币</w:t>
      </w:r>
      <w:r>
        <w:rPr>
          <w:spacing w:val="-44"/>
        </w:rPr>
        <w:t> </w:t>
      </w:r>
      <w:r>
        <w:rPr>
          <w:spacing w:val="-44"/>
        </w:rPr>
      </w:r>
      <w:r>
        <w:rPr/>
        <w:t>对美元可能发生变动的合理范围。</w:t>
      </w:r>
    </w:p>
    <w:p>
      <w:pPr>
        <w:pStyle w:val="BodyText"/>
        <w:tabs>
          <w:tab w:pos="992" w:val="left" w:leader="none"/>
        </w:tabs>
        <w:spacing w:line="256" w:lineRule="auto" w:before="22"/>
        <w:ind w:left="572" w:right="140" w:hanging="420"/>
        <w:jc w:val="left"/>
      </w:pPr>
      <w:r>
        <w:rPr>
          <w:rFonts w:ascii="Times New Roman" w:hAnsi="Times New Roman" w:cs="Times New Roman" w:eastAsia="Times New Roman" w:hint="default"/>
          <w:b/>
          <w:bCs/>
        </w:rPr>
        <w:t>(</w:t>
      </w:r>
      <w:r>
        <w:rPr>
          <w:rFonts w:ascii="宋体" w:hAnsi="宋体" w:cs="宋体" w:eastAsia="宋体" w:hint="default"/>
          <w:b/>
          <w:bCs/>
        </w:rPr>
        <w:t>三</w:t>
      </w:r>
      <w:r>
        <w:rPr>
          <w:rFonts w:ascii="Times New Roman" w:hAnsi="Times New Roman" w:cs="Times New Roman" w:eastAsia="Times New Roman" w:hint="default"/>
          <w:b/>
          <w:bCs/>
        </w:rPr>
        <w:t>)</w:t>
        <w:tab/>
        <w:tab/>
      </w:r>
      <w:r>
        <w:rPr>
          <w:rFonts w:ascii="宋体" w:hAnsi="宋体" w:cs="宋体" w:eastAsia="宋体" w:hint="default"/>
          <w:b/>
          <w:bCs/>
        </w:rPr>
        <w:t>流动性风险</w:t>
      </w:r>
      <w:r>
        <w:rPr>
          <w:rFonts w:ascii="宋体" w:hAnsi="宋体" w:cs="宋体" w:eastAsia="宋体" w:hint="default"/>
          <w:b/>
          <w:bCs/>
          <w:w w:val="100"/>
        </w:rPr>
        <w:t> </w:t>
      </w:r>
      <w:r>
        <w:rPr>
          <w:spacing w:val="-2"/>
        </w:rPr>
        <w:t>流动性风险，是指企业在履行以交付现金或其他金融资产的方式结算的义务时发生资金短缺的风险。</w:t>
      </w:r>
    </w:p>
    <w:p>
      <w:pPr>
        <w:pStyle w:val="BodyText"/>
        <w:spacing w:line="264" w:lineRule="auto" w:before="22"/>
        <w:ind w:right="147"/>
        <w:jc w:val="both"/>
      </w:pPr>
      <w:r>
        <w:rPr>
          <w:spacing w:val="-2"/>
        </w:rPr>
        <w:t>本公司的政策是确保拥有充足的现金以偿还到期债务。流动性风险由本公司的财务部门集中控制。财务部</w:t>
      </w:r>
      <w:r>
        <w:rPr>
          <w:spacing w:val="-45"/>
        </w:rPr>
        <w:t> </w:t>
      </w:r>
      <w:r>
        <w:rPr>
          <w:spacing w:val="-45"/>
        </w:rPr>
      </w:r>
      <w:r>
        <w:rPr>
          <w:spacing w:val="-2"/>
        </w:rPr>
        <w:t>门通过监控现金及现金等价物余额以及对未来</w:t>
      </w:r>
      <w:r>
        <w:rPr>
          <w:rFonts w:ascii="Times New Roman" w:hAnsi="Times New Roman" w:cs="Times New Roman" w:eastAsia="Times New Roman" w:hint="default"/>
          <w:spacing w:val="-2"/>
        </w:rPr>
        <w:t>12</w:t>
      </w:r>
      <w:r>
        <w:rPr>
          <w:spacing w:val="-2"/>
        </w:rPr>
        <w:t>个月现金流量的滚动预测，确保公司在所有合理预测的情</w:t>
      </w:r>
      <w:r>
        <w:rPr>
          <w:spacing w:val="-41"/>
        </w:rPr>
        <w:t> </w:t>
      </w:r>
      <w:r>
        <w:rPr>
          <w:spacing w:val="-41"/>
        </w:rPr>
      </w:r>
      <w:r>
        <w:rPr/>
        <w:t>况下拥有充足的资金偿还债务。</w:t>
      </w:r>
    </w:p>
    <w:p>
      <w:pPr>
        <w:spacing w:line="487" w:lineRule="auto" w:before="16"/>
        <w:ind w:left="152" w:right="4374" w:firstLine="420"/>
        <w:jc w:val="left"/>
        <w:rPr>
          <w:rFonts w:ascii="宋体" w:hAnsi="宋体" w:cs="宋体" w:eastAsia="宋体" w:hint="default"/>
          <w:sz w:val="21"/>
          <w:szCs w:val="21"/>
        </w:rPr>
      </w:pPr>
      <w:r>
        <w:rPr>
          <w:rFonts w:ascii="宋体" w:hAnsi="宋体" w:cs="宋体" w:eastAsia="宋体" w:hint="default"/>
          <w:spacing w:val="-2"/>
          <w:sz w:val="21"/>
          <w:szCs w:val="21"/>
        </w:rPr>
        <w:t>本公司各项主要的金融负债预计</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年内到期。</w:t>
      </w:r>
      <w:r>
        <w:rPr>
          <w:rFonts w:ascii="宋体" w:hAnsi="宋体" w:cs="宋体" w:eastAsia="宋体" w:hint="default"/>
          <w:w w:val="100"/>
          <w:sz w:val="21"/>
          <w:szCs w:val="21"/>
        </w:rPr>
        <w:t> </w:t>
      </w:r>
      <w:r>
        <w:rPr>
          <w:rFonts w:ascii="宋体" w:hAnsi="宋体" w:cs="宋体" w:eastAsia="宋体" w:hint="default"/>
          <w:b/>
          <w:bCs/>
          <w:sz w:val="24"/>
          <w:szCs w:val="24"/>
        </w:rPr>
        <w:t>十一、公允价值的披露</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、以公允价值计量的资产和负债的期末公允价值</w:t>
      </w:r>
      <w:r>
        <w:rPr>
          <w:rFonts w:ascii="宋体" w:hAnsi="宋体" w:cs="宋体" w:eastAsia="宋体" w:hint="default"/>
          <w:spacing w:val="-1"/>
          <w:sz w:val="21"/>
          <w:szCs w:val="21"/>
        </w:rPr>
      </w:r>
    </w:p>
    <w:p>
      <w:pPr>
        <w:spacing w:before="102"/>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3"/>
        <w:gridCol w:w="1836"/>
        <w:gridCol w:w="1913"/>
        <w:gridCol w:w="1913"/>
        <w:gridCol w:w="1918"/>
      </w:tblGrid>
      <w:tr>
        <w:trPr>
          <w:trHeight w:val="403" w:hRule="exact"/>
        </w:trPr>
        <w:tc>
          <w:tcPr>
            <w:tcW w:w="19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9"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401" w:hRule="exact"/>
        </w:trPr>
        <w:tc>
          <w:tcPr>
            <w:tcW w:w="1993" w:type="dxa"/>
            <w:vMerge/>
            <w:tcBorders>
              <w:left w:val="single" w:sz="4" w:space="0" w:color="000000"/>
              <w:bottom w:val="single" w:sz="4" w:space="0" w:color="000000"/>
              <w:right w:val="single" w:sz="4" w:space="0" w:color="000000"/>
            </w:tcBorders>
            <w:shd w:val="clear" w:color="auto" w:fill="D4D4D4"/>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第一层次公允价值计</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3"/>
        <w:gridCol w:w="1836"/>
        <w:gridCol w:w="1913"/>
        <w:gridCol w:w="1913"/>
        <w:gridCol w:w="1915"/>
      </w:tblGrid>
      <w:tr>
        <w:trPr>
          <w:trHeight w:val="362" w:hRule="exact"/>
        </w:trPr>
        <w:tc>
          <w:tcPr>
            <w:tcW w:w="199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823" w:right="0"/>
              <w:jc w:val="left"/>
              <w:rPr>
                <w:rFonts w:ascii="宋体" w:hAnsi="宋体" w:cs="宋体" w:eastAsia="宋体" w:hint="default"/>
                <w:sz w:val="18"/>
                <w:szCs w:val="18"/>
              </w:rPr>
            </w:pPr>
            <w:r>
              <w:rPr>
                <w:rFonts w:ascii="宋体" w:hAnsi="宋体" w:cs="宋体" w:eastAsia="宋体" w:hint="default"/>
                <w:sz w:val="18"/>
                <w:szCs w:val="18"/>
              </w:rPr>
              <w:t>量</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19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854"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9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23"/>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4"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bookmarkStart w:name="2、本企业的子公司情况" w:id="433"/>
      <w:bookmarkEnd w:id="433"/>
      <w:r>
        <w:rPr>
          <w:b w:val="0"/>
          <w:bCs w:val="0"/>
        </w:rPr>
      </w:r>
      <w:bookmarkStart w:name="3、本企业合营和联营企业情况" w:id="434"/>
      <w:bookmarkEnd w:id="434"/>
      <w:r>
        <w:rPr>
          <w:b w:val="0"/>
          <w:bCs w:val="0"/>
        </w:rPr>
      </w:r>
      <w:r>
        <w:rPr>
          <w:rFonts w:ascii="Times New Roman" w:hAnsi="Times New Roman" w:cs="Times New Roman" w:eastAsia="Times New Roman" w:hint="default"/>
        </w:rPr>
        <w:t>2</w:t>
      </w:r>
      <w:bookmarkStart w:name="2、持续和非持续第一层次公允价值计量项目市价的确定依据" w:id="435"/>
      <w:bookmarkEnd w:id="435"/>
      <w:r>
        <w:rPr>
          <w:rFonts w:ascii="Times New Roman" w:hAnsi="Times New Roman" w:cs="Times New Roman" w:eastAsia="Times New Roman" w:hint="default"/>
        </w:rPr>
      </w:r>
      <w:r>
        <w:rPr/>
        <w:t>、持续和非持续第一层次公允价值计量项目市价的确定依据</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3</w:t>
      </w:r>
      <w:r>
        <w:rPr/>
        <w:t>、持续和非持续第二层次</w:t>
      </w:r>
      <w:bookmarkStart w:name="3、持续和非持续第二层次公允价值计量项目，采用的估值技术和重要参数的定性及定量信" w:id="436"/>
      <w:bookmarkEnd w:id="436"/>
      <w:r>
        <w:rPr/>
        <w:t>公允价值计量项目</w:t>
      </w:r>
      <w:r>
        <w:rPr/>
        <w:t>，采用的估值技术和重要参数的定性及定量信息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4</w:t>
      </w:r>
      <w:r>
        <w:rPr/>
        <w:t>、持续和非持续第三层次</w:t>
      </w:r>
      <w:bookmarkStart w:name="4、持续和非持续第三层次公允价值计量项目，采用的估值技术和重要参数的定性及定量信" w:id="437"/>
      <w:bookmarkEnd w:id="437"/>
      <w:r>
        <w:rPr/>
        <w:t>公允价值计量项目</w:t>
      </w:r>
      <w:r>
        <w:rPr/>
        <w:t>，采用的估值技术和重要参数的定性及定量信息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5</w:t>
      </w:r>
      <w:r>
        <w:rPr/>
        <w:t>、持续的第三层次公允价</w:t>
      </w:r>
      <w:bookmarkStart w:name="5、持续的第三层次公允价值计量项目，期初与期末账面价值间的调节信息及不可观察参数" w:id="438"/>
      <w:bookmarkEnd w:id="438"/>
      <w:r>
        <w:rPr/>
        <w:t>值计量项目，期初</w:t>
      </w:r>
      <w:r>
        <w:rPr/>
        <w:t>与期末账面价值间的调节信息及不可观察参数敏感性分析</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6</w:t>
      </w:r>
      <w:r>
        <w:rPr/>
        <w:t>、持续的公允价值计量项目，本期内发生各层</w:t>
      </w:r>
      <w:bookmarkStart w:name="6、持续的公允价值计量项目，本期内发生各层级之间转换的，转换的原因及确定转换时点" w:id="439"/>
      <w:bookmarkEnd w:id="439"/>
      <w:r>
        <w:rPr/>
        <w:t>级</w:t>
      </w:r>
      <w:r>
        <w:rPr/>
        <w:t>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8</w:t>
      </w:r>
      <w:r>
        <w:rPr/>
        <w:t>、不以公允价值计量的金融资产和金融负债的公允</w:t>
      </w:r>
      <w:bookmarkStart w:name="7、本期内发生的估值技术变更及变更原因" w:id="440"/>
      <w:bookmarkEnd w:id="440"/>
      <w:r>
        <w:rPr/>
        <w:t>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7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4"/>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4"/>
        <w:gridCol w:w="158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bookmarkStart w:name="8、不以公允价值计量的金融资产和金融负债的公允价值情况" w:id="441"/>
            <w:bookmarkEnd w:id="441"/>
            <w:r>
              <w:rPr/>
            </w: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431" w:right="71" w:hanging="360"/>
              <w:jc w:val="left"/>
              <w:rPr>
                <w:rFonts w:ascii="宋体" w:hAnsi="宋体" w:cs="宋体" w:eastAsia="宋体" w:hint="default"/>
                <w:sz w:val="18"/>
                <w:szCs w:val="18"/>
              </w:rPr>
            </w:pPr>
            <w:bookmarkStart w:name="9、其他" w:id="442"/>
            <w:bookmarkEnd w:id="442"/>
            <w:r>
              <w:rPr/>
            </w:r>
            <w:bookmarkStart w:name="十二、关联方及关联交易" w:id="443"/>
            <w:bookmarkEnd w:id="443"/>
            <w:r>
              <w:rPr/>
            </w:r>
            <w:bookmarkStart w:name="1、本企业的母公司情况" w:id="444"/>
            <w:bookmarkEnd w:id="444"/>
            <w:r>
              <w:rPr/>
            </w:r>
            <w:r>
              <w:rPr>
                <w:rFonts w:ascii="宋体" w:hAnsi="宋体" w:cs="宋体" w:eastAsia="宋体" w:hint="default"/>
                <w:sz w:val="18"/>
                <w:szCs w:val="18"/>
              </w:rPr>
              <w:t>母公司对本企业的 持股比例</w:t>
            </w:r>
          </w:p>
        </w:tc>
        <w:tc>
          <w:tcPr>
            <w:tcW w:w="1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343" w:right="61"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pStyle w:val="BodyText"/>
        <w:spacing w:line="240" w:lineRule="auto" w:before="94"/>
        <w:ind w:right="0"/>
        <w:jc w:val="left"/>
      </w:pPr>
      <w:r>
        <w:rPr/>
        <w:t>公司的实际控制人为自然人陆文雄。</w:t>
      </w:r>
    </w:p>
    <w:p>
      <w:pPr>
        <w:spacing w:line="240" w:lineRule="auto" w:before="0"/>
        <w:rPr>
          <w:rFonts w:ascii="宋体" w:hAnsi="宋体" w:cs="宋体" w:eastAsia="宋体" w:hint="default"/>
          <w:sz w:val="20"/>
          <w:szCs w:val="20"/>
        </w:rPr>
      </w:pPr>
    </w:p>
    <w:p>
      <w:pPr>
        <w:spacing w:line="360" w:lineRule="auto" w:before="149"/>
        <w:ind w:left="152" w:right="7434" w:firstLine="0"/>
        <w:jc w:val="left"/>
        <w:rPr>
          <w:rFonts w:ascii="宋体" w:hAnsi="宋体" w:cs="宋体" w:eastAsia="宋体" w:hint="default"/>
          <w:sz w:val="18"/>
          <w:szCs w:val="18"/>
        </w:rPr>
      </w:pPr>
      <w:r>
        <w:rPr>
          <w:rFonts w:ascii="宋体" w:hAnsi="宋体" w:cs="宋体" w:eastAsia="宋体" w:hint="default"/>
          <w:sz w:val="18"/>
          <w:szCs w:val="18"/>
        </w:rPr>
        <w:t>本企业最终控制方是。 其他说明：</w:t>
      </w:r>
    </w:p>
    <w:p>
      <w:pPr>
        <w:spacing w:line="240" w:lineRule="auto" w:before="2"/>
        <w:rPr>
          <w:rFonts w:ascii="宋体" w:hAnsi="宋体" w:cs="宋体" w:eastAsia="宋体" w:hint="default"/>
          <w:sz w:val="20"/>
          <w:szCs w:val="20"/>
        </w:rPr>
      </w:pPr>
    </w:p>
    <w:p>
      <w:pPr>
        <w:spacing w:line="547" w:lineRule="auto" w:before="0"/>
        <w:ind w:left="152" w:right="43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九</w:t>
      </w:r>
      <w:r>
        <w:rPr>
          <w:rFonts w:ascii="Times New Roman" w:hAnsi="Times New Roman" w:cs="Times New Roman" w:eastAsia="Times New Roman" w:hint="default"/>
          <w:sz w:val="18"/>
          <w:szCs w:val="18"/>
        </w:rPr>
        <w:t>”</w:t>
      </w:r>
      <w:r>
        <w:rPr>
          <w:rFonts w:ascii="宋体" w:hAnsi="宋体" w:cs="宋体" w:eastAsia="宋体" w:hint="default"/>
          <w:sz w:val="18"/>
          <w:szCs w:val="18"/>
        </w:rPr>
        <w:t>在其他主体中的权益。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38" w:lineRule="auto" w:before="46"/>
        <w:ind w:left="152" w:right="1314"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九</w:t>
      </w:r>
      <w:r>
        <w:rPr>
          <w:rFonts w:ascii="Times New Roman" w:hAnsi="Times New Roman" w:cs="Times New Roman" w:eastAsia="Times New Roman" w:hint="default"/>
          <w:sz w:val="18"/>
          <w:szCs w:val="18"/>
        </w:rPr>
        <w:t>”</w:t>
      </w:r>
      <w:r>
        <w:rPr>
          <w:rFonts w:ascii="宋体" w:hAnsi="宋体" w:cs="宋体" w:eastAsia="宋体" w:hint="default"/>
          <w:sz w:val="18"/>
          <w:szCs w:val="18"/>
        </w:rPr>
        <w:t>在其他主体中的权益。 本期与本公司发生关联方交易，或前期与本公司发生关联方交易形成余额的其他合营或联营企业情况如下：</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4783"/>
        <w:gridCol w:w="4786"/>
      </w:tblGrid>
      <w:tr>
        <w:trPr>
          <w:trHeight w:val="334" w:hRule="exact"/>
        </w:trPr>
        <w:tc>
          <w:tcPr>
            <w:tcW w:w="4783" w:type="dxa"/>
            <w:tcBorders>
              <w:top w:val="single" w:sz="6" w:space="0" w:color="000000"/>
              <w:left w:val="nil" w:sz="6" w:space="0" w:color="auto"/>
              <w:bottom w:val="single" w:sz="4" w:space="0" w:color="000000"/>
              <w:right w:val="nil" w:sz="6" w:space="0" w:color="auto"/>
            </w:tcBorders>
          </w:tcPr>
          <w:p>
            <w:pPr/>
          </w:p>
        </w:tc>
        <w:tc>
          <w:tcPr>
            <w:tcW w:w="4786" w:type="dxa"/>
            <w:tcBorders>
              <w:top w:val="single" w:sz="6" w:space="0" w:color="000000"/>
              <w:left w:val="nil" w:sz="6" w:space="0" w:color="auto"/>
              <w:bottom w:val="single" w:sz="4" w:space="0" w:color="000000"/>
              <w:right w:val="nil" w:sz="6" w:space="0" w:color="auto"/>
            </w:tcBorders>
          </w:tcPr>
          <w:p>
            <w:pP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上海亿富金融信息服务有限公司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left="112" w:right="0"/>
        <w:jc w:val="left"/>
        <w:rPr>
          <w:b w:val="0"/>
          <w:bCs w:val="0"/>
        </w:rPr>
      </w:pPr>
      <w:r>
        <w:rPr>
          <w:rFonts w:ascii="Times New Roman" w:hAnsi="Times New Roman" w:cs="Times New Roman" w:eastAsia="Times New Roman" w:hint="default"/>
        </w:rPr>
        <w:t>4</w:t>
      </w:r>
      <w:bookmarkStart w:name="4、其他关联方情况" w:id="445"/>
      <w:bookmarkEnd w:id="445"/>
      <w:r>
        <w:rPr>
          <w:rFonts w:ascii="Times New Roman" w:hAnsi="Times New Roman" w:cs="Times New Roman" w:eastAsia="Times New Roman" w:hint="default"/>
        </w:rPr>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上海桂星投资中心（有限合伙）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公司董监高设立的企业</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上海珩霖投资管理中心（有限合伙）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公司董监高设立的企业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上海网唐投资管理中心（有限合伙）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公司董监高设立的企业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上海天莺投资管理中心（有限合伙）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公司董监高设立的企业</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left="112"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12"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13" w:firstLine="0"/>
        <w:jc w:val="right"/>
        <w:rPr>
          <w:rFonts w:ascii="宋体" w:hAnsi="宋体" w:cs="宋体" w:eastAsia="宋体" w:hint="default"/>
          <w:sz w:val="18"/>
          <w:szCs w:val="18"/>
        </w:rPr>
      </w:pPr>
      <w:bookmarkStart w:name="5、关联交易情况" w:id="446"/>
      <w:bookmarkEnd w:id="446"/>
      <w:r>
        <w:rPr/>
      </w:r>
      <w:bookmarkStart w:name="（1）购销商品、提供和接受劳务的关联交易" w:id="447"/>
      <w:bookmarkEnd w:id="447"/>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41"/>
        <w:gridCol w:w="1454"/>
        <w:gridCol w:w="1452"/>
        <w:gridCol w:w="1709"/>
        <w:gridCol w:w="1706"/>
        <w:gridCol w:w="1706"/>
      </w:tblGrid>
      <w:tr>
        <w:trPr>
          <w:trHeight w:val="401" w:hRule="exact"/>
        </w:trPr>
        <w:tc>
          <w:tcPr>
            <w:tcW w:w="15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上海亿富金融信息 服务有限公司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1,127,983.02</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1"/>
        <w:ind w:left="0" w:right="11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6"/>
        <w:gridCol w:w="2258"/>
        <w:gridCol w:w="2258"/>
        <w:gridCol w:w="2654"/>
      </w:tblGrid>
      <w:tr>
        <w:trPr>
          <w:trHeight w:val="401" w:hRule="exact"/>
        </w:trPr>
        <w:tc>
          <w:tcPr>
            <w:tcW w:w="23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0"/>
        <w:rPr>
          <w:rFonts w:ascii="宋体" w:hAnsi="宋体" w:cs="宋体" w:eastAsia="宋体" w:hint="default"/>
          <w:sz w:val="18"/>
          <w:szCs w:val="18"/>
        </w:rPr>
      </w:pPr>
    </w:p>
    <w:p>
      <w:pPr>
        <w:pStyle w:val="Heading6"/>
        <w:spacing w:line="240" w:lineRule="auto" w:before="120"/>
        <w:ind w:left="112"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2"/>
        <w:rPr>
          <w:rFonts w:ascii="宋体" w:hAnsi="宋体" w:cs="宋体" w:eastAsia="宋体" w:hint="default"/>
          <w:b/>
          <w:bCs/>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1"/>
        <w:ind w:left="0" w:right="113" w:firstLine="0"/>
        <w:jc w:val="right"/>
        <w:rPr>
          <w:rFonts w:ascii="宋体" w:hAnsi="宋体" w:cs="宋体" w:eastAsia="宋体" w:hint="default"/>
          <w:sz w:val="18"/>
          <w:szCs w:val="18"/>
        </w:rPr>
      </w:pPr>
      <w:bookmarkStart w:name="（2）关联受托管理/承包及委托管理/出包情况" w:id="448"/>
      <w:bookmarkEnd w:id="448"/>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589" w:right="23"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588"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8" w:right="19"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2" w:right="3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5" w:footer="982" w:top="1060" w:bottom="1180" w:left="1020" w:right="1020"/>
        </w:sectPr>
      </w:pPr>
    </w:p>
    <w:p>
      <w:pPr>
        <w:spacing w:line="338" w:lineRule="auto" w:before="50"/>
        <w:ind w:left="112" w:right="-19"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1020" w:right="1020"/>
          <w:cols w:num="2" w:equalWidth="0">
            <w:col w:w="2504" w:space="6323"/>
            <w:col w:w="1043"/>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589" w:right="23"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588"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408" w:right="19"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92" w:right="3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after="0"/>
        <w:jc w:val="left"/>
        <w:rPr>
          <w:rFonts w:ascii="宋体" w:hAnsi="宋体" w:cs="宋体" w:eastAsia="宋体" w:hint="default"/>
          <w:sz w:val="18"/>
          <w:szCs w:val="18"/>
        </w:rPr>
        <w:sectPr>
          <w:type w:val="continuous"/>
          <w:pgSz w:w="11910" w:h="16840"/>
          <w:pgMar w:top="1060" w:bottom="1180" w:left="102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bookmarkStart w:name="（6）关联方资产转让、债务重组情况" w:id="449"/>
      <w:bookmarkEnd w:id="449"/>
      <w:r>
        <w:rPr/>
      </w:r>
      <w:bookmarkStart w:name="（7）关键管理人员报酬" w:id="450"/>
      <w:bookmarkEnd w:id="450"/>
      <w:r>
        <w:rPr/>
      </w: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3</w:t>
      </w:r>
      <w:bookmarkStart w:name="（3）关联租赁情况" w:id="451"/>
      <w:bookmarkEnd w:id="451"/>
      <w:r>
        <w:rPr>
          <w:rFonts w:ascii="Times New Roman" w:hAnsi="Times New Roman" w:cs="Times New Roman" w:eastAsia="Times New Roman" w:hint="default"/>
        </w:rPr>
      </w:r>
      <w:r>
        <w:rPr/>
        <w:t>）关联租赁情况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5"/>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上海亿富金融信息服务有限 公司</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33,622.26</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5"/>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3"/>
        <w:gridCol w:w="2393"/>
      </w:tblGrid>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7"/>
        <w:ind w:left="0" w:right="153" w:firstLine="0"/>
        <w:jc w:val="right"/>
        <w:rPr>
          <w:rFonts w:ascii="宋体" w:hAnsi="宋体" w:cs="宋体" w:eastAsia="宋体" w:hint="default"/>
          <w:sz w:val="18"/>
          <w:szCs w:val="18"/>
        </w:rPr>
      </w:pPr>
      <w:bookmarkStart w:name="（4）关联担保情况" w:id="452"/>
      <w:bookmarkEnd w:id="452"/>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5"/>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5）关联方资金拆借" w:id="453"/>
      <w:bookmarkEnd w:id="453"/>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3"/>
        <w:gridCol w:w="2393"/>
      </w:tblGrid>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6,235,642.72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5,617,202.70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103"/>
        <w:jc w:val="left"/>
        <w:rPr>
          <w:b w:val="0"/>
          <w:bCs w:val="0"/>
        </w:rPr>
      </w:pPr>
      <w:bookmarkStart w:name="（1）应收项目" w:id="454"/>
      <w:bookmarkEnd w:id="454"/>
      <w:r>
        <w:rPr>
          <w:b w:val="0"/>
          <w:bCs w:val="0"/>
        </w:rPr>
      </w:r>
      <w:bookmarkStart w:name="（2）应付项目" w:id="455"/>
      <w:bookmarkEnd w:id="455"/>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30"/>
          <w:szCs w:val="30"/>
        </w:rPr>
      </w:pPr>
    </w:p>
    <w:p>
      <w:pPr>
        <w:pStyle w:val="Heading6"/>
        <w:spacing w:line="240" w:lineRule="auto"/>
        <w:ind w:right="103"/>
        <w:jc w:val="left"/>
        <w:rPr>
          <w:b w:val="0"/>
          <w:bCs w:val="0"/>
        </w:rPr>
      </w:pPr>
      <w:r>
        <w:rPr>
          <w:rFonts w:ascii="Times New Roman" w:hAnsi="Times New Roman" w:cs="Times New Roman" w:eastAsia="Times New Roman" w:hint="default"/>
        </w:rPr>
        <w:t>1</w:t>
      </w:r>
      <w:bookmarkStart w:name="（8）其他关联交易" w:id="456"/>
      <w:bookmarkEnd w:id="456"/>
      <w:r>
        <w:rPr>
          <w:rFonts w:ascii="Times New Roman" w:hAnsi="Times New Roman" w:cs="Times New Roman" w:eastAsia="Times New Roman" w:hint="default"/>
        </w:rPr>
      </w:r>
      <w:r>
        <w:rPr/>
        <w:t>、合资设立亿富金融公司</w:t>
      </w:r>
      <w:r>
        <w:rPr>
          <w:b w:val="0"/>
          <w:bCs w:val="0"/>
        </w:rPr>
      </w:r>
    </w:p>
    <w:p>
      <w:pPr>
        <w:pStyle w:val="BodyText"/>
        <w:spacing w:line="386" w:lineRule="auto" w:before="177"/>
        <w:ind w:right="208" w:firstLine="42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日，经公司第二届董事会第二十三次临时会议审议通过《关于对外投资暨关联交易的议</w:t>
      </w:r>
      <w:r>
        <w:rPr>
          <w:w w:val="100"/>
        </w:rPr>
        <w:t> </w:t>
      </w:r>
      <w:r>
        <w:rPr>
          <w:spacing w:val="-2"/>
        </w:rPr>
        <w:t>案》，同意公司以投资设立的方式，与上海桂星投资中心（有限合伙）（以下简称</w:t>
      </w:r>
      <w:r>
        <w:rPr>
          <w:rFonts w:ascii="Times New Roman" w:hAnsi="Times New Roman" w:cs="Times New Roman" w:eastAsia="Times New Roman" w:hint="default"/>
          <w:spacing w:val="-2"/>
        </w:rPr>
        <w:t>“</w:t>
      </w:r>
      <w:r>
        <w:rPr>
          <w:spacing w:val="-2"/>
        </w:rPr>
        <w:t>桂星投资</w:t>
      </w:r>
      <w:r>
        <w:rPr>
          <w:rFonts w:ascii="Times New Roman" w:hAnsi="Times New Roman" w:cs="Times New Roman" w:eastAsia="Times New Roman" w:hint="default"/>
          <w:spacing w:val="-2"/>
        </w:rPr>
        <w:t>”</w:t>
      </w:r>
      <w:r>
        <w:rPr>
          <w:spacing w:val="-2"/>
        </w:rPr>
        <w:t>）、上海珩</w:t>
      </w:r>
      <w:r>
        <w:rPr>
          <w:spacing w:val="-19"/>
        </w:rPr>
        <w:t> </w:t>
      </w:r>
      <w:r>
        <w:rPr>
          <w:spacing w:val="-19"/>
        </w:rPr>
      </w:r>
      <w:r>
        <w:rPr>
          <w:spacing w:val="-8"/>
        </w:rPr>
        <w:t>霖投资管理中心（有限合伙）（以下简称</w:t>
      </w:r>
      <w:r>
        <w:rPr>
          <w:rFonts w:ascii="Times New Roman" w:hAnsi="Times New Roman" w:cs="Times New Roman" w:eastAsia="Times New Roman" w:hint="default"/>
          <w:spacing w:val="-8"/>
        </w:rPr>
        <w:t>“</w:t>
      </w:r>
      <w:r>
        <w:rPr>
          <w:spacing w:val="-8"/>
        </w:rPr>
        <w:t>珩霖投资</w:t>
      </w:r>
      <w:r>
        <w:rPr>
          <w:rFonts w:ascii="Times New Roman" w:hAnsi="Times New Roman" w:cs="Times New Roman" w:eastAsia="Times New Roman" w:hint="default"/>
          <w:spacing w:val="-8"/>
        </w:rPr>
        <w:t>”</w:t>
      </w:r>
      <w:r>
        <w:rPr>
          <w:spacing w:val="-8"/>
        </w:rPr>
        <w:t>）、上海网唐投资管理中心（有限合伙）（以下简称</w:t>
      </w:r>
      <w:r>
        <w:rPr>
          <w:rFonts w:ascii="Times New Roman" w:hAnsi="Times New Roman" w:cs="Times New Roman" w:eastAsia="Times New Roman" w:hint="default"/>
          <w:spacing w:val="-8"/>
        </w:rPr>
        <w:t>“</w:t>
      </w:r>
      <w:r>
        <w:rPr>
          <w:spacing w:val="-8"/>
        </w:rPr>
        <w:t>网</w:t>
      </w:r>
      <w:r>
        <w:rPr>
          <w:spacing w:val="-25"/>
        </w:rPr>
        <w:t> </w:t>
      </w:r>
      <w:r>
        <w:rPr>
          <w:spacing w:val="-3"/>
        </w:rPr>
        <w:t>唐投资</w:t>
      </w:r>
      <w:r>
        <w:rPr>
          <w:rFonts w:ascii="Times New Roman" w:hAnsi="Times New Roman" w:cs="Times New Roman" w:eastAsia="Times New Roman" w:hint="default"/>
          <w:spacing w:val="-3"/>
        </w:rPr>
        <w:t>”</w:t>
      </w:r>
      <w:r>
        <w:rPr>
          <w:spacing w:val="-3"/>
        </w:rPr>
        <w:t>）共同出资设立</w:t>
      </w:r>
      <w:r>
        <w:rPr>
          <w:rFonts w:ascii="Times New Roman" w:hAnsi="Times New Roman" w:cs="Times New Roman" w:eastAsia="Times New Roman" w:hint="default"/>
          <w:spacing w:val="-3"/>
        </w:rPr>
        <w:t>“</w:t>
      </w:r>
      <w:r>
        <w:rPr>
          <w:spacing w:val="-3"/>
        </w:rPr>
        <w:t>上海亿富金融信息服务有限公司</w:t>
      </w:r>
      <w:r>
        <w:rPr>
          <w:rFonts w:ascii="Times New Roman" w:hAnsi="Times New Roman" w:cs="Times New Roman" w:eastAsia="Times New Roman" w:hint="default"/>
          <w:spacing w:val="-3"/>
        </w:rPr>
        <w:t>”</w:t>
      </w:r>
      <w:r>
        <w:rPr>
          <w:spacing w:val="-3"/>
        </w:rPr>
        <w:t>（以下简称</w:t>
      </w:r>
      <w:r>
        <w:rPr>
          <w:rFonts w:ascii="Times New Roman" w:hAnsi="Times New Roman" w:cs="Times New Roman" w:eastAsia="Times New Roman" w:hint="default"/>
          <w:spacing w:val="-3"/>
        </w:rPr>
        <w:t>“</w:t>
      </w:r>
      <w:r>
        <w:rPr>
          <w:spacing w:val="-3"/>
        </w:rPr>
        <w:t>亿富金融</w:t>
      </w:r>
      <w:r>
        <w:rPr>
          <w:rFonts w:ascii="Times New Roman" w:hAnsi="Times New Roman" w:cs="Times New Roman" w:eastAsia="Times New Roman" w:hint="default"/>
          <w:spacing w:val="-3"/>
        </w:rPr>
        <w:t>”</w:t>
      </w:r>
      <w:r>
        <w:rPr>
          <w:spacing w:val="-3"/>
        </w:rPr>
        <w:t>）。亿富金融的注册资本</w:t>
      </w:r>
      <w:r>
        <w:rPr>
          <w:spacing w:val="-36"/>
        </w:rPr>
        <w:t> </w:t>
      </w:r>
      <w:r>
        <w:rPr>
          <w:spacing w:val="-36"/>
        </w:rPr>
      </w:r>
      <w:r>
        <w:rPr>
          <w:spacing w:val="-4"/>
        </w:rPr>
        <w:t>为人民币</w:t>
      </w:r>
      <w:r>
        <w:rPr>
          <w:rFonts w:ascii="Times New Roman" w:hAnsi="Times New Roman" w:cs="Times New Roman" w:eastAsia="Times New Roman" w:hint="default"/>
          <w:spacing w:val="-4"/>
        </w:rPr>
        <w:t>1000</w:t>
      </w:r>
      <w:r>
        <w:rPr>
          <w:spacing w:val="-4"/>
        </w:rPr>
        <w:t>万元，其中本公司以自有资金人民币</w:t>
      </w:r>
      <w:r>
        <w:rPr>
          <w:rFonts w:ascii="Times New Roman" w:hAnsi="Times New Roman" w:cs="Times New Roman" w:eastAsia="Times New Roman" w:hint="default"/>
          <w:spacing w:val="-4"/>
        </w:rPr>
        <w:t>200</w:t>
      </w:r>
      <w:r>
        <w:rPr>
          <w:spacing w:val="-4"/>
        </w:rPr>
        <w:t>万元出资，占注册资本比例的</w:t>
      </w:r>
      <w:r>
        <w:rPr>
          <w:rFonts w:ascii="Times New Roman" w:hAnsi="Times New Roman" w:cs="Times New Roman" w:eastAsia="Times New Roman" w:hint="default"/>
          <w:spacing w:val="-4"/>
        </w:rPr>
        <w:t>20%</w:t>
      </w:r>
      <w:r>
        <w:rPr>
          <w:spacing w:val="-4"/>
        </w:rPr>
        <w:t>，桂星投资出资人</w:t>
      </w:r>
      <w:r>
        <w:rPr>
          <w:spacing w:val="-7"/>
        </w:rPr>
        <w:t> </w:t>
      </w:r>
      <w:r>
        <w:rPr>
          <w:spacing w:val="-7"/>
        </w:rPr>
      </w:r>
      <w:r>
        <w:rPr/>
        <w:t>民币</w:t>
      </w:r>
      <w:r>
        <w:rPr>
          <w:rFonts w:ascii="Times New Roman" w:hAnsi="Times New Roman" w:cs="Times New Roman" w:eastAsia="Times New Roman" w:hint="default"/>
        </w:rPr>
        <w:t>300</w:t>
      </w:r>
      <w:r>
        <w:rPr/>
        <w:t>万元，占注册资本的</w:t>
      </w:r>
      <w:r>
        <w:rPr>
          <w:rFonts w:ascii="Times New Roman" w:hAnsi="Times New Roman" w:cs="Times New Roman" w:eastAsia="Times New Roman" w:hint="default"/>
        </w:rPr>
        <w:t>30%</w:t>
      </w:r>
      <w:r>
        <w:rPr/>
        <w:t>；珩霖投资出资人民币</w:t>
      </w:r>
      <w:r>
        <w:rPr>
          <w:rFonts w:ascii="Times New Roman" w:hAnsi="Times New Roman" w:cs="Times New Roman" w:eastAsia="Times New Roman" w:hint="default"/>
        </w:rPr>
        <w:t>430</w:t>
      </w:r>
      <w:r>
        <w:rPr/>
        <w:t>万元，占注册资本的</w:t>
      </w:r>
      <w:r>
        <w:rPr>
          <w:rFonts w:ascii="Times New Roman" w:hAnsi="Times New Roman" w:cs="Times New Roman" w:eastAsia="Times New Roman" w:hint="default"/>
        </w:rPr>
        <w:t>43%</w:t>
      </w:r>
      <w:r>
        <w:rPr/>
        <w:t>；网唐投资出资人民</w:t>
      </w:r>
      <w:r>
        <w:rPr>
          <w:spacing w:val="-56"/>
        </w:rPr>
        <w:t> </w:t>
      </w:r>
      <w:r>
        <w:rPr>
          <w:spacing w:val="-56"/>
        </w:rPr>
      </w:r>
      <w:r>
        <w:rPr/>
        <w:t>币</w:t>
      </w:r>
      <w:r>
        <w:rPr>
          <w:rFonts w:ascii="Times New Roman" w:hAnsi="Times New Roman" w:cs="Times New Roman" w:eastAsia="Times New Roman" w:hint="default"/>
        </w:rPr>
        <w:t>70</w:t>
      </w:r>
      <w:r>
        <w:rPr/>
        <w:t>万元，占注册资本的</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日，亿富金融完成工商设立登记。</w:t>
      </w:r>
    </w:p>
    <w:p>
      <w:pPr>
        <w:pStyle w:val="BodyText"/>
        <w:spacing w:line="240" w:lineRule="auto" w:before="35"/>
        <w:ind w:left="488" w:right="103"/>
        <w:jc w:val="left"/>
      </w:pPr>
      <w:r>
        <w:rPr/>
        <w:t>截至本年末，公司尚未支付投资款。</w:t>
      </w:r>
    </w:p>
    <w:p>
      <w:pPr>
        <w:spacing w:line="240" w:lineRule="auto" w:before="10"/>
        <w:rPr>
          <w:rFonts w:ascii="宋体" w:hAnsi="宋体" w:cs="宋体" w:eastAsia="宋体" w:hint="default"/>
          <w:sz w:val="14"/>
          <w:szCs w:val="14"/>
        </w:rPr>
      </w:pPr>
    </w:p>
    <w:p>
      <w:pPr>
        <w:pStyle w:val="Heading6"/>
        <w:spacing w:line="240" w:lineRule="auto"/>
        <w:ind w:left="207" w:right="103"/>
        <w:jc w:val="left"/>
        <w:rPr>
          <w:b w:val="0"/>
          <w:bCs w:val="0"/>
        </w:rPr>
      </w:pPr>
      <w:r>
        <w:rPr>
          <w:rFonts w:ascii="Times New Roman" w:hAnsi="Times New Roman" w:cs="Times New Roman" w:eastAsia="Times New Roman" w:hint="default"/>
        </w:rPr>
        <w:t>2</w:t>
      </w:r>
      <w:r>
        <w:rPr/>
        <w:t>、增资天玑数据公司</w:t>
      </w:r>
      <w:r>
        <w:rPr>
          <w:b w:val="0"/>
          <w:bCs w:val="0"/>
        </w:rPr>
      </w:r>
    </w:p>
    <w:p>
      <w:pPr>
        <w:pStyle w:val="BodyText"/>
        <w:spacing w:line="386" w:lineRule="auto" w:before="177"/>
        <w:ind w:right="103" w:firstLine="420"/>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16</w:t>
      </w:r>
      <w:r>
        <w:rPr>
          <w:spacing w:val="-2"/>
        </w:rPr>
        <w:t>日，经公司第三届董事会第二次会议审议通过《关于公司引进投资方共同对控股子公司</w:t>
      </w:r>
      <w:r>
        <w:rPr>
          <w:w w:val="100"/>
        </w:rPr>
        <w:t> </w:t>
      </w:r>
      <w:r>
        <w:rPr/>
        <w:t>天玑数据增资暨关联交易的议案》，同意引进新股东上海桂星投资中心（有限合伙）（以下简称</w:t>
      </w:r>
      <w:r>
        <w:rPr>
          <w:rFonts w:ascii="Times New Roman" w:hAnsi="Times New Roman" w:cs="Times New Roman" w:eastAsia="Times New Roman" w:hint="default"/>
        </w:rPr>
        <w:t>“</w:t>
      </w:r>
      <w:r>
        <w:rPr/>
        <w:t>桂星投</w:t>
      </w:r>
      <w:r>
        <w:rPr>
          <w:spacing w:val="-16"/>
        </w:rPr>
        <w:t> </w:t>
      </w:r>
      <w:r>
        <w:rPr/>
        <w:t>资</w:t>
      </w:r>
      <w:r>
        <w:rPr>
          <w:rFonts w:ascii="Times New Roman" w:hAnsi="Times New Roman" w:cs="Times New Roman" w:eastAsia="Times New Roman" w:hint="default"/>
        </w:rPr>
        <w:t>”</w:t>
      </w:r>
      <w:r>
        <w:rPr/>
        <w:t>），共同对上海天玑数据技术有限公司（以下简称</w:t>
      </w:r>
      <w:r>
        <w:rPr>
          <w:rFonts w:ascii="Times New Roman" w:hAnsi="Times New Roman" w:cs="Times New Roman" w:eastAsia="Times New Roman" w:hint="default"/>
        </w:rPr>
        <w:t>“</w:t>
      </w:r>
      <w:r>
        <w:rPr/>
        <w:t>天玑数据</w:t>
      </w:r>
      <w:r>
        <w:rPr>
          <w:rFonts w:ascii="Times New Roman" w:hAnsi="Times New Roman" w:cs="Times New Roman" w:eastAsia="Times New Roman" w:hint="default"/>
        </w:rPr>
        <w:t>”</w:t>
      </w:r>
      <w:r>
        <w:rPr/>
        <w:t>）进行增资人民币</w:t>
      </w:r>
      <w:r>
        <w:rPr>
          <w:rFonts w:ascii="Times New Roman" w:hAnsi="Times New Roman" w:cs="Times New Roman" w:eastAsia="Times New Roman" w:hint="default"/>
        </w:rPr>
        <w:t>1,000</w:t>
      </w:r>
      <w:r>
        <w:rPr/>
        <w:t>万元。本次增资</w:t>
      </w:r>
      <w:r>
        <w:rPr>
          <w:spacing w:val="-42"/>
        </w:rPr>
        <w:t> </w:t>
      </w:r>
      <w:r>
        <w:rPr>
          <w:spacing w:val="-42"/>
        </w:rPr>
      </w:r>
      <w:r>
        <w:rPr>
          <w:spacing w:val="-4"/>
        </w:rPr>
        <w:t>完成后，天玑数据注册资本由人民币</w:t>
      </w:r>
      <w:r>
        <w:rPr>
          <w:rFonts w:ascii="Times New Roman" w:hAnsi="Times New Roman" w:cs="Times New Roman" w:eastAsia="Times New Roman" w:hint="default"/>
          <w:spacing w:val="-4"/>
        </w:rPr>
        <w:t>2,000</w:t>
      </w:r>
      <w:r>
        <w:rPr>
          <w:spacing w:val="-4"/>
        </w:rPr>
        <w:t>万元增至人民币</w:t>
      </w:r>
      <w:r>
        <w:rPr>
          <w:rFonts w:ascii="Times New Roman" w:hAnsi="Times New Roman" w:cs="Times New Roman" w:eastAsia="Times New Roman" w:hint="default"/>
          <w:spacing w:val="-4"/>
        </w:rPr>
        <w:t>3,000</w:t>
      </w:r>
      <w:r>
        <w:rPr>
          <w:spacing w:val="-4"/>
        </w:rPr>
        <w:t>万元。其中本公司以自有资金增资</w:t>
      </w:r>
      <w:r>
        <w:rPr>
          <w:rFonts w:ascii="Times New Roman" w:hAnsi="Times New Roman" w:cs="Times New Roman" w:eastAsia="Times New Roman" w:hint="default"/>
          <w:spacing w:val="-4"/>
        </w:rPr>
        <w:t>455</w:t>
      </w:r>
      <w:r>
        <w:rPr>
          <w:spacing w:val="-4"/>
        </w:rPr>
        <w:t>万元，</w:t>
      </w:r>
      <w:r>
        <w:rPr>
          <w:spacing w:val="-31"/>
        </w:rPr>
        <w:t> </w:t>
      </w:r>
      <w:r>
        <w:rPr>
          <w:spacing w:val="-31"/>
        </w:rPr>
      </w:r>
      <w:r>
        <w:rPr>
          <w:spacing w:val="-2"/>
        </w:rPr>
        <w:t>占增资后注册资本的</w:t>
      </w:r>
      <w:r>
        <w:rPr>
          <w:rFonts w:ascii="Times New Roman" w:hAnsi="Times New Roman" w:cs="Times New Roman" w:eastAsia="Times New Roman" w:hint="default"/>
          <w:spacing w:val="-2"/>
        </w:rPr>
        <w:t>58.5%</w:t>
      </w:r>
      <w:r>
        <w:rPr>
          <w:spacing w:val="-2"/>
        </w:rPr>
        <w:t>；上海天莺投资中心（有限合伙）（以下简称</w:t>
      </w:r>
      <w:r>
        <w:rPr>
          <w:rFonts w:ascii="Times New Roman" w:hAnsi="Times New Roman" w:cs="Times New Roman" w:eastAsia="Times New Roman" w:hint="default"/>
          <w:spacing w:val="-2"/>
        </w:rPr>
        <w:t>“</w:t>
      </w:r>
      <w:r>
        <w:rPr>
          <w:spacing w:val="-2"/>
        </w:rPr>
        <w:t>天莺投资</w:t>
      </w:r>
      <w:r>
        <w:rPr>
          <w:rFonts w:ascii="Times New Roman" w:hAnsi="Times New Roman" w:cs="Times New Roman" w:eastAsia="Times New Roman" w:hint="default"/>
          <w:spacing w:val="-2"/>
        </w:rPr>
        <w:t>”</w:t>
      </w:r>
      <w:r>
        <w:rPr>
          <w:spacing w:val="-2"/>
        </w:rPr>
        <w:t>）增资</w:t>
      </w:r>
      <w:r>
        <w:rPr>
          <w:rFonts w:ascii="Times New Roman" w:hAnsi="Times New Roman" w:cs="Times New Roman" w:eastAsia="Times New Roman" w:hint="default"/>
          <w:spacing w:val="-2"/>
        </w:rPr>
        <w:t>210</w:t>
      </w:r>
      <w:r>
        <w:rPr>
          <w:spacing w:val="-2"/>
        </w:rPr>
        <w:t>万元，占增</w:t>
      </w:r>
      <w:r>
        <w:rPr>
          <w:spacing w:val="-41"/>
        </w:rPr>
        <w:t> </w:t>
      </w:r>
      <w:r>
        <w:rPr>
          <w:spacing w:val="-41"/>
        </w:rPr>
      </w:r>
      <w:r>
        <w:rPr>
          <w:spacing w:val="-4"/>
        </w:rPr>
        <w:t>资后注册资本的</w:t>
      </w:r>
      <w:r>
        <w:rPr>
          <w:rFonts w:ascii="Times New Roman" w:hAnsi="Times New Roman" w:cs="Times New Roman" w:eastAsia="Times New Roman" w:hint="default"/>
          <w:spacing w:val="-4"/>
        </w:rPr>
        <w:t>27%</w:t>
      </w:r>
      <w:r>
        <w:rPr>
          <w:spacing w:val="-4"/>
        </w:rPr>
        <w:t>；自然人股东许文增资</w:t>
      </w:r>
      <w:r>
        <w:rPr>
          <w:rFonts w:ascii="Times New Roman" w:hAnsi="Times New Roman" w:cs="Times New Roman" w:eastAsia="Times New Roman" w:hint="default"/>
          <w:spacing w:val="-4"/>
        </w:rPr>
        <w:t>35</w:t>
      </w:r>
      <w:r>
        <w:rPr>
          <w:spacing w:val="-4"/>
        </w:rPr>
        <w:t>万元，占增资后注册资本的</w:t>
      </w:r>
      <w:r>
        <w:rPr>
          <w:rFonts w:ascii="Times New Roman" w:hAnsi="Times New Roman" w:cs="Times New Roman" w:eastAsia="Times New Roman" w:hint="default"/>
          <w:spacing w:val="-4"/>
        </w:rPr>
        <w:t>4.5%</w:t>
      </w:r>
      <w:r>
        <w:rPr>
          <w:spacing w:val="-4"/>
        </w:rPr>
        <w:t>；新增股东桂星投资投资</w:t>
      </w:r>
      <w:r>
        <w:rPr>
          <w:rFonts w:ascii="Times New Roman" w:hAnsi="Times New Roman" w:cs="Times New Roman" w:eastAsia="Times New Roman" w:hint="default"/>
          <w:spacing w:val="-4"/>
        </w:rPr>
        <w:t>300</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t>万元，占增资后注册资本的</w:t>
      </w:r>
      <w:r>
        <w:rPr>
          <w:rFonts w:ascii="Times New Roman" w:hAnsi="Times New Roman" w:cs="Times New Roman" w:eastAsia="Times New Roman" w:hint="default"/>
        </w:rPr>
        <w:t>10%</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日，天玑数据完成工商增资登记。</w:t>
      </w:r>
    </w:p>
    <w:p>
      <w:pPr>
        <w:pStyle w:val="BodyText"/>
        <w:spacing w:line="240" w:lineRule="auto" w:before="35"/>
        <w:ind w:left="488" w:right="103"/>
        <w:jc w:val="left"/>
      </w:pPr>
      <w:r>
        <w:rPr/>
        <w:t>截至本年末，公司尚未支付增资款。</w:t>
      </w:r>
    </w:p>
    <w:p>
      <w:pPr>
        <w:spacing w:line="240" w:lineRule="auto" w:before="0"/>
        <w:rPr>
          <w:rFonts w:ascii="宋体" w:hAnsi="宋体" w:cs="宋体" w:eastAsia="宋体" w:hint="default"/>
          <w:sz w:val="20"/>
          <w:szCs w:val="20"/>
        </w:rPr>
      </w:pPr>
    </w:p>
    <w:p>
      <w:pPr>
        <w:pStyle w:val="Heading6"/>
        <w:spacing w:line="240" w:lineRule="auto" w:before="154"/>
        <w:ind w:right="103"/>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03"/>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4"/>
        <w:rPr>
          <w:rFonts w:ascii="宋体" w:hAnsi="宋体" w:cs="宋体" w:eastAsia="宋体" w:hint="default"/>
          <w:b/>
          <w:bCs/>
          <w:sz w:val="26"/>
          <w:szCs w:val="26"/>
        </w:rPr>
      </w:pPr>
    </w:p>
    <w:p>
      <w:pPr>
        <w:spacing w:before="0"/>
        <w:ind w:left="0" w:right="213" w:firstLine="0"/>
        <w:jc w:val="right"/>
        <w:rPr>
          <w:rFonts w:ascii="宋体" w:hAnsi="宋体" w:cs="宋体" w:eastAsia="宋体" w:hint="default"/>
          <w:sz w:val="18"/>
          <w:szCs w:val="18"/>
        </w:rPr>
      </w:pPr>
      <w:bookmarkStart w:name="6、关联方应收应付款项" w:id="457"/>
      <w:bookmarkEnd w:id="457"/>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上海亿富金融信息 服务有限公司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45.58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6"/>
        <w:ind w:right="103"/>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spacing w:before="44"/>
        <w:ind w:left="0" w:right="21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2" w:top="1060" w:bottom="118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3"/>
        <w:gridCol w:w="2393"/>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4"/>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7</w:t>
      </w:r>
      <w:bookmarkStart w:name="7、关联方承诺" w:id="458"/>
      <w:bookmarkEnd w:id="458"/>
      <w:r>
        <w:rPr>
          <w:rFonts w:ascii="Times New Roman" w:hAnsi="Times New Roman" w:cs="Times New Roman" w:eastAsia="Times New Roman" w:hint="default"/>
        </w:rPr>
      </w:r>
      <w:r>
        <w:rPr/>
        <w:t>、关联方承诺</w:t>
      </w:r>
      <w:r>
        <w:rPr>
          <w:b w:val="0"/>
          <w:bCs w:val="0"/>
        </w:rPr>
      </w:r>
    </w:p>
    <w:p>
      <w:pPr>
        <w:spacing w:line="240" w:lineRule="auto" w:before="7"/>
        <w:rPr>
          <w:rFonts w:ascii="宋体" w:hAnsi="宋体" w:cs="宋体" w:eastAsia="宋体" w:hint="default"/>
          <w:b/>
          <w:bCs/>
          <w:sz w:val="24"/>
          <w:szCs w:val="24"/>
        </w:rPr>
      </w:pPr>
    </w:p>
    <w:p>
      <w:pPr>
        <w:spacing w:line="487" w:lineRule="auto" w:before="0"/>
        <w:ind w:left="152" w:right="777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w:t>
      </w:r>
      <w:bookmarkStart w:name="8、其他" w:id="459"/>
      <w:bookmarkEnd w:id="459"/>
      <w:r>
        <w:rPr>
          <w:rFonts w:ascii="宋体" w:hAnsi="宋体" w:cs="宋体" w:eastAsia="宋体" w:hint="default"/>
          <w:b/>
          <w:bCs/>
          <w:sz w:val="24"/>
          <w:szCs w:val="24"/>
        </w:rPr>
        <w:t>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52" w:firstLine="0"/>
        <w:jc w:val="right"/>
        <w:rPr>
          <w:rFonts w:ascii="宋体" w:hAnsi="宋体" w:cs="宋体" w:eastAsia="宋体" w:hint="default"/>
          <w:sz w:val="18"/>
          <w:szCs w:val="18"/>
        </w:rPr>
      </w:pPr>
      <w:bookmarkStart w:name="十三、股份支付" w:id="460"/>
      <w:bookmarkEnd w:id="460"/>
      <w:r>
        <w:rPr/>
      </w:r>
      <w:bookmarkStart w:name="1、股份支付总体情况" w:id="461"/>
      <w:bookmarkEnd w:id="461"/>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4"/>
        <w:gridCol w:w="4114"/>
      </w:tblGrid>
      <w:tr>
        <w:trPr>
          <w:trHeight w:val="403"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2,557,800.00</w:t>
            </w:r>
          </w:p>
        </w:tc>
      </w:tr>
      <w:tr>
        <w:trPr>
          <w:trHeight w:val="401"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1378"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年授予的首期限制性股票授予价格为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股；期限为自授予日起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 </w:t>
            </w:r>
            <w:r>
              <w:rPr>
                <w:rFonts w:ascii="宋体" w:hAnsi="宋体" w:cs="宋体" w:eastAsia="宋体" w:hint="default"/>
                <w:sz w:val="18"/>
                <w:szCs w:val="18"/>
              </w:rPr>
              <w:t>个月</w:t>
            </w:r>
            <w:r>
              <w:rPr>
                <w:rFonts w:ascii="Times New Roman" w:hAnsi="Times New Roman" w:cs="Times New Roman" w:eastAsia="Times New Roman" w:hint="default"/>
                <w:sz w:val="18"/>
                <w:szCs w:val="18"/>
              </w:rPr>
              <w:t>,</w:t>
            </w:r>
          </w:p>
          <w:p>
            <w:pPr>
              <w:pStyle w:val="TableParagraph"/>
              <w:spacing w:line="240" w:lineRule="auto" w:before="10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年授予的首期预留部分的限制性股票授予价格</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10.38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股；期限为自授予日起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6"/>
        <w:ind w:right="0"/>
        <w:jc w:val="left"/>
      </w:pPr>
      <w:r>
        <w:rPr/>
        <w:t>注：失效的各项权益工具总额的股份数为首期限制性股票及预留部分授予时复权计算。</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6"/>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52" w:firstLine="0"/>
        <w:jc w:val="right"/>
        <w:rPr>
          <w:rFonts w:ascii="宋体" w:hAnsi="宋体" w:cs="宋体" w:eastAsia="宋体" w:hint="default"/>
          <w:sz w:val="18"/>
          <w:szCs w:val="18"/>
        </w:rPr>
      </w:pPr>
      <w:bookmarkStart w:name="2、以权益结算的股份支付情况" w:id="462"/>
      <w:bookmarkEnd w:id="462"/>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1"/>
        <w:gridCol w:w="4586"/>
      </w:tblGrid>
      <w:tr>
        <w:trPr>
          <w:trHeight w:val="401"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模型</w:t>
            </w:r>
          </w:p>
        </w:tc>
      </w:tr>
      <w:tr>
        <w:trPr>
          <w:trHeight w:val="403"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按实际行权数量确定</w:t>
            </w:r>
          </w:p>
        </w:tc>
      </w:tr>
      <w:tr>
        <w:trPr>
          <w:trHeight w:val="401"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9,286,374.99</w:t>
            </w:r>
            <w:r>
              <w:rPr>
                <w:rFonts w:ascii="Times New Roman"/>
                <w:sz w:val="18"/>
              </w:rPr>
            </w:r>
          </w:p>
        </w:tc>
      </w:tr>
      <w:tr>
        <w:trPr>
          <w:trHeight w:val="401"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-1,013,350.01</w:t>
            </w:r>
            <w:r>
              <w:rPr>
                <w:rFonts w:ascii="Times New Roman"/>
                <w:sz w:val="18"/>
              </w:rPr>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13"/>
          <w:szCs w:val="13"/>
        </w:rPr>
      </w:pPr>
    </w:p>
    <w:p>
      <w:pPr>
        <w:pStyle w:val="BodyText"/>
        <w:spacing w:line="398" w:lineRule="auto"/>
        <w:ind w:right="148" w:firstLine="336"/>
        <w:jc w:val="both"/>
      </w:pPr>
      <w:r>
        <w:rPr>
          <w:spacing w:val="-3"/>
        </w:rPr>
        <w:t>经本公司</w:t>
      </w:r>
      <w:r>
        <w:rPr>
          <w:rFonts w:ascii="Times New Roman" w:hAnsi="Times New Roman" w:cs="Times New Roman" w:eastAsia="Times New Roman" w:hint="default"/>
          <w:spacing w:val="-3"/>
        </w:rPr>
        <w:t>2013</w:t>
      </w:r>
      <w:r>
        <w:rPr>
          <w:spacing w:val="-3"/>
        </w:rPr>
        <w:t>年度第一次临时股东大会于</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26</w:t>
      </w:r>
      <w:r>
        <w:rPr>
          <w:spacing w:val="-3"/>
        </w:rPr>
        <w:t>日审议，批准《上海天玑科技股份有限公司限制</w:t>
      </w:r>
      <w:r>
        <w:rPr>
          <w:spacing w:val="-3"/>
          <w:w w:val="100"/>
        </w:rPr>
        <w:t> </w:t>
      </w:r>
      <w:r>
        <w:rPr>
          <w:spacing w:val="-2"/>
        </w:rPr>
        <w:t>性股票（草案修订稿）及其摘要》，本公司董事会获授权酌情授予本公司董事（不包括独立董事）、高级</w:t>
      </w:r>
      <w:r>
        <w:rPr>
          <w:spacing w:val="-46"/>
        </w:rPr>
        <w:t> </w:t>
      </w:r>
      <w:r>
        <w:rPr>
          <w:spacing w:val="-46"/>
        </w:rPr>
      </w:r>
      <w:r>
        <w:rPr/>
        <w:t>管理人员，以及公司认定的核心业务（技术）人员共</w:t>
      </w:r>
      <w:r>
        <w:rPr>
          <w:rFonts w:ascii="Times New Roman" w:hAnsi="Times New Roman" w:cs="Times New Roman" w:eastAsia="Times New Roman" w:hint="default"/>
        </w:rPr>
        <w:t>90</w:t>
      </w:r>
      <w:r>
        <w:rPr/>
        <w:t>人</w:t>
      </w:r>
      <w:r>
        <w:rPr>
          <w:rFonts w:ascii="Times New Roman" w:hAnsi="Times New Roman" w:cs="Times New Roman" w:eastAsia="Times New Roman" w:hint="default"/>
        </w:rPr>
        <w:t>660</w:t>
      </w:r>
      <w:r>
        <w:rPr/>
        <w:t>万份限制性股票。</w:t>
      </w:r>
    </w:p>
    <w:p>
      <w:pPr>
        <w:pStyle w:val="BodyText"/>
        <w:spacing w:line="240" w:lineRule="auto" w:before="24"/>
        <w:ind w:left="489" w:right="0"/>
        <w:jc w:val="left"/>
      </w:pP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14</w:t>
      </w:r>
      <w:r>
        <w:rPr>
          <w:spacing w:val="-3"/>
        </w:rPr>
        <w:t>日，公司第二届董事会第九次临时会议审议通过《关于对公司限制性股票激励计划进行调</w:t>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pStyle w:val="BodyText"/>
        <w:spacing w:line="386" w:lineRule="auto" w:before="175"/>
        <w:ind w:left="153" w:right="190" w:hanging="1"/>
        <w:jc w:val="both"/>
      </w:pPr>
      <w:r>
        <w:rPr>
          <w:spacing w:val="-7"/>
        </w:rPr>
        <w:t>整的议案》及《关于向激励对象授予限制性股票的议案》。激励对象中涂宇果、陶凯、魏涛、许伟军等</w:t>
      </w:r>
      <w:r>
        <w:rPr>
          <w:rFonts w:ascii="Times New Roman" w:hAnsi="Times New Roman" w:cs="Times New Roman" w:eastAsia="Times New Roman" w:hint="default"/>
          <w:spacing w:val="-7"/>
        </w:rPr>
        <w:t>4 </w:t>
      </w:r>
      <w:r>
        <w:rPr/>
        <w:t>人</w:t>
      </w:r>
      <w:r>
        <w:rPr>
          <w:spacing w:val="-63"/>
        </w:rPr>
        <w:t> </w:t>
      </w:r>
      <w:r>
        <w:rPr/>
        <w:t>因个人原因自愿放弃拟授予的部分限制性股票，公司董事会同意上述</w:t>
      </w:r>
      <w:r>
        <w:rPr>
          <w:rFonts w:ascii="Times New Roman" w:hAnsi="Times New Roman" w:cs="Times New Roman" w:eastAsia="Times New Roman" w:hint="default"/>
        </w:rPr>
        <w:t>4</w:t>
      </w:r>
      <w:r>
        <w:rPr/>
        <w:t>人放弃该部分限制性股票；有高剑</w:t>
      </w:r>
      <w:r>
        <w:rPr>
          <w:spacing w:val="-26"/>
        </w:rPr>
        <w:t> </w:t>
      </w:r>
      <w:r>
        <w:rPr>
          <w:spacing w:val="-26"/>
        </w:rPr>
      </w:r>
      <w:r>
        <w:rPr/>
        <w:t>敏、杨斌斌、游正东、李永池、李一凡、陶军、李璟、李占风、刘伟聪等</w:t>
      </w:r>
      <w:r>
        <w:rPr>
          <w:rFonts w:ascii="Times New Roman" w:hAnsi="Times New Roman" w:cs="Times New Roman" w:eastAsia="Times New Roman" w:hint="default"/>
        </w:rPr>
        <w:t>9</w:t>
      </w:r>
      <w:r>
        <w:rPr/>
        <w:t>人因个人原因自愿放弃认购拟</w:t>
      </w:r>
      <w:r>
        <w:rPr>
          <w:spacing w:val="-25"/>
        </w:rPr>
        <w:t> </w:t>
      </w:r>
      <w:r>
        <w:rPr>
          <w:spacing w:val="-25"/>
        </w:rPr>
      </w:r>
      <w:r>
        <w:rPr>
          <w:spacing w:val="-2"/>
        </w:rPr>
        <w:t>授予的全部限制性股票，公司董事会同意取消授予上述</w:t>
      </w:r>
      <w:r>
        <w:rPr>
          <w:rFonts w:ascii="Times New Roman" w:hAnsi="Times New Roman" w:cs="Times New Roman" w:eastAsia="Times New Roman" w:hint="default"/>
          <w:spacing w:val="-2"/>
        </w:rPr>
        <w:t>9</w:t>
      </w:r>
      <w:r>
        <w:rPr>
          <w:spacing w:val="-2"/>
        </w:rPr>
        <w:t>人的激励对象资格；林玲、徐然、陈超等</w:t>
      </w:r>
      <w:r>
        <w:rPr>
          <w:rFonts w:ascii="Times New Roman" w:hAnsi="Times New Roman" w:cs="Times New Roman" w:eastAsia="Times New Roman" w:hint="default"/>
          <w:spacing w:val="-2"/>
        </w:rPr>
        <w:t>3</w:t>
      </w:r>
      <w:r>
        <w:rPr>
          <w:spacing w:val="-2"/>
        </w:rPr>
        <w:t>人因个</w:t>
      </w:r>
      <w:r>
        <w:rPr>
          <w:spacing w:val="-50"/>
        </w:rPr>
        <w:t> </w:t>
      </w:r>
      <w:r>
        <w:rPr>
          <w:spacing w:val="-50"/>
        </w:rPr>
      </w:r>
      <w:r>
        <w:rPr>
          <w:spacing w:val="-2"/>
        </w:rPr>
        <w:t>人原因已离职，其已不具备激励对象资格，公司董事会同意取消授予上述</w:t>
      </w:r>
      <w:r>
        <w:rPr>
          <w:rFonts w:ascii="Times New Roman" w:hAnsi="Times New Roman" w:cs="Times New Roman" w:eastAsia="Times New Roman" w:hint="default"/>
          <w:spacing w:val="-2"/>
        </w:rPr>
        <w:t>3</w:t>
      </w:r>
      <w:r>
        <w:rPr>
          <w:spacing w:val="-2"/>
        </w:rPr>
        <w:t>人的限制性股票。另同意暂缓</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6"/>
        </w:rPr>
        <w:t> </w:t>
      </w:r>
      <w:r>
        <w:rPr>
          <w:spacing w:val="-2"/>
        </w:rPr>
        <w:t>名限制性股票授予人陆廷洁女士的认购获授份额。确定</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14</w:t>
      </w:r>
      <w:r>
        <w:rPr>
          <w:spacing w:val="-2"/>
        </w:rPr>
        <w:t>日为首期</w:t>
      </w:r>
      <w:r>
        <w:rPr>
          <w:rFonts w:ascii="Times New Roman" w:hAnsi="Times New Roman" w:cs="Times New Roman" w:eastAsia="Times New Roman" w:hint="default"/>
          <w:spacing w:val="-2"/>
        </w:rPr>
        <w:t>533</w:t>
      </w:r>
      <w:r>
        <w:rPr>
          <w:spacing w:val="-2"/>
        </w:rPr>
        <w:t>万限制性股票的授予日。</w:t>
      </w:r>
      <w:r>
        <w:rPr>
          <w:spacing w:val="-19"/>
        </w:rPr>
        <w:t> </w:t>
      </w:r>
      <w:r>
        <w:rPr>
          <w:spacing w:val="-19"/>
        </w:rPr>
      </w:r>
      <w:r>
        <w:rPr/>
        <w:t>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日披露了《限制性股票授予完成的公告》。相关事项具体详见中国证监会指定的创业</w:t>
      </w:r>
      <w:r>
        <w:rPr>
          <w:spacing w:val="-30"/>
        </w:rPr>
        <w:t> </w:t>
      </w:r>
      <w:r>
        <w:rPr>
          <w:spacing w:val="-30"/>
        </w:rPr>
      </w:r>
      <w:r>
        <w:rPr/>
        <w:t>板信息披露网站巨潮资讯网（</w:t>
      </w:r>
      <w:hyperlink r:id="rId15">
        <w:r>
          <w:rPr>
            <w:rFonts w:ascii="Times New Roman" w:hAnsi="Times New Roman" w:cs="Times New Roman" w:eastAsia="Times New Roman" w:hint="default"/>
          </w:rPr>
          <w:t>http://www.cninfo.com.cn</w:t>
        </w:r>
      </w:hyperlink>
      <w:r>
        <w:rPr/>
        <w:t>）上的公告。</w:t>
      </w:r>
    </w:p>
    <w:p>
      <w:pPr>
        <w:pStyle w:val="BodyText"/>
        <w:spacing w:line="386" w:lineRule="auto" w:before="35"/>
        <w:ind w:left="153" w:right="103" w:firstLine="420"/>
        <w:jc w:val="left"/>
      </w:pP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15</w:t>
      </w:r>
      <w:r>
        <w:rPr>
          <w:spacing w:val="-4"/>
        </w:rPr>
        <w:t>日第二届董事会第十二次临时会议审议通过《关于向激励对象授予限制性股票的议案》，</w:t>
      </w:r>
      <w:r>
        <w:rPr>
          <w:w w:val="100"/>
        </w:rPr>
        <w:t> </w:t>
      </w:r>
      <w:r>
        <w:rPr/>
        <w:t>确定</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日为陆廷洁女士</w:t>
      </w:r>
      <w:r>
        <w:rPr>
          <w:rFonts w:ascii="Times New Roman" w:hAnsi="Times New Roman" w:cs="Times New Roman" w:eastAsia="Times New Roman" w:hint="default"/>
        </w:rPr>
        <w:t>200,000</w:t>
      </w:r>
      <w:r>
        <w:rPr/>
        <w:t>股限制性股票的授予日。公司于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日披露了《限制性</w:t>
      </w:r>
      <w:r>
        <w:rPr>
          <w:spacing w:val="-81"/>
        </w:rPr>
        <w:t> </w:t>
      </w:r>
      <w:r>
        <w:rPr>
          <w:spacing w:val="-81"/>
        </w:rPr>
      </w:r>
      <w:r>
        <w:rPr>
          <w:spacing w:val="11"/>
        </w:rPr>
        <w:t>股票</w:t>
      </w:r>
      <w:r>
        <w:rPr>
          <w:spacing w:val="-68"/>
        </w:rPr>
        <w:t> </w:t>
      </w:r>
      <w:r>
        <w:rPr>
          <w:spacing w:val="17"/>
        </w:rPr>
        <w:t>授予完成</w:t>
      </w:r>
      <w:r>
        <w:rPr>
          <w:spacing w:val="-68"/>
        </w:rPr>
        <w:t> </w:t>
      </w:r>
      <w:r>
        <w:rPr>
          <w:spacing w:val="19"/>
        </w:rPr>
        <w:t>的公告》。相</w:t>
      </w:r>
      <w:r>
        <w:rPr>
          <w:spacing w:val="-68"/>
        </w:rPr>
        <w:t> </w:t>
      </w:r>
      <w:r>
        <w:rPr>
          <w:spacing w:val="17"/>
        </w:rPr>
        <w:t>关事项具</w:t>
      </w:r>
      <w:r>
        <w:rPr>
          <w:spacing w:val="-68"/>
        </w:rPr>
        <w:t> </w:t>
      </w:r>
      <w:r>
        <w:rPr>
          <w:spacing w:val="19"/>
        </w:rPr>
        <w:t>体详见中国证</w:t>
      </w:r>
      <w:r>
        <w:rPr>
          <w:spacing w:val="-68"/>
        </w:rPr>
        <w:t> </w:t>
      </w:r>
      <w:r>
        <w:rPr>
          <w:spacing w:val="17"/>
        </w:rPr>
        <w:t>监会指定</w:t>
      </w:r>
      <w:r>
        <w:rPr>
          <w:spacing w:val="-68"/>
        </w:rPr>
        <w:t> </w:t>
      </w:r>
      <w:r>
        <w:rPr>
          <w:spacing w:val="19"/>
        </w:rPr>
        <w:t>的创业板信息</w:t>
      </w:r>
      <w:r>
        <w:rPr>
          <w:spacing w:val="-68"/>
        </w:rPr>
        <w:t> </w:t>
      </w:r>
      <w:r>
        <w:rPr>
          <w:spacing w:val="17"/>
        </w:rPr>
        <w:t>披露网站</w:t>
      </w:r>
      <w:r>
        <w:rPr>
          <w:spacing w:val="-68"/>
        </w:rPr>
        <w:t> </w:t>
      </w:r>
      <w:r>
        <w:rPr>
          <w:spacing w:val="18"/>
        </w:rPr>
        <w:t>巨潮资讯网</w:t>
      </w:r>
      <w:r>
        <w:rPr>
          <w:spacing w:val="-81"/>
        </w:rPr>
        <w:t> </w:t>
      </w:r>
      <w:r>
        <w:rPr/>
      </w:r>
    </w:p>
    <w:p>
      <w:pPr>
        <w:pStyle w:val="BodyText"/>
        <w:spacing w:line="386" w:lineRule="auto" w:before="65"/>
        <w:ind w:left="489" w:right="103" w:hanging="337"/>
        <w:jc w:val="left"/>
      </w:pPr>
      <w:r>
        <w:rPr/>
        <w:t>（</w:t>
      </w:r>
      <w:hyperlink r:id="rId15">
        <w:r>
          <w:rPr>
            <w:rFonts w:ascii="Times New Roman" w:hAnsi="Times New Roman" w:cs="Times New Roman" w:eastAsia="Times New Roman" w:hint="default"/>
          </w:rPr>
          <w:t>http://www.cninfo.com.cn</w:t>
        </w:r>
      </w:hyperlink>
      <w:r>
        <w:rPr/>
        <w:t>）上的公告。</w:t>
      </w:r>
      <w:r>
        <w:rPr>
          <w:w w:val="100"/>
        </w:rPr>
        <w:t> </w:t>
      </w:r>
      <w:r>
        <w:rPr>
          <w:spacing w:val="-3"/>
        </w:rPr>
        <w:t>公司于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30</w:t>
      </w:r>
      <w:r>
        <w:rPr>
          <w:spacing w:val="-3"/>
        </w:rPr>
        <w:t>日分别召开第二届董事会第十七次临时会议和第二届监事会第十五次临时会议，审</w:t>
      </w:r>
    </w:p>
    <w:p>
      <w:pPr>
        <w:pStyle w:val="BodyText"/>
        <w:spacing w:line="386" w:lineRule="auto" w:before="35"/>
        <w:ind w:left="153" w:right="212"/>
        <w:jc w:val="both"/>
      </w:pPr>
      <w:r>
        <w:rPr>
          <w:spacing w:val="-3"/>
        </w:rPr>
        <w:t>议通过了《对</w:t>
      </w:r>
      <w:r>
        <w:rPr>
          <w:rFonts w:ascii="Times New Roman" w:hAnsi="Times New Roman" w:cs="Times New Roman" w:eastAsia="Times New Roman" w:hint="default"/>
          <w:spacing w:val="-3"/>
        </w:rPr>
        <w:t>&lt;</w:t>
      </w:r>
      <w:r>
        <w:rPr>
          <w:spacing w:val="-3"/>
        </w:rPr>
        <w:t>限制性股票激励计划</w:t>
      </w:r>
      <w:r>
        <w:rPr>
          <w:rFonts w:ascii="Times New Roman" w:hAnsi="Times New Roman" w:cs="Times New Roman" w:eastAsia="Times New Roman" w:hint="default"/>
          <w:spacing w:val="-3"/>
        </w:rPr>
        <w:t>&gt;</w:t>
      </w:r>
      <w:r>
        <w:rPr>
          <w:spacing w:val="-3"/>
        </w:rPr>
        <w:t>预留限制性股票数量进行调整的议案》、《关于向激励对象授予预留</w:t>
      </w:r>
      <w:r>
        <w:rPr>
          <w:spacing w:val="-32"/>
        </w:rPr>
        <w:t> </w:t>
      </w:r>
      <w:r>
        <w:rPr>
          <w:spacing w:val="-32"/>
        </w:rPr>
      </w:r>
      <w:r>
        <w:rPr/>
        <w:t>限制性股票相关事项的议案》。公司计划将预留限制性股票授出，授予日为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日，其中授予</w:t>
      </w:r>
      <w:r>
        <w:rPr>
          <w:rFonts w:ascii="Times New Roman" w:hAnsi="Times New Roman" w:cs="Times New Roman" w:eastAsia="Times New Roman" w:hint="default"/>
        </w:rPr>
        <w:t>30</w:t>
      </w:r>
      <w:r>
        <w:rPr>
          <w:rFonts w:ascii="Times New Roman" w:hAnsi="Times New Roman" w:cs="Times New Roman" w:eastAsia="Times New Roman" w:hint="default"/>
          <w:spacing w:val="21"/>
        </w:rPr>
        <w:t> </w:t>
      </w:r>
      <w:r>
        <w:rPr/>
        <w:t>名激励对象</w:t>
      </w:r>
      <w:r>
        <w:rPr>
          <w:rFonts w:ascii="Times New Roman" w:hAnsi="Times New Roman" w:cs="Times New Roman" w:eastAsia="Times New Roman" w:hint="default"/>
        </w:rPr>
        <w:t>845,000</w:t>
      </w:r>
      <w:r>
        <w:rPr/>
        <w:t>股限制性股票，授予价格为</w:t>
      </w:r>
      <w:r>
        <w:rPr>
          <w:rFonts w:ascii="Times New Roman" w:hAnsi="Times New Roman" w:cs="Times New Roman" w:eastAsia="Times New Roman" w:hint="default"/>
        </w:rPr>
        <w:t>10.38</w:t>
      </w:r>
      <w:r>
        <w:rPr/>
        <w:t>元</w:t>
      </w:r>
      <w:r>
        <w:rPr>
          <w:rFonts w:ascii="Times New Roman" w:hAnsi="Times New Roman" w:cs="Times New Roman" w:eastAsia="Times New Roman" w:hint="default"/>
        </w:rPr>
        <w:t>/</w:t>
      </w:r>
      <w:r>
        <w:rPr/>
        <w:t>股。公司预留部分的限制性股票已于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21</w:t>
      </w:r>
      <w:r>
        <w:rPr>
          <w:rFonts w:ascii="Times New Roman" w:hAnsi="Times New Roman" w:cs="Times New Roman" w:eastAsia="Times New Roman" w:hint="default"/>
          <w:spacing w:val="10"/>
        </w:rPr>
        <w:t> </w:t>
      </w:r>
      <w:r>
        <w:rPr/>
        <w:t>日完成授予登记手续。</w:t>
      </w:r>
    </w:p>
    <w:p>
      <w:pPr>
        <w:pStyle w:val="BodyText"/>
        <w:spacing w:line="386" w:lineRule="auto" w:before="65"/>
        <w:ind w:left="573" w:right="103" w:hanging="1"/>
        <w:jc w:val="left"/>
      </w:pPr>
      <w:r>
        <w:rPr/>
        <w:pict>
          <v:shape style="position:absolute;margin-left:86.760002pt;margin-top:46.81736pt;width:388.45pt;height:128.3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75"/>
                    <w:gridCol w:w="1274"/>
                    <w:gridCol w:w="2695"/>
                    <w:gridCol w:w="2088"/>
                  </w:tblGrid>
                  <w:tr>
                    <w:trPr>
                      <w:trHeight w:val="511" w:hRule="exact"/>
                    </w:trPr>
                    <w:tc>
                      <w:tcPr>
                        <w:tcW w:w="16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left="112" w:right="0"/>
                          <w:jc w:val="left"/>
                          <w:rPr>
                            <w:rFonts w:ascii="宋体" w:hAnsi="宋体" w:cs="宋体" w:eastAsia="宋体" w:hint="default"/>
                            <w:sz w:val="18"/>
                            <w:szCs w:val="18"/>
                          </w:rPr>
                        </w:pPr>
                        <w:r>
                          <w:rPr>
                            <w:rFonts w:ascii="宋体" w:hAnsi="宋体" w:cs="宋体" w:eastAsia="宋体" w:hint="default"/>
                            <w:sz w:val="18"/>
                            <w:szCs w:val="18"/>
                          </w:rPr>
                          <w:t>限制性股票授予日</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left="271" w:right="0"/>
                          <w:jc w:val="left"/>
                          <w:rPr>
                            <w:rFonts w:ascii="宋体" w:hAnsi="宋体" w:cs="宋体" w:eastAsia="宋体" w:hint="default"/>
                            <w:sz w:val="18"/>
                            <w:szCs w:val="18"/>
                          </w:rPr>
                        </w:pPr>
                        <w:r>
                          <w:rPr>
                            <w:rFonts w:ascii="宋体" w:hAnsi="宋体" w:cs="宋体" w:eastAsia="宋体" w:hint="default"/>
                            <w:sz w:val="18"/>
                            <w:szCs w:val="18"/>
                          </w:rPr>
                          <w:t>授予价格</w:t>
                        </w:r>
                      </w:p>
                    </w:tc>
                    <w:tc>
                      <w:tcPr>
                        <w:tcW w:w="26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限制性股票激励计划激励对象</w:t>
                        </w:r>
                      </w:p>
                    </w:tc>
                    <w:tc>
                      <w:tcPr>
                        <w:tcW w:w="208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7"/>
                          <w:ind w:right="7"/>
                          <w:jc w:val="center"/>
                          <w:rPr>
                            <w:rFonts w:ascii="宋体" w:hAnsi="宋体" w:cs="宋体" w:eastAsia="宋体" w:hint="default"/>
                            <w:sz w:val="18"/>
                            <w:szCs w:val="18"/>
                          </w:rPr>
                        </w:pPr>
                        <w:r>
                          <w:rPr>
                            <w:rFonts w:ascii="宋体" w:hAnsi="宋体" w:cs="宋体" w:eastAsia="宋体" w:hint="default"/>
                            <w:sz w:val="18"/>
                            <w:szCs w:val="18"/>
                          </w:rPr>
                          <w:t>限制性股票数量</w:t>
                        </w:r>
                      </w:p>
                    </w:tc>
                  </w:tr>
                  <w:tr>
                    <w:trPr>
                      <w:trHeight w:val="506" w:hRule="exact"/>
                    </w:trPr>
                    <w:tc>
                      <w:tcPr>
                        <w:tcW w:w="16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2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4.81</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26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77</w:t>
                        </w:r>
                        <w:r>
                          <w:rPr>
                            <w:rFonts w:ascii="宋体" w:hAnsi="宋体" w:cs="宋体" w:eastAsia="宋体" w:hint="default"/>
                            <w:sz w:val="18"/>
                            <w:szCs w:val="18"/>
                          </w:rPr>
                          <w:t>人</w:t>
                        </w:r>
                      </w:p>
                    </w:tc>
                    <w:tc>
                      <w:tcPr>
                        <w:tcW w:w="20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533</w:t>
                        </w:r>
                        <w:r>
                          <w:rPr>
                            <w:rFonts w:ascii="宋体" w:hAnsi="宋体" w:cs="宋体" w:eastAsia="宋体" w:hint="default"/>
                            <w:sz w:val="18"/>
                            <w:szCs w:val="18"/>
                          </w:rPr>
                          <w:t>万份</w:t>
                        </w:r>
                      </w:p>
                    </w:tc>
                  </w:tr>
                  <w:tr>
                    <w:trPr>
                      <w:trHeight w:val="509" w:hRule="exact"/>
                    </w:trPr>
                    <w:tc>
                      <w:tcPr>
                        <w:tcW w:w="16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2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4.81</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26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w:t>
                        </w:r>
                      </w:p>
                    </w:tc>
                    <w:tc>
                      <w:tcPr>
                        <w:tcW w:w="20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9"/>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万份</w:t>
                        </w:r>
                      </w:p>
                    </w:tc>
                  </w:tr>
                  <w:tr>
                    <w:trPr>
                      <w:trHeight w:val="509" w:hRule="exact"/>
                    </w:trPr>
                    <w:tc>
                      <w:tcPr>
                        <w:tcW w:w="16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2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10.38</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26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人</w:t>
                        </w:r>
                      </w:p>
                    </w:tc>
                    <w:tc>
                      <w:tcPr>
                        <w:tcW w:w="20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84.5</w:t>
                        </w:r>
                        <w:r>
                          <w:rPr>
                            <w:rFonts w:ascii="宋体" w:hAnsi="宋体" w:cs="宋体" w:eastAsia="宋体" w:hint="default"/>
                            <w:sz w:val="18"/>
                            <w:szCs w:val="18"/>
                          </w:rPr>
                          <w:t>万份</w:t>
                        </w:r>
                      </w:p>
                    </w:tc>
                  </w:tr>
                  <w:tr>
                    <w:trPr>
                      <w:trHeight w:val="509" w:hRule="exact"/>
                    </w:trPr>
                    <w:tc>
                      <w:tcPr>
                        <w:tcW w:w="1675" w:type="dxa"/>
                        <w:tcBorders>
                          <w:top w:val="single" w:sz="12" w:space="0" w:color="000000"/>
                          <w:left w:val="single" w:sz="6" w:space="0" w:color="000000"/>
                          <w:bottom w:val="single" w:sz="12" w:space="0" w:color="000000"/>
                          <w:right w:val="single" w:sz="6" w:space="0" w:color="000000"/>
                        </w:tcBorders>
                      </w:tcPr>
                      <w:p>
                        <w:pPr>
                          <w:pStyle w:val="TableParagraph"/>
                          <w:tabs>
                            <w:tab w:pos="1012" w:val="left" w:leader="none"/>
                          </w:tabs>
                          <w:spacing w:line="240" w:lineRule="auto" w:before="87"/>
                          <w:ind w:left="47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274" w:type="dxa"/>
                        <w:tcBorders>
                          <w:top w:val="single" w:sz="12" w:space="0" w:color="000000"/>
                          <w:left w:val="single" w:sz="6" w:space="0" w:color="000000"/>
                          <w:bottom w:val="single" w:sz="12" w:space="0" w:color="000000"/>
                          <w:right w:val="single" w:sz="6" w:space="0" w:color="000000"/>
                        </w:tcBorders>
                      </w:tcPr>
                      <w:p>
                        <w:pPr/>
                      </w:p>
                    </w:tc>
                    <w:tc>
                      <w:tcPr>
                        <w:tcW w:w="26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108</w:t>
                        </w:r>
                        <w:r>
                          <w:rPr>
                            <w:rFonts w:ascii="宋体" w:hAnsi="宋体" w:cs="宋体" w:eastAsia="宋体" w:hint="default"/>
                            <w:sz w:val="18"/>
                            <w:szCs w:val="18"/>
                          </w:rPr>
                          <w:t>人</w:t>
                        </w:r>
                      </w:p>
                    </w:tc>
                    <w:tc>
                      <w:tcPr>
                        <w:tcW w:w="20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637.5</w:t>
                        </w:r>
                        <w:r>
                          <w:rPr>
                            <w:rFonts w:ascii="宋体" w:hAnsi="宋体" w:cs="宋体" w:eastAsia="宋体" w:hint="default"/>
                            <w:sz w:val="18"/>
                            <w:szCs w:val="18"/>
                          </w:rPr>
                          <w:t>万份</w:t>
                        </w:r>
                      </w:p>
                    </w:tc>
                  </w:tr>
                </w:tbl>
                <w:p>
                  <w:pPr/>
                </w:p>
              </w:txbxContent>
            </v:textbox>
            <w10:wrap type="none"/>
          </v:shape>
        </w:pict>
      </w:r>
      <w:r>
        <w:rPr/>
        <w:t>公司于</w:t>
      </w:r>
      <w:r>
        <w:rPr>
          <w:rFonts w:ascii="Times New Roman" w:hAnsi="Times New Roman" w:cs="Times New Roman" w:eastAsia="Times New Roman" w:hint="default"/>
        </w:rPr>
        <w:t>2015</w:t>
      </w:r>
      <w:r>
        <w:rPr/>
        <w:t>年度无限制性股票授予行为。</w:t>
      </w:r>
      <w:r>
        <w:rPr>
          <w:w w:val="100"/>
        </w:rPr>
        <w:t> </w:t>
      </w:r>
      <w:r>
        <w:rPr>
          <w:spacing w:val="-2"/>
        </w:rPr>
        <w:t>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日，限制性股票最终授予及认购的情况为：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86" w:lineRule="auto" w:before="190"/>
        <w:ind w:left="572" w:right="103"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2013</w:t>
      </w:r>
      <w:r>
        <w:rPr>
          <w:rFonts w:ascii="宋体" w:hAnsi="宋体" w:cs="宋体" w:eastAsia="宋体" w:hint="default"/>
          <w:b/>
          <w:bCs/>
          <w:sz w:val="21"/>
          <w:szCs w:val="21"/>
        </w:rPr>
        <w:t>年度股权激励情况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w:t>
      </w:r>
      <w:r>
        <w:rPr>
          <w:rFonts w:ascii="Times New Roman" w:hAnsi="Times New Roman" w:cs="Times New Roman" w:eastAsia="Times New Roman" w:hint="default"/>
          <w:spacing w:val="-2"/>
          <w:sz w:val="21"/>
          <w:szCs w:val="21"/>
        </w:rPr>
        <w:t>2013</w:t>
      </w:r>
      <w:r>
        <w:rPr>
          <w:rFonts w:ascii="宋体" w:hAnsi="宋体" w:cs="宋体" w:eastAsia="宋体" w:hint="default"/>
          <w:spacing w:val="-2"/>
          <w:sz w:val="21"/>
          <w:szCs w:val="21"/>
        </w:rPr>
        <w:t>年授予激励对象的限制性股票自授予之日起</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个月为锁定期；锁定期内，激励对象通过本计</w:t>
      </w:r>
    </w:p>
    <w:p>
      <w:pPr>
        <w:pStyle w:val="BodyText"/>
        <w:spacing w:line="386" w:lineRule="auto" w:before="35"/>
        <w:ind w:right="103"/>
        <w:jc w:val="left"/>
      </w:pPr>
      <w:r>
        <w:rPr>
          <w:spacing w:val="-2"/>
        </w:rPr>
        <w:t>划持有的限制性股票将被锁定不得转让、用于担保或偿还债务。锁定期后</w:t>
      </w:r>
      <w:r>
        <w:rPr>
          <w:rFonts w:ascii="Times New Roman" w:hAnsi="Times New Roman" w:cs="Times New Roman" w:eastAsia="Times New Roman" w:hint="default"/>
          <w:spacing w:val="-2"/>
        </w:rPr>
        <w:t>36</w:t>
      </w:r>
      <w:r>
        <w:rPr>
          <w:spacing w:val="-2"/>
        </w:rPr>
        <w:t>个月为解锁期，在解锁期内，</w:t>
      </w:r>
      <w:r>
        <w:rPr>
          <w:spacing w:val="-23"/>
        </w:rPr>
        <w:t> </w:t>
      </w:r>
      <w:r>
        <w:rPr>
          <w:spacing w:val="-23"/>
        </w:rPr>
      </w:r>
      <w:r>
        <w:rPr>
          <w:spacing w:val="-2"/>
        </w:rPr>
        <w:t>在满足本激励计划规定的解锁条件时，激励对象可分三次申请标的股票解锁，分别自授予日起</w:t>
      </w:r>
      <w:r>
        <w:rPr>
          <w:rFonts w:ascii="Times New Roman" w:hAnsi="Times New Roman" w:cs="Times New Roman" w:eastAsia="Times New Roman" w:hint="default"/>
          <w:spacing w:val="-2"/>
        </w:rPr>
        <w:t>12</w:t>
      </w:r>
      <w:r>
        <w:rPr>
          <w:spacing w:val="-2"/>
        </w:rPr>
        <w:t>个月后、</w:t>
      </w:r>
      <w:r>
        <w:rPr/>
      </w:r>
    </w:p>
    <w:p>
      <w:pPr>
        <w:spacing w:after="0" w:line="386" w:lineRule="auto"/>
        <w:jc w:val="left"/>
        <w:sectPr>
          <w:pgSz w:w="11910" w:h="16840"/>
          <w:pgMar w:header="745" w:footer="982" w:top="1060" w:bottom="1180" w:left="980" w:right="920"/>
        </w:sectPr>
      </w:pPr>
    </w:p>
    <w:p>
      <w:pPr>
        <w:spacing w:line="240" w:lineRule="auto" w:before="0"/>
        <w:rPr>
          <w:rFonts w:ascii="宋体" w:hAnsi="宋体" w:cs="宋体" w:eastAsia="宋体" w:hint="default"/>
          <w:sz w:val="20"/>
          <w:szCs w:val="20"/>
        </w:rPr>
      </w:pPr>
    </w:p>
    <w:p>
      <w:pPr>
        <w:pStyle w:val="BodyText"/>
        <w:spacing w:line="240" w:lineRule="auto" w:before="175"/>
        <w:ind w:right="0"/>
        <w:jc w:val="left"/>
      </w:pPr>
      <w:r>
        <w:rPr>
          <w:rFonts w:ascii="Times New Roman" w:hAnsi="Times New Roman" w:cs="Times New Roman" w:eastAsia="Times New Roman" w:hint="default"/>
        </w:rPr>
        <w:t>24</w:t>
      </w:r>
      <w:r>
        <w:rPr/>
        <w:t>个月后、</w:t>
      </w:r>
      <w:r>
        <w:rPr>
          <w:rFonts w:ascii="Times New Roman" w:hAnsi="Times New Roman" w:cs="Times New Roman" w:eastAsia="Times New Roman" w:hint="default"/>
        </w:rPr>
        <w:t>36</w:t>
      </w:r>
      <w:r>
        <w:rPr/>
        <w:t>个月后分别申请解锁所获授限制性股票总量的</w:t>
      </w:r>
      <w:r>
        <w:rPr>
          <w:rFonts w:ascii="Times New Roman" w:hAnsi="Times New Roman" w:cs="Times New Roman" w:eastAsia="Times New Roman" w:hint="default"/>
        </w:rPr>
        <w:t>30%</w:t>
      </w:r>
      <w:r>
        <w:rPr/>
        <w:t>、</w:t>
      </w:r>
      <w:r>
        <w:rPr>
          <w:rFonts w:ascii="Times New Roman" w:hAnsi="Times New Roman" w:cs="Times New Roman" w:eastAsia="Times New Roman" w:hint="default"/>
        </w:rPr>
        <w:t>30%</w:t>
      </w:r>
      <w:r>
        <w:rPr/>
        <w:t>、</w:t>
      </w:r>
      <w:r>
        <w:rPr>
          <w:rFonts w:ascii="Times New Roman" w:hAnsi="Times New Roman" w:cs="Times New Roman" w:eastAsia="Times New Roman" w:hint="default"/>
        </w:rPr>
        <w:t>40%</w:t>
      </w:r>
      <w:r>
        <w:rPr/>
        <w:t>。</w:t>
      </w:r>
    </w:p>
    <w:p>
      <w:pPr>
        <w:pStyle w:val="BodyText"/>
        <w:spacing w:line="391" w:lineRule="auto" w:before="177"/>
        <w:ind w:right="0" w:firstLine="419"/>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日，公司分别召开第二届董事会第十三次临时会议和第二届监事会第十一次临时会议，</w:t>
      </w:r>
      <w:r>
        <w:rPr>
          <w:w w:val="100"/>
        </w:rPr>
        <w:t> </w:t>
      </w:r>
      <w:r>
        <w:rPr>
          <w:spacing w:val="-2"/>
        </w:rPr>
        <w:t>审议通过了《关于回购注销已不符合激励条件的原激励对象已获授尚未解锁的限制性股票的议案》，同意</w:t>
      </w:r>
      <w:r>
        <w:rPr>
          <w:spacing w:val="-42"/>
        </w:rPr>
        <w:t> </w:t>
      </w:r>
      <w:r>
        <w:rPr>
          <w:spacing w:val="-42"/>
        </w:rPr>
      </w:r>
      <w:r>
        <w:rPr>
          <w:spacing w:val="-3"/>
        </w:rPr>
        <w:t>将离职激励对象涂宇果、鲜宸皓、段荣蓉</w:t>
      </w:r>
      <w:r>
        <w:rPr>
          <w:rFonts w:ascii="Times New Roman" w:hAnsi="Times New Roman" w:cs="Times New Roman" w:eastAsia="Times New Roman" w:hint="default"/>
          <w:spacing w:val="-3"/>
        </w:rPr>
        <w:t>3</w:t>
      </w:r>
      <w:r>
        <w:rPr>
          <w:spacing w:val="-3"/>
        </w:rPr>
        <w:t>人已获授但未解锁的全部限制性股票</w:t>
      </w:r>
      <w:r>
        <w:rPr>
          <w:rFonts w:ascii="Times New Roman" w:hAnsi="Times New Roman" w:cs="Times New Roman" w:eastAsia="Times New Roman" w:hint="default"/>
          <w:spacing w:val="-3"/>
        </w:rPr>
        <w:t>13.5</w:t>
      </w:r>
      <w:r>
        <w:rPr>
          <w:spacing w:val="-3"/>
        </w:rPr>
        <w:t>万股进行回购注销，回</w:t>
      </w:r>
      <w:r>
        <w:rPr>
          <w:spacing w:val="-44"/>
        </w:rPr>
        <w:t> </w:t>
      </w:r>
      <w:r>
        <w:rPr>
          <w:spacing w:val="-44"/>
        </w:rPr>
      </w:r>
      <w:r>
        <w:rPr/>
        <w:t>购价格为授予价格</w:t>
      </w:r>
      <w:r>
        <w:rPr>
          <w:rFonts w:ascii="Times New Roman" w:hAnsi="Times New Roman" w:cs="Times New Roman" w:eastAsia="Times New Roman" w:hint="default"/>
        </w:rPr>
        <w:t>4.81</w:t>
      </w:r>
      <w:r>
        <w:rPr/>
        <w:t>元</w:t>
      </w:r>
      <w:r>
        <w:rPr>
          <w:rFonts w:ascii="Times New Roman" w:hAnsi="Times New Roman" w:cs="Times New Roman" w:eastAsia="Times New Roman" w:hint="default"/>
        </w:rPr>
        <w:t>/</w:t>
      </w:r>
      <w:r>
        <w:rPr/>
        <w:t>股，共计出资</w:t>
      </w:r>
      <w:r>
        <w:rPr>
          <w:rFonts w:ascii="Times New Roman" w:hAnsi="Times New Roman" w:cs="Times New Roman" w:eastAsia="Times New Roman" w:hint="default"/>
        </w:rPr>
        <w:t>649,350.00</w:t>
      </w:r>
      <w:r>
        <w:rPr/>
        <w:t>元，其中面值部分</w:t>
      </w:r>
      <w:r>
        <w:rPr>
          <w:rFonts w:ascii="Times New Roman" w:hAnsi="Times New Roman" w:cs="Times New Roman" w:eastAsia="Times New Roman" w:hint="default"/>
        </w:rPr>
        <w:t>135,000.00</w:t>
      </w:r>
      <w:r>
        <w:rPr/>
        <w:t>元冲减股本，溢价部分</w:t>
      </w:r>
      <w:r>
        <w:rPr>
          <w:w w:val="100"/>
        </w:rPr>
        <w:t> </w:t>
      </w:r>
      <w:r>
        <w:rPr>
          <w:rFonts w:ascii="Times New Roman" w:hAnsi="Times New Roman" w:cs="Times New Roman" w:eastAsia="Times New Roman" w:hint="default"/>
        </w:rPr>
        <w:t>514,350.00</w:t>
      </w:r>
      <w:r>
        <w:rPr/>
        <w:t>元冲减冲减资本公积。公司上述限制性股票的注销事宜已经于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日完成。</w:t>
      </w:r>
    </w:p>
    <w:p>
      <w:pPr>
        <w:pStyle w:val="BodyText"/>
        <w:spacing w:line="398" w:lineRule="auto" w:before="31"/>
        <w:ind w:left="153" w:right="146" w:firstLine="419"/>
        <w:jc w:val="both"/>
      </w:pP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14</w:t>
      </w:r>
      <w:r>
        <w:rPr>
          <w:spacing w:val="-4"/>
        </w:rPr>
        <w:t>日，公司召开第二届董事会第十九次会议和第二届监事会第十七次会议，审议通过了《关</w:t>
      </w:r>
      <w:r>
        <w:rPr>
          <w:w w:val="100"/>
        </w:rPr>
        <w:t> </w:t>
      </w:r>
      <w:r>
        <w:rPr>
          <w:spacing w:val="-2"/>
        </w:rPr>
        <w:t>于限制性股票激励计划首期限制性股票可解锁的议案》、《关于回购注销部分激励对象已获授但尚未解锁</w:t>
      </w:r>
      <w:r>
        <w:rPr>
          <w:spacing w:val="-43"/>
        </w:rPr>
        <w:t> </w:t>
      </w:r>
      <w:r>
        <w:rPr>
          <w:spacing w:val="-43"/>
        </w:rPr>
      </w:r>
      <w:r>
        <w:rPr>
          <w:spacing w:val="-2"/>
        </w:rPr>
        <w:t>的限制性股票的议案》。同意按照《限制性股票激励计划》的相关规定办理首期限制性股票的解锁相关事</w:t>
      </w:r>
      <w:r>
        <w:rPr>
          <w:spacing w:val="-47"/>
        </w:rPr>
        <w:t> </w:t>
      </w:r>
      <w:r>
        <w:rPr>
          <w:spacing w:val="-47"/>
        </w:rPr>
      </w:r>
      <w:r>
        <w:rPr>
          <w:spacing w:val="-3"/>
        </w:rPr>
        <w:t>宜。鉴于公司已实施了</w:t>
      </w:r>
      <w:r>
        <w:rPr>
          <w:rFonts w:ascii="Times New Roman" w:hAnsi="Times New Roman" w:cs="Times New Roman" w:eastAsia="Times New Roman" w:hint="default"/>
          <w:spacing w:val="-3"/>
        </w:rPr>
        <w:t>2013</w:t>
      </w:r>
      <w:r>
        <w:rPr>
          <w:spacing w:val="-3"/>
        </w:rPr>
        <w:t>年度权益分派，调整后本次可申请解锁的限制性股票数量为</w:t>
      </w:r>
      <w:r>
        <w:rPr>
          <w:rFonts w:ascii="Times New Roman" w:hAnsi="Times New Roman" w:cs="Times New Roman" w:eastAsia="Times New Roman" w:hint="default"/>
          <w:spacing w:val="-3"/>
        </w:rPr>
        <w:t>193.401</w:t>
      </w:r>
      <w:r>
        <w:rPr>
          <w:spacing w:val="-3"/>
        </w:rPr>
        <w:t>万股，首期</w:t>
      </w:r>
      <w:r>
        <w:rPr>
          <w:spacing w:val="-38"/>
        </w:rPr>
        <w:t> </w:t>
      </w:r>
      <w:r>
        <w:rPr>
          <w:spacing w:val="-38"/>
        </w:rPr>
      </w:r>
      <w:r>
        <w:rPr/>
        <w:t>限制性股票于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日上市流通。</w:t>
      </w:r>
    </w:p>
    <w:p>
      <w:pPr>
        <w:pStyle w:val="BodyText"/>
        <w:spacing w:line="386" w:lineRule="auto" w:before="24"/>
        <w:ind w:left="153" w:right="149" w:firstLine="420"/>
        <w:jc w:val="both"/>
      </w:pPr>
      <w:r>
        <w:rPr/>
        <w:t>另公司激励对象中陶凯、高航、许焕明</w:t>
      </w:r>
      <w:r>
        <w:rPr>
          <w:rFonts w:ascii="Times New Roman" w:hAnsi="Times New Roman" w:cs="Times New Roman" w:eastAsia="Times New Roman" w:hint="default"/>
        </w:rPr>
        <w:t>3</w:t>
      </w:r>
      <w:r>
        <w:rPr/>
        <w:t>人因</w:t>
      </w:r>
      <w:r>
        <w:rPr>
          <w:rFonts w:ascii="Times New Roman" w:hAnsi="Times New Roman" w:cs="Times New Roman" w:eastAsia="Times New Roman" w:hint="default"/>
        </w:rPr>
        <w:t>2013</w:t>
      </w:r>
      <w:r>
        <w:rPr/>
        <w:t>年度个人考核未达标不能解锁首期限制性股票，陆</w:t>
      </w:r>
      <w:r>
        <w:rPr>
          <w:w w:val="100"/>
        </w:rPr>
        <w:t> </w:t>
      </w:r>
      <w:r>
        <w:rPr/>
        <w:t>宝齐、魏涛、李斌</w:t>
      </w:r>
      <w:r>
        <w:rPr>
          <w:rFonts w:ascii="Times New Roman" w:hAnsi="Times New Roman" w:cs="Times New Roman" w:eastAsia="Times New Roman" w:hint="default"/>
        </w:rPr>
        <w:t>3</w:t>
      </w:r>
      <w:r>
        <w:rPr/>
        <w:t>人将根据</w:t>
      </w:r>
      <w:r>
        <w:rPr>
          <w:rFonts w:ascii="Times New Roman" w:hAnsi="Times New Roman" w:cs="Times New Roman" w:eastAsia="Times New Roman" w:hint="default"/>
        </w:rPr>
        <w:t>2013</w:t>
      </w:r>
      <w:r>
        <w:rPr/>
        <w:t>年度个人对应考核标准系数对本次可解锁数量进行调整，公司对其调整</w:t>
      </w:r>
      <w:r>
        <w:rPr>
          <w:spacing w:val="-28"/>
        </w:rPr>
        <w:t> </w:t>
      </w:r>
      <w:r>
        <w:rPr>
          <w:spacing w:val="-28"/>
        </w:rPr>
      </w:r>
      <w:r>
        <w:rPr>
          <w:spacing w:val="-3"/>
        </w:rPr>
        <w:t>后已获授但未能解锁的限制性股票</w:t>
      </w:r>
      <w:r>
        <w:rPr>
          <w:rFonts w:ascii="Times New Roman" w:hAnsi="Times New Roman" w:cs="Times New Roman" w:eastAsia="Times New Roman" w:hint="default"/>
          <w:spacing w:val="-3"/>
        </w:rPr>
        <w:t>9.204</w:t>
      </w:r>
      <w:r>
        <w:rPr>
          <w:spacing w:val="-3"/>
        </w:rPr>
        <w:t>万股进行回购注销。上述限制性股票的回购注销事宜已于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12"/>
        </w:rPr>
        <w:t> </w:t>
      </w:r>
      <w:r>
        <w:rPr>
          <w:spacing w:val="-2"/>
        </w:rPr>
        <w:t>月</w:t>
      </w:r>
      <w:r>
        <w:rPr>
          <w:rFonts w:ascii="Times New Roman" w:hAnsi="Times New Roman" w:cs="Times New Roman" w:eastAsia="Times New Roman" w:hint="default"/>
          <w:spacing w:val="-2"/>
        </w:rPr>
        <w:t>27</w:t>
      </w:r>
      <w:r>
        <w:rPr>
          <w:spacing w:val="-2"/>
        </w:rPr>
        <w:t>日完成，回购价格为</w:t>
      </w:r>
      <w:r>
        <w:rPr>
          <w:rFonts w:ascii="Times New Roman" w:hAnsi="Times New Roman" w:cs="Times New Roman" w:eastAsia="Times New Roman" w:hint="default"/>
          <w:spacing w:val="-2"/>
        </w:rPr>
        <w:t>3.70</w:t>
      </w:r>
      <w:r>
        <w:rPr>
          <w:spacing w:val="-2"/>
        </w:rPr>
        <w:t>元</w:t>
      </w:r>
      <w:r>
        <w:rPr>
          <w:rFonts w:ascii="Times New Roman" w:hAnsi="Times New Roman" w:cs="Times New Roman" w:eastAsia="Times New Roman" w:hint="default"/>
          <w:spacing w:val="-2"/>
        </w:rPr>
        <w:t>/</w:t>
      </w:r>
      <w:r>
        <w:rPr>
          <w:spacing w:val="-2"/>
        </w:rPr>
        <w:t>股（根据授予价格按照资本公积转增股本及派送股票红利调整），共计出</w:t>
      </w:r>
      <w:r>
        <w:rPr>
          <w:spacing w:val="-45"/>
        </w:rPr>
        <w:t> </w:t>
      </w:r>
      <w:r>
        <w:rPr>
          <w:spacing w:val="-45"/>
        </w:rPr>
      </w:r>
      <w:r>
        <w:rPr/>
        <w:t>资</w:t>
      </w:r>
      <w:r>
        <w:rPr>
          <w:rFonts w:ascii="Times New Roman" w:hAnsi="Times New Roman" w:cs="Times New Roman" w:eastAsia="Times New Roman" w:hint="default"/>
        </w:rPr>
        <w:t>340,548.00</w:t>
      </w:r>
      <w:r>
        <w:rPr/>
        <w:t>元，其中面值部分</w:t>
      </w:r>
      <w:r>
        <w:rPr>
          <w:rFonts w:ascii="Times New Roman" w:hAnsi="Times New Roman" w:cs="Times New Roman" w:eastAsia="Times New Roman" w:hint="default"/>
        </w:rPr>
        <w:t>92,040.00</w:t>
      </w:r>
      <w:r>
        <w:rPr/>
        <w:t>冲减股本，溢价部分</w:t>
      </w:r>
      <w:r>
        <w:rPr>
          <w:rFonts w:ascii="Times New Roman" w:hAnsi="Times New Roman" w:cs="Times New Roman" w:eastAsia="Times New Roman" w:hint="default"/>
        </w:rPr>
        <w:t>248,508.00</w:t>
      </w:r>
      <w:r>
        <w:rPr/>
        <w:t>元冲减冲减资本公积。</w:t>
      </w:r>
    </w:p>
    <w:p>
      <w:pPr>
        <w:pStyle w:val="BodyText"/>
        <w:spacing w:line="398" w:lineRule="auto" w:before="35"/>
        <w:ind w:left="153" w:right="146" w:firstLine="42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日，公司召开第二届董事会第二十四次临时会议，审议通过了《关于回购注销部分激励</w:t>
      </w:r>
      <w:r>
        <w:rPr>
          <w:w w:val="100"/>
        </w:rPr>
        <w:t> </w:t>
      </w:r>
      <w:r>
        <w:rPr>
          <w:spacing w:val="-2"/>
        </w:rPr>
        <w:t>对象已获授但尚未解锁的限制性股票的议案》，同意将离职激励对象陆宝齐已获授但未解锁的全部限制性</w:t>
      </w:r>
      <w:r>
        <w:rPr>
          <w:spacing w:val="-43"/>
        </w:rPr>
        <w:t> </w:t>
      </w:r>
      <w:r>
        <w:rPr>
          <w:spacing w:val="-43"/>
        </w:rPr>
      </w:r>
      <w:r>
        <w:rPr/>
        <w:t>股票</w:t>
      </w:r>
      <w:r>
        <w:rPr>
          <w:rFonts w:ascii="Times New Roman" w:hAnsi="Times New Roman" w:cs="Times New Roman" w:eastAsia="Times New Roman" w:hint="default"/>
        </w:rPr>
        <w:t>638,250</w:t>
      </w:r>
      <w:r>
        <w:rPr/>
        <w:t>股进行回购注销。公司上述限制性股票的注销事宜已经于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日完成。</w:t>
      </w:r>
    </w:p>
    <w:p>
      <w:pPr>
        <w:pStyle w:val="BodyText"/>
        <w:spacing w:line="400" w:lineRule="auto" w:before="24"/>
        <w:ind w:left="153" w:right="146" w:firstLine="42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t>日，公司召开第二届董事会第二十八次临时会议和第二届监事会第二十六次临时会议，</w:t>
      </w:r>
      <w:r>
        <w:rPr>
          <w:w w:val="100"/>
        </w:rPr>
        <w:t> </w:t>
      </w:r>
      <w:r>
        <w:rPr>
          <w:spacing w:val="-2"/>
        </w:rPr>
        <w:t>审议通过了《关于公司股权激励计划预留部分限制性股票第一个解锁期条件成就可解锁的议案》、《关于</w:t>
      </w:r>
      <w:r>
        <w:rPr>
          <w:spacing w:val="-44"/>
        </w:rPr>
        <w:t> </w:t>
      </w:r>
      <w:r>
        <w:rPr>
          <w:spacing w:val="-44"/>
        </w:rPr>
      </w:r>
      <w:r>
        <w:rPr>
          <w:spacing w:val="-2"/>
        </w:rPr>
        <w:t>限制性股票激励计划首次授予的限制性股票第二个解锁期条件成就可解锁的议案》、《关于回购注销部分</w:t>
      </w:r>
      <w:r>
        <w:rPr>
          <w:spacing w:val="-43"/>
        </w:rPr>
        <w:t> </w:t>
      </w:r>
      <w:r>
        <w:rPr>
          <w:spacing w:val="-43"/>
        </w:rPr>
      </w:r>
      <w:r>
        <w:rPr>
          <w:spacing w:val="-2"/>
        </w:rPr>
        <w:t>激励对象已获授但尚未解锁的限制性股票的议案》。同意按照《限制性股票激励计划》的相关规定办理预</w:t>
      </w:r>
      <w:r>
        <w:rPr>
          <w:spacing w:val="-48"/>
        </w:rPr>
        <w:t> </w:t>
      </w:r>
      <w:r>
        <w:rPr>
          <w:spacing w:val="-48"/>
        </w:rPr>
      </w:r>
      <w:r>
        <w:rPr>
          <w:spacing w:val="-2"/>
        </w:rPr>
        <w:t>留部分限制性股票首期解锁及首次授予的限制性股票第二个解锁期限制性股票解锁相关事宜。首次授予的</w:t>
      </w:r>
      <w:r>
        <w:rPr>
          <w:spacing w:val="-43"/>
        </w:rPr>
        <w:t> </w:t>
      </w:r>
      <w:r>
        <w:rPr>
          <w:spacing w:val="-43"/>
        </w:rPr>
      </w:r>
      <w:r>
        <w:rPr>
          <w:spacing w:val="-1"/>
        </w:rPr>
        <w:t>限制性股票第二个解锁期的限制性股票申请解锁</w:t>
      </w:r>
      <w:r>
        <w:rPr>
          <w:rFonts w:ascii="Times New Roman" w:hAnsi="Times New Roman" w:cs="Times New Roman" w:eastAsia="Times New Roman" w:hint="default"/>
          <w:spacing w:val="-1"/>
        </w:rPr>
        <w:t>295.308</w:t>
      </w:r>
      <w:r>
        <w:rPr>
          <w:spacing w:val="-1"/>
        </w:rPr>
        <w:t>万股，占公司目前股本总额的</w:t>
      </w:r>
      <w:r>
        <w:rPr>
          <w:rFonts w:ascii="Times New Roman" w:hAnsi="Times New Roman" w:cs="Times New Roman" w:eastAsia="Times New Roman" w:hint="default"/>
          <w:spacing w:val="-1"/>
        </w:rPr>
        <w:t>1.08%</w:t>
      </w:r>
      <w:r>
        <w:rPr>
          <w:spacing w:val="-1"/>
        </w:rPr>
        <w:t>。上述限制性</w:t>
      </w:r>
      <w:r>
        <w:rPr>
          <w:spacing w:val="-48"/>
        </w:rPr>
        <w:t> </w:t>
      </w:r>
      <w:r>
        <w:rPr>
          <w:spacing w:val="-48"/>
        </w:rPr>
      </w:r>
      <w:r>
        <w:rPr/>
        <w:t>股票已于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9</w:t>
      </w:r>
      <w:r>
        <w:rPr/>
        <w:t>日解禁上市流通。</w:t>
      </w:r>
    </w:p>
    <w:p>
      <w:pPr>
        <w:pStyle w:val="BodyText"/>
        <w:spacing w:line="386" w:lineRule="auto" w:before="21"/>
        <w:ind w:left="153" w:right="146" w:firstLine="420"/>
        <w:jc w:val="both"/>
      </w:pPr>
      <w:r>
        <w:rPr/>
        <w:t>首次授予的限制性股票的激励对象中胡牡丹、来亮、丁岚、郭立强、陶凯、冯俊雷、宣治</w:t>
      </w:r>
      <w:r>
        <w:rPr>
          <w:rFonts w:ascii="Times New Roman" w:hAnsi="Times New Roman" w:cs="Times New Roman" w:eastAsia="Times New Roman" w:hint="default"/>
        </w:rPr>
        <w:t>7</w:t>
      </w:r>
      <w:r>
        <w:rPr/>
        <w:t>人将根据</w:t>
      </w:r>
      <w:r>
        <w:rPr>
          <w:w w:val="100"/>
        </w:rPr>
        <w:t> </w:t>
      </w:r>
      <w:r>
        <w:rPr>
          <w:rFonts w:ascii="Times New Roman" w:hAnsi="Times New Roman" w:cs="Times New Roman" w:eastAsia="Times New Roman" w:hint="default"/>
          <w:spacing w:val="-2"/>
        </w:rPr>
        <w:t>2014</w:t>
      </w:r>
      <w:r>
        <w:rPr>
          <w:spacing w:val="-2"/>
        </w:rPr>
        <w:t>年度个人对应考核标准系数对本次可解锁数量进行调整，对于已授予上述对象但未能解锁的限制性股</w:t>
      </w:r>
      <w:r>
        <w:rPr>
          <w:spacing w:val="-39"/>
        </w:rPr>
        <w:t> </w:t>
      </w:r>
      <w:r>
        <w:rPr>
          <w:spacing w:val="-39"/>
        </w:rPr>
      </w:r>
      <w:r>
        <w:rPr>
          <w:spacing w:val="-3"/>
        </w:rPr>
        <w:t>票共</w:t>
      </w:r>
      <w:r>
        <w:rPr>
          <w:rFonts w:ascii="Times New Roman" w:hAnsi="Times New Roman" w:cs="Times New Roman" w:eastAsia="Times New Roman" w:hint="default"/>
          <w:spacing w:val="-3"/>
        </w:rPr>
        <w:t>4.212</w:t>
      </w:r>
      <w:r>
        <w:rPr>
          <w:spacing w:val="-3"/>
        </w:rPr>
        <w:t>万股（已根据</w:t>
      </w:r>
      <w:r>
        <w:rPr>
          <w:rFonts w:ascii="Times New Roman" w:hAnsi="Times New Roman" w:cs="Times New Roman" w:eastAsia="Times New Roman" w:hint="default"/>
          <w:spacing w:val="-3"/>
        </w:rPr>
        <w:t>2013</w:t>
      </w:r>
      <w:r>
        <w:rPr>
          <w:spacing w:val="-3"/>
        </w:rPr>
        <w:t>年度、</w:t>
      </w:r>
      <w:r>
        <w:rPr>
          <w:rFonts w:ascii="Times New Roman" w:hAnsi="Times New Roman" w:cs="Times New Roman" w:eastAsia="Times New Roman" w:hint="default"/>
          <w:spacing w:val="-3"/>
        </w:rPr>
        <w:t>2014</w:t>
      </w:r>
      <w:r>
        <w:rPr>
          <w:spacing w:val="-3"/>
        </w:rPr>
        <w:t>年度权益分派资本公积金转增股本进行调整后的股数）进行回购注</w:t>
      </w:r>
      <w:r>
        <w:rPr>
          <w:spacing w:val="-37"/>
        </w:rPr>
        <w:t> </w:t>
      </w:r>
      <w:r>
        <w:rPr>
          <w:spacing w:val="-37"/>
        </w:rPr>
      </w:r>
      <w:r>
        <w:rPr>
          <w:spacing w:val="-2"/>
        </w:rPr>
        <w:t>销，回购价格为</w:t>
      </w:r>
      <w:r>
        <w:rPr>
          <w:rFonts w:ascii="Times New Roman" w:hAnsi="Times New Roman" w:cs="Times New Roman" w:eastAsia="Times New Roman" w:hint="default"/>
          <w:spacing w:val="-2"/>
        </w:rPr>
        <w:t>2.3487</w:t>
      </w:r>
      <w:r>
        <w:rPr>
          <w:spacing w:val="-2"/>
        </w:rPr>
        <w:t>元</w:t>
      </w:r>
      <w:r>
        <w:rPr>
          <w:rFonts w:ascii="Times New Roman" w:hAnsi="Times New Roman" w:cs="Times New Roman" w:eastAsia="Times New Roman" w:hint="default"/>
          <w:spacing w:val="-2"/>
        </w:rPr>
        <w:t>/</w:t>
      </w:r>
      <w:r>
        <w:rPr>
          <w:spacing w:val="-2"/>
        </w:rPr>
        <w:t>股（回购价格依据《股权激励计划》及公司</w:t>
      </w:r>
      <w:r>
        <w:rPr>
          <w:rFonts w:ascii="Times New Roman" w:hAnsi="Times New Roman" w:cs="Times New Roman" w:eastAsia="Times New Roman" w:hint="default"/>
          <w:spacing w:val="-2"/>
        </w:rPr>
        <w:t>2013</w:t>
      </w:r>
      <w:r>
        <w:rPr>
          <w:spacing w:val="-2"/>
        </w:rPr>
        <w:t>年度、</w:t>
      </w:r>
      <w:r>
        <w:rPr>
          <w:rFonts w:ascii="Times New Roman" w:hAnsi="Times New Roman" w:cs="Times New Roman" w:eastAsia="Times New Roman" w:hint="default"/>
          <w:spacing w:val="-2"/>
        </w:rPr>
        <w:t>2014</w:t>
      </w:r>
      <w:r>
        <w:rPr>
          <w:spacing w:val="-2"/>
        </w:rPr>
        <w:t>年度权益分派方案进</w:t>
      </w:r>
    </w:p>
    <w:p>
      <w:pPr>
        <w:spacing w:after="0" w:line="386" w:lineRule="auto"/>
        <w:jc w:val="both"/>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pStyle w:val="BodyText"/>
        <w:spacing w:line="240" w:lineRule="auto" w:before="175"/>
        <w:ind w:right="0"/>
        <w:jc w:val="both"/>
      </w:pPr>
      <w:r>
        <w:rPr/>
        <w:t>行相应调整）。上述限制性股票已于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日回购注销完成。</w:t>
      </w:r>
    </w:p>
    <w:p>
      <w:pPr>
        <w:pStyle w:val="BodyText"/>
        <w:spacing w:line="396" w:lineRule="auto" w:before="177"/>
        <w:ind w:left="153" w:right="146" w:firstLine="419"/>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16</w:t>
      </w:r>
      <w:r>
        <w:rPr>
          <w:spacing w:val="-2"/>
        </w:rPr>
        <w:t>日，公司召开第三届董事会第二次会议和第三届监事会第二次会议，审议通过了《关于</w:t>
      </w:r>
      <w:r>
        <w:rPr>
          <w:spacing w:val="-3"/>
          <w:w w:val="100"/>
        </w:rPr>
        <w:t> </w:t>
      </w:r>
      <w:r>
        <w:rPr>
          <w:spacing w:val="-2"/>
        </w:rPr>
        <w:t>限制性股票激励计划首次授予的限制性股票第二个解锁期条件成就可解锁的议案》、《关于回购注销部分</w:t>
      </w:r>
      <w:r>
        <w:rPr>
          <w:spacing w:val="-43"/>
        </w:rPr>
        <w:t> </w:t>
      </w:r>
      <w:r>
        <w:rPr>
          <w:spacing w:val="-43"/>
        </w:rPr>
      </w:r>
      <w:r>
        <w:rPr>
          <w:spacing w:val="-2"/>
        </w:rPr>
        <w:t>激励对象已获授但尚未解锁的限制性股票的议案》。同意按照《限制性股票激励计划》的相关规定办理激</w:t>
      </w:r>
      <w:r>
        <w:rPr>
          <w:spacing w:val="-47"/>
        </w:rPr>
        <w:t> </w:t>
      </w:r>
      <w:r>
        <w:rPr>
          <w:spacing w:val="-47"/>
        </w:rPr>
      </w:r>
      <w:r>
        <w:rPr>
          <w:spacing w:val="-2"/>
        </w:rPr>
        <w:t>励对象陆廷洁女士第二期限制性股票解锁相关事宜。鉴于公司已实施了</w:t>
      </w:r>
      <w:r>
        <w:rPr>
          <w:rFonts w:ascii="Times New Roman" w:hAnsi="Times New Roman" w:cs="Times New Roman" w:eastAsia="Times New Roman" w:hint="default"/>
          <w:spacing w:val="-2"/>
        </w:rPr>
        <w:t>2013</w:t>
      </w:r>
      <w:r>
        <w:rPr>
          <w:spacing w:val="-2"/>
        </w:rPr>
        <w:t>年度权益分派及</w:t>
      </w:r>
      <w:r>
        <w:rPr>
          <w:rFonts w:ascii="Times New Roman" w:hAnsi="Times New Roman" w:cs="Times New Roman" w:eastAsia="Times New Roman" w:hint="default"/>
          <w:spacing w:val="-2"/>
        </w:rPr>
        <w:t>2014</w:t>
      </w:r>
      <w:r>
        <w:rPr>
          <w:spacing w:val="-2"/>
        </w:rPr>
        <w:t>年度权益</w:t>
      </w:r>
      <w:r>
        <w:rPr>
          <w:spacing w:val="-37"/>
        </w:rPr>
        <w:t> </w:t>
      </w:r>
      <w:r>
        <w:rPr>
          <w:spacing w:val="-37"/>
        </w:rPr>
      </w:r>
      <w:r>
        <w:rPr>
          <w:spacing w:val="-1"/>
        </w:rPr>
        <w:t>分派，故将对授予的限制性股票数量进行调整，本次可解锁的限制性股票为</w:t>
      </w:r>
      <w:r>
        <w:rPr>
          <w:rFonts w:ascii="Times New Roman" w:hAnsi="Times New Roman" w:cs="Times New Roman" w:eastAsia="Times New Roman" w:hint="default"/>
          <w:spacing w:val="-1"/>
        </w:rPr>
        <w:t>11.7</w:t>
      </w:r>
      <w:r>
        <w:rPr>
          <w:spacing w:val="-1"/>
        </w:rPr>
        <w:t>万股，占公司目前股本总</w:t>
      </w:r>
      <w:r>
        <w:rPr>
          <w:spacing w:val="-30"/>
        </w:rPr>
        <w:t> </w:t>
      </w:r>
      <w:r>
        <w:rPr>
          <w:spacing w:val="-30"/>
        </w:rPr>
      </w:r>
      <w:r>
        <w:rPr/>
        <w:t>额的</w:t>
      </w:r>
      <w:r>
        <w:rPr>
          <w:rFonts w:ascii="Times New Roman" w:hAnsi="Times New Roman" w:cs="Times New Roman" w:eastAsia="Times New Roman" w:hint="default"/>
        </w:rPr>
        <w:t>0.04%</w:t>
      </w:r>
      <w:r>
        <w:rPr/>
        <w:t>。</w:t>
      </w:r>
    </w:p>
    <w:p>
      <w:pPr>
        <w:pStyle w:val="BodyText"/>
        <w:spacing w:line="396" w:lineRule="auto" w:before="26"/>
        <w:ind w:left="153" w:right="145" w:firstLine="420"/>
        <w:jc w:val="both"/>
      </w:pPr>
      <w:r>
        <w:rPr>
          <w:spacing w:val="-2"/>
        </w:rPr>
        <w:t>公司限制性股票原首期授予的激励对象武雪松、邵景洋、来亮、卜怡文、陶凯及原预留部分激励对象</w:t>
      </w:r>
      <w:r>
        <w:rPr>
          <w:w w:val="100"/>
        </w:rPr>
        <w:t> </w:t>
      </w:r>
      <w:r>
        <w:rPr>
          <w:spacing w:val="-2"/>
        </w:rPr>
        <w:t>邱智斌已离职，且已办理完毕离职手续。根据《上市公司股权激励管理办法（试行）》、《上海天玑科技</w:t>
      </w:r>
      <w:r>
        <w:rPr>
          <w:spacing w:val="-47"/>
        </w:rPr>
        <w:t> </w:t>
      </w:r>
      <w:r>
        <w:rPr>
          <w:spacing w:val="-47"/>
        </w:rPr>
      </w:r>
      <w:r>
        <w:rPr>
          <w:spacing w:val="-2"/>
        </w:rPr>
        <w:t>股份有限公司限制性股票激励计划（草案修订稿）》等有关法律、法规和规范性文件以及《公司章程》的</w:t>
      </w:r>
      <w:r>
        <w:rPr>
          <w:spacing w:val="-42"/>
        </w:rPr>
        <w:t> </w:t>
      </w:r>
      <w:r>
        <w:rPr>
          <w:spacing w:val="-42"/>
        </w:rPr>
      </w:r>
      <w:r>
        <w:rPr>
          <w:spacing w:val="-1"/>
        </w:rPr>
        <w:t>规定，上述</w:t>
      </w:r>
      <w:r>
        <w:rPr>
          <w:rFonts w:ascii="Times New Roman" w:hAnsi="Times New Roman" w:cs="Times New Roman" w:eastAsia="Times New Roman" w:hint="default"/>
          <w:spacing w:val="-1"/>
        </w:rPr>
        <w:t>6</w:t>
      </w:r>
      <w:r>
        <w:rPr>
          <w:spacing w:val="-1"/>
        </w:rPr>
        <w:t>人已不符合股权激励对象的条件，现对其持有的已获授但尚未解锁的共计</w:t>
      </w:r>
      <w:r>
        <w:rPr>
          <w:rFonts w:ascii="Times New Roman" w:hAnsi="Times New Roman" w:cs="Times New Roman" w:eastAsia="Times New Roman" w:hint="default"/>
          <w:spacing w:val="-1"/>
        </w:rPr>
        <w:t>464,100</w:t>
      </w:r>
      <w:r>
        <w:rPr>
          <w:spacing w:val="-1"/>
        </w:rPr>
        <w:t>股限制性股</w:t>
      </w:r>
      <w:r>
        <w:rPr>
          <w:spacing w:val="-31"/>
        </w:rPr>
        <w:t> </w:t>
      </w:r>
      <w:r>
        <w:rPr>
          <w:spacing w:val="-31"/>
        </w:rPr>
      </w:r>
      <w:r>
        <w:rPr>
          <w:spacing w:val="6"/>
        </w:rPr>
        <w:t>票进行回购注销。其中原首期授予的激励对象持有已获授尚未解锁的限制性股票数量分别为：武雪松</w:t>
      </w:r>
      <w:r>
        <w:rPr>
          <w:spacing w:val="23"/>
        </w:rPr>
        <w:t> </w:t>
      </w:r>
      <w:r>
        <w:rPr>
          <w:spacing w:val="23"/>
        </w:rPr>
      </w:r>
      <w:r>
        <w:rPr>
          <w:rFonts w:ascii="Times New Roman" w:hAnsi="Times New Roman" w:cs="Times New Roman" w:eastAsia="Times New Roman" w:hint="default"/>
          <w:spacing w:val="-1"/>
        </w:rPr>
        <w:t>156,000</w:t>
      </w:r>
      <w:r>
        <w:rPr>
          <w:spacing w:val="-1"/>
        </w:rPr>
        <w:t>股、邵景洋</w:t>
      </w:r>
      <w:r>
        <w:rPr>
          <w:rFonts w:ascii="Times New Roman" w:hAnsi="Times New Roman" w:cs="Times New Roman" w:eastAsia="Times New Roman" w:hint="default"/>
          <w:spacing w:val="-1"/>
        </w:rPr>
        <w:t>975,00</w:t>
      </w:r>
      <w:r>
        <w:rPr>
          <w:spacing w:val="-1"/>
        </w:rPr>
        <w:t>股、来亮</w:t>
      </w:r>
      <w:r>
        <w:rPr>
          <w:rFonts w:ascii="Times New Roman" w:hAnsi="Times New Roman" w:cs="Times New Roman" w:eastAsia="Times New Roman" w:hint="default"/>
          <w:spacing w:val="-1"/>
        </w:rPr>
        <w:t>58,500</w:t>
      </w:r>
      <w:r>
        <w:rPr>
          <w:spacing w:val="-1"/>
        </w:rPr>
        <w:t>股、卜怡文</w:t>
      </w:r>
      <w:r>
        <w:rPr>
          <w:rFonts w:ascii="Times New Roman" w:hAnsi="Times New Roman" w:cs="Times New Roman" w:eastAsia="Times New Roman" w:hint="default"/>
          <w:spacing w:val="-1"/>
        </w:rPr>
        <w:t>117,000</w:t>
      </w:r>
      <w:r>
        <w:rPr>
          <w:spacing w:val="-1"/>
        </w:rPr>
        <w:t>股、陶凯</w:t>
      </w:r>
      <w:r>
        <w:rPr>
          <w:rFonts w:ascii="Times New Roman" w:hAnsi="Times New Roman" w:cs="Times New Roman" w:eastAsia="Times New Roman" w:hint="default"/>
          <w:spacing w:val="-1"/>
        </w:rPr>
        <w:t>15,600</w:t>
      </w:r>
      <w:r>
        <w:rPr>
          <w:spacing w:val="-1"/>
        </w:rPr>
        <w:t>股（已根据</w:t>
      </w:r>
      <w:r>
        <w:rPr>
          <w:rFonts w:ascii="Times New Roman" w:hAnsi="Times New Roman" w:cs="Times New Roman" w:eastAsia="Times New Roman" w:hint="default"/>
          <w:spacing w:val="-1"/>
        </w:rPr>
        <w:t>2013</w:t>
      </w:r>
      <w:r>
        <w:rPr>
          <w:spacing w:val="-1"/>
        </w:rPr>
        <w:t>年度、</w:t>
      </w:r>
      <w:r>
        <w:rPr>
          <w:rFonts w:ascii="Times New Roman" w:hAnsi="Times New Roman" w:cs="Times New Roman" w:eastAsia="Times New Roman" w:hint="default"/>
          <w:spacing w:val="-1"/>
        </w:rPr>
        <w:t>2014</w:t>
      </w:r>
      <w:r>
        <w:rPr>
          <w:spacing w:val="-1"/>
        </w:rPr>
        <w:t>年</w:t>
      </w:r>
      <w:r>
        <w:rPr>
          <w:spacing w:val="-14"/>
        </w:rPr>
        <w:t> </w:t>
      </w:r>
      <w:r>
        <w:rPr>
          <w:spacing w:val="-2"/>
        </w:rPr>
        <w:t>度权益分派资本公积金转增股本进行调整后的股数），回购价格为</w:t>
      </w:r>
      <w:r>
        <w:rPr>
          <w:rFonts w:ascii="Times New Roman" w:hAnsi="Times New Roman" w:cs="Times New Roman" w:eastAsia="Times New Roman" w:hint="default"/>
          <w:spacing w:val="-2"/>
        </w:rPr>
        <w:t>2.3487</w:t>
      </w:r>
      <w:r>
        <w:rPr>
          <w:spacing w:val="-2"/>
        </w:rPr>
        <w:t>元</w:t>
      </w:r>
      <w:r>
        <w:rPr>
          <w:rFonts w:ascii="Times New Roman" w:hAnsi="Times New Roman" w:cs="Times New Roman" w:eastAsia="Times New Roman" w:hint="default"/>
          <w:spacing w:val="-2"/>
        </w:rPr>
        <w:t>/</w:t>
      </w:r>
      <w:r>
        <w:rPr>
          <w:spacing w:val="-2"/>
        </w:rPr>
        <w:t>股（回购价格依据《股权激励</w:t>
      </w:r>
      <w:r>
        <w:rPr>
          <w:spacing w:val="-44"/>
        </w:rPr>
        <w:t> </w:t>
      </w:r>
      <w:r>
        <w:rPr>
          <w:spacing w:val="-44"/>
        </w:rPr>
      </w:r>
      <w:r>
        <w:rPr>
          <w:spacing w:val="-2"/>
        </w:rPr>
        <w:t>计划》及公司</w:t>
      </w:r>
      <w:r>
        <w:rPr>
          <w:rFonts w:ascii="Times New Roman" w:hAnsi="Times New Roman" w:cs="Times New Roman" w:eastAsia="Times New Roman" w:hint="default"/>
          <w:spacing w:val="-2"/>
        </w:rPr>
        <w:t>2013</w:t>
      </w:r>
      <w:r>
        <w:rPr>
          <w:spacing w:val="-2"/>
        </w:rPr>
        <w:t>年度、</w:t>
      </w:r>
      <w:r>
        <w:rPr>
          <w:rFonts w:ascii="Times New Roman" w:hAnsi="Times New Roman" w:cs="Times New Roman" w:eastAsia="Times New Roman" w:hint="default"/>
          <w:spacing w:val="-2"/>
        </w:rPr>
        <w:t>2014</w:t>
      </w:r>
      <w:r>
        <w:rPr>
          <w:spacing w:val="-2"/>
        </w:rPr>
        <w:t>年度权益分派方案进行相应调整）。原预留部分激励对象邱智斌所持有的已</w:t>
      </w:r>
      <w:r>
        <w:rPr>
          <w:spacing w:val="-42"/>
        </w:rPr>
        <w:t> </w:t>
      </w:r>
      <w:r>
        <w:rPr>
          <w:spacing w:val="-42"/>
        </w:rPr>
      </w:r>
      <w:r>
        <w:rPr>
          <w:spacing w:val="-1"/>
        </w:rPr>
        <w:t>获授尚未解锁的限制性股票数量为</w:t>
      </w:r>
      <w:r>
        <w:rPr>
          <w:rFonts w:ascii="Times New Roman" w:hAnsi="Times New Roman" w:cs="Times New Roman" w:eastAsia="Times New Roman" w:hint="default"/>
          <w:spacing w:val="-1"/>
        </w:rPr>
        <w:t>19,500</w:t>
      </w:r>
      <w:r>
        <w:rPr>
          <w:spacing w:val="-1"/>
        </w:rPr>
        <w:t>股，回购价格为</w:t>
      </w:r>
      <w:r>
        <w:rPr>
          <w:rFonts w:ascii="Times New Roman" w:hAnsi="Times New Roman" w:cs="Times New Roman" w:eastAsia="Times New Roman" w:hint="default"/>
          <w:spacing w:val="-1"/>
        </w:rPr>
        <w:t>6.8533</w:t>
      </w:r>
      <w:r>
        <w:rPr>
          <w:spacing w:val="-1"/>
        </w:rPr>
        <w:t>元</w:t>
      </w:r>
      <w:r>
        <w:rPr>
          <w:rFonts w:ascii="Times New Roman" w:hAnsi="Times New Roman" w:cs="Times New Roman" w:eastAsia="Times New Roman" w:hint="default"/>
          <w:spacing w:val="-1"/>
        </w:rPr>
        <w:t>/</w:t>
      </w:r>
      <w:r>
        <w:rPr>
          <w:spacing w:val="-1"/>
        </w:rPr>
        <w:t>股（回购价格依据《股权激励计划》及</w:t>
      </w:r>
      <w:r>
        <w:rPr>
          <w:spacing w:val="-36"/>
        </w:rPr>
        <w:t> </w:t>
      </w:r>
      <w:r>
        <w:rPr>
          <w:spacing w:val="-36"/>
        </w:rPr>
      </w:r>
      <w:r>
        <w:rPr/>
        <w:t>公司</w:t>
      </w:r>
      <w:r>
        <w:rPr>
          <w:rFonts w:ascii="Times New Roman" w:hAnsi="Times New Roman" w:cs="Times New Roman" w:eastAsia="Times New Roman" w:hint="default"/>
        </w:rPr>
        <w:t>2014</w:t>
      </w:r>
      <w:r>
        <w:rPr/>
        <w:t>年度权益分派方案进行相应调整）。</w:t>
      </w:r>
    </w:p>
    <w:p>
      <w:pPr>
        <w:spacing w:line="386" w:lineRule="auto" w:before="26"/>
        <w:ind w:left="572"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2014</w:t>
      </w:r>
      <w:r>
        <w:rPr>
          <w:rFonts w:ascii="宋体" w:hAnsi="宋体" w:cs="宋体" w:eastAsia="宋体" w:hint="default"/>
          <w:b/>
          <w:bCs/>
          <w:sz w:val="21"/>
          <w:szCs w:val="21"/>
        </w:rPr>
        <w:t>年度股权激励情况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年授予激励对象的限制性股票自授予之日起</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个月为锁定期；锁定期内，激励对象通过本计</w:t>
      </w:r>
    </w:p>
    <w:p>
      <w:pPr>
        <w:pStyle w:val="BodyText"/>
        <w:spacing w:line="386" w:lineRule="auto" w:before="35"/>
        <w:ind w:right="128"/>
        <w:jc w:val="both"/>
      </w:pPr>
      <w:r>
        <w:rPr>
          <w:spacing w:val="-2"/>
        </w:rPr>
        <w:t>划持有的限制性股票将被锁定不得转让、用于担保或偿还债务。锁定期后</w:t>
      </w:r>
      <w:r>
        <w:rPr>
          <w:rFonts w:ascii="Times New Roman" w:hAnsi="Times New Roman" w:cs="Times New Roman" w:eastAsia="Times New Roman" w:hint="default"/>
          <w:spacing w:val="-2"/>
        </w:rPr>
        <w:t>24</w:t>
      </w:r>
      <w:r>
        <w:rPr>
          <w:spacing w:val="-2"/>
        </w:rPr>
        <w:t>个月为解锁期，在解锁期内，</w:t>
      </w:r>
      <w:r>
        <w:rPr>
          <w:spacing w:val="-23"/>
        </w:rPr>
        <w:t> </w:t>
      </w:r>
      <w:r>
        <w:rPr>
          <w:spacing w:val="-23"/>
        </w:rPr>
      </w:r>
      <w:r>
        <w:rPr>
          <w:spacing w:val="-2"/>
        </w:rPr>
        <w:t>在满足本激励计划规定的解锁条件时，激励对象可分三次申请标的股票解锁，分别自授予日起</w:t>
      </w:r>
      <w:r>
        <w:rPr>
          <w:rFonts w:ascii="Times New Roman" w:hAnsi="Times New Roman" w:cs="Times New Roman" w:eastAsia="Times New Roman" w:hint="default"/>
          <w:spacing w:val="-2"/>
        </w:rPr>
        <w:t>12</w:t>
      </w:r>
      <w:r>
        <w:rPr>
          <w:spacing w:val="-2"/>
        </w:rPr>
        <w:t>个月后和</w:t>
      </w:r>
      <w:r>
        <w:rPr>
          <w:spacing w:val="-43"/>
        </w:rPr>
        <w:t> </w:t>
      </w:r>
      <w:r>
        <w:rPr>
          <w:spacing w:val="-43"/>
        </w:rPr>
      </w:r>
      <w:r>
        <w:rPr>
          <w:rFonts w:ascii="Times New Roman" w:hAnsi="Times New Roman" w:cs="Times New Roman" w:eastAsia="Times New Roman" w:hint="default"/>
        </w:rPr>
        <w:t>24</w:t>
      </w:r>
      <w:r>
        <w:rPr/>
        <w:t>个月后分别申请解锁所获授限制性股票总量的</w:t>
      </w:r>
      <w:r>
        <w:rPr>
          <w:rFonts w:ascii="Times New Roman" w:hAnsi="Times New Roman" w:cs="Times New Roman" w:eastAsia="Times New Roman" w:hint="default"/>
        </w:rPr>
        <w:t>50%</w:t>
      </w:r>
      <w:r>
        <w:rPr/>
        <w:t>和</w:t>
      </w:r>
      <w:r>
        <w:rPr>
          <w:rFonts w:ascii="Times New Roman" w:hAnsi="Times New Roman" w:cs="Times New Roman" w:eastAsia="Times New Roman" w:hint="default"/>
        </w:rPr>
        <w:t>50%</w:t>
      </w:r>
      <w:r>
        <w:rPr/>
        <w:t>。公司按授予日的公允价值确认本次激励的限</w:t>
      </w:r>
      <w:r>
        <w:rPr>
          <w:spacing w:val="-56"/>
        </w:rPr>
        <w:t> </w:t>
      </w:r>
      <w:r>
        <w:rPr/>
        <w:t>制性股票总成本为</w:t>
      </w:r>
      <w:r>
        <w:rPr>
          <w:rFonts w:ascii="Times New Roman" w:hAnsi="Times New Roman" w:cs="Times New Roman" w:eastAsia="Times New Roman" w:hint="default"/>
        </w:rPr>
        <w:t>264.64</w:t>
      </w:r>
      <w:r>
        <w:rPr/>
        <w:t>万元，并将在激励计划实施期间内进行分摊。</w:t>
      </w:r>
    </w:p>
    <w:p>
      <w:pPr>
        <w:pStyle w:val="BodyText"/>
        <w:spacing w:line="386" w:lineRule="auto" w:before="35"/>
        <w:ind w:right="150" w:firstLine="420"/>
        <w:jc w:val="both"/>
      </w:pPr>
      <w:r>
        <w:rPr>
          <w:spacing w:val="-1"/>
        </w:rPr>
        <w:t>本年股权激励分摊的成本共计</w:t>
      </w:r>
      <w:r>
        <w:rPr>
          <w:rFonts w:ascii="Times New Roman" w:hAnsi="Times New Roman" w:cs="Times New Roman" w:eastAsia="Times New Roman" w:hint="default"/>
          <w:spacing w:val="-1"/>
        </w:rPr>
        <w:t>729.04</w:t>
      </w:r>
      <w:r>
        <w:rPr>
          <w:spacing w:val="-1"/>
        </w:rPr>
        <w:t>万元已计入当年管理费用并作为经常性损益列支，同时计入资本</w:t>
      </w:r>
      <w:r>
        <w:rPr>
          <w:w w:val="100"/>
        </w:rPr>
        <w:t> </w:t>
      </w:r>
      <w:r>
        <w:rPr/>
        <w:t>公积</w:t>
      </w:r>
      <w:r>
        <w:rPr>
          <w:rFonts w:ascii="Times New Roman" w:hAnsi="Times New Roman" w:cs="Times New Roman" w:eastAsia="Times New Roman" w:hint="default"/>
        </w:rPr>
        <w:t>-</w:t>
      </w:r>
      <w:r>
        <w:rPr/>
        <w:t>其他资本公积。</w:t>
      </w:r>
    </w:p>
    <w:p>
      <w:pPr>
        <w:pStyle w:val="BodyText"/>
        <w:spacing w:line="398" w:lineRule="auto" w:before="35"/>
        <w:ind w:right="146" w:firstLine="42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日，公司召开第二届董事会第二十四次临时会议，审议通过了《关于回购注销部分激励</w:t>
      </w:r>
      <w:r>
        <w:rPr>
          <w:w w:val="100"/>
        </w:rPr>
        <w:t> </w:t>
      </w:r>
      <w:r>
        <w:rPr>
          <w:spacing w:val="-2"/>
        </w:rPr>
        <w:t>对象已获授但尚未解锁的限制性股票的议案》，同意将离职激励对象田毅已获授但未解锁的全部限制性股</w:t>
      </w:r>
      <w:r>
        <w:rPr>
          <w:spacing w:val="-43"/>
        </w:rPr>
        <w:t> </w:t>
      </w:r>
      <w:r>
        <w:rPr>
          <w:spacing w:val="-43"/>
        </w:rPr>
      </w:r>
      <w:r>
        <w:rPr/>
        <w:t>票</w:t>
      </w:r>
      <w:r>
        <w:rPr>
          <w:rFonts w:ascii="Times New Roman" w:hAnsi="Times New Roman" w:cs="Times New Roman" w:eastAsia="Times New Roman" w:hint="default"/>
        </w:rPr>
        <w:t>65,000</w:t>
      </w:r>
      <w:r>
        <w:rPr/>
        <w:t>股进行回购注销。公司上述限制性股票的注销事宜已经于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日完成。</w:t>
      </w:r>
    </w:p>
    <w:p>
      <w:pPr>
        <w:pStyle w:val="BodyText"/>
        <w:spacing w:line="386" w:lineRule="auto" w:before="23"/>
        <w:ind w:right="146" w:firstLine="42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t>日，公司召开第二届董事会第二十八次临时会议和第二届监事会第二十六次临时会议，</w:t>
      </w:r>
      <w:r>
        <w:rPr>
          <w:w w:val="100"/>
        </w:rPr>
        <w:t> </w:t>
      </w:r>
      <w:r>
        <w:rPr>
          <w:spacing w:val="-2"/>
        </w:rPr>
        <w:t>审议通过了《关于公司股权激励计划预留部分限制性股票第一个解锁期条件成就可解锁的议案》、《关于</w:t>
      </w:r>
    </w:p>
    <w:p>
      <w:pPr>
        <w:spacing w:after="0" w:line="386" w:lineRule="auto"/>
        <w:jc w:val="both"/>
        <w:sectPr>
          <w:footerReference w:type="default" r:id="rId32"/>
          <w:pgSz w:w="11910" w:h="16840"/>
          <w:pgMar w:footer="982" w:header="745" w:top="1060" w:bottom="1180" w:left="980" w:right="980"/>
          <w:pgNumType w:start="174"/>
        </w:sectPr>
      </w:pPr>
    </w:p>
    <w:p>
      <w:pPr>
        <w:spacing w:line="240" w:lineRule="auto" w:before="0"/>
        <w:rPr>
          <w:rFonts w:ascii="宋体" w:hAnsi="宋体" w:cs="宋体" w:eastAsia="宋体" w:hint="default"/>
          <w:sz w:val="20"/>
          <w:szCs w:val="20"/>
        </w:rPr>
      </w:pPr>
    </w:p>
    <w:p>
      <w:pPr>
        <w:pStyle w:val="BodyText"/>
        <w:spacing w:line="403" w:lineRule="auto" w:before="175"/>
        <w:ind w:right="146"/>
        <w:jc w:val="both"/>
      </w:pPr>
      <w:r>
        <w:rPr>
          <w:spacing w:val="-2"/>
        </w:rPr>
        <w:t>限制性股票激励计划首次授予的限制性股票第二个解锁期条件成就可解锁的议案》、《关于回购注销部分</w:t>
      </w:r>
      <w:r>
        <w:rPr>
          <w:spacing w:val="-43"/>
        </w:rPr>
        <w:t> </w:t>
      </w:r>
      <w:r>
        <w:rPr>
          <w:spacing w:val="-43"/>
        </w:rPr>
      </w:r>
      <w:r>
        <w:rPr>
          <w:spacing w:val="-2"/>
        </w:rPr>
        <w:t>激励对象已获授但尚未解锁的限制性股票的议案》。同意按照《限制性股票激励计划》的相关规定办理预</w:t>
      </w:r>
      <w:r>
        <w:rPr>
          <w:spacing w:val="-47"/>
        </w:rPr>
        <w:t> </w:t>
      </w:r>
      <w:r>
        <w:rPr>
          <w:spacing w:val="-47"/>
        </w:rPr>
      </w:r>
      <w:r>
        <w:rPr>
          <w:spacing w:val="-2"/>
        </w:rPr>
        <w:t>留部分限制性股票首期解锁及首次授予的限制性股票第二个解锁期限制性股票解锁相关事宜。其中：预留</w:t>
      </w:r>
      <w:r>
        <w:rPr>
          <w:spacing w:val="-43"/>
        </w:rPr>
        <w:t> </w:t>
      </w:r>
      <w:r>
        <w:rPr>
          <w:spacing w:val="-43"/>
        </w:rPr>
      </w:r>
      <w:r>
        <w:rPr>
          <w:spacing w:val="-1"/>
        </w:rPr>
        <w:t>部分首期限制性股票申请解锁</w:t>
      </w:r>
      <w:r>
        <w:rPr>
          <w:rFonts w:ascii="Times New Roman" w:hAnsi="Times New Roman" w:cs="Times New Roman" w:eastAsia="Times New Roman" w:hint="default"/>
          <w:spacing w:val="-1"/>
        </w:rPr>
        <w:t>55.77</w:t>
      </w:r>
      <w:r>
        <w:rPr>
          <w:spacing w:val="-1"/>
        </w:rPr>
        <w:t>万股，占目前股本总额的</w:t>
      </w:r>
      <w:r>
        <w:rPr>
          <w:rFonts w:ascii="Times New Roman" w:hAnsi="Times New Roman" w:cs="Times New Roman" w:eastAsia="Times New Roman" w:hint="default"/>
          <w:spacing w:val="-1"/>
        </w:rPr>
        <w:t>0.20%</w:t>
      </w:r>
      <w:r>
        <w:rPr>
          <w:spacing w:val="-1"/>
        </w:rPr>
        <w:t>；上述限制性股票已于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9</w:t>
      </w:r>
      <w:r>
        <w:rPr>
          <w:spacing w:val="-1"/>
        </w:rPr>
        <w:t>日解</w:t>
      </w:r>
      <w:r>
        <w:rPr>
          <w:spacing w:val="-48"/>
        </w:rPr>
        <w:t> </w:t>
      </w:r>
      <w:r>
        <w:rPr/>
        <w:t>禁上市流通。</w:t>
      </w:r>
    </w:p>
    <w:p>
      <w:pPr>
        <w:pStyle w:val="BodyText"/>
        <w:spacing w:line="386" w:lineRule="auto" w:before="50"/>
        <w:ind w:right="149" w:firstLine="420"/>
        <w:jc w:val="both"/>
      </w:pPr>
      <w:r>
        <w:rPr/>
        <w:t>公司激励对象中预留部分限制性股票的激励对象中张家富</w:t>
      </w:r>
      <w:r>
        <w:rPr>
          <w:rFonts w:ascii="Times New Roman" w:hAnsi="Times New Roman" w:cs="Times New Roman" w:eastAsia="Times New Roman" w:hint="default"/>
        </w:rPr>
        <w:t>1</w:t>
      </w:r>
      <w:r>
        <w:rPr/>
        <w:t>人因</w:t>
      </w:r>
      <w:r>
        <w:rPr>
          <w:rFonts w:ascii="Times New Roman" w:hAnsi="Times New Roman" w:cs="Times New Roman" w:eastAsia="Times New Roman" w:hint="default"/>
        </w:rPr>
        <w:t>2014</w:t>
      </w:r>
      <w:r>
        <w:rPr/>
        <w:t>年度个人考核未达标不能解锁首</w:t>
      </w:r>
      <w:r>
        <w:rPr>
          <w:w w:val="100"/>
        </w:rPr>
        <w:t> </w:t>
      </w:r>
      <w:r>
        <w:rPr/>
        <w:t>期限制性股票，邱智斌、胡杨</w:t>
      </w:r>
      <w:r>
        <w:rPr>
          <w:rFonts w:ascii="Times New Roman" w:hAnsi="Times New Roman" w:cs="Times New Roman" w:eastAsia="Times New Roman" w:hint="default"/>
        </w:rPr>
        <w:t>2</w:t>
      </w:r>
      <w:r>
        <w:rPr/>
        <w:t>人将根据</w:t>
      </w:r>
      <w:r>
        <w:rPr>
          <w:rFonts w:ascii="Times New Roman" w:hAnsi="Times New Roman" w:cs="Times New Roman" w:eastAsia="Times New Roman" w:hint="default"/>
        </w:rPr>
        <w:t>2014</w:t>
      </w:r>
      <w:r>
        <w:rPr/>
        <w:t>年度个人对应考核标准系数对本次可解锁数量进行调整，对</w:t>
      </w:r>
      <w:r>
        <w:rPr>
          <w:spacing w:val="-28"/>
        </w:rPr>
        <w:t> </w:t>
      </w:r>
      <w:r>
        <w:rPr>
          <w:spacing w:val="-28"/>
        </w:rPr>
      </w:r>
      <w:r>
        <w:rPr>
          <w:spacing w:val="-1"/>
        </w:rPr>
        <w:t>于已授予上述对象但未能解锁的限制性股票共</w:t>
      </w:r>
      <w:r>
        <w:rPr>
          <w:rFonts w:ascii="Times New Roman" w:hAnsi="Times New Roman" w:cs="Times New Roman" w:eastAsia="Times New Roman" w:hint="default"/>
          <w:spacing w:val="-1"/>
        </w:rPr>
        <w:t>2.73</w:t>
      </w:r>
      <w:r>
        <w:rPr>
          <w:spacing w:val="-1"/>
        </w:rPr>
        <w:t>万股（已根据</w:t>
      </w:r>
      <w:r>
        <w:rPr>
          <w:rFonts w:ascii="Times New Roman" w:hAnsi="Times New Roman" w:cs="Times New Roman" w:eastAsia="Times New Roman" w:hint="default"/>
          <w:spacing w:val="-1"/>
        </w:rPr>
        <w:t>2014</w:t>
      </w:r>
      <w:r>
        <w:rPr>
          <w:spacing w:val="-1"/>
        </w:rPr>
        <w:t>年度权益分派资本公积金转增股本进</w:t>
      </w:r>
      <w:r>
        <w:rPr>
          <w:spacing w:val="-24"/>
        </w:rPr>
        <w:t> </w:t>
      </w:r>
      <w:r>
        <w:rPr>
          <w:spacing w:val="-24"/>
        </w:rPr>
      </w:r>
      <w:r>
        <w:rPr>
          <w:spacing w:val="-2"/>
        </w:rPr>
        <w:t>行调整后的股数）进行回购注销，回购价格为</w:t>
      </w:r>
      <w:r>
        <w:rPr>
          <w:rFonts w:ascii="Times New Roman" w:hAnsi="Times New Roman" w:cs="Times New Roman" w:eastAsia="Times New Roman" w:hint="default"/>
          <w:spacing w:val="-2"/>
        </w:rPr>
        <w:t>6.8533</w:t>
      </w:r>
      <w:r>
        <w:rPr>
          <w:spacing w:val="-2"/>
        </w:rPr>
        <w:t>元</w:t>
      </w:r>
      <w:r>
        <w:rPr>
          <w:rFonts w:ascii="Times New Roman" w:hAnsi="Times New Roman" w:cs="Times New Roman" w:eastAsia="Times New Roman" w:hint="default"/>
          <w:spacing w:val="-2"/>
        </w:rPr>
        <w:t>/</w:t>
      </w:r>
      <w:r>
        <w:rPr>
          <w:spacing w:val="-2"/>
        </w:rPr>
        <w:t>股（回购价格依据《股权激励计划》及公司</w:t>
      </w:r>
      <w:r>
        <w:rPr>
          <w:rFonts w:ascii="Times New Roman" w:hAnsi="Times New Roman" w:cs="Times New Roman" w:eastAsia="Times New Roman" w:hint="default"/>
          <w:spacing w:val="-2"/>
        </w:rPr>
        <w:t>2014</w:t>
      </w:r>
      <w:r>
        <w:rPr>
          <w:spacing w:val="-2"/>
        </w:rPr>
        <w:t>年</w:t>
      </w:r>
      <w:r>
        <w:rPr>
          <w:spacing w:val="-47"/>
        </w:rPr>
        <w:t> </w:t>
      </w:r>
      <w:r>
        <w:rPr/>
        <w:t>度权益分派方案进行相应调整）。</w:t>
      </w:r>
    </w:p>
    <w:p>
      <w:pPr>
        <w:pStyle w:val="Heading6"/>
        <w:spacing w:line="240" w:lineRule="auto" w:before="65"/>
        <w:ind w:right="0"/>
        <w:jc w:val="both"/>
        <w:rPr>
          <w:b w:val="0"/>
          <w:bCs w:val="0"/>
        </w:rPr>
      </w:pPr>
      <w:r>
        <w:rPr>
          <w:rFonts w:ascii="Times New Roman" w:hAnsi="Times New Roman" w:cs="Times New Roman" w:eastAsia="Times New Roman" w:hint="default"/>
        </w:rPr>
        <w:t>3</w:t>
      </w:r>
      <w:r>
        <w:rPr/>
        <w:t>、未满足可行权条件取消股权激励</w:t>
      </w:r>
      <w:r>
        <w:rPr>
          <w:b w:val="0"/>
          <w:bCs w:val="0"/>
        </w:rPr>
      </w:r>
    </w:p>
    <w:p>
      <w:pPr>
        <w:pStyle w:val="BodyText"/>
        <w:spacing w:line="408" w:lineRule="auto" w:before="177"/>
        <w:ind w:right="146" w:firstLine="419"/>
        <w:jc w:val="both"/>
      </w:pPr>
      <w:r>
        <w:rPr>
          <w:rFonts w:ascii="宋体" w:hAnsi="宋体" w:cs="宋体" w:eastAsia="宋体" w:hint="default"/>
          <w:spacing w:val="-2"/>
        </w:rPr>
        <w:t>2016</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9</w:t>
      </w:r>
      <w:r>
        <w:rPr>
          <w:spacing w:val="-2"/>
        </w:rPr>
        <w:t>日，公司召开第三届董事会第三次会议，审议通过《关于回购注销未达到股权激励计划规</w:t>
      </w:r>
      <w:r>
        <w:rPr>
          <w:w w:val="100"/>
        </w:rPr>
        <w:t> </w:t>
      </w:r>
      <w:r>
        <w:rPr>
          <w:spacing w:val="-2"/>
        </w:rPr>
        <w:t>定的首期授予限制性股票第三期及预留部分第二期解锁条件已授予未解锁的限制性股票的议案》。因公司</w:t>
      </w:r>
      <w:r>
        <w:rPr>
          <w:spacing w:val="-43"/>
        </w:rPr>
        <w:t> </w:t>
      </w:r>
      <w:r>
        <w:rPr>
          <w:spacing w:val="-43"/>
        </w:rPr>
      </w:r>
      <w:r>
        <w:rPr>
          <w:rFonts w:ascii="宋体" w:hAnsi="宋体" w:cs="宋体" w:eastAsia="宋体" w:hint="default"/>
          <w:spacing w:val="2"/>
        </w:rPr>
        <w:t>2015</w:t>
      </w:r>
      <w:r>
        <w:rPr>
          <w:spacing w:val="2"/>
        </w:rPr>
        <w:t>年度业绩未达到股权激励计划规定的首期授予限制性股票第三期及预留部分第二期限制性股票的解</w:t>
      </w:r>
      <w:r>
        <w:rPr>
          <w:spacing w:val="-30"/>
        </w:rPr>
        <w:t> </w:t>
      </w:r>
      <w:r>
        <w:rPr>
          <w:spacing w:val="-30"/>
        </w:rPr>
      </w:r>
      <w:r>
        <w:rPr>
          <w:spacing w:val="-2"/>
        </w:rPr>
        <w:t>锁条件，根据《上市公司股权激励管理办法（试行）》、《上海天玑科技股份有限公司限制性股票激励计</w:t>
      </w:r>
      <w:r>
        <w:rPr>
          <w:spacing w:val="-46"/>
        </w:rPr>
        <w:t> </w:t>
      </w:r>
      <w:r>
        <w:rPr>
          <w:spacing w:val="-46"/>
        </w:rPr>
      </w:r>
      <w:r>
        <w:rPr>
          <w:spacing w:val="-2"/>
        </w:rPr>
        <w:t>划（草案修订稿）》等有关法律、法规和规范性文件以及《公司章程》的规定，公司董事会一致同意将未</w:t>
      </w:r>
      <w:r>
        <w:rPr>
          <w:spacing w:val="-46"/>
        </w:rPr>
        <w:t> </w:t>
      </w:r>
      <w:r>
        <w:rPr>
          <w:spacing w:val="-46"/>
        </w:rPr>
      </w:r>
      <w:r>
        <w:rPr>
          <w:spacing w:val="2"/>
        </w:rPr>
        <w:t>达到股权激励计划规定的首期授予的限制性股票第三期及预留部分第二期解锁条件已授予未解锁的限制</w:t>
      </w:r>
      <w:r>
        <w:rPr>
          <w:spacing w:val="-28"/>
        </w:rPr>
        <w:t> </w:t>
      </w:r>
      <w:r>
        <w:rPr>
          <w:spacing w:val="-28"/>
        </w:rPr>
      </w:r>
      <w:r>
        <w:rPr/>
        <w:t>性股票</w:t>
      </w:r>
      <w:r>
        <w:rPr>
          <w:rFonts w:ascii="宋体" w:hAnsi="宋体" w:cs="宋体" w:eastAsia="宋体" w:hint="default"/>
        </w:rPr>
        <w:t>4,270,500.00</w:t>
      </w:r>
      <w:r>
        <w:rPr/>
        <w:t>股进行回购注销。其中回购注销首期授予的限制性股票</w:t>
      </w:r>
      <w:r>
        <w:rPr>
          <w:rFonts w:ascii="宋体" w:hAnsi="宋体" w:cs="宋体" w:eastAsia="宋体" w:hint="default"/>
        </w:rPr>
        <w:t>3,705,000</w:t>
      </w:r>
      <w:r>
        <w:rPr/>
        <w:t>股（已根据</w:t>
      </w:r>
      <w:r>
        <w:rPr>
          <w:rFonts w:ascii="宋体" w:hAnsi="宋体" w:cs="宋体" w:eastAsia="宋体" w:hint="default"/>
        </w:rPr>
        <w:t>2013</w:t>
      </w:r>
      <w:r>
        <w:rPr/>
        <w:t>年</w:t>
      </w:r>
      <w:r>
        <w:rPr>
          <w:spacing w:val="-31"/>
        </w:rPr>
        <w:t> </w:t>
      </w:r>
      <w:r>
        <w:rPr/>
        <w:t>度、</w:t>
      </w:r>
      <w:r>
        <w:rPr>
          <w:rFonts w:ascii="宋体" w:hAnsi="宋体" w:cs="宋体" w:eastAsia="宋体" w:hint="default"/>
        </w:rPr>
        <w:t>2014</w:t>
      </w:r>
      <w:r>
        <w:rPr/>
        <w:t>年度权益分派资本公积金转增股本进行调整后的股数），回购价格为</w:t>
      </w:r>
      <w:r>
        <w:rPr>
          <w:rFonts w:ascii="宋体" w:hAnsi="宋体" w:cs="宋体" w:eastAsia="宋体" w:hint="default"/>
        </w:rPr>
        <w:t>2.3487</w:t>
      </w:r>
      <w:r>
        <w:rPr/>
        <w:t>元</w:t>
      </w:r>
      <w:r>
        <w:rPr>
          <w:rFonts w:ascii="宋体" w:hAnsi="宋体" w:cs="宋体" w:eastAsia="宋体" w:hint="default"/>
        </w:rPr>
        <w:t>/</w:t>
      </w:r>
      <w:r>
        <w:rPr/>
        <w:t>股（回购价格依</w:t>
      </w:r>
      <w:r>
        <w:rPr>
          <w:spacing w:val="-26"/>
        </w:rPr>
        <w:t> </w:t>
      </w:r>
      <w:r>
        <w:rPr>
          <w:spacing w:val="-26"/>
        </w:rPr>
      </w:r>
      <w:r>
        <w:rPr>
          <w:spacing w:val="-2"/>
        </w:rPr>
        <w:t>据《股权激励计划》及公司</w:t>
      </w:r>
      <w:r>
        <w:rPr>
          <w:rFonts w:ascii="宋体" w:hAnsi="宋体" w:cs="宋体" w:eastAsia="宋体" w:hint="default"/>
          <w:spacing w:val="-2"/>
        </w:rPr>
        <w:t>2013</w:t>
      </w:r>
      <w:r>
        <w:rPr>
          <w:spacing w:val="-2"/>
        </w:rPr>
        <w:t>年度、</w:t>
      </w:r>
      <w:r>
        <w:rPr>
          <w:rFonts w:ascii="宋体" w:hAnsi="宋体" w:cs="宋体" w:eastAsia="宋体" w:hint="default"/>
          <w:spacing w:val="-2"/>
        </w:rPr>
        <w:t>2014</w:t>
      </w:r>
      <w:r>
        <w:rPr>
          <w:spacing w:val="-2"/>
        </w:rPr>
        <w:t>年度权益分派方案进行相应调整）。回购注销原预留部分限制</w:t>
      </w:r>
      <w:r>
        <w:rPr>
          <w:spacing w:val="-35"/>
        </w:rPr>
        <w:t> </w:t>
      </w:r>
      <w:r>
        <w:rPr>
          <w:spacing w:val="-35"/>
        </w:rPr>
      </w:r>
      <w:r>
        <w:rPr>
          <w:spacing w:val="-2"/>
        </w:rPr>
        <w:t>性股票</w:t>
      </w:r>
      <w:r>
        <w:rPr>
          <w:rFonts w:ascii="宋体" w:hAnsi="宋体" w:cs="宋体" w:eastAsia="宋体" w:hint="default"/>
          <w:spacing w:val="-2"/>
        </w:rPr>
        <w:t>565,500</w:t>
      </w:r>
      <w:r>
        <w:rPr>
          <w:spacing w:val="-2"/>
        </w:rPr>
        <w:t>股，回购价格为</w:t>
      </w:r>
      <w:r>
        <w:rPr>
          <w:rFonts w:ascii="宋体" w:hAnsi="宋体" w:cs="宋体" w:eastAsia="宋体" w:hint="default"/>
          <w:spacing w:val="-2"/>
        </w:rPr>
        <w:t>6.8533</w:t>
      </w:r>
      <w:r>
        <w:rPr>
          <w:spacing w:val="-2"/>
        </w:rPr>
        <w:t>元</w:t>
      </w:r>
      <w:r>
        <w:rPr>
          <w:rFonts w:ascii="宋体" w:hAnsi="宋体" w:cs="宋体" w:eastAsia="宋体" w:hint="default"/>
          <w:spacing w:val="-2"/>
        </w:rPr>
        <w:t>/</w:t>
      </w:r>
      <w:r>
        <w:rPr>
          <w:spacing w:val="-2"/>
        </w:rPr>
        <w:t>股（回购价格依据《股权激励计划》及公司</w:t>
      </w:r>
      <w:r>
        <w:rPr>
          <w:rFonts w:ascii="宋体" w:hAnsi="宋体" w:cs="宋体" w:eastAsia="宋体" w:hint="default"/>
          <w:spacing w:val="-2"/>
        </w:rPr>
        <w:t>2014</w:t>
      </w:r>
      <w:r>
        <w:rPr>
          <w:spacing w:val="-2"/>
        </w:rPr>
        <w:t>年度权益分派方</w:t>
      </w:r>
      <w:r>
        <w:rPr>
          <w:spacing w:val="-32"/>
        </w:rPr>
        <w:t> </w:t>
      </w:r>
      <w:r>
        <w:rPr>
          <w:spacing w:val="-32"/>
        </w:rPr>
      </w:r>
      <w:r>
        <w:rPr/>
        <w:t>案进行相应调整）。</w:t>
      </w:r>
    </w:p>
    <w:p>
      <w:pPr>
        <w:pStyle w:val="BodyText"/>
        <w:spacing w:line="408" w:lineRule="auto" w:before="46"/>
        <w:ind w:left="153" w:right="146" w:firstLine="420"/>
        <w:jc w:val="both"/>
      </w:pPr>
      <w:r>
        <w:rPr>
          <w:spacing w:val="-2"/>
        </w:rPr>
        <w:t>本次回购注销完成后，总股本将由</w:t>
      </w:r>
      <w:r>
        <w:rPr>
          <w:rFonts w:ascii="宋体" w:hAnsi="宋体" w:cs="宋体" w:eastAsia="宋体" w:hint="default"/>
          <w:spacing w:val="-2"/>
        </w:rPr>
        <w:t>27,221.6295</w:t>
      </w:r>
      <w:r>
        <w:rPr>
          <w:spacing w:val="-2"/>
        </w:rPr>
        <w:t>万股减至</w:t>
      </w:r>
      <w:r>
        <w:rPr>
          <w:rFonts w:ascii="宋体" w:hAnsi="宋体" w:cs="宋体" w:eastAsia="宋体" w:hint="default"/>
          <w:spacing w:val="-2"/>
        </w:rPr>
        <w:t>26,794.5795</w:t>
      </w:r>
      <w:r>
        <w:rPr>
          <w:spacing w:val="-2"/>
        </w:rPr>
        <w:t>万股。此次回购注销部分限制性</w:t>
      </w:r>
      <w:r>
        <w:rPr>
          <w:spacing w:val="-3"/>
          <w:w w:val="100"/>
        </w:rPr>
        <w:t> </w:t>
      </w:r>
      <w:r>
        <w:rPr>
          <w:spacing w:val="-2"/>
        </w:rPr>
        <w:t>股票不会对公司的财务状况和经营成果产生实质性影响。本次回购注销事宜，已获得公司</w:t>
      </w:r>
      <w:r>
        <w:rPr>
          <w:rFonts w:ascii="宋体" w:hAnsi="宋体" w:cs="宋体" w:eastAsia="宋体" w:hint="default"/>
          <w:spacing w:val="-2"/>
        </w:rPr>
        <w:t>2013</w:t>
      </w:r>
      <w:r>
        <w:rPr>
          <w:spacing w:val="-2"/>
        </w:rPr>
        <w:t>年第一次临</w:t>
      </w:r>
      <w:r>
        <w:rPr>
          <w:spacing w:val="-39"/>
        </w:rPr>
        <w:t> </w:t>
      </w:r>
      <w:r>
        <w:rPr>
          <w:spacing w:val="-39"/>
        </w:rPr>
      </w:r>
      <w:r>
        <w:rPr/>
        <w:t>时股东大会的授权，经董事会审议通过后实施。</w:t>
      </w:r>
    </w:p>
    <w:p>
      <w:pPr>
        <w:pStyle w:val="BodyText"/>
        <w:spacing w:line="240" w:lineRule="auto" w:before="46"/>
        <w:ind w:left="573" w:right="0"/>
        <w:jc w:val="left"/>
      </w:pPr>
      <w:r>
        <w:rPr/>
        <w:t>根据权益分派调整后的回购价格，公司于</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日就限制性股票的回购义务确认的负债总额为</w:t>
      </w:r>
    </w:p>
    <w:p>
      <w:pPr>
        <w:spacing w:line="240" w:lineRule="auto" w:before="10"/>
        <w:rPr>
          <w:rFonts w:ascii="宋体" w:hAnsi="宋体" w:cs="宋体" w:eastAsia="宋体" w:hint="default"/>
          <w:sz w:val="14"/>
          <w:szCs w:val="14"/>
        </w:rPr>
      </w:pPr>
    </w:p>
    <w:p>
      <w:pPr>
        <w:pStyle w:val="BodyText"/>
        <w:spacing w:line="240" w:lineRule="auto"/>
        <w:ind w:right="0"/>
        <w:jc w:val="both"/>
      </w:pPr>
      <w:r>
        <w:rPr>
          <w:rFonts w:ascii="宋体" w:hAnsi="宋体" w:cs="宋体" w:eastAsia="宋体" w:hint="default"/>
        </w:rPr>
        <w:t>12,577,560.00</w:t>
      </w:r>
      <w:r>
        <w:rPr/>
        <w:t>元。</w:t>
      </w:r>
    </w:p>
    <w:p>
      <w:pPr>
        <w:spacing w:line="240" w:lineRule="auto" w:before="10"/>
        <w:rPr>
          <w:rFonts w:ascii="宋体" w:hAnsi="宋体" w:cs="宋体" w:eastAsia="宋体" w:hint="default"/>
          <w:sz w:val="14"/>
          <w:szCs w:val="14"/>
        </w:rPr>
      </w:pPr>
    </w:p>
    <w:p>
      <w:pPr>
        <w:pStyle w:val="Heading6"/>
        <w:spacing w:line="240" w:lineRule="auto"/>
        <w:ind w:right="0"/>
        <w:jc w:val="both"/>
        <w:rPr>
          <w:b w:val="0"/>
          <w:bCs w:val="0"/>
        </w:rPr>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2016</w:t>
      </w:r>
      <w:r>
        <w:rPr/>
        <w:t>年限制性股票激励计划</w:t>
      </w:r>
      <w:r>
        <w:rPr>
          <w:b w:val="0"/>
          <w:bCs w:val="0"/>
        </w:rPr>
      </w:r>
    </w:p>
    <w:p>
      <w:pPr>
        <w:pStyle w:val="BodyText"/>
        <w:spacing w:line="386" w:lineRule="auto" w:before="177"/>
        <w:ind w:right="146" w:firstLine="419"/>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9</w:t>
      </w:r>
      <w:r>
        <w:rPr>
          <w:spacing w:val="-2"/>
        </w:rPr>
        <w:t>日，公司召开第三届董事会第三次会议，审议通过《上海天玑科技股份有限公司</w:t>
      </w:r>
      <w:r>
        <w:rPr>
          <w:rFonts w:ascii="Times New Roman" w:hAnsi="Times New Roman" w:cs="Times New Roman" w:eastAsia="Times New Roman" w:hint="default"/>
          <w:spacing w:val="-2"/>
        </w:rPr>
        <w:t>2016</w:t>
      </w:r>
      <w:r>
        <w:rPr>
          <w:spacing w:val="-2"/>
        </w:rPr>
        <w:t>年限</w:t>
      </w:r>
      <w:r>
        <w:rPr>
          <w:w w:val="100"/>
        </w:rPr>
        <w:t> </w:t>
      </w:r>
      <w:r>
        <w:rPr>
          <w:spacing w:val="-2"/>
        </w:rPr>
        <w:t>制性股票激励计划（草案）》及摘要。公司董事会获授权酌情授予本公司董事（不包括独立董事）、高级</w:t>
      </w:r>
    </w:p>
    <w:p>
      <w:pPr>
        <w:spacing w:after="0" w:line="386" w:lineRule="auto"/>
        <w:jc w:val="both"/>
        <w:sectPr>
          <w:footerReference w:type="default" r:id="rId33"/>
          <w:pgSz w:w="11910" w:h="16840"/>
          <w:pgMar w:footer="982" w:header="745" w:top="1060" w:bottom="1180" w:left="980" w:right="980"/>
          <w:pgNumType w:start="175"/>
        </w:sectPr>
      </w:pPr>
    </w:p>
    <w:p>
      <w:pPr>
        <w:spacing w:line="240" w:lineRule="auto" w:before="0"/>
        <w:rPr>
          <w:rFonts w:ascii="宋体" w:hAnsi="宋体" w:cs="宋体" w:eastAsia="宋体" w:hint="default"/>
          <w:sz w:val="20"/>
          <w:szCs w:val="20"/>
        </w:rPr>
      </w:pPr>
    </w:p>
    <w:p>
      <w:pPr>
        <w:pStyle w:val="BodyText"/>
        <w:spacing w:line="386" w:lineRule="auto" w:before="175"/>
        <w:ind w:right="0"/>
        <w:jc w:val="left"/>
      </w:pPr>
      <w:bookmarkStart w:name="（2）公司没有需要披露的重要或有事项，也应予以说明" w:id="463"/>
      <w:bookmarkEnd w:id="463"/>
      <w:r>
        <w:rPr/>
      </w:r>
      <w:bookmarkStart w:name="3、其他" w:id="464"/>
      <w:bookmarkEnd w:id="464"/>
      <w:r>
        <w:rPr/>
      </w:r>
      <w:bookmarkStart w:name="十五、资产负债表日后事项" w:id="465"/>
      <w:bookmarkEnd w:id="465"/>
      <w:r>
        <w:rPr/>
      </w:r>
      <w:bookmarkStart w:name="1、重要的非调整事项" w:id="466"/>
      <w:bookmarkEnd w:id="466"/>
      <w:r>
        <w:rPr/>
      </w:r>
      <w:r>
        <w:rPr>
          <w:spacing w:val="-1"/>
        </w:rPr>
        <w:t>管理人员，以及公司认定的核心业务（技术）人员共</w:t>
      </w:r>
      <w:r>
        <w:rPr>
          <w:rFonts w:ascii="Times New Roman" w:hAnsi="Times New Roman" w:cs="Times New Roman" w:eastAsia="Times New Roman" w:hint="default"/>
          <w:spacing w:val="-1"/>
        </w:rPr>
        <w:t>170</w:t>
      </w:r>
      <w:r>
        <w:rPr>
          <w:spacing w:val="-1"/>
        </w:rPr>
        <w:t>人</w:t>
      </w:r>
      <w:r>
        <w:rPr>
          <w:rFonts w:ascii="Times New Roman" w:hAnsi="Times New Roman" w:cs="Times New Roman" w:eastAsia="Times New Roman" w:hint="default"/>
          <w:spacing w:val="-1"/>
        </w:rPr>
        <w:t>746.5</w:t>
      </w:r>
      <w:r>
        <w:rPr>
          <w:spacing w:val="-1"/>
        </w:rPr>
        <w:t>万份限制性股票。本计划有效期为自首次</w:t>
      </w:r>
      <w:r>
        <w:rPr>
          <w:spacing w:val="-27"/>
        </w:rPr>
        <w:t> </w:t>
      </w:r>
      <w:r>
        <w:rPr>
          <w:spacing w:val="-27"/>
        </w:rPr>
      </w:r>
      <w:r>
        <w:rPr/>
        <w:t>限制性股票授予之日起计算，最长不超过</w:t>
      </w:r>
      <w:r>
        <w:rPr>
          <w:rFonts w:ascii="Times New Roman" w:hAnsi="Times New Roman" w:cs="Times New Roman" w:eastAsia="Times New Roman" w:hint="default"/>
        </w:rPr>
        <w:t>4</w:t>
      </w:r>
      <w:r>
        <w:rPr/>
        <w:t>年。该议案尚需提交公司股东大会审议通过。</w:t>
      </w:r>
    </w:p>
    <w:p>
      <w:pPr>
        <w:spacing w:line="240" w:lineRule="auto" w:before="10"/>
        <w:rPr>
          <w:rFonts w:ascii="宋体" w:hAnsi="宋体" w:cs="宋体" w:eastAsia="宋体" w:hint="default"/>
          <w:sz w:val="19"/>
          <w:szCs w:val="19"/>
        </w:rPr>
      </w:pPr>
    </w:p>
    <w:p>
      <w:pPr>
        <w:pStyle w:val="Heading6"/>
        <w:spacing w:line="240" w:lineRule="auto"/>
        <w:ind w:right="0"/>
        <w:jc w:val="left"/>
        <w:rPr>
          <w:b w:val="0"/>
          <w:bCs w:val="0"/>
        </w:rPr>
      </w:pPr>
      <w:r>
        <w:rPr>
          <w:rFonts w:ascii="Times New Roman" w:hAnsi="Times New Roman" w:cs="Times New Roman" w:eastAsia="Times New Roman" w:hint="default"/>
        </w:rPr>
        <w:t>3</w:t>
      </w:r>
      <w:bookmarkStart w:name="3、以现金结算的股份支付情况" w:id="467"/>
      <w:bookmarkEnd w:id="467"/>
      <w:r>
        <w:rPr>
          <w:rFonts w:ascii="Times New Roman" w:hAnsi="Times New Roman" w:cs="Times New Roman" w:eastAsia="Times New Roman" w:hint="default"/>
        </w:rPr>
      </w:r>
      <w:r>
        <w:rPr/>
        <w:t>、以现金结算的股份支付情况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line="506" w:lineRule="auto" w:before="0"/>
        <w:ind w:left="152" w:right="403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w:t>
      </w:r>
      <w:bookmarkStart w:name="4、股份支付的修改、终止情况" w:id="468"/>
      <w:bookmarkEnd w:id="468"/>
      <w:r>
        <w:rPr>
          <w:rFonts w:ascii="宋体" w:hAnsi="宋体" w:cs="宋体" w:eastAsia="宋体" w:hint="default"/>
          <w:b/>
          <w:bCs/>
          <w:sz w:val="21"/>
          <w:szCs w:val="21"/>
        </w:rPr>
        <w:t>情况</w:t>
      </w:r>
      <w:r>
        <w:rPr>
          <w:rFonts w:ascii="宋体" w:hAnsi="宋体" w:cs="宋体" w:eastAsia="宋体" w:hint="default"/>
          <w:b/>
          <w:bCs/>
          <w:w w:val="100"/>
          <w:sz w:val="21"/>
          <w:szCs w:val="21"/>
        </w:rPr>
        <w:t> </w:t>
      </w:r>
      <w:r>
        <w:rPr>
          <w:rFonts w:ascii="宋体" w:hAnsi="宋体" w:cs="宋体" w:eastAsia="宋体" w:hint="default"/>
          <w:sz w:val="21"/>
          <w:szCs w:val="21"/>
        </w:rPr>
        <w:t>本年度，股份支付修改、终止情况详见本报告第十节 十三</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sz w:val="21"/>
          <w:szCs w:val="21"/>
        </w:rPr>
      </w:r>
    </w:p>
    <w:p>
      <w:pPr>
        <w:spacing w:before="187"/>
        <w:ind w:left="1434" w:right="0" w:firstLine="0"/>
        <w:jc w:val="left"/>
        <w:rPr>
          <w:rFonts w:ascii="宋体" w:hAnsi="宋体" w:cs="宋体" w:eastAsia="宋体" w:hint="default"/>
          <w:sz w:val="18"/>
          <w:szCs w:val="18"/>
        </w:rPr>
      </w:pPr>
      <w:r>
        <w:rPr/>
        <w:pict>
          <v:shape style="position:absolute;margin-left:93.360001pt;margin-top:27.301722pt;width:381.480187pt;height:48.6pt;mso-position-horizontal-relative:page;mso-position-vertical-relative:paragraph;z-index:-905464" type="#_x0000_t75" stroked="false">
            <v:imagedata r:id="rId34" o:title=""/>
          </v:shape>
        </w:pict>
      </w:r>
      <w:r>
        <w:rPr>
          <w:rFonts w:ascii="宋体" w:hAnsi="宋体" w:cs="宋体" w:eastAsia="宋体" w:hint="default"/>
          <w:b/>
          <w:bCs/>
          <w:sz w:val="18"/>
          <w:szCs w:val="18"/>
        </w:rPr>
        <w:t>以股份支付服务情况</w:t>
      </w:r>
      <w:r>
        <w:rPr>
          <w:rFonts w:ascii="宋体" w:hAnsi="宋体" w:cs="宋体" w:eastAsia="宋体" w:hint="default"/>
          <w:sz w:val="18"/>
          <w:szCs w:val="18"/>
        </w:rPr>
      </w:r>
    </w:p>
    <w:p>
      <w:pPr>
        <w:spacing w:line="240" w:lineRule="auto" w:before="3"/>
        <w:rPr>
          <w:rFonts w:ascii="宋体" w:hAnsi="宋体" w:cs="宋体" w:eastAsia="宋体" w:hint="default"/>
          <w:b/>
          <w:bCs/>
          <w:sz w:val="7"/>
          <w:szCs w:val="7"/>
        </w:rPr>
      </w:pPr>
    </w:p>
    <w:tbl>
      <w:tblPr>
        <w:tblW w:w="0" w:type="auto"/>
        <w:jc w:val="left"/>
        <w:tblInd w:w="887" w:type="dxa"/>
        <w:tblLayout w:type="fixed"/>
        <w:tblCellMar>
          <w:top w:w="0" w:type="dxa"/>
          <w:left w:w="0" w:type="dxa"/>
          <w:bottom w:w="0" w:type="dxa"/>
          <w:right w:w="0" w:type="dxa"/>
        </w:tblCellMar>
        <w:tblLook w:val="01E0"/>
      </w:tblPr>
      <w:tblGrid>
        <w:gridCol w:w="4582"/>
        <w:gridCol w:w="3048"/>
      </w:tblGrid>
      <w:tr>
        <w:trPr>
          <w:trHeight w:val="556" w:hRule="exact"/>
        </w:trPr>
        <w:tc>
          <w:tcPr>
            <w:tcW w:w="4582" w:type="dxa"/>
            <w:tcBorders>
              <w:top w:val="single" w:sz="12" w:space="0" w:color="000000"/>
              <w:left w:val="nil" w:sz="6" w:space="0" w:color="auto"/>
              <w:bottom w:val="nil" w:sz="6" w:space="0" w:color="auto"/>
              <w:right w:val="nil" w:sz="6" w:space="0" w:color="auto"/>
            </w:tcBorders>
          </w:tcPr>
          <w:p>
            <w:pPr>
              <w:pStyle w:val="TableParagraph"/>
              <w:tabs>
                <w:tab w:pos="539" w:val="left" w:leader="none"/>
              </w:tabs>
              <w:spacing w:line="240" w:lineRule="auto" w:before="149"/>
              <w:ind w:right="1680"/>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048" w:type="dxa"/>
            <w:tcBorders>
              <w:top w:val="single" w:sz="12" w:space="0" w:color="000000"/>
              <w:left w:val="nil" w:sz="6" w:space="0" w:color="auto"/>
              <w:bottom w:val="nil" w:sz="6" w:space="0" w:color="auto"/>
              <w:right w:val="nil" w:sz="6" w:space="0" w:color="auto"/>
            </w:tcBorders>
          </w:tcPr>
          <w:p>
            <w:pPr>
              <w:pStyle w:val="TableParagraph"/>
              <w:spacing w:line="240" w:lineRule="auto" w:before="149"/>
              <w:ind w:left="494" w:right="0"/>
              <w:jc w:val="center"/>
              <w:rPr>
                <w:rFonts w:ascii="宋体" w:hAnsi="宋体" w:cs="宋体" w:eastAsia="宋体" w:hint="default"/>
                <w:sz w:val="18"/>
                <w:szCs w:val="18"/>
              </w:rPr>
            </w:pPr>
            <w:bookmarkStart w:name="5、其他" w:id="469"/>
            <w:bookmarkEnd w:id="469"/>
            <w:r>
              <w:rPr/>
            </w:r>
            <w:bookmarkStart w:name="以股份支付服务情况" w:id="470"/>
            <w:bookmarkEnd w:id="470"/>
            <w:r>
              <w:rPr/>
            </w:r>
            <w:r>
              <w:rPr>
                <w:rFonts w:ascii="宋体" w:hAnsi="宋体" w:cs="宋体" w:eastAsia="宋体" w:hint="default"/>
                <w:sz w:val="18"/>
                <w:szCs w:val="18"/>
              </w:rPr>
              <w:t>金额</w:t>
            </w:r>
          </w:p>
        </w:tc>
      </w:tr>
      <w:tr>
        <w:trPr>
          <w:trHeight w:val="445" w:hRule="exact"/>
        </w:trPr>
        <w:tc>
          <w:tcPr>
            <w:tcW w:w="4582" w:type="dxa"/>
            <w:tcBorders>
              <w:top w:val="nil" w:sz="6" w:space="0" w:color="auto"/>
              <w:left w:val="nil" w:sz="6" w:space="0" w:color="auto"/>
              <w:bottom w:val="single" w:sz="12" w:space="0" w:color="000000"/>
              <w:right w:val="nil" w:sz="6" w:space="0" w:color="auto"/>
            </w:tcBorders>
          </w:tcPr>
          <w:p>
            <w:pPr>
              <w:pStyle w:val="TableParagraph"/>
              <w:spacing w:line="240" w:lineRule="auto" w:before="100"/>
              <w:ind w:right="1589"/>
              <w:jc w:val="right"/>
              <w:rPr>
                <w:rFonts w:ascii="宋体" w:hAnsi="宋体" w:cs="宋体" w:eastAsia="宋体" w:hint="default"/>
                <w:sz w:val="18"/>
                <w:szCs w:val="18"/>
              </w:rPr>
            </w:pPr>
            <w:r>
              <w:rPr>
                <w:rFonts w:ascii="宋体" w:hAnsi="宋体" w:cs="宋体" w:eastAsia="宋体" w:hint="default"/>
                <w:sz w:val="18"/>
                <w:szCs w:val="18"/>
              </w:rPr>
              <w:t>本年以股份支付换取的职工服务总额</w:t>
            </w:r>
          </w:p>
        </w:tc>
        <w:tc>
          <w:tcPr>
            <w:tcW w:w="3048" w:type="dxa"/>
            <w:tcBorders>
              <w:top w:val="nil" w:sz="6" w:space="0" w:color="auto"/>
              <w:left w:val="nil" w:sz="6" w:space="0" w:color="auto"/>
              <w:bottom w:val="single" w:sz="12" w:space="0" w:color="000000"/>
              <w:right w:val="nil" w:sz="6" w:space="0" w:color="auto"/>
            </w:tcBorders>
          </w:tcPr>
          <w:p>
            <w:pPr>
              <w:pStyle w:val="TableParagraph"/>
              <w:spacing w:line="240" w:lineRule="auto" w:before="142"/>
              <w:ind w:left="1934" w:right="0"/>
              <w:jc w:val="left"/>
              <w:rPr>
                <w:rFonts w:ascii="Times New Roman" w:hAnsi="Times New Roman" w:cs="Times New Roman" w:eastAsia="Times New Roman" w:hint="default"/>
                <w:sz w:val="18"/>
                <w:szCs w:val="18"/>
              </w:rPr>
            </w:pPr>
            <w:r>
              <w:rPr>
                <w:rFonts w:ascii="Times New Roman"/>
                <w:sz w:val="18"/>
              </w:rPr>
              <w:t>-1,013,350.01</w:t>
            </w:r>
          </w:p>
        </w:tc>
      </w:tr>
    </w:tbl>
    <w:p>
      <w:pPr>
        <w:spacing w:line="240" w:lineRule="auto" w:before="0"/>
        <w:rPr>
          <w:rFonts w:ascii="宋体" w:hAnsi="宋体" w:cs="宋体" w:eastAsia="宋体" w:hint="default"/>
          <w:b/>
          <w:bCs/>
          <w:sz w:val="20"/>
          <w:szCs w:val="20"/>
        </w:rPr>
      </w:pPr>
    </w:p>
    <w:p>
      <w:pPr>
        <w:pStyle w:val="Heading4"/>
        <w:spacing w:line="240" w:lineRule="auto"/>
        <w:ind w:right="0"/>
        <w:jc w:val="left"/>
        <w:rPr>
          <w:b w:val="0"/>
          <w:bCs w:val="0"/>
        </w:rPr>
      </w:pPr>
      <w:r>
        <w:rPr/>
        <w:t>十四、承诺及或有事项</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40" w:lineRule="auto" w:before="96"/>
        <w:ind w:right="0"/>
        <w:jc w:val="left"/>
      </w:pPr>
      <w:r>
        <w:rPr/>
        <w:t>截至本年末，本公司不存在需要披露的重大承诺事项。</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spacing w:line="506" w:lineRule="auto" w:before="0"/>
        <w:ind w:left="152" w:right="167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100"/>
          <w:sz w:val="21"/>
          <w:szCs w:val="21"/>
        </w:rPr>
        <w:t> </w:t>
      </w:r>
      <w:r>
        <w:rPr>
          <w:rFonts w:ascii="宋体" w:hAnsi="宋体" w:cs="宋体" w:eastAsia="宋体" w:hint="default"/>
          <w:spacing w:val="-2"/>
          <w:sz w:val="21"/>
          <w:szCs w:val="21"/>
        </w:rPr>
        <w:t>截至本年末，本公司不存在需要披露的或有事项。</w:t>
      </w:r>
    </w:p>
    <w:p>
      <w:pPr>
        <w:pStyle w:val="Heading6"/>
        <w:spacing w:line="240" w:lineRule="auto" w:before="104"/>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0"/>
        <w:rPr>
          <w:rFonts w:ascii="宋体" w:hAnsi="宋体" w:cs="宋体" w:eastAsia="宋体" w:hint="default"/>
          <w:sz w:val="18"/>
          <w:szCs w:val="18"/>
        </w:rPr>
      </w:pPr>
    </w:p>
    <w:p>
      <w:pPr>
        <w:spacing w:line="487" w:lineRule="auto" w:before="120"/>
        <w:ind w:left="152" w:right="68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02"/>
        <w:ind w:left="0" w:right="153" w:firstLine="0"/>
        <w:jc w:val="right"/>
        <w:rPr>
          <w:rFonts w:ascii="宋体" w:hAnsi="宋体" w:cs="宋体" w:eastAsia="宋体" w:hint="default"/>
          <w:sz w:val="18"/>
          <w:szCs w:val="18"/>
        </w:rPr>
      </w:pPr>
      <w:bookmarkStart w:name="十四、承诺及或有事项" w:id="471"/>
      <w:bookmarkEnd w:id="471"/>
      <w:r>
        <w:rPr/>
      </w:r>
      <w:bookmarkStart w:name="1、重要承诺事项" w:id="472"/>
      <w:bookmarkEnd w:id="472"/>
      <w:r>
        <w:rPr/>
      </w:r>
      <w:bookmarkStart w:name="2、或有事项" w:id="473"/>
      <w:bookmarkEnd w:id="473"/>
      <w:r>
        <w:rPr/>
      </w:r>
      <w:bookmarkStart w:name="（1）资产负债表日存在的重要或有事项" w:id="474"/>
      <w:bookmarkEnd w:id="474"/>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2"/>
        <w:gridCol w:w="2296"/>
        <w:gridCol w:w="2390"/>
        <w:gridCol w:w="2377"/>
      </w:tblGrid>
      <w:tr>
        <w:trPr>
          <w:trHeight w:val="401"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内容</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109" w:right="0"/>
              <w:jc w:val="left"/>
              <w:rPr>
                <w:rFonts w:ascii="宋体" w:hAnsi="宋体" w:cs="宋体" w:eastAsia="宋体" w:hint="default"/>
                <w:sz w:val="18"/>
                <w:szCs w:val="18"/>
              </w:rPr>
            </w:pPr>
            <w:r>
              <w:rPr>
                <w:rFonts w:ascii="宋体" w:hAnsi="宋体" w:cs="宋体" w:eastAsia="宋体" w:hint="default"/>
                <w:sz w:val="18"/>
                <w:szCs w:val="18"/>
              </w:rPr>
              <w:t>对财务状况和经营成果的影</w:t>
            </w:r>
          </w:p>
        </w:tc>
        <w:tc>
          <w:tcPr>
            <w:tcW w:w="23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2"/>
        <w:gridCol w:w="2294"/>
        <w:gridCol w:w="2390"/>
        <w:gridCol w:w="2390"/>
      </w:tblGrid>
      <w:tr>
        <w:trPr>
          <w:trHeight w:val="362"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29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响数</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bookmarkStart w:name="（2）未来适用法" w:id="475"/>
      <w:bookmarkEnd w:id="475"/>
      <w:r>
        <w:rPr>
          <w:b w:val="0"/>
          <w:bCs w:val="0"/>
        </w:rPr>
      </w:r>
      <w:r>
        <w:rPr>
          <w:rFonts w:ascii="Times New Roman" w:hAnsi="Times New Roman" w:cs="Times New Roman" w:eastAsia="Times New Roman" w:hint="default"/>
        </w:rPr>
        <w:t>2</w:t>
      </w:r>
      <w:bookmarkStart w:name="2、利润分配情况" w:id="476"/>
      <w:bookmarkEnd w:id="476"/>
      <w:r>
        <w:rPr>
          <w:rFonts w:ascii="Times New Roman" w:hAnsi="Times New Roman" w:cs="Times New Roman" w:eastAsia="Times New Roman" w:hint="default"/>
        </w:rPr>
      </w:r>
      <w:r>
        <w:rPr/>
        <w:t>、利润分配情况</w:t>
      </w:r>
      <w:r>
        <w:rPr>
          <w:b w:val="0"/>
          <w:bCs w:val="0"/>
        </w:rPr>
      </w:r>
    </w:p>
    <w:p>
      <w:pPr>
        <w:spacing w:line="240" w:lineRule="auto" w:before="8"/>
        <w:rPr>
          <w:rFonts w:ascii="宋体" w:hAnsi="宋体" w:cs="宋体" w:eastAsia="宋体" w:hint="default"/>
          <w:b/>
          <w:bCs/>
          <w:sz w:val="30"/>
          <w:szCs w:val="30"/>
        </w:rPr>
      </w:pPr>
    </w:p>
    <w:p>
      <w:pPr>
        <w:pStyle w:val="BodyText"/>
        <w:spacing w:line="386" w:lineRule="auto"/>
        <w:ind w:left="260" w:right="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日，公司召开第三届董事会第三次会议审议通过了《</w:t>
      </w:r>
      <w:r>
        <w:rPr>
          <w:rFonts w:ascii="Times New Roman" w:hAnsi="Times New Roman" w:cs="Times New Roman" w:eastAsia="Times New Roman" w:hint="default"/>
        </w:rPr>
        <w:t>2015</w:t>
      </w:r>
      <w:r>
        <w:rPr/>
        <w:t>年度公司利润分配预案》，拟以公</w:t>
      </w:r>
      <w:r>
        <w:rPr>
          <w:spacing w:val="-31"/>
        </w:rPr>
        <w:t> </w:t>
      </w:r>
      <w:r>
        <w:rPr>
          <w:spacing w:val="-31"/>
        </w:rPr>
      </w:r>
      <w:r>
        <w:rPr/>
        <w:t>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日总股本</w:t>
      </w:r>
      <w:r>
        <w:rPr>
          <w:rFonts w:ascii="Times New Roman" w:hAnsi="Times New Roman" w:cs="Times New Roman" w:eastAsia="Times New Roman" w:hint="default"/>
        </w:rPr>
        <w:t>272,216,295</w:t>
      </w:r>
      <w:r>
        <w:rPr/>
        <w:t>股扣除经</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日召开的第三届董事会第三董事会审议通过的拟</w:t>
      </w:r>
      <w:r>
        <w:rPr>
          <w:spacing w:val="-32"/>
        </w:rPr>
        <w:t> </w:t>
      </w:r>
      <w:r>
        <w:rPr>
          <w:spacing w:val="-32"/>
        </w:rPr>
      </w:r>
      <w:r>
        <w:rPr/>
        <w:t>回购注销的限制性股票</w:t>
      </w:r>
      <w:r>
        <w:rPr>
          <w:rFonts w:ascii="Times New Roman" w:hAnsi="Times New Roman" w:cs="Times New Roman" w:eastAsia="Times New Roman" w:hint="default"/>
        </w:rPr>
        <w:t>4,270,500</w:t>
      </w:r>
      <w:r>
        <w:rPr/>
        <w:t>股后的股本</w:t>
      </w:r>
      <w:r>
        <w:rPr>
          <w:rFonts w:ascii="Times New Roman" w:hAnsi="Times New Roman" w:cs="Times New Roman" w:eastAsia="Times New Roman" w:hint="default"/>
        </w:rPr>
        <w:t>267,945,795</w:t>
      </w:r>
      <w:r>
        <w:rPr/>
        <w:t>股为基数，向全体股东每</w:t>
      </w:r>
      <w:r>
        <w:rPr>
          <w:rFonts w:ascii="Times New Roman" w:hAnsi="Times New Roman" w:cs="Times New Roman" w:eastAsia="Times New Roman" w:hint="default"/>
        </w:rPr>
        <w:t>10</w:t>
      </w:r>
      <w:r>
        <w:rPr/>
        <w:t>股派发现金股利人民</w:t>
      </w:r>
      <w:r>
        <w:rPr>
          <w:spacing w:val="-32"/>
        </w:rPr>
        <w:t> </w:t>
      </w:r>
      <w:r>
        <w:rPr>
          <w:spacing w:val="-32"/>
        </w:rPr>
      </w:r>
      <w:r>
        <w:rPr/>
        <w:t>币</w:t>
      </w:r>
      <w:r>
        <w:rPr>
          <w:rFonts w:ascii="Times New Roman" w:hAnsi="Times New Roman" w:cs="Times New Roman" w:eastAsia="Times New Roman" w:hint="default"/>
        </w:rPr>
        <w:t>0.35</w:t>
      </w:r>
      <w:r>
        <w:rPr/>
        <w:t>元（含税），合计派发现金</w:t>
      </w:r>
      <w:r>
        <w:rPr>
          <w:rFonts w:ascii="Times New Roman" w:hAnsi="Times New Roman" w:cs="Times New Roman" w:eastAsia="Times New Roman" w:hint="default"/>
        </w:rPr>
        <w:t>9,378,102.83</w:t>
      </w:r>
      <w:r>
        <w:rPr/>
        <w:t>元；本年度，不转增不送股。</w:t>
      </w:r>
      <w:r>
        <w:rPr>
          <w:w w:val="100"/>
        </w:rPr>
        <w:t> </w:t>
      </w:r>
      <w:r>
        <w:rPr/>
        <w:t>该议案尚需提交公司股东大会审议通过。剩余未分配利润结转至下年度。</w:t>
      </w:r>
    </w:p>
    <w:p>
      <w:pPr>
        <w:spacing w:line="240" w:lineRule="auto" w:before="0"/>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8"/>
        <w:rPr>
          <w:rFonts w:ascii="宋体" w:hAnsi="宋体" w:cs="宋体" w:eastAsia="宋体" w:hint="default"/>
          <w:b/>
          <w:bCs/>
          <w:sz w:val="30"/>
          <w:szCs w:val="30"/>
        </w:rPr>
      </w:pPr>
    </w:p>
    <w:p>
      <w:pPr>
        <w:pStyle w:val="BodyText"/>
        <w:spacing w:line="391" w:lineRule="auto"/>
        <w:ind w:left="260" w:right="145"/>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日，公司召开第三届董事</w:t>
      </w:r>
      <w:bookmarkStart w:name="3、销售退回" w:id="477"/>
      <w:bookmarkEnd w:id="477"/>
      <w:r>
        <w:rPr/>
        <w:t>会第三</w:t>
      </w:r>
      <w:r>
        <w:rPr/>
        <w:t>次</w:t>
      </w:r>
      <w:bookmarkStart w:name="4、其他资产负债表日后事项说明" w:id="478"/>
      <w:bookmarkEnd w:id="478"/>
      <w:r>
        <w:rPr/>
        <w:t>会议</w:t>
      </w:r>
      <w:r>
        <w:rPr/>
        <w:t>，审议通过《关于使用部分超募资金永久补充流动资</w:t>
      </w:r>
      <w:r>
        <w:rPr>
          <w:spacing w:val="-28"/>
        </w:rPr>
        <w:t> </w:t>
      </w:r>
      <w:r>
        <w:rPr>
          <w:spacing w:val="-28"/>
        </w:rPr>
      </w:r>
      <w:r>
        <w:rPr/>
        <w:t>金的议案》，为了提高募集资金的使用效率、降低财务费用，提升公司的经营效益，本着股东利益最大</w:t>
      </w:r>
      <w:r>
        <w:rPr>
          <w:spacing w:val="-28"/>
        </w:rPr>
        <w:t> </w:t>
      </w:r>
      <w:r>
        <w:rPr>
          <w:spacing w:val="-28"/>
        </w:rPr>
      </w:r>
      <w:r>
        <w:rPr>
          <w:spacing w:val="-1"/>
        </w:rPr>
        <w:t>化的原则，在保证募集资金项目建设资金需求的前提下，同意公司使用首次公开发行股票超募资金</w:t>
      </w:r>
      <w:r>
        <w:rPr>
          <w:rFonts w:ascii="Times New Roman" w:hAnsi="Times New Roman" w:cs="Times New Roman" w:eastAsia="Times New Roman" w:hint="default"/>
          <w:spacing w:val="-1"/>
        </w:rPr>
        <w:t>3,000</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spacing w:val="3"/>
        </w:rPr>
        <w:t>万元永久补充流动资金。本次超募资金拟使用金额占超募资金总额的</w:t>
      </w:r>
      <w:r>
        <w:rPr>
          <w:rFonts w:ascii="Times New Roman" w:hAnsi="Times New Roman" w:cs="Times New Roman" w:eastAsia="Times New Roman" w:hint="default"/>
          <w:spacing w:val="3"/>
        </w:rPr>
        <w:t>23.07%</w:t>
      </w:r>
      <w:r>
        <w:rPr>
          <w:spacing w:val="3"/>
        </w:rPr>
        <w:t>，未超过超募资金总额的</w:t>
      </w:r>
      <w:r>
        <w:rPr>
          <w:spacing w:val="6"/>
        </w:rPr>
        <w:t> </w:t>
      </w:r>
      <w:r>
        <w:rPr>
          <w:spacing w:val="6"/>
        </w:rPr>
      </w:r>
      <w:r>
        <w:rPr>
          <w:rFonts w:ascii="Times New Roman" w:hAnsi="Times New Roman" w:cs="Times New Roman" w:eastAsia="Times New Roman" w:hint="default"/>
        </w:rPr>
        <w:t>30%</w:t>
      </w:r>
      <w:r>
        <w:rPr/>
        <w:t>。</w:t>
      </w:r>
    </w:p>
    <w:p>
      <w:pPr>
        <w:spacing w:line="240" w:lineRule="auto" w:before="6"/>
        <w:rPr>
          <w:rFonts w:ascii="宋体" w:hAnsi="宋体" w:cs="宋体" w:eastAsia="宋体" w:hint="default"/>
          <w:sz w:val="17"/>
          <w:szCs w:val="17"/>
        </w:rPr>
      </w:pPr>
    </w:p>
    <w:p>
      <w:pPr>
        <w:pStyle w:val="Heading4"/>
        <w:spacing w:line="240" w:lineRule="auto"/>
        <w:ind w:right="0"/>
        <w:jc w:val="left"/>
        <w:rPr>
          <w:b w:val="0"/>
          <w:bCs w:val="0"/>
        </w:rPr>
      </w:pP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2"/>
        <w:rPr>
          <w:rFonts w:ascii="宋体" w:hAnsi="宋体" w:cs="宋体" w:eastAsia="宋体" w:hint="default"/>
          <w:b/>
          <w:bCs/>
          <w:sz w:val="26"/>
          <w:szCs w:val="26"/>
        </w:rPr>
      </w:pPr>
    </w:p>
    <w:p>
      <w:pPr>
        <w:spacing w:before="0"/>
        <w:ind w:left="0" w:right="153" w:firstLine="0"/>
        <w:jc w:val="right"/>
        <w:rPr>
          <w:rFonts w:ascii="宋体" w:hAnsi="宋体" w:cs="宋体" w:eastAsia="宋体" w:hint="default"/>
          <w:sz w:val="18"/>
          <w:szCs w:val="18"/>
        </w:rPr>
      </w:pPr>
      <w:bookmarkStart w:name="十六、其他重要事项" w:id="479"/>
      <w:bookmarkEnd w:id="479"/>
      <w:r>
        <w:rPr/>
      </w:r>
      <w:bookmarkStart w:name="1、前期会计差错更正" w:id="480"/>
      <w:bookmarkEnd w:id="480"/>
      <w:r>
        <w:rPr/>
      </w:r>
      <w:bookmarkStart w:name="（1）追溯重述法" w:id="481"/>
      <w:bookmarkEnd w:id="481"/>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2"/>
        <w:gridCol w:w="2294"/>
        <w:gridCol w:w="2390"/>
        <w:gridCol w:w="2390"/>
      </w:tblGrid>
      <w:tr>
        <w:trPr>
          <w:trHeight w:val="714"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30" w:right="108"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4"/>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5"/>
      </w:tblGrid>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b/>
          <w:bCs/>
          <w:sz w:val="24"/>
          <w:szCs w:val="24"/>
        </w:rPr>
      </w:pPr>
    </w:p>
    <w:p>
      <w:pPr>
        <w:pStyle w:val="Heading6"/>
        <w:spacing w:line="240" w:lineRule="auto" w:before="36"/>
        <w:ind w:right="0"/>
        <w:jc w:val="left"/>
        <w:rPr>
          <w:b w:val="0"/>
          <w:bCs w:val="0"/>
        </w:rPr>
      </w:pPr>
      <w:bookmarkStart w:name="7、其他对投资者决策有影响的重要交易和事项" w:id="482"/>
      <w:bookmarkEnd w:id="482"/>
      <w:r>
        <w:rPr>
          <w:b w:val="0"/>
          <w:bCs w:val="0"/>
        </w:rPr>
      </w:r>
      <w:bookmarkStart w:name="8、其他" w:id="483"/>
      <w:bookmarkEnd w:id="483"/>
      <w:r>
        <w:rPr>
          <w:b w:val="0"/>
          <w:bCs w:val="0"/>
        </w:rPr>
      </w:r>
      <w:bookmarkStart w:name="十七、母公司财务报表主要项目注释" w:id="484"/>
      <w:bookmarkEnd w:id="484"/>
      <w:r>
        <w:rPr>
          <w:b w:val="0"/>
          <w:bCs w:val="0"/>
        </w:rPr>
      </w:r>
      <w:bookmarkStart w:name="1、应收账款" w:id="485"/>
      <w:bookmarkEnd w:id="485"/>
      <w:r>
        <w:rPr>
          <w:b w:val="0"/>
          <w:bCs w:val="0"/>
        </w:rPr>
      </w:r>
      <w:bookmarkStart w:name="（1）应收账款分类披露" w:id="486"/>
      <w:bookmarkEnd w:id="486"/>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3</w:t>
      </w:r>
      <w:bookmarkStart w:name="2、债务重组" w:id="487"/>
      <w:bookmarkEnd w:id="487"/>
      <w:r>
        <w:rPr>
          <w:rFonts w:ascii="Times New Roman" w:hAnsi="Times New Roman" w:cs="Times New Roman" w:eastAsia="Times New Roman" w:hint="default"/>
        </w:rPr>
      </w:r>
      <w:bookmarkStart w:name="3、资产置换" w:id="488"/>
      <w:bookmarkEnd w:id="488"/>
      <w:r>
        <w:rPr>
          <w:rFonts w:ascii="Times New Roman" w:hAnsi="Times New Roman" w:cs="Times New Roman" w:eastAsia="Times New Roman" w:hint="default"/>
        </w:rPr>
      </w:r>
      <w:r>
        <w:rPr/>
        <w:t>、资产置换</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bookmarkStart w:name="（1）非货币性资产交换" w:id="489"/>
      <w:bookmarkEnd w:id="489"/>
      <w:r>
        <w:rPr>
          <w:rFonts w:ascii="Times New Roman" w:hAnsi="Times New Roman" w:cs="Times New Roman" w:eastAsia="Times New Roman" w:hint="default"/>
        </w:rPr>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其他资产置换" w:id="490"/>
      <w:bookmarkEnd w:id="490"/>
      <w:r>
        <w:rPr/>
      </w:r>
      <w:bookmarkStart w:name="4、年金计划" w:id="491"/>
      <w:bookmarkEnd w:id="491"/>
      <w:r>
        <w:rPr/>
      </w:r>
      <w:bookmarkStart w:name="5、终止经营" w:id="492"/>
      <w:bookmarkEnd w:id="492"/>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8" w:right="3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6、分部信息" w:id="493"/>
      <w:bookmarkEnd w:id="493"/>
      <w:r>
        <w:rPr/>
      </w:r>
      <w:bookmarkStart w:name="（1）报告分部的确定依据与会计政策" w:id="494"/>
      <w:bookmarkEnd w:id="494"/>
      <w:r>
        <w:rPr/>
      </w:r>
      <w:bookmarkStart w:name="（2）报告分部的财务信息" w:id="495"/>
      <w:bookmarkEnd w:id="495"/>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59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6"/>
        <w:spacing w:line="240" w:lineRule="auto" w:before="81"/>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3）公司无报告分部的，或者不能披露各报告分部的资产总额和负债总额的，应说明原因" w:id="496"/>
      <w:bookmarkEnd w:id="496"/>
      <w:r>
        <w:rPr/>
      </w:r>
      <w:r>
        <w:rPr>
          <w:rFonts w:ascii="宋体" w:hAnsi="宋体" w:cs="宋体" w:eastAsia="宋体" w:hint="default"/>
          <w:sz w:val="18"/>
          <w:szCs w:val="18"/>
        </w:rPr>
        <w:t>单位：</w:t>
      </w:r>
      <w:r>
        <w:rPr>
          <w:rFonts w:ascii="宋体" w:hAnsi="宋体" w:cs="宋体" w:eastAsia="宋体" w:hint="default"/>
          <w:spacing w:val="1"/>
          <w:sz w:val="18"/>
          <w:szCs w:val="18"/>
        </w:rPr>
        <w:t> </w:t>
      </w:r>
      <w:bookmarkStart w:name="（4）其他说明" w:id="497"/>
      <w:bookmarkEnd w:id="497"/>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3"/>
        <w:gridCol w:w="3838"/>
        <w:gridCol w:w="4084"/>
      </w:tblGrid>
      <w:tr>
        <w:trPr>
          <w:trHeight w:val="401" w:hRule="exact"/>
        </w:trPr>
        <w:tc>
          <w:tcPr>
            <w:tcW w:w="16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7"/>
        <w:gridCol w:w="655"/>
        <w:gridCol w:w="761"/>
        <w:gridCol w:w="814"/>
        <w:gridCol w:w="934"/>
        <w:gridCol w:w="931"/>
      </w:tblGrid>
      <w:tr>
        <w:trPr>
          <w:trHeight w:val="402" w:hRule="exact"/>
        </w:trPr>
        <w:tc>
          <w:tcPr>
            <w:tcW w:w="1624" w:type="dxa"/>
            <w:vMerge w:val="restart"/>
            <w:tcBorders>
              <w:top w:val="single" w:sz="4" w:space="0" w:color="000000"/>
              <w:left w:val="single" w:sz="4" w:space="0" w:color="000000"/>
              <w:right w:val="single" w:sz="4" w:space="0" w:color="000000"/>
            </w:tcBorders>
            <w:shd w:val="clear" w:color="auto" w:fill="D4D4D4"/>
          </w:tcPr>
          <w:p>
            <w:pPr/>
          </w:p>
        </w:tc>
        <w:tc>
          <w:tcPr>
            <w:tcW w:w="153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tcBorders>
              <w:top w:val="single" w:sz="4" w:space="0" w:color="000000"/>
              <w:left w:val="single" w:sz="4" w:space="0" w:color="000000"/>
              <w:bottom w:val="nil" w:sz="6" w:space="0" w:color="auto"/>
              <w:right w:val="single" w:sz="4" w:space="0" w:color="000000"/>
            </w:tcBorders>
            <w:shd w:val="clear" w:color="auto" w:fill="D4D4D4"/>
          </w:tcPr>
          <w:p>
            <w:pP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62" w:hRule="exact"/>
        </w:trPr>
        <w:tc>
          <w:tcPr>
            <w:tcW w:w="1624" w:type="dxa"/>
            <w:vMerge/>
            <w:tcBorders>
              <w:left w:val="single" w:sz="4" w:space="0" w:color="000000"/>
              <w:right w:val="single" w:sz="4" w:space="0" w:color="000000"/>
            </w:tcBorders>
            <w:shd w:val="clear" w:color="auto" w:fill="D4D4D4"/>
          </w:tcPr>
          <w:p>
            <w:pPr/>
          </w:p>
        </w:tc>
        <w:tc>
          <w:tcPr>
            <w:tcW w:w="774"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763" w:type="dxa"/>
            <w:tcBorders>
              <w:top w:val="single" w:sz="4" w:space="0" w:color="000000"/>
              <w:left w:val="single" w:sz="4" w:space="0" w:color="000000"/>
              <w:bottom w:val="nil" w:sz="6" w:space="0" w:color="auto"/>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0" w:hRule="exact"/>
        </w:trPr>
        <w:tc>
          <w:tcPr>
            <w:tcW w:w="1624" w:type="dxa"/>
            <w:vMerge/>
            <w:tcBorders>
              <w:left w:val="single" w:sz="4" w:space="0" w:color="000000"/>
              <w:right w:val="single" w:sz="4" w:space="0" w:color="000000"/>
            </w:tcBorders>
            <w:shd w:val="clear" w:color="auto" w:fill="D4D4D4"/>
          </w:tcPr>
          <w:p>
            <w:pPr/>
          </w:p>
        </w:tc>
        <w:tc>
          <w:tcPr>
            <w:tcW w:w="77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24"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1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117,290,</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858.17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3,803,27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1.32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3.24%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113,487,5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86.85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127,156</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,588.57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3,775,916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2.97%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123,380,67</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2.09</w:t>
            </w:r>
          </w:p>
        </w:tc>
      </w:tr>
      <w:tr>
        <w:trPr>
          <w:trHeight w:val="163" w:hRule="exact"/>
        </w:trPr>
        <w:tc>
          <w:tcPr>
            <w:tcW w:w="1624"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3"/>
              <w:ind w:left="94" w:right="0"/>
              <w:jc w:val="center"/>
              <w:rPr>
                <w:rFonts w:ascii="Times New Roman" w:hAnsi="Times New Roman" w:cs="Times New Roman" w:eastAsia="Times New Roman" w:hint="default"/>
                <w:sz w:val="18"/>
                <w:szCs w:val="18"/>
              </w:rPr>
            </w:pPr>
            <w:r>
              <w:rPr>
                <w:rFonts w:ascii="Times New Roman"/>
                <w:sz w:val="18"/>
              </w:rPr>
              <w:t>117,290,</w:t>
            </w:r>
          </w:p>
          <w:p>
            <w:pPr>
              <w:pStyle w:val="TableParagraph"/>
              <w:spacing w:line="240" w:lineRule="auto" w:before="102"/>
              <w:ind w:left="220" w:right="0"/>
              <w:jc w:val="center"/>
              <w:rPr>
                <w:rFonts w:ascii="Times New Roman" w:hAnsi="Times New Roman" w:cs="Times New Roman" w:eastAsia="Times New Roman" w:hint="default"/>
                <w:sz w:val="18"/>
                <w:szCs w:val="18"/>
              </w:rPr>
            </w:pPr>
            <w:r>
              <w:rPr>
                <w:rFonts w:ascii="Times New Roman"/>
                <w:sz w:val="18"/>
              </w:rPr>
              <w:t>858.17</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3,803,27</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1.32</w:t>
            </w:r>
          </w:p>
        </w:tc>
        <w:tc>
          <w:tcPr>
            <w:tcW w:w="763" w:type="dxa"/>
            <w:vMerge w:val="restart"/>
            <w:tcBorders>
              <w:top w:val="single" w:sz="4" w:space="0" w:color="000000"/>
              <w:left w:val="single" w:sz="4" w:space="0" w:color="000000"/>
              <w:right w:val="single" w:sz="4" w:space="0" w:color="000000"/>
            </w:tcBorders>
          </w:tcPr>
          <w:p>
            <w:pP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113,487,5</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86.85</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127,156</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,588.57</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3,775,916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.48</w:t>
            </w:r>
          </w:p>
        </w:tc>
        <w:tc>
          <w:tcPr>
            <w:tcW w:w="934"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123,380,67</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2.09</w:t>
            </w:r>
          </w:p>
        </w:tc>
      </w:tr>
      <w:tr>
        <w:trPr>
          <w:trHeight w:val="391" w:hRule="exact"/>
        </w:trPr>
        <w:tc>
          <w:tcPr>
            <w:tcW w:w="162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4"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before="49"/>
        <w:ind w:left="152" w:right="-20" w:firstLine="0"/>
        <w:jc w:val="left"/>
        <w:rPr>
          <w:rFonts w:ascii="宋体" w:hAnsi="宋体" w:cs="宋体" w:eastAsia="宋体" w:hint="default"/>
          <w:sz w:val="18"/>
          <w:szCs w:val="18"/>
        </w:rPr>
      </w:pPr>
      <w:bookmarkStart w:name="（2）本期计提、收回或转回的坏账准备情况" w:id="498"/>
      <w:bookmarkEnd w:id="498"/>
      <w:r>
        <w:rPr/>
      </w:r>
      <w:bookmarkStart w:name="（3）本期实际核销的应收账款情况" w:id="499"/>
      <w:bookmarkEnd w:id="499"/>
      <w:r>
        <w:rPr/>
      </w:r>
      <w:r>
        <w:rPr>
          <w:rFonts w:ascii="宋体" w:hAnsi="宋体" w:cs="宋体" w:eastAsia="宋体" w:hint="default"/>
          <w:sz w:val="18"/>
          <w:szCs w:val="18"/>
        </w:rPr>
        <w:t>期末单项金额重大并单项计提坏账准备的应收账款：</w:t>
      </w:r>
    </w:p>
    <w:p>
      <w:pPr>
        <w:spacing w:line="340" w:lineRule="auto" w:before="115"/>
        <w:ind w:left="152" w:right="160"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41"/>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293" w:space="4534"/>
            <w:col w:w="112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4"/>
        <w:gridCol w:w="2390"/>
        <w:gridCol w:w="2390"/>
      </w:tblGrid>
      <w:tr>
        <w:trPr>
          <w:trHeight w:val="403" w:hRule="exact"/>
        </w:trPr>
        <w:tc>
          <w:tcPr>
            <w:tcW w:w="24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94" w:type="dxa"/>
            <w:vMerge/>
            <w:tcBorders>
              <w:left w:val="single" w:sz="4" w:space="0" w:color="000000"/>
              <w:bottom w:val="single" w:sz="4" w:space="0" w:color="000000"/>
              <w:right w:val="single" w:sz="4" w:space="0" w:color="000000"/>
            </w:tcBorders>
            <w:shd w:val="clear" w:color="auto" w:fill="D4D4D4"/>
          </w:tcPr>
          <w:p>
            <w:pPr/>
          </w:p>
        </w:tc>
        <w:tc>
          <w:tcPr>
            <w:tcW w:w="2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天内</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66,025,682.98</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39,197,848.65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1,959,892.42</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7,867,867.27</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786,786.73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3,533,541.55</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706,708.31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632,067.72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316,033.86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33,850.00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33,850.00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117,290,858.17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3,803,271.32</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49"/>
        <w:ind w:left="152" w:right="54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5"/>
        <w:ind w:left="152" w:right="581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240" w:lineRule="auto" w:before="5"/>
        <w:rPr>
          <w:rFonts w:ascii="宋体" w:hAnsi="宋体" w:cs="宋体" w:eastAsia="宋体" w:hint="default"/>
          <w:sz w:val="21"/>
          <w:szCs w:val="21"/>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80" w:left="980" w:right="980"/>
        </w:sectPr>
      </w:pPr>
    </w:p>
    <w:p>
      <w:pPr>
        <w:spacing w:line="338" w:lineRule="auto" w:before="44"/>
        <w:ind w:left="152" w:right="-1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27,354.84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6232" w:space="2595"/>
            <w:col w:w="112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6"/>
        <w:gridCol w:w="3101"/>
        <w:gridCol w:w="3101"/>
      </w:tblGrid>
      <w:tr>
        <w:trPr>
          <w:trHeight w:val="401" w:hRule="exact"/>
        </w:trPr>
        <w:tc>
          <w:tcPr>
            <w:tcW w:w="3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80" w:left="980" w:right="980"/>
        </w:sectPr>
      </w:pPr>
    </w:p>
    <w:p>
      <w:pPr>
        <w:spacing w:line="240" w:lineRule="auto" w:before="11"/>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4981"/>
        <w:gridCol w:w="4586"/>
      </w:tblGrid>
      <w:tr>
        <w:trPr>
          <w:trHeight w:val="334" w:hRule="exact"/>
        </w:trPr>
        <w:tc>
          <w:tcPr>
            <w:tcW w:w="4981" w:type="dxa"/>
            <w:tcBorders>
              <w:top w:val="single" w:sz="6" w:space="0" w:color="000000"/>
              <w:left w:val="nil" w:sz="6" w:space="0" w:color="auto"/>
              <w:bottom w:val="single" w:sz="4" w:space="0" w:color="000000"/>
              <w:right w:val="nil" w:sz="6" w:space="0" w:color="auto"/>
            </w:tcBorders>
          </w:tcPr>
          <w:p>
            <w:pPr/>
          </w:p>
        </w:tc>
        <w:tc>
          <w:tcPr>
            <w:tcW w:w="4586" w:type="dxa"/>
            <w:tcBorders>
              <w:top w:val="single" w:sz="6" w:space="0" w:color="000000"/>
              <w:left w:val="nil" w:sz="6" w:space="0" w:color="auto"/>
              <w:bottom w:val="single" w:sz="4" w:space="0" w:color="000000"/>
              <w:right w:val="nil" w:sz="6" w:space="0" w:color="auto"/>
            </w:tcBorders>
          </w:tcPr>
          <w:p>
            <w:pPr/>
          </w:p>
        </w:tc>
      </w:tr>
      <w:tr>
        <w:trPr>
          <w:trHeight w:val="402"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0"/>
        <w:ind w:left="132" w:right="0" w:firstLine="0"/>
        <w:jc w:val="left"/>
        <w:rPr>
          <w:rFonts w:ascii="宋体" w:hAnsi="宋体" w:cs="宋体" w:eastAsia="宋体" w:hint="default"/>
          <w:sz w:val="18"/>
          <w:szCs w:val="18"/>
        </w:rPr>
      </w:pPr>
      <w:bookmarkStart w:name="（1）其他应收款分类披露" w:id="500"/>
      <w:bookmarkEnd w:id="500"/>
      <w:r>
        <w:rPr/>
      </w:r>
      <w:r>
        <w:rPr>
          <w:rFonts w:ascii="宋体" w:hAnsi="宋体" w:cs="宋体" w:eastAsia="宋体" w:hint="default"/>
          <w:sz w:val="18"/>
          <w:szCs w:val="18"/>
        </w:rPr>
        <w:t>其中重要的应收账款核销情况：</w:t>
      </w:r>
    </w:p>
    <w:p>
      <w:pPr>
        <w:spacing w:before="115"/>
        <w:ind w:left="0" w:right="13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684"/>
        <w:gridCol w:w="1550"/>
        <w:gridCol w:w="1553"/>
        <w:gridCol w:w="1550"/>
        <w:gridCol w:w="1615"/>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32"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pStyle w:val="Heading6"/>
        <w:spacing w:line="240" w:lineRule="auto" w:before="120"/>
        <w:ind w:left="132" w:right="0"/>
        <w:jc w:val="left"/>
        <w:rPr>
          <w:b w:val="0"/>
          <w:bCs w:val="0"/>
        </w:rPr>
      </w:pPr>
      <w:r>
        <w:rPr/>
        <w:t>（</w:t>
      </w:r>
      <w:r>
        <w:rPr>
          <w:rFonts w:ascii="Times New Roman" w:hAnsi="Times New Roman" w:cs="Times New Roman" w:eastAsia="Times New Roman" w:hint="default"/>
        </w:rPr>
        <w:t>4</w:t>
      </w:r>
      <w:r>
        <w:rPr/>
        <w:t>）按欠款方归集的期末</w:t>
      </w:r>
      <w:bookmarkStart w:name="（4）按欠款方归集的期末余额前五名的应收账款情况" w:id="501"/>
      <w:bookmarkEnd w:id="501"/>
      <w:r>
        <w:rPr/>
        <w:t>余额前五名的应收</w:t>
      </w:r>
      <w:r>
        <w:rPr/>
        <w:t>账款情况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9"/>
          <w:szCs w:val="29"/>
        </w:rPr>
      </w:pPr>
    </w:p>
    <w:tbl>
      <w:tblPr>
        <w:tblW w:w="0" w:type="auto"/>
        <w:jc w:val="left"/>
        <w:tblInd w:w="116" w:type="dxa"/>
        <w:tblLayout w:type="fixed"/>
        <w:tblCellMar>
          <w:top w:w="0" w:type="dxa"/>
          <w:left w:w="0" w:type="dxa"/>
          <w:bottom w:w="0" w:type="dxa"/>
          <w:right w:w="0" w:type="dxa"/>
        </w:tblCellMar>
        <w:tblLook w:val="01E0"/>
      </w:tblPr>
      <w:tblGrid>
        <w:gridCol w:w="3242"/>
        <w:gridCol w:w="2045"/>
        <w:gridCol w:w="2350"/>
        <w:gridCol w:w="2021"/>
      </w:tblGrid>
      <w:tr>
        <w:trPr>
          <w:trHeight w:val="346" w:hRule="exact"/>
        </w:trPr>
        <w:tc>
          <w:tcPr>
            <w:tcW w:w="3242"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41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48" w:hRule="exact"/>
        </w:trPr>
        <w:tc>
          <w:tcPr>
            <w:tcW w:w="3242" w:type="dxa"/>
            <w:vMerge/>
            <w:tcBorders>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占应收账款合计数的比例</w:t>
            </w:r>
            <w:r>
              <w:rPr>
                <w:rFonts w:ascii="Times New Roman" w:hAnsi="Times New Roman" w:cs="Times New Roman" w:eastAsia="Times New Roman" w:hint="default"/>
                <w:sz w:val="18"/>
                <w:szCs w:val="18"/>
              </w:rPr>
              <w:t>(%)</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27" w:hRule="exact"/>
        </w:trPr>
        <w:tc>
          <w:tcPr>
            <w:tcW w:w="3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中国移动通信集团浙江有限公司</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16,202,516.62</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13.81</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288,165.71</w:t>
            </w:r>
          </w:p>
        </w:tc>
      </w:tr>
      <w:tr>
        <w:trPr>
          <w:trHeight w:val="427" w:hRule="exact"/>
        </w:trPr>
        <w:tc>
          <w:tcPr>
            <w:tcW w:w="3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中国电信股份有限公司</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8,964,661.52</w:t>
            </w:r>
            <w:r>
              <w:rPr>
                <w:rFonts w:ascii="Times New Roman"/>
                <w:sz w:val="18"/>
              </w:rPr>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7.64</w:t>
            </w:r>
            <w:r>
              <w:rPr>
                <w:rFonts w:ascii="Times New Roman"/>
                <w:sz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231,001.48</w:t>
            </w:r>
          </w:p>
        </w:tc>
      </w:tr>
      <w:tr>
        <w:trPr>
          <w:trHeight w:val="425" w:hRule="exact"/>
        </w:trPr>
        <w:tc>
          <w:tcPr>
            <w:tcW w:w="3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中国银联股份有限公司</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6,107,926.71</w:t>
            </w:r>
            <w:r>
              <w:rPr>
                <w:rFonts w:ascii="Times New Roman"/>
                <w:sz w:val="18"/>
              </w:rPr>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5.21</w:t>
            </w:r>
            <w:r>
              <w:rPr>
                <w:rFonts w:ascii="Times New Roman"/>
                <w:sz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92,722.35</w:t>
            </w:r>
          </w:p>
        </w:tc>
      </w:tr>
      <w:tr>
        <w:trPr>
          <w:trHeight w:val="427" w:hRule="exact"/>
        </w:trPr>
        <w:tc>
          <w:tcPr>
            <w:tcW w:w="3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中国移动通信集团江苏有限公司</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5,506,666.66</w:t>
            </w:r>
            <w:r>
              <w:rPr>
                <w:rFonts w:ascii="Times New Roman"/>
                <w:sz w:val="18"/>
              </w:rPr>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4.69</w:t>
            </w:r>
            <w:r>
              <w:rPr>
                <w:rFonts w:ascii="Times New Roman"/>
                <w:sz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192,708.33</w:t>
            </w:r>
          </w:p>
        </w:tc>
      </w:tr>
      <w:tr>
        <w:trPr>
          <w:trHeight w:val="427" w:hRule="exact"/>
        </w:trPr>
        <w:tc>
          <w:tcPr>
            <w:tcW w:w="3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交通银行股份有限公司</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4,761,931.77</w:t>
            </w:r>
            <w:r>
              <w:rPr>
                <w:rFonts w:ascii="Times New Roman"/>
                <w:sz w:val="18"/>
              </w:rPr>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4.06</w:t>
            </w:r>
            <w:r>
              <w:rPr>
                <w:rFonts w:ascii="Times New Roman"/>
                <w:sz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142,856.49</w:t>
            </w:r>
          </w:p>
        </w:tc>
      </w:tr>
      <w:tr>
        <w:trPr>
          <w:trHeight w:val="355" w:hRule="exact"/>
        </w:trPr>
        <w:tc>
          <w:tcPr>
            <w:tcW w:w="32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41,543,703.28</w:t>
            </w:r>
          </w:p>
        </w:tc>
        <w:tc>
          <w:tcPr>
            <w:tcW w:w="23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35.41</w:t>
            </w:r>
          </w:p>
        </w:tc>
        <w:tc>
          <w:tcPr>
            <w:tcW w:w="20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947,454.36</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6"/>
        <w:spacing w:line="240" w:lineRule="auto" w:before="36"/>
        <w:ind w:left="132"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32"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0"/>
        <w:ind w:left="132"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32"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spacing w:before="44"/>
        <w:ind w:left="0" w:right="133" w:firstLine="0"/>
        <w:jc w:val="right"/>
        <w:rPr>
          <w:rFonts w:ascii="宋体" w:hAnsi="宋体" w:cs="宋体" w:eastAsia="宋体" w:hint="default"/>
          <w:sz w:val="18"/>
          <w:szCs w:val="18"/>
        </w:rPr>
      </w:pPr>
      <w:bookmarkStart w:name="（5）因金融资产转移而终止确认的应收账款" w:id="502"/>
      <w:bookmarkEnd w:id="502"/>
      <w:r>
        <w:rPr/>
      </w:r>
      <w:bookmarkStart w:name="（6）转移应收账款且继续涉入形成的资产、负债金额" w:id="503"/>
      <w:bookmarkEnd w:id="503"/>
      <w:r>
        <w:rPr/>
      </w:r>
      <w:bookmarkStart w:name="2、其他应收款" w:id="504"/>
      <w:bookmarkEnd w:id="504"/>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0" w:type="dxa"/>
        <w:tblLayout w:type="fixed"/>
        <w:tblCellMar>
          <w:top w:w="0" w:type="dxa"/>
          <w:left w:w="0" w:type="dxa"/>
          <w:bottom w:w="0" w:type="dxa"/>
          <w:right w:w="0" w:type="dxa"/>
        </w:tblCellMar>
        <w:tblLook w:val="01E0"/>
      </w:tblPr>
      <w:tblGrid>
        <w:gridCol w:w="1622"/>
        <w:gridCol w:w="763"/>
        <w:gridCol w:w="761"/>
        <w:gridCol w:w="763"/>
        <w:gridCol w:w="763"/>
        <w:gridCol w:w="787"/>
        <w:gridCol w:w="655"/>
        <w:gridCol w:w="761"/>
        <w:gridCol w:w="814"/>
        <w:gridCol w:w="934"/>
        <w:gridCol w:w="931"/>
      </w:tblGrid>
      <w:tr>
        <w:trPr>
          <w:trHeight w:val="398" w:hRule="exact"/>
        </w:trPr>
        <w:tc>
          <w:tcPr>
            <w:tcW w:w="1622" w:type="dxa"/>
            <w:vMerge w:val="restart"/>
            <w:tcBorders>
              <w:top w:val="single" w:sz="4" w:space="0" w:color="000000"/>
              <w:left w:val="single" w:sz="4" w:space="0" w:color="000000"/>
              <w:right w:val="single" w:sz="4" w:space="0" w:color="000000"/>
            </w:tcBorders>
            <w:shd w:val="clear" w:color="auto" w:fill="D4D4D4"/>
          </w:tcPr>
          <w:p>
            <w:pPr/>
          </w:p>
        </w:tc>
        <w:tc>
          <w:tcPr>
            <w:tcW w:w="383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2" w:type="dxa"/>
            <w:vMerge/>
            <w:tcBorders>
              <w:left w:val="single" w:sz="4" w:space="0" w:color="000000"/>
              <w:bottom w:val="nil" w:sz="6" w:space="0" w:color="auto"/>
              <w:right w:val="single" w:sz="4" w:space="0" w:color="000000"/>
            </w:tcBorders>
            <w:shd w:val="clear" w:color="auto" w:fill="D4D4D4"/>
          </w:tcPr>
          <w:p>
            <w:pPr/>
          </w:p>
        </w:tc>
        <w:tc>
          <w:tcPr>
            <w:tcW w:w="152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0" w:hRule="exact"/>
        </w:trPr>
        <w:tc>
          <w:tcPr>
            <w:tcW w:w="162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类别</w:t>
            </w:r>
          </w:p>
        </w:tc>
        <w:tc>
          <w:tcPr>
            <w:tcW w:w="1524"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22" w:type="dxa"/>
            <w:vMerge/>
            <w:tcBorders>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2" w:type="dxa"/>
            <w:vMerge w:val="restart"/>
            <w:tcBorders>
              <w:top w:val="single" w:sz="4" w:space="0" w:color="FFFFFF"/>
              <w:left w:val="single" w:sz="4" w:space="0" w:color="000000"/>
              <w:right w:val="single" w:sz="4" w:space="0" w:color="000000"/>
            </w:tcBorders>
            <w:shd w:val="clear" w:color="auto" w:fill="D4D4D4"/>
          </w:tcPr>
          <w:p>
            <w:pP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22" w:type="dxa"/>
            <w:vMerge/>
            <w:tcBorders>
              <w:left w:val="single" w:sz="4" w:space="0" w:color="000000"/>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22" w:type="dxa"/>
            <w:vMerge/>
            <w:tcBorders>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1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5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10,111,40</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40.46%</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10,111,40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0.00</w:t>
            </w: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58"/>
              <w:jc w:val="left"/>
              <w:rPr>
                <w:rFonts w:ascii="宋体" w:hAnsi="宋体" w:cs="宋体" w:eastAsia="宋体" w:hint="default"/>
                <w:sz w:val="18"/>
                <w:szCs w:val="18"/>
              </w:rPr>
            </w:pPr>
            <w:r>
              <w:rPr>
                <w:rFonts w:ascii="宋体" w:hAnsi="宋体" w:cs="宋体" w:eastAsia="宋体" w:hint="default"/>
                <w:sz w:val="18"/>
                <w:szCs w:val="18"/>
              </w:rPr>
              <w:t>按信用风险特征组 合计提坏账准备的</w:t>
            </w:r>
          </w:p>
        </w:tc>
        <w:tc>
          <w:tcPr>
            <w:tcW w:w="76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14,881,2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59.54%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1,028,03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6.91%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13,853,18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23,414,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1,297,496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5.54%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22,117,367.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1000" w:right="100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bookmarkStart w:name="（2）本期计提、收回或转回的坏账准备情况" w:id="505"/>
      <w:bookmarkEnd w:id="505"/>
      <w:r>
        <w:rPr/>
      </w: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33"/>
        <w:gridCol w:w="763"/>
        <w:gridCol w:w="761"/>
        <w:gridCol w:w="763"/>
        <w:gridCol w:w="763"/>
        <w:gridCol w:w="787"/>
        <w:gridCol w:w="655"/>
        <w:gridCol w:w="761"/>
        <w:gridCol w:w="814"/>
        <w:gridCol w:w="934"/>
        <w:gridCol w:w="931"/>
      </w:tblGrid>
      <w:tr>
        <w:trPr>
          <w:trHeight w:val="362" w:hRule="exact"/>
        </w:trPr>
        <w:tc>
          <w:tcPr>
            <w:tcW w:w="16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26" w:right="0"/>
              <w:jc w:val="left"/>
              <w:rPr>
                <w:rFonts w:ascii="Times New Roman" w:hAnsi="Times New Roman" w:cs="Times New Roman" w:eastAsia="Times New Roman" w:hint="default"/>
                <w:sz w:val="18"/>
                <w:szCs w:val="18"/>
              </w:rPr>
            </w:pPr>
            <w:r>
              <w:rPr>
                <w:rFonts w:ascii="Times New Roman"/>
                <w:sz w:val="18"/>
              </w:rPr>
              <w:t>27.55</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15" w:right="0"/>
              <w:jc w:val="left"/>
              <w:rPr>
                <w:rFonts w:ascii="Times New Roman" w:hAnsi="Times New Roman" w:cs="Times New Roman" w:eastAsia="Times New Roman" w:hint="default"/>
                <w:sz w:val="18"/>
                <w:szCs w:val="18"/>
              </w:rPr>
            </w:pPr>
            <w:r>
              <w:rPr>
                <w:rFonts w:ascii="Times New Roman"/>
                <w:sz w:val="18"/>
              </w:rPr>
              <w:t>9.24</w:t>
            </w: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1" w:right="0"/>
              <w:jc w:val="left"/>
              <w:rPr>
                <w:rFonts w:ascii="Times New Roman" w:hAnsi="Times New Roman" w:cs="Times New Roman" w:eastAsia="Times New Roman" w:hint="default"/>
                <w:sz w:val="18"/>
                <w:szCs w:val="18"/>
              </w:rPr>
            </w:pPr>
            <w:r>
              <w:rPr>
                <w:rFonts w:ascii="Times New Roman"/>
                <w:sz w:val="18"/>
              </w:rPr>
              <w:t>8.31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9" w:right="0"/>
              <w:jc w:val="left"/>
              <w:rPr>
                <w:rFonts w:ascii="Times New Roman" w:hAnsi="Times New Roman" w:cs="Times New Roman" w:eastAsia="Times New Roman" w:hint="default"/>
                <w:sz w:val="18"/>
                <w:szCs w:val="18"/>
              </w:rPr>
            </w:pPr>
            <w:r>
              <w:rPr>
                <w:rFonts w:ascii="Times New Roman"/>
                <w:sz w:val="18"/>
              </w:rPr>
              <w:t>864.18</w:t>
            </w: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.61</w:t>
            </w: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57</w:t>
            </w:r>
          </w:p>
        </w:tc>
      </w:tr>
      <w:tr>
        <w:trPr>
          <w:trHeight w:val="713" w:hRule="exact"/>
        </w:trPr>
        <w:tc>
          <w:tcPr>
            <w:tcW w:w="16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24,992,6</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27.55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1,028,03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9.24</w:t>
            </w: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23,964,58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8.31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23,414,</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864.18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1,297,496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.61</w:t>
            </w: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22,117,367.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473" w:space="4354"/>
            <w:col w:w="112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4"/>
        <w:gridCol w:w="1836"/>
        <w:gridCol w:w="1913"/>
        <w:gridCol w:w="1913"/>
        <w:gridCol w:w="1915"/>
      </w:tblGrid>
      <w:tr>
        <w:trPr>
          <w:trHeight w:val="403" w:hRule="exact"/>
        </w:trPr>
        <w:tc>
          <w:tcPr>
            <w:tcW w:w="19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4" w:type="dxa"/>
            <w:vMerge/>
            <w:tcBorders>
              <w:left w:val="single" w:sz="4" w:space="0" w:color="000000"/>
              <w:bottom w:val="single" w:sz="4" w:space="0" w:color="000000"/>
              <w:right w:val="single" w:sz="4" w:space="0" w:color="000000"/>
            </w:tcBorders>
            <w:shd w:val="clear" w:color="auto" w:fill="D4D4D4"/>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上海青浦工业园区发展</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（集团）有限公司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6,811,400.00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扶持资金</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广州市荔湾区人民法院</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3,300,000.00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诉讼保证金</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10,111,400.00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293" w:space="4534"/>
            <w:col w:w="1123"/>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4"/>
        <w:gridCol w:w="2390"/>
        <w:gridCol w:w="2390"/>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4D4D4"/>
          </w:tcPr>
          <w:p>
            <w:pPr/>
          </w:p>
        </w:tc>
        <w:tc>
          <w:tcPr>
            <w:tcW w:w="2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13,057,326.79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652,866.34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1,403,816.50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140,381.65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225,366.26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45,073.25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184,718.00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184,718.00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14,881,227.55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1,028,039.24</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527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9"/>
        <w:ind w:left="152" w:right="563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80" w:left="980" w:right="980"/>
        </w:sectPr>
      </w:pPr>
    </w:p>
    <w:p>
      <w:pPr>
        <w:spacing w:line="340" w:lineRule="auto" w:before="44"/>
        <w:ind w:left="152" w:right="-14"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269,457.37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5916" w:space="2912"/>
            <w:col w:w="1122"/>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6"/>
        <w:gridCol w:w="3101"/>
        <w:gridCol w:w="3101"/>
      </w:tblGrid>
      <w:tr>
        <w:trPr>
          <w:trHeight w:val="402" w:hRule="exact"/>
        </w:trPr>
        <w:tc>
          <w:tcPr>
            <w:tcW w:w="3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8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3）本期实际核销的其他应收款情况" w:id="506"/>
      <w:bookmarkEnd w:id="506"/>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1"/>
        <w:gridCol w:w="4586"/>
      </w:tblGrid>
      <w:tr>
        <w:trPr>
          <w:trHeight w:val="403"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0"/>
        <w:gridCol w:w="1553"/>
        <w:gridCol w:w="1550"/>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4）其他应收款按款项性质分类情况" w:id="507"/>
      <w:bookmarkEnd w:id="507"/>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7"/>
        <w:gridCol w:w="3101"/>
        <w:gridCol w:w="3101"/>
      </w:tblGrid>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593,538.40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230,119.17</w:t>
            </w:r>
            <w:r>
              <w:rPr>
                <w:rFonts w:ascii="Times New Roman"/>
                <w:sz w:val="18"/>
              </w:rPr>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1,350,799.96</w:t>
            </w:r>
            <w:r>
              <w:rPr>
                <w:rFonts w:ascii="Times New Roman"/>
                <w:sz w:val="18"/>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1,416,566.00</w:t>
            </w:r>
            <w:r>
              <w:rPr>
                <w:rFonts w:ascii="Times New Roman"/>
                <w:sz w:val="18"/>
              </w:rPr>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5,910,624.34</w:t>
            </w:r>
            <w:r>
              <w:rPr>
                <w:rFonts w:ascii="Times New Roman"/>
                <w:sz w:val="18"/>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5,433,733.87</w:t>
            </w:r>
            <w:r>
              <w:rPr>
                <w:rFonts w:ascii="Times New Roman"/>
                <w:sz w:val="18"/>
              </w:rPr>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6,811,400.00</w:t>
            </w:r>
            <w:r>
              <w:rPr>
                <w:rFonts w:ascii="Times New Roman"/>
                <w:sz w:val="18"/>
              </w:rPr>
            </w:r>
          </w:p>
        </w:tc>
        <w:tc>
          <w:tcPr>
            <w:tcW w:w="31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3,430,309.20</w:t>
            </w:r>
            <w:r>
              <w:rPr>
                <w:rFonts w:ascii="Times New Roman"/>
                <w:sz w:val="18"/>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118,718.00</w:t>
            </w:r>
            <w:r>
              <w:rPr>
                <w:rFonts w:ascii="Times New Roman"/>
                <w:sz w:val="18"/>
              </w:rPr>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合并范围内子公司往来款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6,895,955.65</w:t>
            </w:r>
            <w:r>
              <w:rPr>
                <w:rFonts w:ascii="Times New Roman"/>
                <w:sz w:val="18"/>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16,215,727.14</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24,992,627.55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23,414,864.18</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5）按欠款方归集的期末余额前五名的其他应收款情况" w:id="508"/>
      <w:bookmarkEnd w:id="508"/>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59"/>
        <w:gridCol w:w="1596"/>
        <w:gridCol w:w="1092"/>
        <w:gridCol w:w="610"/>
        <w:gridCol w:w="1982"/>
        <w:gridCol w:w="1728"/>
      </w:tblGrid>
      <w:tr>
        <w:trPr>
          <w:trHeight w:val="713" w:hRule="exact"/>
        </w:trPr>
        <w:tc>
          <w:tcPr>
            <w:tcW w:w="26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0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46" w:right="84" w:hanging="360"/>
              <w:jc w:val="left"/>
              <w:rPr>
                <w:rFonts w:ascii="宋体" w:hAnsi="宋体" w:cs="宋体" w:eastAsia="宋体" w:hint="default"/>
                <w:sz w:val="18"/>
                <w:szCs w:val="18"/>
              </w:rPr>
            </w:pPr>
            <w:r>
              <w:rPr>
                <w:rFonts w:ascii="宋体" w:hAnsi="宋体" w:cs="宋体" w:eastAsia="宋体" w:hint="default"/>
                <w:sz w:val="18"/>
                <w:szCs w:val="18"/>
              </w:rPr>
              <w:t>占其他应收款期末余额 合计数的比例</w:t>
            </w:r>
          </w:p>
        </w:tc>
        <w:tc>
          <w:tcPr>
            <w:tcW w:w="17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 w:firstLine="91"/>
              <w:jc w:val="left"/>
              <w:rPr>
                <w:rFonts w:ascii="宋体" w:hAnsi="宋体" w:cs="宋体" w:eastAsia="宋体" w:hint="default"/>
                <w:sz w:val="18"/>
                <w:szCs w:val="18"/>
              </w:rPr>
            </w:pPr>
            <w:r>
              <w:rPr>
                <w:rFonts w:ascii="宋体" w:hAnsi="宋体" w:cs="宋体" w:eastAsia="宋体" w:hint="default"/>
                <w:sz w:val="18"/>
                <w:szCs w:val="18"/>
              </w:rPr>
              <w:t>上海青浦工业园区发展（集团） 有限公司</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6,811,400.00</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pacing w:val="7"/>
                <w:sz w:val="18"/>
                <w:szCs w:val="18"/>
              </w:rPr>
              <w:t>年以 </w:t>
            </w:r>
            <w:r>
              <w:rPr>
                <w:rFonts w:ascii="宋体" w:hAnsi="宋体" w:cs="宋体" w:eastAsia="宋体" w:hint="default"/>
                <w:sz w:val="18"/>
                <w:szCs w:val="18"/>
              </w:rPr>
              <w:t>内</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27.25%</w:t>
            </w: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 w:firstLine="91"/>
              <w:jc w:val="left"/>
              <w:rPr>
                <w:rFonts w:ascii="宋体" w:hAnsi="宋体" w:cs="宋体" w:eastAsia="宋体" w:hint="default"/>
                <w:sz w:val="18"/>
                <w:szCs w:val="18"/>
              </w:rPr>
            </w:pPr>
            <w:r>
              <w:rPr>
                <w:rFonts w:ascii="宋体" w:hAnsi="宋体" w:cs="宋体" w:eastAsia="宋体" w:hint="default"/>
                <w:spacing w:val="14"/>
                <w:sz w:val="18"/>
                <w:szCs w:val="18"/>
              </w:rPr>
              <w:t>上海领卓企业管理咨询有限公 </w:t>
            </w:r>
            <w:r>
              <w:rPr>
                <w:rFonts w:ascii="宋体" w:hAnsi="宋体" w:cs="宋体" w:eastAsia="宋体" w:hint="default"/>
                <w:sz w:val="18"/>
                <w:szCs w:val="18"/>
              </w:rPr>
              <w:t>司</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left"/>
              <w:rPr>
                <w:rFonts w:ascii="宋体" w:hAnsi="宋体" w:cs="宋体" w:eastAsia="宋体" w:hint="default"/>
                <w:sz w:val="18"/>
                <w:szCs w:val="18"/>
              </w:rPr>
            </w:pPr>
            <w:r>
              <w:rPr>
                <w:rFonts w:ascii="宋体" w:hAnsi="宋体" w:cs="宋体" w:eastAsia="宋体" w:hint="default"/>
                <w:spacing w:val="14"/>
                <w:sz w:val="18"/>
                <w:szCs w:val="18"/>
              </w:rPr>
              <w:t>合并范围内子公司 </w:t>
            </w:r>
            <w:r>
              <w:rPr>
                <w:rFonts w:ascii="宋体" w:hAnsi="宋体" w:cs="宋体" w:eastAsia="宋体" w:hint="default"/>
                <w:sz w:val="18"/>
                <w:szCs w:val="18"/>
              </w:rPr>
              <w:t>往来款</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4,105,688.30</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pacing w:val="7"/>
                <w:sz w:val="18"/>
                <w:szCs w:val="18"/>
              </w:rPr>
              <w:t>年以 </w:t>
            </w:r>
            <w:r>
              <w:rPr>
                <w:rFonts w:ascii="宋体" w:hAnsi="宋体" w:cs="宋体" w:eastAsia="宋体" w:hint="default"/>
                <w:sz w:val="18"/>
                <w:szCs w:val="18"/>
              </w:rPr>
              <w:t>内</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16.43%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205,284.42</w:t>
            </w:r>
          </w:p>
        </w:tc>
      </w:tr>
      <w:tr>
        <w:trPr>
          <w:trHeight w:val="715"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广州市荔湾区人民法院</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诉讼保证金</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3,300,000.00</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pacing w:val="7"/>
                <w:sz w:val="18"/>
                <w:szCs w:val="18"/>
              </w:rPr>
              <w:t>年以 </w:t>
            </w:r>
            <w:r>
              <w:rPr>
                <w:rFonts w:ascii="宋体" w:hAnsi="宋体" w:cs="宋体" w:eastAsia="宋体" w:hint="default"/>
                <w:sz w:val="18"/>
                <w:szCs w:val="18"/>
              </w:rPr>
              <w:t>内</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13.20%</w:t>
            </w: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上海缔塔科技有限公司</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left"/>
              <w:rPr>
                <w:rFonts w:ascii="宋体" w:hAnsi="宋体" w:cs="宋体" w:eastAsia="宋体" w:hint="default"/>
                <w:sz w:val="18"/>
                <w:szCs w:val="18"/>
              </w:rPr>
            </w:pPr>
            <w:r>
              <w:rPr>
                <w:rFonts w:ascii="宋体" w:hAnsi="宋体" w:cs="宋体" w:eastAsia="宋体" w:hint="default"/>
                <w:spacing w:val="14"/>
                <w:sz w:val="18"/>
                <w:szCs w:val="18"/>
              </w:rPr>
              <w:t>合并范围内子公司 </w:t>
            </w:r>
            <w:r>
              <w:rPr>
                <w:rFonts w:ascii="宋体" w:hAnsi="宋体" w:cs="宋体" w:eastAsia="宋体" w:hint="default"/>
                <w:sz w:val="18"/>
                <w:szCs w:val="18"/>
              </w:rPr>
              <w:t>往来款</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pacing w:val="7"/>
                <w:sz w:val="18"/>
                <w:szCs w:val="18"/>
              </w:rPr>
              <w:t>年以 </w:t>
            </w:r>
            <w:r>
              <w:rPr>
                <w:rFonts w:ascii="宋体" w:hAnsi="宋体" w:cs="宋体" w:eastAsia="宋体" w:hint="default"/>
                <w:sz w:val="18"/>
                <w:szCs w:val="18"/>
              </w:rPr>
              <w:t>内</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w:t>
            </w:r>
          </w:p>
        </w:tc>
      </w:tr>
      <w:tr>
        <w:trPr>
          <w:trHeight w:val="715"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上海卓之联信息技术有限公司</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left"/>
              <w:rPr>
                <w:rFonts w:ascii="宋体" w:hAnsi="宋体" w:cs="宋体" w:eastAsia="宋体" w:hint="default"/>
                <w:sz w:val="18"/>
                <w:szCs w:val="18"/>
              </w:rPr>
            </w:pPr>
            <w:r>
              <w:rPr>
                <w:rFonts w:ascii="宋体" w:hAnsi="宋体" w:cs="宋体" w:eastAsia="宋体" w:hint="default"/>
                <w:spacing w:val="14"/>
                <w:sz w:val="18"/>
                <w:szCs w:val="18"/>
              </w:rPr>
              <w:t>合并范围内子公司 </w:t>
            </w:r>
            <w:r>
              <w:rPr>
                <w:rFonts w:ascii="宋体" w:hAnsi="宋体" w:cs="宋体" w:eastAsia="宋体" w:hint="default"/>
                <w:sz w:val="18"/>
                <w:szCs w:val="18"/>
              </w:rPr>
              <w:t>往来款</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pacing w:val="7"/>
                <w:sz w:val="18"/>
                <w:szCs w:val="18"/>
              </w:rPr>
              <w:t>年以 </w:t>
            </w:r>
            <w:r>
              <w:rPr>
                <w:rFonts w:ascii="宋体" w:hAnsi="宋体" w:cs="宋体" w:eastAsia="宋体" w:hint="default"/>
                <w:sz w:val="18"/>
                <w:szCs w:val="18"/>
              </w:rPr>
              <w:t>内</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w:t>
            </w: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16,217,088.30</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64.88%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305,284.42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6）涉及政府补助的应收款项" w:id="509"/>
      <w:bookmarkEnd w:id="509"/>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4"/>
        <w:gridCol w:w="1865"/>
        <w:gridCol w:w="1867"/>
        <w:gridCol w:w="1867"/>
        <w:gridCol w:w="1944"/>
      </w:tblGrid>
      <w:tr>
        <w:trPr>
          <w:trHeight w:val="715" w:hRule="exact"/>
        </w:trPr>
        <w:tc>
          <w:tcPr>
            <w:tcW w:w="20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7</w:t>
      </w:r>
      <w:r>
        <w:rPr/>
        <w:t>）因金融资产转</w:t>
      </w:r>
      <w:bookmarkStart w:name="（7）因金融资产转移而终止确认的其他应收款" w:id="510"/>
      <w:bookmarkEnd w:id="510"/>
      <w:r>
        <w:rPr/>
        <w:t>移而</w:t>
      </w:r>
      <w:r>
        <w:rPr/>
        <w:t>终止确认的其他应收款</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8</w:t>
      </w:r>
      <w:r>
        <w:rPr/>
        <w:t>）转移其他应收款且继</w:t>
      </w:r>
      <w:bookmarkStart w:name="（8）转移其他应收款且继续涉入形成的资产、负债金额" w:id="511"/>
      <w:bookmarkEnd w:id="511"/>
      <w:r>
        <w:rPr/>
        <w:t>续涉入形成的资产</w:t>
      </w:r>
      <w:r>
        <w:rPr/>
        <w:t>、负债金额</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0"/>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3、长期股权投资" w:id="512"/>
      <w:bookmarkEnd w:id="512"/>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410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4D4D4"/>
          </w:tcPr>
          <w:p>
            <w:pPr/>
          </w:p>
        </w:tc>
        <w:tc>
          <w:tcPr>
            <w:tcW w:w="4102" w:type="dxa"/>
            <w:gridSpan w:val="3"/>
            <w:vMerge/>
            <w:tcBorders>
              <w:left w:val="single" w:sz="4" w:space="0" w:color="000000"/>
              <w:bottom w:val="single" w:sz="4" w:space="0" w:color="000000"/>
              <w:right w:val="single" w:sz="4" w:space="0" w:color="000000"/>
            </w:tcBorders>
            <w:shd w:val="clear" w:color="auto" w:fill="D4D4D4"/>
          </w:tcPr>
          <w:p>
            <w:pPr/>
          </w:p>
        </w:tc>
      </w:tr>
      <w:tr>
        <w:trPr>
          <w:trHeight w:val="199" w:hRule="exact"/>
        </w:trPr>
        <w:tc>
          <w:tcPr>
            <w:tcW w:w="1368" w:type="dxa"/>
            <w:vMerge/>
            <w:tcBorders>
              <w:left w:val="single" w:sz="4" w:space="0" w:color="000000"/>
              <w:bottom w:val="nil" w:sz="6" w:space="0" w:color="auto"/>
              <w:right w:val="single" w:sz="4" w:space="0" w:color="000000"/>
            </w:tcBorders>
            <w:shd w:val="clear" w:color="auto" w:fill="D4D4D4"/>
          </w:tcPr>
          <w:p>
            <w:pP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126,354,649.99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126,354,649.99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80,938,820.00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80,938,820.00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126,354,649.99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126,354,649.99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80,938,820.00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80,938,820.00</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1）对子公司投资" w:id="513"/>
      <w:bookmarkEnd w:id="513"/>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4"/>
        <w:gridCol w:w="1334"/>
        <w:gridCol w:w="1390"/>
        <w:gridCol w:w="1390"/>
      </w:tblGrid>
      <w:tr>
        <w:trPr>
          <w:trHeight w:val="713" w:hRule="exact"/>
        </w:trPr>
        <w:tc>
          <w:tcPr>
            <w:tcW w:w="14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600"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600"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极品数据系统公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684,420.00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684,420.00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上海力克数码科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15,763,200.00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99,180.00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15,664,020.00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上海领卓企业管 理咨询有限公司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2,233,400.00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34,990.01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2,198,409.99</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pacing w:val="-7"/>
                <w:sz w:val="18"/>
                <w:szCs w:val="18"/>
              </w:rPr>
              <w:t>极品数码系统（香</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1,357,800.00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1,357,800.00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上海复深蓝信息 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36,400,000.00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36,400,000.00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上海天玑数据技 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6,800,000.00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7,800,000.00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北京天玑力拓信 息技术有限公司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杭州平民软件有</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5,500,000.00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4"/>
        <w:gridCol w:w="1334"/>
        <w:gridCol w:w="1390"/>
        <w:gridCol w:w="1390"/>
      </w:tblGrid>
      <w:tr>
        <w:trPr>
          <w:trHeight w:val="36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上海缔塔科技有 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上海卓之联信息 科技有限公司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杭州广捷科技有 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杭州鸿昇科技有 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62" w:right="0"/>
              <w:jc w:val="left"/>
              <w:rPr>
                <w:rFonts w:ascii="Times New Roman" w:hAnsi="Times New Roman" w:cs="Times New Roman" w:eastAsia="Times New Roman" w:hint="default"/>
                <w:sz w:val="18"/>
                <w:szCs w:val="18"/>
              </w:rPr>
            </w:pPr>
            <w:r>
              <w:rPr>
                <w:rFonts w:ascii="Times New Roman"/>
                <w:sz w:val="18"/>
              </w:rPr>
              <w:t>80,938,820.00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45,550,000.00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1" w:right="0"/>
              <w:jc w:val="left"/>
              <w:rPr>
                <w:rFonts w:ascii="Times New Roman" w:hAnsi="Times New Roman" w:cs="Times New Roman" w:eastAsia="Times New Roman" w:hint="default"/>
                <w:sz w:val="18"/>
                <w:szCs w:val="18"/>
              </w:rPr>
            </w:pPr>
            <w:r>
              <w:rPr>
                <w:rFonts w:ascii="Times New Roman"/>
                <w:sz w:val="18"/>
              </w:rPr>
              <w:t>134,170.01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126,354,649.99</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bookmarkStart w:name="5、投资收益" w:id="514"/>
      <w:bookmarkEnd w:id="514"/>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对联营、合营企业投资" w:id="515"/>
      <w:bookmarkEnd w:id="515"/>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799"/>
        <w:gridCol w:w="797"/>
        <w:gridCol w:w="799"/>
        <w:gridCol w:w="797"/>
      </w:tblGrid>
      <w:tr>
        <w:trPr>
          <w:trHeight w:val="401" w:hRule="exact"/>
        </w:trPr>
        <w:tc>
          <w:tcPr>
            <w:tcW w:w="7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6"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9570"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0"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3）其他说明" w:id="516"/>
      <w:bookmarkEnd w:id="516"/>
      <w:r>
        <w:rPr/>
      </w:r>
      <w:bookmarkStart w:name="4、营业收入和营业成本" w:id="517"/>
      <w:bookmarkEnd w:id="517"/>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5"/>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4D4D4"/>
          </w:tcPr>
          <w:p>
            <w:pPr/>
          </w:p>
        </w:tc>
        <w:tc>
          <w:tcPr>
            <w:tcW w:w="374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9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8"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996" w:type="dxa"/>
            <w:vMerge/>
            <w:tcBorders>
              <w:left w:val="single" w:sz="4" w:space="0" w:color="000000"/>
              <w:bottom w:val="nil" w:sz="6" w:space="0" w:color="auto"/>
              <w:right w:val="single" w:sz="4" w:space="0" w:color="000000"/>
            </w:tcBorders>
            <w:shd w:val="clear" w:color="auto" w:fill="D4D4D4"/>
          </w:tcPr>
          <w:p>
            <w:pPr/>
          </w:p>
        </w:tc>
        <w:tc>
          <w:tcPr>
            <w:tcW w:w="183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4D4D4"/>
          </w:tcPr>
          <w:p>
            <w:pPr/>
          </w:p>
        </w:tc>
        <w:tc>
          <w:tcPr>
            <w:tcW w:w="183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312,509,884.82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192,578,574.25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348,173,899.15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204,295,458.66</w:t>
            </w:r>
            <w:r>
              <w:rPr>
                <w:rFonts w:ascii="Times New Roman"/>
                <w:sz w:val="18"/>
              </w:rPr>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2,595,668.33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1,669,593.93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1,999,278.83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750,480.39</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315,105,553.15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194,248,168.18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350,173,177.98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205,045,939.05</w:t>
            </w:r>
            <w:r>
              <w:rPr>
                <w:rFonts w:ascii="Times New Roman"/>
                <w:sz w:val="18"/>
              </w:rPr>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0"/>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1"/>
        <w:gridCol w:w="3071"/>
        <w:gridCol w:w="3185"/>
      </w:tblGrid>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11,506,994.42</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-158,684.37</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326"/>
        <w:gridCol w:w="3060"/>
        <w:gridCol w:w="3185"/>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6" w:right="0"/>
              <w:jc w:val="left"/>
              <w:rPr>
                <w:rFonts w:ascii="Times New Roman" w:hAnsi="Times New Roman" w:cs="Times New Roman" w:eastAsia="Times New Roman" w:hint="default"/>
                <w:sz w:val="18"/>
                <w:szCs w:val="18"/>
              </w:rPr>
            </w:pPr>
            <w:r>
              <w:rPr>
                <w:rFonts w:ascii="Times New Roman"/>
                <w:sz w:val="18"/>
              </w:rPr>
              <w:t>11,348,310.05</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bookmarkStart w:name="3、境内外会计准则下会计数据差异" w:id="518"/>
      <w:bookmarkEnd w:id="518"/>
      <w:r>
        <w:rPr>
          <w:b w:val="0"/>
          <w:bCs w:val="0"/>
        </w:rPr>
      </w:r>
      <w:bookmarkStart w:name="（1）同时按照国际会计准则与按中国会计准则披露的财务报告中净利润和净资产差异情况" w:id="519"/>
      <w:bookmarkEnd w:id="519"/>
      <w:r>
        <w:rPr>
          <w:b w:val="0"/>
          <w:bCs w:val="0"/>
        </w:rPr>
      </w:r>
      <w:bookmarkStart w:name="（2）同时按照境外会计准则与按中国会计准则披露的财务报告中净利润和净资产差异情况" w:id="520"/>
      <w:bookmarkEnd w:id="520"/>
      <w:r>
        <w:rPr>
          <w:b w:val="0"/>
          <w:bCs w:val="0"/>
        </w:rPr>
      </w:r>
      <w:r>
        <w:rPr>
          <w:rFonts w:ascii="Times New Roman" w:hAnsi="Times New Roman" w:cs="Times New Roman" w:eastAsia="Times New Roman" w:hint="default"/>
        </w:rPr>
        <w:t>6</w:t>
      </w:r>
      <w:bookmarkStart w:name="6、其他" w:id="521"/>
      <w:bookmarkEnd w:id="521"/>
      <w:r>
        <w:rPr>
          <w:rFonts w:ascii="Times New Roman" w:hAnsi="Times New Roman" w:cs="Times New Roman" w:eastAsia="Times New Roman" w:hint="default"/>
        </w:rPr>
      </w:r>
      <w:r>
        <w:rPr/>
        <w:t>、其他</w:t>
      </w:r>
      <w:r>
        <w:rPr>
          <w:b w:val="0"/>
          <w:bCs w:val="0"/>
        </w:rPr>
      </w:r>
    </w:p>
    <w:p>
      <w:pPr>
        <w:spacing w:line="240" w:lineRule="auto" w:before="8"/>
        <w:rPr>
          <w:rFonts w:ascii="宋体" w:hAnsi="宋体" w:cs="宋体" w:eastAsia="宋体" w:hint="default"/>
          <w:b/>
          <w:bCs/>
          <w:sz w:val="22"/>
          <w:szCs w:val="22"/>
        </w:rPr>
      </w:pPr>
    </w:p>
    <w:p>
      <w:pPr>
        <w:pStyle w:val="Heading4"/>
        <w:spacing w:line="240" w:lineRule="auto"/>
        <w:ind w:right="0"/>
        <w:jc w:val="left"/>
        <w:rPr>
          <w:b w:val="0"/>
          <w:bCs w:val="0"/>
        </w:rPr>
      </w:pPr>
      <w:r>
        <w:rPr/>
        <w:t>十八、补充资</w:t>
      </w:r>
      <w:bookmarkStart w:name="十八、补充资料" w:id="522"/>
      <w:bookmarkEnd w:id="522"/>
      <w:r>
        <w:rPr/>
        <w:t>料</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、当期非经常性损</w:t>
      </w:r>
      <w:bookmarkStart w:name="1、当期非经常性损益明细表" w:id="523"/>
      <w:bookmarkEnd w:id="523"/>
      <w:r>
        <w:rPr/>
        <w:t>益明</w:t>
      </w:r>
      <w:r>
        <w:rPr/>
        <w:t>细表</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5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1"/>
        <w:gridCol w:w="3071"/>
        <w:gridCol w:w="3185"/>
      </w:tblGrid>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-647,293.74</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37"/>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12,923,389.04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1,657.11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1,869,168.35</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721,015.83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4D4D4"/>
              <w:bottom w:val="single" w:sz="4" w:space="0" w:color="000000"/>
              <w:right w:val="single" w:sz="10" w:space="0" w:color="D4D4D4"/>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9,687,568.23</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2"/>
        <w:ind w:left="152" w:right="140"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2"/>
        <w:gridCol w:w="1913"/>
        <w:gridCol w:w="1913"/>
      </w:tblGrid>
      <w:tr>
        <w:trPr>
          <w:trHeight w:val="206" w:hRule="exact"/>
        </w:trPr>
        <w:tc>
          <w:tcPr>
            <w:tcW w:w="2650" w:type="dxa"/>
            <w:tcBorders>
              <w:top w:val="single" w:sz="4" w:space="0" w:color="000000"/>
              <w:left w:val="single" w:sz="4" w:space="0" w:color="000000"/>
              <w:bottom w:val="nil" w:sz="6" w:space="0" w:color="auto"/>
              <w:right w:val="single" w:sz="4" w:space="0" w:color="000000"/>
            </w:tcBorders>
            <w:shd w:val="clear" w:color="auto" w:fill="D4D4D4"/>
          </w:tcPr>
          <w:p>
            <w:pPr/>
          </w:p>
        </w:tc>
        <w:tc>
          <w:tcPr>
            <w:tcW w:w="3082" w:type="dxa"/>
            <w:tcBorders>
              <w:top w:val="single" w:sz="4" w:space="0" w:color="000000"/>
              <w:left w:val="single" w:sz="4" w:space="0" w:color="000000"/>
              <w:bottom w:val="nil" w:sz="6" w:space="0" w:color="auto"/>
              <w:right w:val="single" w:sz="4" w:space="0" w:color="000000"/>
            </w:tcBorders>
            <w:shd w:val="clear" w:color="auto" w:fill="D4D4D4"/>
          </w:tcPr>
          <w:p>
            <w:pPr/>
          </w:p>
        </w:tc>
        <w:tc>
          <w:tcPr>
            <w:tcW w:w="38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4D4D4"/>
          </w:tcPr>
          <w:p>
            <w:pPr/>
          </w:p>
        </w:tc>
      </w:tr>
      <w:tr>
        <w:trPr>
          <w:trHeight w:val="199" w:hRule="exact"/>
        </w:trPr>
        <w:tc>
          <w:tcPr>
            <w:tcW w:w="2650" w:type="dxa"/>
            <w:vMerge/>
            <w:tcBorders>
              <w:left w:val="single" w:sz="4" w:space="0" w:color="000000"/>
              <w:bottom w:val="nil" w:sz="6" w:space="0" w:color="auto"/>
              <w:right w:val="single" w:sz="4" w:space="0" w:color="000000"/>
            </w:tcBorders>
            <w:shd w:val="clear" w:color="auto" w:fill="D4D4D4"/>
          </w:tcPr>
          <w:p>
            <w:pPr/>
          </w:p>
        </w:tc>
        <w:tc>
          <w:tcPr>
            <w:tcW w:w="3082" w:type="dxa"/>
            <w:vMerge/>
            <w:tcBorders>
              <w:left w:val="single" w:sz="4" w:space="0" w:color="000000"/>
              <w:bottom w:val="nil" w:sz="6" w:space="0" w:color="auto"/>
              <w:right w:val="single" w:sz="4" w:space="0" w:color="000000"/>
            </w:tcBorders>
            <w:shd w:val="clear" w:color="auto" w:fill="D4D4D4"/>
          </w:tcPr>
          <w:p>
            <w:pP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6" w:right="0"/>
              <w:jc w:val="left"/>
              <w:rPr>
                <w:rFonts w:ascii="宋体" w:hAnsi="宋体" w:cs="宋体" w:eastAsia="宋体" w:hint="default"/>
                <w:sz w:val="18"/>
                <w:szCs w:val="18"/>
              </w:rPr>
            </w:pPr>
            <w:bookmarkStart w:name="2、净资产收益率及每股收益" w:id="524"/>
            <w:bookmarkEnd w:id="524"/>
            <w:r>
              <w:rPr/>
            </w: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0" w:type="dxa"/>
            <w:tcBorders>
              <w:top w:val="nil" w:sz="6" w:space="0" w:color="auto"/>
              <w:left w:val="single" w:sz="4" w:space="0" w:color="000000"/>
              <w:bottom w:val="single" w:sz="4" w:space="0" w:color="000000"/>
              <w:right w:val="single" w:sz="4" w:space="0" w:color="000000"/>
            </w:tcBorders>
            <w:shd w:val="clear" w:color="auto" w:fill="D4D4D4"/>
          </w:tcPr>
          <w:p>
            <w:pPr/>
          </w:p>
        </w:tc>
        <w:tc>
          <w:tcPr>
            <w:tcW w:w="3082"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0.17</w:t>
            </w:r>
            <w:r>
              <w:rPr>
                <w:rFonts w:ascii="Times New Roman"/>
                <w:sz w:val="18"/>
              </w:rPr>
            </w:r>
          </w:p>
        </w:tc>
      </w:tr>
      <w:tr>
        <w:trPr>
          <w:trHeight w:val="71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0.13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0.13</w:t>
            </w:r>
            <w:r>
              <w:rPr>
                <w:rFonts w:ascii="Times New Roman"/>
                <w:sz w:val="18"/>
              </w:rPr>
            </w:r>
          </w:p>
        </w:tc>
      </w:tr>
    </w:tbl>
    <w:p>
      <w:pPr>
        <w:spacing w:line="240" w:lineRule="auto" w:before="3"/>
        <w:rPr>
          <w:rFonts w:ascii="宋体" w:hAnsi="宋体" w:cs="宋体" w:eastAsia="宋体" w:hint="default"/>
          <w:b/>
          <w:bCs/>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6"/>
        <w:spacing w:line="259" w:lineRule="auto" w:before="36"/>
        <w:ind w:right="0"/>
        <w:jc w:val="left"/>
        <w:rPr>
          <w:b w:val="0"/>
          <w:bCs w:val="0"/>
        </w:rPr>
      </w:pPr>
      <w:bookmarkStart w:name="4、其他" w:id="525"/>
      <w:bookmarkEnd w:id="525"/>
      <w:r>
        <w:rPr>
          <w:b w:val="0"/>
          <w:bCs w:val="0"/>
        </w:rPr>
      </w:r>
      <w:r>
        <w:rPr/>
        <w:t>（</w:t>
      </w:r>
      <w:r>
        <w:rPr>
          <w:rFonts w:ascii="Times New Roman" w:hAnsi="Times New Roman" w:cs="Times New Roman" w:eastAsia="Times New Roman" w:hint="default"/>
        </w:rPr>
        <w:t>3</w:t>
      </w:r>
      <w:bookmarkStart w:name="（3）境内外会计准则下会计数据差异原因说明，对已经境外审计机构审计的数据进行差异" w:id="526"/>
      <w:bookmarkEnd w:id="526"/>
      <w:r>
        <w:rPr>
          <w:rFonts w:ascii="Times New Roman" w:hAnsi="Times New Roman" w:cs="Times New Roman" w:eastAsia="Times New Roman" w:hint="default"/>
        </w:rPr>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6"/>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4" w:right="0"/>
        <w:jc w:val="left"/>
        <w:rPr>
          <w:b w:val="0"/>
          <w:bCs w:val="0"/>
        </w:rPr>
      </w:pPr>
      <w:bookmarkStart w:name="_TOC_250000" w:id="527"/>
      <w:bookmarkStart w:name="第十一节 备查文件目录" w:id="528"/>
      <w:r>
        <w:rPr>
          <w:b w:val="0"/>
          <w:bCs w:val="0"/>
        </w:rPr>
      </w:r>
      <w:r>
        <w:rPr/>
        <w:t>第十一节</w:t>
      </w:r>
      <w:r>
        <w:rPr>
          <w:spacing w:val="-5"/>
        </w:rPr>
        <w:t> </w:t>
      </w:r>
      <w:r>
        <w:rPr/>
        <w:t>备查文件目录</w:t>
      </w:r>
      <w:bookmarkEnd w:id="527"/>
      <w:r>
        <w:rPr>
          <w:b w:val="0"/>
          <w:bCs w:val="0"/>
        </w:rPr>
      </w:r>
    </w:p>
    <w:p>
      <w:pPr>
        <w:spacing w:line="240" w:lineRule="auto" w:before="10"/>
        <w:rPr>
          <w:rFonts w:ascii="宋体" w:hAnsi="宋体" w:cs="宋体" w:eastAsia="宋体" w:hint="default"/>
          <w:b/>
          <w:bCs/>
          <w:sz w:val="46"/>
          <w:szCs w:val="46"/>
        </w:rPr>
      </w:pPr>
    </w:p>
    <w:p>
      <w:pPr>
        <w:pStyle w:val="BodyText"/>
        <w:spacing w:line="408" w:lineRule="auto"/>
        <w:ind w:right="1594"/>
        <w:jc w:val="both"/>
      </w:pPr>
      <w:r>
        <w:rPr>
          <w:spacing w:val="-2"/>
        </w:rPr>
        <w:t>一、载有公司法定代表人、主管会计工作负责人、会计主管人员签名并盖章的财务报表。</w:t>
      </w:r>
      <w:r>
        <w:rPr>
          <w:spacing w:val="-33"/>
        </w:rPr>
        <w:t> </w:t>
      </w:r>
      <w:r>
        <w:rPr>
          <w:spacing w:val="-33"/>
        </w:rPr>
      </w:r>
      <w:r>
        <w:rPr>
          <w:spacing w:val="-2"/>
        </w:rPr>
        <w:t>二、报告期内在中国证监会指定网站上公开披露过的所有公司文件的正本及公告的原稿。</w:t>
      </w:r>
      <w:r>
        <w:rPr>
          <w:spacing w:val="-32"/>
        </w:rPr>
        <w:t> </w:t>
      </w:r>
      <w:r>
        <w:rPr>
          <w:spacing w:val="-32"/>
        </w:rPr>
      </w:r>
      <w:r>
        <w:rPr/>
        <w:t>三、经公司法定代表人签名的</w:t>
      </w:r>
      <w:r>
        <w:rPr>
          <w:rFonts w:ascii="Times New Roman" w:hAnsi="Times New Roman" w:cs="Times New Roman" w:eastAsia="Times New Roman" w:hint="default"/>
        </w:rPr>
        <w:t>2015</w:t>
      </w:r>
      <w:r>
        <w:rPr/>
        <w:t>年年度报告文本原件。</w:t>
      </w:r>
    </w:p>
    <w:p>
      <w:pPr>
        <w:pStyle w:val="BodyText"/>
        <w:spacing w:line="240" w:lineRule="auto" w:before="14"/>
        <w:ind w:right="0"/>
        <w:jc w:val="both"/>
      </w:pPr>
      <w:r>
        <w:rPr/>
        <w:t>四、其他有关资料。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right="0"/>
        <w:jc w:val="both"/>
      </w:pPr>
      <w:r>
        <w:rPr/>
        <w:t>以上备查文件的备置地点：董事会办公室。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BodyText"/>
        <w:spacing w:line="240" w:lineRule="auto"/>
        <w:ind w:left="0" w:right="152"/>
        <w:jc w:val="right"/>
      </w:pPr>
      <w:r>
        <w:rPr>
          <w:spacing w:val="-2"/>
        </w:rPr>
        <w:t>上海天玑科技股份有限公司</w:t>
      </w:r>
    </w:p>
    <w:p>
      <w:pPr>
        <w:spacing w:line="240" w:lineRule="auto" w:before="10"/>
        <w:rPr>
          <w:rFonts w:ascii="宋体" w:hAnsi="宋体" w:cs="宋体" w:eastAsia="宋体" w:hint="default"/>
          <w:sz w:val="14"/>
          <w:szCs w:val="14"/>
        </w:rPr>
      </w:pPr>
    </w:p>
    <w:p>
      <w:pPr>
        <w:pStyle w:val="BodyText"/>
        <w:spacing w:line="240" w:lineRule="auto"/>
        <w:ind w:left="0" w:right="150"/>
        <w:jc w:val="right"/>
      </w:pPr>
      <w:r>
        <w:rPr>
          <w:spacing w:val="-1"/>
        </w:rPr>
        <w:t>董事长：陆文雄</w:t>
      </w:r>
    </w:p>
    <w:p>
      <w:pPr>
        <w:spacing w:line="240" w:lineRule="auto" w:before="10"/>
        <w:rPr>
          <w:rFonts w:ascii="宋体" w:hAnsi="宋体" w:cs="宋体" w:eastAsia="宋体" w:hint="default"/>
          <w:sz w:val="14"/>
          <w:szCs w:val="14"/>
        </w:rPr>
      </w:pPr>
    </w:p>
    <w:p>
      <w:pPr>
        <w:pStyle w:val="BodyText"/>
        <w:spacing w:line="240" w:lineRule="auto"/>
        <w:ind w:left="0" w:right="150"/>
        <w:jc w:val="right"/>
      </w:pPr>
      <w:r>
        <w:rPr>
          <w:rFonts w:ascii="宋体" w:hAnsi="宋体" w:cs="宋体" w:eastAsia="宋体" w:hint="default"/>
          <w:spacing w:val="-1"/>
        </w:rPr>
        <w:t>2016</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9</w:t>
      </w:r>
      <w:r>
        <w:rPr>
          <w:spacing w:val="-1"/>
        </w:rPr>
        <w:t>日</w:t>
      </w:r>
    </w:p>
    <w:sectPr>
      <w:pgSz w:w="11910" w:h="16840"/>
      <w:pgMar w:header="745" w:footer="982"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pt;margin-top:795.517944pt;width:6.5pt;height:11pt;mso-position-horizontal-relative:page;mso-position-vertical-relative:page;z-index:-90637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81.837891pt;width:17.7pt;height:11pt;mso-position-horizontal-relative:page;mso-position-vertical-relative:page;z-index:-9061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104</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81.837891pt;width:17.7pt;height:11pt;mso-position-horizontal-relative:page;mso-position-vertical-relative:page;z-index:-906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105</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81.837891pt;width:17.7pt;height:11pt;mso-position-horizontal-relative:page;mso-position-vertical-relative:page;z-index:-906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108</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359985pt;margin-top:781.837891pt;width:17.3pt;height:11pt;mso-position-horizontal-relative:page;mso-position-vertical-relative:page;z-index:-906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359985pt;margin-top:781.837891pt;width:17.3pt;height:11pt;mso-position-horizontal-relative:page;mso-position-vertical-relative:page;z-index:-906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114</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359985pt;margin-top:781.837891pt;width:17.3pt;height:11pt;mso-position-horizontal-relative:page;mso-position-vertical-relative:page;z-index:-906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116</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81.837891pt;width:17.7pt;height:11pt;mso-position-horizontal-relative:page;mso-position-vertical-relative:page;z-index:-906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81.837891pt;width:17.7pt;height:11pt;mso-position-horizontal-relative:page;mso-position-vertical-relative:page;z-index:-905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174</w:t>
                </w:r>
                <w:r>
                  <w:rPr/>
                  <w:fldChar w:fldCharType="end"/>
                </w:r>
                <w:r>
                  <w:rPr>
                    <w:rFonts w:ascii="Times New Roman"/>
                    <w:spacing w:val="1"/>
                    <w:sz w:val="18"/>
                  </w:rPr>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81.837891pt;width:17.7pt;height:11pt;mso-position-horizontal-relative:page;mso-position-vertical-relative:page;z-index:-905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175</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9063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906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32</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9063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46</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9062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65</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pt;margin-top:781.837891pt;width:15.7pt;height:11pt;mso-position-horizontal-relative:page;mso-position-vertical-relative:page;z-index:-9062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pt;margin-top:781.837891pt;width:15.7pt;height:11pt;mso-position-horizontal-relative:page;mso-position-vertical-relative:page;z-index:-9062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101</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pt;margin-top:781.837891pt;width:15.7pt;height:11pt;mso-position-horizontal-relative:page;mso-position-vertical-relative:page;z-index:-9062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102</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pt;margin-top:781.837891pt;width:15.7pt;height:11pt;mso-position-horizontal-relative:page;mso-position-vertical-relative:page;z-index:-9061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103</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pt;margin-top:36.265610pt;width:195.7pt;height:11.5pt;mso-position-horizontal-relative:page;mso-position-vertical-relative:page;z-index:-9064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上海天玑科技股份有限公司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ind w:left="3428"/>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8"/>
      <w:szCs w:val="28"/>
    </w:rPr>
  </w:style>
  <w:style w:styleId="Heading3" w:type="paragraph">
    <w:name w:val="Heading 3"/>
    <w:basedOn w:val="Normal"/>
    <w:uiPriority w:val="1"/>
    <w:qFormat/>
    <w:pPr>
      <w:spacing w:before="61"/>
      <w:ind w:left="152" w:firstLine="559"/>
      <w:outlineLvl w:val="3"/>
    </w:pPr>
    <w:rPr>
      <w:rFonts w:ascii="宋体" w:hAnsi="宋体" w:eastAsia="宋体"/>
      <w:sz w:val="28"/>
      <w:szCs w:val="28"/>
    </w:rPr>
  </w:style>
  <w:style w:styleId="Heading4" w:type="paragraph">
    <w:name w:val="Heading 4"/>
    <w:basedOn w:val="Normal"/>
    <w:uiPriority w:val="1"/>
    <w:qFormat/>
    <w:pPr>
      <w:ind w:left="152"/>
      <w:outlineLvl w:val="4"/>
    </w:pPr>
    <w:rPr>
      <w:rFonts w:ascii="宋体" w:hAnsi="宋体" w:eastAsia="宋体"/>
      <w:b/>
      <w:bCs/>
      <w:sz w:val="24"/>
      <w:szCs w:val="24"/>
    </w:rPr>
  </w:style>
  <w:style w:styleId="Heading5" w:type="paragraph">
    <w:name w:val="Heading 5"/>
    <w:basedOn w:val="Normal"/>
    <w:uiPriority w:val="1"/>
    <w:qFormat/>
    <w:pPr>
      <w:spacing w:before="30"/>
      <w:ind w:left="152"/>
      <w:outlineLvl w:val="5"/>
    </w:pPr>
    <w:rPr>
      <w:rFonts w:ascii="宋体" w:hAnsi="宋体" w:eastAsia="宋体"/>
      <w:sz w:val="23"/>
      <w:szCs w:val="23"/>
    </w:rPr>
  </w:style>
  <w:style w:styleId="Heading6" w:type="paragraph">
    <w:name w:val="Heading 6"/>
    <w:basedOn w:val="Normal"/>
    <w:uiPriority w:val="1"/>
    <w:qFormat/>
    <w:pPr>
      <w:ind w:left="152"/>
      <w:outlineLvl w:val="6"/>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dnt.com.cn/" TargetMode="External"/><Relationship Id="rId9" Type="http://schemas.openxmlformats.org/officeDocument/2006/relationships/hyperlink" Target="mailto:public@dnt.com.cn"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w/" TargetMode="External"/><Relationship Id="rId13" Type="http://schemas.openxmlformats.org/officeDocument/2006/relationships/footer" Target="footer3.xml"/><Relationship Id="rId14" Type="http://schemas.openxmlformats.org/officeDocument/2006/relationships/hyperlink" Target="http://www.cninfo.com.cn/information/c" TargetMode="External"/><Relationship Id="rId15" Type="http://schemas.openxmlformats.org/officeDocument/2006/relationships/hyperlink" Target="http://www.cninfo.com.cn/" TargetMode="External"/><Relationship Id="rId16" Type="http://schemas.openxmlformats.org/officeDocument/2006/relationships/footer" Target="footer4.xml"/><Relationship Id="rId17" Type="http://schemas.openxmlformats.org/officeDocument/2006/relationships/image" Target="media/image3.png"/><Relationship Id="rId18" Type="http://schemas.openxmlformats.org/officeDocument/2006/relationships/footer" Target="footer5.xml"/><Relationship Id="rId19" Type="http://schemas.openxmlformats.org/officeDocument/2006/relationships/hyperlink" Target="http://www.cninfo.com.cn&#20026;&#20844;&#21496;&#20449;&#24687;&#25259;&#38706;&#30340;&#25351;&#23450;&#32593;&#31449;/" TargetMode="External"/><Relationship Id="rId20" Type="http://schemas.openxmlformats.org/officeDocument/2006/relationships/hyperlink" Target="http://ditu.google.cn/maps?hl=zh-CN&amp;amp;amp%3Bsource=hp&amp;amp;amp%3Bq=u19978%3Fu28023%3Fu24066%3Fu24464%3Fu27719%3Fu21306%3Fu26690%3Fu26519%3Fu-29201%3F406u21495%3F" TargetMode="External"/><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footer" Target="footer15.xml"/><Relationship Id="rId31" Type="http://schemas.openxmlformats.org/officeDocument/2006/relationships/footer" Target="footer16.xml"/><Relationship Id="rId32" Type="http://schemas.openxmlformats.org/officeDocument/2006/relationships/footer" Target="footer17.xml"/><Relationship Id="rId33" Type="http://schemas.openxmlformats.org/officeDocument/2006/relationships/footer" Target="footer18.xml"/><Relationship Id="rId3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上海天玑科技股份有限公司</dc:creator>
  <dc:title>上海天玑科技股份有限公司2015年年度报告全文</dc:title>
  <dcterms:created xsi:type="dcterms:W3CDTF">2020-05-04T16:22:59Z</dcterms:created>
  <dcterms:modified xsi:type="dcterms:W3CDTF">2020-05-04T16:22:59Z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2016-03-09T00:00:00Z</vt:filetime>
  </property>
  <property fmtid="{D5CDD505-2E9C-101B-9397-08002B2CF9AE}" pid="3" name="Creator">
    <vt:lpwstr>Acrobat PDFMaker 9.1 Word 版</vt:lpwstr>
  </property>
  <property fmtid="{D5CDD505-2E9C-101B-9397-08002B2CF9AE}" pid="4" name="LastSaved">
    <vt:filetime>2020-05-04T00:00:00Z</vt:filetime>
  </property>
</Properties>
</file>