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Default Extension="jpeg" ContentType="image/jpe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9"/>
          <w:szCs w:val="29"/>
        </w:rPr>
      </w:pPr>
    </w:p>
    <w:p>
      <w:pPr>
        <w:spacing w:line="460" w:lineRule="exact" w:before="0"/>
        <w:ind w:left="2784" w:right="2785" w:firstLine="0"/>
        <w:jc w:val="center"/>
        <w:rPr>
          <w:rFonts w:ascii="宋体" w:hAnsi="宋体" w:cs="宋体" w:eastAsia="宋体" w:hint="default"/>
          <w:sz w:val="36"/>
          <w:szCs w:val="36"/>
        </w:rPr>
      </w:pPr>
      <w:r>
        <w:rPr/>
        <w:pict>
          <v:group style="position:absolute;margin-left:55.200001pt;margin-top:-90.431252pt;width:484.9pt;height:.1pt;mso-position-horizontal-relative:page;mso-position-vertical-relative:paragraph;z-index:0" coordorigin="1104,-1809" coordsize="9698,2">
            <v:shape style="position:absolute;left:1104;top:-1809;width:9698;height:2" coordorigin="1104,-1809" coordsize="9698,0" path="m1104,-1809l10802,-1809e" filled="false" stroked="true" strokeweight=".72pt" strokecolor="#000000">
              <v:path arrowok="t"/>
            </v:shape>
            <w10:wrap type="none"/>
          </v:group>
        </w:pict>
      </w:r>
      <w:r>
        <w:rPr>
          <w:rFonts w:ascii="宋体" w:hAnsi="宋体" w:cs="宋体" w:eastAsia="宋体" w:hint="default"/>
          <w:b/>
          <w:bCs/>
          <w:sz w:val="36"/>
          <w:szCs w:val="36"/>
        </w:rPr>
        <w:t>上海天玑科技股份有限公司</w:t>
      </w:r>
      <w:r>
        <w:rPr>
          <w:rFonts w:ascii="宋体" w:hAnsi="宋体" w:cs="宋体" w:eastAsia="宋体" w:hint="default"/>
          <w:sz w:val="36"/>
          <w:szCs w:val="36"/>
        </w:rPr>
      </w:r>
    </w:p>
    <w:p>
      <w:pPr>
        <w:spacing w:line="240" w:lineRule="auto" w:before="11"/>
        <w:rPr>
          <w:rFonts w:ascii="宋体" w:hAnsi="宋体" w:cs="宋体" w:eastAsia="宋体" w:hint="default"/>
          <w:b/>
          <w:bCs/>
          <w:sz w:val="30"/>
          <w:szCs w:val="30"/>
        </w:rPr>
      </w:pPr>
    </w:p>
    <w:p>
      <w:pPr>
        <w:spacing w:before="0"/>
        <w:ind w:left="2784" w:right="2785"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2017</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3"/>
        <w:rPr>
          <w:rFonts w:ascii="宋体" w:hAnsi="宋体" w:cs="宋体" w:eastAsia="宋体" w:hint="default"/>
          <w:b/>
          <w:bCs/>
          <w:sz w:val="32"/>
          <w:szCs w:val="32"/>
        </w:rPr>
      </w:pPr>
    </w:p>
    <w:p>
      <w:pPr>
        <w:spacing w:before="0"/>
        <w:ind w:left="2784" w:right="2784" w:firstLine="0"/>
        <w:jc w:val="center"/>
        <w:rPr>
          <w:rFonts w:ascii="Times New Roman" w:hAnsi="Times New Roman" w:cs="Times New Roman" w:eastAsia="Times New Roman" w:hint="default"/>
          <w:sz w:val="32"/>
          <w:szCs w:val="32"/>
        </w:rPr>
      </w:pPr>
      <w:r>
        <w:rPr>
          <w:rFonts w:ascii="Times New Roman"/>
          <w:b/>
          <w:sz w:val="32"/>
        </w:rPr>
        <w:t>2018-011</w:t>
      </w:r>
      <w:r>
        <w:rPr>
          <w:rFonts w:ascii="Times New Roman"/>
          <w:sz w:val="32"/>
        </w:rPr>
      </w: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4"/>
        <w:rPr>
          <w:rFonts w:ascii="Times New Roman" w:hAnsi="Times New Roman" w:cs="Times New Roman" w:eastAsia="Times New Roman" w:hint="default"/>
          <w:b/>
          <w:bCs/>
          <w:sz w:val="37"/>
          <w:szCs w:val="37"/>
        </w:rPr>
      </w:pPr>
    </w:p>
    <w:p>
      <w:pPr>
        <w:spacing w:before="0"/>
        <w:ind w:left="2784" w:right="2784"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5" w:footer="979" w:top="1060" w:bottom="1160" w:left="980" w:right="98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2" w:right="100"/>
        <w:jc w:val="left"/>
        <w:rPr>
          <w:b w:val="0"/>
          <w:bCs w:val="0"/>
        </w:rPr>
      </w:pPr>
      <w:r>
        <w:rPr/>
        <w:t>第一节</w:t>
      </w:r>
      <w:r>
        <w:rPr>
          <w:spacing w:val="-5"/>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5"/>
        <w:ind w:left="152" w:right="256" w:firstLine="562"/>
        <w:jc w:val="both"/>
        <w:rPr>
          <w:rFonts w:ascii="宋体" w:hAnsi="宋体" w:cs="宋体" w:eastAsia="宋体" w:hint="default"/>
          <w:sz w:val="28"/>
          <w:szCs w:val="28"/>
        </w:rPr>
      </w:pPr>
      <w:r>
        <w:rPr>
          <w:rFonts w:ascii="宋体" w:hAnsi="宋体" w:cs="宋体" w:eastAsia="宋体" w:hint="default"/>
          <w:b/>
          <w:bCs/>
          <w:spacing w:val="2"/>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2"/>
          <w:sz w:val="28"/>
          <w:szCs w:val="28"/>
        </w:rPr>
        <w:t>实、准确、完整，不存在虚假记载、误导性陈述或重大遗漏，并承担个别和连</w:t>
      </w:r>
      <w:r>
        <w:rPr>
          <w:rFonts w:ascii="宋体" w:hAnsi="宋体" w:cs="宋体" w:eastAsia="宋体" w:hint="default"/>
          <w:b/>
          <w:bCs/>
          <w:w w:val="99"/>
          <w:sz w:val="28"/>
          <w:szCs w:val="28"/>
        </w:rPr>
        <w:t> </w:t>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3"/>
        <w:ind w:left="152" w:right="100" w:firstLine="562"/>
        <w:jc w:val="left"/>
        <w:rPr>
          <w:rFonts w:ascii="宋体" w:hAnsi="宋体" w:cs="宋体" w:eastAsia="宋体" w:hint="default"/>
          <w:sz w:val="28"/>
          <w:szCs w:val="28"/>
        </w:rPr>
      </w:pPr>
      <w:r>
        <w:rPr>
          <w:rFonts w:ascii="宋体" w:hAnsi="宋体" w:cs="宋体" w:eastAsia="宋体" w:hint="default"/>
          <w:b/>
          <w:bCs/>
          <w:w w:val="95"/>
          <w:sz w:val="28"/>
          <w:szCs w:val="28"/>
        </w:rPr>
        <w:t>公司负责人陆文雄、主管会计工作负责人陆廷洁及会计机构负责人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陈朝霞声明：保证年度报告中财务报告的真实、准确、完整。</w:t>
      </w:r>
      <w:r>
        <w:rPr>
          <w:rFonts w:ascii="宋体" w:hAnsi="宋体" w:cs="宋体" w:eastAsia="宋体" w:hint="default"/>
          <w:sz w:val="28"/>
          <w:szCs w:val="28"/>
        </w:rPr>
      </w:r>
    </w:p>
    <w:p>
      <w:pPr>
        <w:spacing w:line="472" w:lineRule="auto" w:before="148"/>
        <w:ind w:left="714" w:right="10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2"/>
          <w:sz w:val="28"/>
          <w:szCs w:val="28"/>
        </w:rPr>
        <w:t>本报告所涉及的发展战略及未来计划等前瞻性陈述，不构成公司对投资者</w:t>
      </w:r>
      <w:r>
        <w:rPr>
          <w:rFonts w:ascii="宋体" w:hAnsi="宋体" w:cs="宋体" w:eastAsia="宋体" w:hint="default"/>
          <w:spacing w:val="2"/>
          <w:sz w:val="28"/>
          <w:szCs w:val="28"/>
        </w:rPr>
      </w:r>
    </w:p>
    <w:p>
      <w:pPr>
        <w:spacing w:line="400" w:lineRule="auto" w:before="0"/>
        <w:ind w:left="152" w:right="251" w:firstLine="0"/>
        <w:jc w:val="both"/>
        <w:rPr>
          <w:rFonts w:ascii="宋体" w:hAnsi="宋体" w:cs="宋体" w:eastAsia="宋体" w:hint="default"/>
          <w:sz w:val="28"/>
          <w:szCs w:val="28"/>
        </w:rPr>
      </w:pPr>
      <w:r>
        <w:rPr>
          <w:rFonts w:ascii="宋体" w:hAnsi="宋体" w:cs="宋体" w:eastAsia="宋体" w:hint="default"/>
          <w:b/>
          <w:bCs/>
          <w:spacing w:val="2"/>
          <w:sz w:val="28"/>
          <w:szCs w:val="28"/>
        </w:rPr>
        <w:t>的实质承诺。投资者及相关人士均应当对此保持足够的风险认识，并且应当理</w:t>
      </w:r>
      <w:r>
        <w:rPr>
          <w:rFonts w:ascii="宋体" w:hAnsi="宋体" w:cs="宋体" w:eastAsia="宋体" w:hint="default"/>
          <w:b/>
          <w:bCs/>
          <w:w w:val="99"/>
          <w:sz w:val="28"/>
          <w:szCs w:val="28"/>
        </w:rPr>
        <w:t> </w:t>
      </w:r>
      <w:r>
        <w:rPr>
          <w:rFonts w:ascii="宋体" w:hAnsi="宋体" w:cs="宋体" w:eastAsia="宋体" w:hint="default"/>
          <w:b/>
          <w:bCs/>
          <w:spacing w:val="2"/>
          <w:sz w:val="28"/>
          <w:szCs w:val="28"/>
        </w:rPr>
        <w:t>解计划、预测与承诺之间的差异。公司在经营管理中可能面临的风险与对策举</w:t>
      </w:r>
      <w:r>
        <w:rPr>
          <w:rFonts w:ascii="宋体" w:hAnsi="宋体" w:cs="宋体" w:eastAsia="宋体" w:hint="default"/>
          <w:b/>
          <w:bCs/>
          <w:w w:val="99"/>
          <w:sz w:val="28"/>
          <w:szCs w:val="28"/>
        </w:rPr>
        <w:t> </w:t>
      </w:r>
      <w:r>
        <w:rPr>
          <w:rFonts w:ascii="宋体" w:hAnsi="宋体" w:cs="宋体" w:eastAsia="宋体" w:hint="default"/>
          <w:b/>
          <w:bCs/>
          <w:spacing w:val="2"/>
          <w:sz w:val="28"/>
          <w:szCs w:val="28"/>
        </w:rPr>
        <w:t>措已在本报告中第四节</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经营情况讨论与分析</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之</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九公司未来发展的展望</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部分</w:t>
      </w:r>
      <w:r>
        <w:rPr>
          <w:rFonts w:ascii="宋体" w:hAnsi="宋体" w:cs="宋体" w:eastAsia="宋体" w:hint="default"/>
          <w:b/>
          <w:bCs/>
          <w:spacing w:val="2"/>
          <w:w w:val="99"/>
          <w:sz w:val="28"/>
          <w:szCs w:val="28"/>
        </w:rPr>
        <w:t> </w:t>
      </w:r>
      <w:r>
        <w:rPr>
          <w:rFonts w:ascii="宋体" w:hAnsi="宋体" w:cs="宋体" w:eastAsia="宋体" w:hint="default"/>
          <w:b/>
          <w:bCs/>
          <w:sz w:val="28"/>
          <w:szCs w:val="28"/>
        </w:rPr>
        <w:t>予以描述。敬请广大投资者关注，并注意投资风险。</w:t>
      </w:r>
      <w:r>
        <w:rPr>
          <w:rFonts w:ascii="宋体" w:hAnsi="宋体" w:cs="宋体" w:eastAsia="宋体" w:hint="default"/>
          <w:sz w:val="28"/>
          <w:szCs w:val="28"/>
        </w:rPr>
      </w:r>
    </w:p>
    <w:p>
      <w:pPr>
        <w:tabs>
          <w:tab w:pos="1413" w:val="left" w:leader="none"/>
        </w:tabs>
        <w:spacing w:before="170"/>
        <w:ind w:left="714" w:right="100" w:firstLine="0"/>
        <w:jc w:val="left"/>
        <w:rPr>
          <w:rFonts w:ascii="宋体" w:hAnsi="宋体" w:cs="宋体" w:eastAsia="宋体" w:hint="default"/>
          <w:sz w:val="28"/>
          <w:szCs w:val="28"/>
        </w:rPr>
      </w:pPr>
      <w:r>
        <w:rPr>
          <w:rFonts w:ascii="Times New Roman" w:hAnsi="Times New Roman" w:cs="Times New Roman" w:eastAsia="Times New Roman" w:hint="default"/>
          <w:b/>
          <w:bCs/>
          <w:spacing w:val="-1"/>
          <w:sz w:val="28"/>
          <w:szCs w:val="28"/>
        </w:rPr>
        <w:t>1</w:t>
      </w:r>
      <w:r>
        <w:rPr>
          <w:rFonts w:ascii="宋体" w:hAnsi="宋体" w:cs="宋体" w:eastAsia="宋体" w:hint="default"/>
          <w:b/>
          <w:bCs/>
          <w:spacing w:val="-1"/>
          <w:sz w:val="28"/>
          <w:szCs w:val="28"/>
        </w:rPr>
        <w:t>、</w:t>
        <w:tab/>
      </w:r>
      <w:r>
        <w:rPr>
          <w:rFonts w:ascii="Times New Roman" w:hAnsi="Times New Roman" w:cs="Times New Roman" w:eastAsia="Times New Roman" w:hint="default"/>
          <w:b/>
          <w:bCs/>
          <w:sz w:val="28"/>
          <w:szCs w:val="28"/>
        </w:rPr>
        <w:t>IT</w:t>
      </w:r>
      <w:r>
        <w:rPr>
          <w:rFonts w:ascii="Times New Roman" w:hAnsi="Times New Roman" w:cs="Times New Roman" w:eastAsia="Times New Roman" w:hint="default"/>
          <w:b/>
          <w:bCs/>
          <w:spacing w:val="-2"/>
          <w:sz w:val="28"/>
          <w:szCs w:val="28"/>
        </w:rPr>
        <w:t> </w:t>
      </w:r>
      <w:r>
        <w:rPr>
          <w:rFonts w:ascii="宋体" w:hAnsi="宋体" w:cs="宋体" w:eastAsia="宋体" w:hint="default"/>
          <w:b/>
          <w:bCs/>
          <w:sz w:val="28"/>
          <w:szCs w:val="28"/>
        </w:rPr>
        <w:t>市场转型导致的竞争加剧风险</w:t>
      </w:r>
      <w:r>
        <w:rPr>
          <w:rFonts w:ascii="宋体" w:hAnsi="宋体" w:cs="宋体" w:eastAsia="宋体" w:hint="default"/>
          <w:sz w:val="28"/>
          <w:szCs w:val="28"/>
        </w:rPr>
      </w:r>
    </w:p>
    <w:p>
      <w:pPr>
        <w:spacing w:line="240" w:lineRule="auto" w:before="10"/>
        <w:rPr>
          <w:rFonts w:ascii="宋体" w:hAnsi="宋体" w:cs="宋体" w:eastAsia="宋体" w:hint="default"/>
          <w:b/>
          <w:bCs/>
          <w:sz w:val="25"/>
          <w:szCs w:val="25"/>
        </w:rPr>
      </w:pPr>
    </w:p>
    <w:p>
      <w:pPr>
        <w:spacing w:line="386" w:lineRule="auto" w:before="0"/>
        <w:ind w:left="152" w:right="100" w:firstLine="552"/>
        <w:jc w:val="left"/>
        <w:rPr>
          <w:rFonts w:ascii="宋体" w:hAnsi="宋体" w:cs="宋体" w:eastAsia="宋体" w:hint="default"/>
          <w:sz w:val="28"/>
          <w:szCs w:val="28"/>
        </w:rPr>
      </w:pPr>
      <w:r>
        <w:rPr>
          <w:rFonts w:ascii="宋体" w:hAnsi="宋体" w:cs="宋体" w:eastAsia="宋体" w:hint="default"/>
          <w:b/>
          <w:bCs/>
          <w:sz w:val="28"/>
          <w:szCs w:val="28"/>
        </w:rPr>
        <w:t>以 </w:t>
      </w:r>
      <w:r>
        <w:rPr>
          <w:rFonts w:ascii="Times New Roman" w:hAnsi="Times New Roman" w:cs="Times New Roman" w:eastAsia="Times New Roman" w:hint="default"/>
          <w:b/>
          <w:bCs/>
          <w:sz w:val="28"/>
          <w:szCs w:val="28"/>
        </w:rPr>
        <w:t>Google</w:t>
      </w:r>
      <w:r>
        <w:rPr>
          <w:rFonts w:ascii="宋体" w:hAnsi="宋体" w:cs="宋体" w:eastAsia="宋体" w:hint="default"/>
          <w:b/>
          <w:bCs/>
          <w:sz w:val="28"/>
          <w:szCs w:val="28"/>
        </w:rPr>
        <w:t>，</w:t>
      </w:r>
      <w:r>
        <w:rPr>
          <w:rFonts w:ascii="Times New Roman" w:hAnsi="Times New Roman" w:cs="Times New Roman" w:eastAsia="Times New Roman" w:hint="default"/>
          <w:b/>
          <w:bCs/>
          <w:sz w:val="28"/>
          <w:szCs w:val="28"/>
        </w:rPr>
        <w:t>Facebook</w:t>
      </w:r>
      <w:r>
        <w:rPr>
          <w:rFonts w:ascii="Times New Roman" w:hAnsi="Times New Roman" w:cs="Times New Roman" w:eastAsia="Times New Roman" w:hint="default"/>
          <w:b/>
          <w:bCs/>
          <w:spacing w:val="-12"/>
          <w:sz w:val="28"/>
          <w:szCs w:val="28"/>
        </w:rPr>
        <w:t> </w:t>
      </w:r>
      <w:r>
        <w:rPr>
          <w:rFonts w:ascii="宋体" w:hAnsi="宋体" w:cs="宋体" w:eastAsia="宋体" w:hint="default"/>
          <w:b/>
          <w:bCs/>
          <w:sz w:val="28"/>
          <w:szCs w:val="28"/>
        </w:rPr>
        <w:t>等国外互联网公司提倡的以开源技术为基础的变革，</w:t>
      </w:r>
      <w:r>
        <w:rPr>
          <w:rFonts w:ascii="宋体" w:hAnsi="宋体" w:cs="宋体" w:eastAsia="宋体" w:hint="default"/>
          <w:b/>
          <w:bCs/>
          <w:w w:val="99"/>
          <w:sz w:val="28"/>
          <w:szCs w:val="28"/>
        </w:rPr>
        <w:t> </w:t>
      </w:r>
      <w:r>
        <w:rPr>
          <w:rFonts w:ascii="宋体" w:hAnsi="宋体" w:cs="宋体" w:eastAsia="宋体" w:hint="default"/>
          <w:b/>
          <w:bCs/>
          <w:sz w:val="28"/>
          <w:szCs w:val="28"/>
        </w:rPr>
        <w:t>带来了整个 </w:t>
      </w:r>
      <w:r>
        <w:rPr>
          <w:rFonts w:ascii="Times New Roman" w:hAnsi="Times New Roman" w:cs="Times New Roman" w:eastAsia="Times New Roman" w:hint="default"/>
          <w:b/>
          <w:bCs/>
          <w:sz w:val="28"/>
          <w:szCs w:val="28"/>
        </w:rPr>
        <w:t>IT </w:t>
      </w:r>
      <w:r>
        <w:rPr>
          <w:rFonts w:ascii="宋体" w:hAnsi="宋体" w:cs="宋体" w:eastAsia="宋体" w:hint="default"/>
          <w:b/>
          <w:bCs/>
          <w:sz w:val="28"/>
          <w:szCs w:val="28"/>
        </w:rPr>
        <w:t>界的巨大变化。这些分布式、</w:t>
      </w:r>
      <w:r>
        <w:rPr>
          <w:rFonts w:ascii="Times New Roman" w:hAnsi="Times New Roman" w:cs="Times New Roman" w:eastAsia="Times New Roman" w:hint="default"/>
          <w:b/>
          <w:bCs/>
          <w:sz w:val="28"/>
          <w:szCs w:val="28"/>
        </w:rPr>
        <w:t>X86</w:t>
      </w:r>
      <w:r>
        <w:rPr>
          <w:rFonts w:ascii="Times New Roman" w:hAnsi="Times New Roman" w:cs="Times New Roman" w:eastAsia="Times New Roman" w:hint="default"/>
          <w:b/>
          <w:bCs/>
          <w:spacing w:val="68"/>
          <w:sz w:val="28"/>
          <w:szCs w:val="28"/>
        </w:rPr>
        <w:t> </w:t>
      </w:r>
      <w:r>
        <w:rPr>
          <w:rFonts w:ascii="宋体" w:hAnsi="宋体" w:cs="宋体" w:eastAsia="宋体" w:hint="default"/>
          <w:b/>
          <w:bCs/>
          <w:sz w:val="28"/>
          <w:szCs w:val="28"/>
        </w:rPr>
        <w:t>化的革新技术，逐步地被以</w:t>
      </w:r>
      <w:r>
        <w:rPr>
          <w:rFonts w:ascii="宋体" w:hAnsi="宋体" w:cs="宋体" w:eastAsia="宋体" w:hint="default"/>
          <w:b/>
          <w:bCs/>
          <w:w w:val="99"/>
          <w:sz w:val="28"/>
          <w:szCs w:val="28"/>
        </w:rPr>
        <w:t> </w:t>
      </w:r>
      <w:r>
        <w:rPr>
          <w:rFonts w:ascii="Times New Roman" w:hAnsi="Times New Roman" w:cs="Times New Roman" w:eastAsia="Times New Roman" w:hint="default"/>
          <w:b/>
          <w:bCs/>
          <w:spacing w:val="-8"/>
          <w:sz w:val="28"/>
          <w:szCs w:val="28"/>
        </w:rPr>
        <w:t>BAT </w:t>
      </w:r>
      <w:r>
        <w:rPr>
          <w:rFonts w:ascii="宋体" w:hAnsi="宋体" w:cs="宋体" w:eastAsia="宋体" w:hint="default"/>
          <w:b/>
          <w:bCs/>
          <w:sz w:val="28"/>
          <w:szCs w:val="28"/>
        </w:rPr>
        <w:t>为代表的中国互联网公司吸收并掌握，提出一个全新、开放的 </w:t>
      </w:r>
      <w:r>
        <w:rPr>
          <w:rFonts w:ascii="Times New Roman" w:hAnsi="Times New Roman" w:cs="Times New Roman" w:eastAsia="Times New Roman" w:hint="default"/>
          <w:b/>
          <w:bCs/>
          <w:sz w:val="28"/>
          <w:szCs w:val="28"/>
        </w:rPr>
        <w:t>IT</w:t>
      </w:r>
      <w:r>
        <w:rPr>
          <w:rFonts w:ascii="Times New Roman" w:hAnsi="Times New Roman" w:cs="Times New Roman" w:eastAsia="Times New Roman" w:hint="default"/>
          <w:b/>
          <w:bCs/>
          <w:spacing w:val="17"/>
          <w:sz w:val="28"/>
          <w:szCs w:val="28"/>
        </w:rPr>
        <w:t> </w:t>
      </w:r>
      <w:r>
        <w:rPr>
          <w:rFonts w:ascii="宋体" w:hAnsi="宋体" w:cs="宋体" w:eastAsia="宋体" w:hint="default"/>
          <w:b/>
          <w:bCs/>
          <w:sz w:val="28"/>
          <w:szCs w:val="28"/>
        </w:rPr>
        <w:t>架构概</w:t>
      </w:r>
      <w:r>
        <w:rPr>
          <w:rFonts w:ascii="宋体" w:hAnsi="宋体" w:cs="宋体" w:eastAsia="宋体" w:hint="default"/>
          <w:b/>
          <w:bCs/>
          <w:w w:val="99"/>
          <w:sz w:val="28"/>
          <w:szCs w:val="28"/>
        </w:rPr>
        <w:t> </w:t>
      </w:r>
      <w:r>
        <w:rPr>
          <w:rFonts w:ascii="宋体" w:hAnsi="宋体" w:cs="宋体" w:eastAsia="宋体" w:hint="default"/>
          <w:b/>
          <w:bCs/>
          <w:spacing w:val="-3"/>
          <w:sz w:val="28"/>
          <w:szCs w:val="28"/>
        </w:rPr>
        <w:t>念，并影响到所有的传统客户，而我们过去所敬仰的 </w:t>
      </w:r>
      <w:r>
        <w:rPr>
          <w:rFonts w:ascii="Times New Roman" w:hAnsi="Times New Roman" w:cs="Times New Roman" w:eastAsia="Times New Roman" w:hint="default"/>
          <w:b/>
          <w:bCs/>
          <w:sz w:val="28"/>
          <w:szCs w:val="28"/>
        </w:rPr>
        <w:t>IT </w:t>
      </w:r>
      <w:r>
        <w:rPr>
          <w:rFonts w:ascii="宋体" w:hAnsi="宋体" w:cs="宋体" w:eastAsia="宋体" w:hint="default"/>
          <w:b/>
          <w:bCs/>
          <w:spacing w:val="-8"/>
          <w:sz w:val="28"/>
          <w:szCs w:val="28"/>
        </w:rPr>
        <w:t>巨头，如 </w:t>
      </w:r>
      <w:r>
        <w:rPr>
          <w:rFonts w:ascii="Times New Roman" w:hAnsi="Times New Roman" w:cs="Times New Roman" w:eastAsia="Times New Roman" w:hint="default"/>
          <w:b/>
          <w:bCs/>
          <w:sz w:val="28"/>
          <w:szCs w:val="28"/>
        </w:rPr>
        <w:t>IBM </w:t>
      </w:r>
      <w:r>
        <w:rPr>
          <w:rFonts w:ascii="宋体" w:hAnsi="宋体" w:cs="宋体" w:eastAsia="宋体" w:hint="default"/>
          <w:b/>
          <w:bCs/>
          <w:sz w:val="28"/>
          <w:szCs w:val="28"/>
        </w:rPr>
        <w:t>和</w:t>
      </w:r>
      <w:r>
        <w:rPr>
          <w:rFonts w:ascii="宋体" w:hAnsi="宋体" w:cs="宋体" w:eastAsia="宋体" w:hint="default"/>
          <w:b/>
          <w:bCs/>
          <w:spacing w:val="-74"/>
          <w:sz w:val="28"/>
          <w:szCs w:val="28"/>
        </w:rPr>
        <w:t> </w:t>
      </w:r>
      <w:r>
        <w:rPr>
          <w:rFonts w:ascii="Times New Roman" w:hAnsi="Times New Roman" w:cs="Times New Roman" w:eastAsia="Times New Roman" w:hint="default"/>
          <w:b/>
          <w:bCs/>
          <w:sz w:val="28"/>
          <w:szCs w:val="28"/>
        </w:rPr>
        <w:t>HP</w:t>
      </w:r>
      <w:r>
        <w:rPr>
          <w:rFonts w:ascii="宋体" w:hAnsi="宋体" w:cs="宋体" w:eastAsia="宋体" w:hint="default"/>
          <w:b/>
          <w:bCs/>
          <w:sz w:val="28"/>
          <w:szCs w:val="28"/>
        </w:rPr>
        <w:t>，</w:t>
      </w:r>
      <w:r>
        <w:rPr>
          <w:rFonts w:ascii="宋体" w:hAnsi="宋体" w:cs="宋体" w:eastAsia="宋体" w:hint="default"/>
          <w:b/>
          <w:bCs/>
          <w:w w:val="99"/>
          <w:sz w:val="28"/>
          <w:szCs w:val="28"/>
        </w:rPr>
        <w:t> </w:t>
      </w:r>
      <w:r>
        <w:rPr>
          <w:rFonts w:ascii="宋体" w:hAnsi="宋体" w:cs="宋体" w:eastAsia="宋体" w:hint="default"/>
          <w:b/>
          <w:bCs/>
          <w:spacing w:val="2"/>
          <w:sz w:val="28"/>
          <w:szCs w:val="28"/>
        </w:rPr>
        <w:t>却出现了大规模裁员的情况。同时，从国内环境来说，自</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棱镜门</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事件以来，</w:t>
      </w:r>
      <w:r>
        <w:rPr>
          <w:rFonts w:ascii="宋体" w:hAnsi="宋体" w:cs="宋体" w:eastAsia="宋体" w:hint="default"/>
          <w:b/>
          <w:bCs/>
          <w:spacing w:val="-139"/>
          <w:sz w:val="28"/>
          <w:szCs w:val="28"/>
        </w:rPr>
        <w:t> </w:t>
      </w:r>
      <w:r>
        <w:rPr>
          <w:rFonts w:ascii="宋体" w:hAnsi="宋体" w:cs="宋体" w:eastAsia="宋体" w:hint="default"/>
          <w:b/>
          <w:bCs/>
          <w:spacing w:val="-139"/>
          <w:sz w:val="28"/>
          <w:szCs w:val="28"/>
        </w:rPr>
      </w:r>
      <w:r>
        <w:rPr>
          <w:rFonts w:ascii="宋体" w:hAnsi="宋体" w:cs="宋体" w:eastAsia="宋体" w:hint="default"/>
          <w:b/>
          <w:bCs/>
          <w:sz w:val="28"/>
          <w:szCs w:val="28"/>
        </w:rPr>
        <w:t>国内各级政府都逐步落实</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去</w:t>
      </w:r>
      <w:r>
        <w:rPr>
          <w:rFonts w:ascii="宋体" w:hAnsi="宋体" w:cs="宋体" w:eastAsia="宋体" w:hint="default"/>
          <w:b/>
          <w:bCs/>
          <w:spacing w:val="-12"/>
          <w:sz w:val="28"/>
          <w:szCs w:val="28"/>
        </w:rPr>
        <w:t> </w:t>
      </w:r>
      <w:r>
        <w:rPr>
          <w:rFonts w:ascii="Times New Roman" w:hAnsi="Times New Roman" w:cs="Times New Roman" w:eastAsia="Times New Roman" w:hint="default"/>
          <w:b/>
          <w:bCs/>
          <w:sz w:val="28"/>
          <w:szCs w:val="28"/>
        </w:rPr>
        <w:t>IOE”</w:t>
      </w:r>
      <w:r>
        <w:rPr>
          <w:rFonts w:ascii="宋体" w:hAnsi="宋体" w:cs="宋体" w:eastAsia="宋体" w:hint="default"/>
          <w:b/>
          <w:bCs/>
          <w:sz w:val="28"/>
          <w:szCs w:val="28"/>
        </w:rPr>
        <w:t>，以安全自主可控为先，再加上本届政府提</w:t>
      </w:r>
      <w:r>
        <w:rPr>
          <w:rFonts w:ascii="宋体" w:hAnsi="宋体" w:cs="宋体" w:eastAsia="宋体" w:hint="default"/>
          <w:b/>
          <w:bCs/>
          <w:w w:val="99"/>
          <w:sz w:val="28"/>
          <w:szCs w:val="28"/>
        </w:rPr>
        <w:t> </w:t>
      </w:r>
      <w:r>
        <w:rPr>
          <w:rFonts w:ascii="宋体" w:hAnsi="宋体" w:cs="宋体" w:eastAsia="宋体" w:hint="default"/>
          <w:b/>
          <w:bCs/>
          <w:sz w:val="28"/>
          <w:szCs w:val="28"/>
        </w:rPr>
        <w:t>倡互联网</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，使得国内一些以新技术和新商业模式为核心的公司迅速成长起来。</w:t>
      </w:r>
      <w:r>
        <w:rPr>
          <w:rFonts w:ascii="宋体" w:hAnsi="宋体" w:cs="宋体" w:eastAsia="宋体" w:hint="default"/>
          <w:sz w:val="28"/>
          <w:szCs w:val="28"/>
        </w:rPr>
      </w:r>
    </w:p>
    <w:p>
      <w:pPr>
        <w:spacing w:after="0" w:line="386" w:lineRule="auto"/>
        <w:jc w:val="left"/>
        <w:rPr>
          <w:rFonts w:ascii="宋体" w:hAnsi="宋体" w:cs="宋体" w:eastAsia="宋体" w:hint="default"/>
          <w:sz w:val="28"/>
          <w:szCs w:val="28"/>
        </w:rPr>
        <w:sectPr>
          <w:footerReference w:type="default" r:id="rId7"/>
          <w:pgSz w:w="11910" w:h="16840"/>
          <w:pgMar w:footer="979" w:header="745" w:top="1060" w:bottom="1160" w:left="980" w:right="880"/>
          <w:pgNumType w:start="2"/>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b/>
          <w:bCs/>
          <w:sz w:val="29"/>
          <w:szCs w:val="29"/>
        </w:rPr>
      </w:pPr>
    </w:p>
    <w:p>
      <w:pPr>
        <w:spacing w:line="386" w:lineRule="auto" w:before="14"/>
        <w:ind w:left="152" w:right="148" w:firstLine="0"/>
        <w:jc w:val="both"/>
        <w:rPr>
          <w:rFonts w:ascii="宋体" w:hAnsi="宋体" w:cs="宋体" w:eastAsia="宋体" w:hint="default"/>
          <w:sz w:val="28"/>
          <w:szCs w:val="28"/>
        </w:rPr>
      </w:pPr>
      <w:r>
        <w:rPr>
          <w:rFonts w:ascii="Times New Roman" w:hAnsi="Times New Roman" w:cs="Times New Roman" w:eastAsia="Times New Roman" w:hint="default"/>
          <w:b/>
          <w:bCs/>
          <w:sz w:val="28"/>
          <w:szCs w:val="28"/>
        </w:rPr>
        <w:t>IT </w:t>
      </w:r>
      <w:r>
        <w:rPr>
          <w:rFonts w:ascii="宋体" w:hAnsi="宋体" w:cs="宋体" w:eastAsia="宋体" w:hint="default"/>
          <w:b/>
          <w:bCs/>
          <w:sz w:val="28"/>
          <w:szCs w:val="28"/>
        </w:rPr>
        <w:t>技术的发展日新月异，如何能够紧紧跟随甚至创造潮流成为 </w:t>
      </w:r>
      <w:r>
        <w:rPr>
          <w:rFonts w:ascii="Times New Roman" w:hAnsi="Times New Roman" w:cs="Times New Roman" w:eastAsia="Times New Roman" w:hint="default"/>
          <w:b/>
          <w:bCs/>
          <w:sz w:val="28"/>
          <w:szCs w:val="28"/>
        </w:rPr>
        <w:t>IT</w:t>
      </w:r>
      <w:r>
        <w:rPr>
          <w:rFonts w:ascii="Times New Roman" w:hAnsi="Times New Roman" w:cs="Times New Roman" w:eastAsia="Times New Roman" w:hint="default"/>
          <w:b/>
          <w:bCs/>
          <w:spacing w:val="-22"/>
          <w:sz w:val="28"/>
          <w:szCs w:val="28"/>
        </w:rPr>
        <w:t> </w:t>
      </w:r>
      <w:r>
        <w:rPr>
          <w:rFonts w:ascii="宋体" w:hAnsi="宋体" w:cs="宋体" w:eastAsia="宋体" w:hint="default"/>
          <w:b/>
          <w:bCs/>
          <w:sz w:val="28"/>
          <w:szCs w:val="28"/>
        </w:rPr>
        <w:t>公司永恒的</w:t>
      </w:r>
      <w:r>
        <w:rPr>
          <w:rFonts w:ascii="宋体" w:hAnsi="宋体" w:cs="宋体" w:eastAsia="宋体" w:hint="default"/>
          <w:b/>
          <w:bCs/>
          <w:w w:val="99"/>
          <w:sz w:val="28"/>
          <w:szCs w:val="28"/>
        </w:rPr>
        <w:t> </w:t>
      </w:r>
      <w:r>
        <w:rPr>
          <w:rFonts w:ascii="宋体" w:hAnsi="宋体" w:cs="宋体" w:eastAsia="宋体" w:hint="default"/>
          <w:b/>
          <w:bCs/>
          <w:spacing w:val="-3"/>
          <w:sz w:val="28"/>
          <w:szCs w:val="28"/>
        </w:rPr>
        <w:t>课题，不能赶上潮流就会陷于被动甚至被淘汰。天玑科技作为数据中心</w:t>
      </w:r>
      <w:r>
        <w:rPr>
          <w:rFonts w:ascii="宋体" w:hAnsi="宋体" w:cs="宋体" w:eastAsia="宋体" w:hint="default"/>
          <w:b/>
          <w:bCs/>
          <w:spacing w:val="-57"/>
          <w:sz w:val="28"/>
          <w:szCs w:val="28"/>
        </w:rPr>
        <w:t> </w:t>
      </w:r>
      <w:r>
        <w:rPr>
          <w:rFonts w:ascii="Times New Roman" w:hAnsi="Times New Roman" w:cs="Times New Roman" w:eastAsia="Times New Roman" w:hint="default"/>
          <w:b/>
          <w:bCs/>
          <w:sz w:val="28"/>
          <w:szCs w:val="28"/>
        </w:rPr>
        <w:t>IT</w:t>
      </w:r>
      <w:r>
        <w:rPr>
          <w:rFonts w:ascii="Times New Roman" w:hAnsi="Times New Roman" w:cs="Times New Roman" w:eastAsia="Times New Roman" w:hint="default"/>
          <w:b/>
          <w:bCs/>
          <w:spacing w:val="6"/>
          <w:sz w:val="28"/>
          <w:szCs w:val="28"/>
        </w:rPr>
        <w:t> </w:t>
      </w:r>
      <w:r>
        <w:rPr>
          <w:rFonts w:ascii="宋体" w:hAnsi="宋体" w:cs="宋体" w:eastAsia="宋体" w:hint="default"/>
          <w:b/>
          <w:bCs/>
          <w:sz w:val="28"/>
          <w:szCs w:val="28"/>
        </w:rPr>
        <w:t>基础</w:t>
      </w:r>
      <w:r>
        <w:rPr>
          <w:rFonts w:ascii="宋体" w:hAnsi="宋体" w:cs="宋体" w:eastAsia="宋体" w:hint="default"/>
          <w:b/>
          <w:bCs/>
          <w:w w:val="99"/>
          <w:sz w:val="28"/>
          <w:szCs w:val="28"/>
        </w:rPr>
        <w:t> </w:t>
      </w:r>
      <w:r>
        <w:rPr>
          <w:rFonts w:ascii="宋体" w:hAnsi="宋体" w:cs="宋体" w:eastAsia="宋体" w:hint="default"/>
          <w:b/>
          <w:bCs/>
          <w:sz w:val="28"/>
          <w:szCs w:val="28"/>
        </w:rPr>
        <w:t>设施服务行业中的知名企业，将面临市场转型所带来的竞争和巨大挑战。</w:t>
      </w:r>
      <w:r>
        <w:rPr>
          <w:rFonts w:ascii="宋体" w:hAnsi="宋体" w:cs="宋体" w:eastAsia="宋体" w:hint="default"/>
          <w:sz w:val="28"/>
          <w:szCs w:val="28"/>
        </w:rPr>
      </w:r>
    </w:p>
    <w:p>
      <w:pPr>
        <w:tabs>
          <w:tab w:pos="1413" w:val="left" w:leader="none"/>
        </w:tabs>
        <w:spacing w:line="446" w:lineRule="auto" w:before="187"/>
        <w:ind w:left="705" w:right="156" w:firstLine="9"/>
        <w:jc w:val="left"/>
        <w:rPr>
          <w:rFonts w:ascii="宋体" w:hAnsi="宋体" w:cs="宋体" w:eastAsia="宋体" w:hint="default"/>
          <w:sz w:val="28"/>
          <w:szCs w:val="28"/>
        </w:rPr>
      </w:pPr>
      <w:r>
        <w:rPr>
          <w:rFonts w:ascii="Times New Roman" w:hAnsi="Times New Roman" w:cs="Times New Roman" w:eastAsia="Times New Roman" w:hint="default"/>
          <w:b/>
          <w:bCs/>
          <w:spacing w:val="-1"/>
          <w:sz w:val="28"/>
          <w:szCs w:val="28"/>
        </w:rPr>
        <w:t>2</w:t>
      </w:r>
      <w:r>
        <w:rPr>
          <w:rFonts w:ascii="宋体" w:hAnsi="宋体" w:cs="宋体" w:eastAsia="宋体" w:hint="default"/>
          <w:b/>
          <w:bCs/>
          <w:spacing w:val="-1"/>
          <w:sz w:val="28"/>
          <w:szCs w:val="28"/>
        </w:rPr>
        <w:t>、</w:t>
        <w:tab/>
      </w:r>
      <w:r>
        <w:rPr>
          <w:rFonts w:ascii="宋体" w:hAnsi="宋体" w:cs="宋体" w:eastAsia="宋体" w:hint="default"/>
          <w:b/>
          <w:bCs/>
          <w:sz w:val="28"/>
          <w:szCs w:val="28"/>
        </w:rPr>
        <w:t>毛利率波动的风险</w:t>
      </w:r>
      <w:r>
        <w:rPr>
          <w:rFonts w:ascii="宋体" w:hAnsi="宋体" w:cs="宋体" w:eastAsia="宋体" w:hint="default"/>
          <w:b/>
          <w:bCs/>
          <w:w w:val="99"/>
          <w:sz w:val="28"/>
          <w:szCs w:val="28"/>
        </w:rPr>
        <w:t> </w:t>
      </w:r>
      <w:r>
        <w:rPr>
          <w:rFonts w:ascii="宋体" w:hAnsi="宋体" w:cs="宋体" w:eastAsia="宋体" w:hint="default"/>
          <w:b/>
          <w:bCs/>
          <w:spacing w:val="2"/>
          <w:sz w:val="28"/>
          <w:szCs w:val="28"/>
        </w:rPr>
        <w:t>由于天玑科技为技术和人员密集型企业，劳动力成本的不断上升，导致毛</w:t>
      </w:r>
      <w:r>
        <w:rPr>
          <w:rFonts w:ascii="宋体" w:hAnsi="宋体" w:cs="宋体" w:eastAsia="宋体" w:hint="default"/>
          <w:spacing w:val="2"/>
          <w:sz w:val="28"/>
          <w:szCs w:val="28"/>
        </w:rPr>
      </w:r>
    </w:p>
    <w:p>
      <w:pPr>
        <w:spacing w:line="408" w:lineRule="auto" w:before="17"/>
        <w:ind w:left="152" w:right="161" w:firstLine="0"/>
        <w:jc w:val="both"/>
        <w:rPr>
          <w:rFonts w:ascii="宋体" w:hAnsi="宋体" w:cs="宋体" w:eastAsia="宋体" w:hint="default"/>
          <w:sz w:val="28"/>
          <w:szCs w:val="28"/>
        </w:rPr>
      </w:pPr>
      <w:r>
        <w:rPr>
          <w:rFonts w:ascii="宋体" w:hAnsi="宋体" w:cs="宋体" w:eastAsia="宋体" w:hint="default"/>
          <w:b/>
          <w:bCs/>
          <w:spacing w:val="2"/>
          <w:sz w:val="28"/>
          <w:szCs w:val="28"/>
        </w:rPr>
        <w:t>利率下降。同时，随着市场环境的影响，公司备品备件成本出现波动，亦导致</w:t>
      </w:r>
      <w:r>
        <w:rPr>
          <w:rFonts w:ascii="宋体" w:hAnsi="宋体" w:cs="宋体" w:eastAsia="宋体" w:hint="default"/>
          <w:b/>
          <w:bCs/>
          <w:w w:val="99"/>
          <w:sz w:val="28"/>
          <w:szCs w:val="28"/>
        </w:rPr>
        <w:t> </w:t>
      </w:r>
      <w:r>
        <w:rPr>
          <w:rFonts w:ascii="宋体" w:hAnsi="宋体" w:cs="宋体" w:eastAsia="宋体" w:hint="default"/>
          <w:b/>
          <w:bCs/>
          <w:spacing w:val="2"/>
          <w:sz w:val="28"/>
          <w:szCs w:val="28"/>
        </w:rPr>
        <w:t>毛利率的波动。此外，公司创新型业务的拓展，也将导致毛利率的变化。其他</w:t>
      </w:r>
      <w:r>
        <w:rPr>
          <w:rFonts w:ascii="宋体" w:hAnsi="宋体" w:cs="宋体" w:eastAsia="宋体" w:hint="default"/>
          <w:b/>
          <w:bCs/>
          <w:w w:val="99"/>
          <w:sz w:val="28"/>
          <w:szCs w:val="28"/>
        </w:rPr>
        <w:t> </w:t>
      </w:r>
      <w:r>
        <w:rPr>
          <w:rFonts w:ascii="宋体" w:hAnsi="宋体" w:cs="宋体" w:eastAsia="宋体" w:hint="default"/>
          <w:b/>
          <w:bCs/>
          <w:spacing w:val="2"/>
          <w:sz w:val="28"/>
          <w:szCs w:val="28"/>
        </w:rPr>
        <w:t>方面，诸如客户结构、公司经营的地区范围、竞争态势的变化，亦将导致毛利</w:t>
      </w:r>
      <w:r>
        <w:rPr>
          <w:rFonts w:ascii="宋体" w:hAnsi="宋体" w:cs="宋体" w:eastAsia="宋体" w:hint="default"/>
          <w:b/>
          <w:bCs/>
          <w:w w:val="99"/>
          <w:sz w:val="28"/>
          <w:szCs w:val="28"/>
        </w:rPr>
        <w:t> </w:t>
      </w:r>
      <w:r>
        <w:rPr>
          <w:rFonts w:ascii="宋体" w:hAnsi="宋体" w:cs="宋体" w:eastAsia="宋体" w:hint="default"/>
          <w:b/>
          <w:bCs/>
          <w:sz w:val="28"/>
          <w:szCs w:val="28"/>
        </w:rPr>
        <w:t>率产生波动。</w:t>
      </w:r>
      <w:r>
        <w:rPr>
          <w:rFonts w:ascii="宋体" w:hAnsi="宋体" w:cs="宋体" w:eastAsia="宋体" w:hint="default"/>
          <w:sz w:val="28"/>
          <w:szCs w:val="28"/>
        </w:rPr>
      </w:r>
    </w:p>
    <w:p>
      <w:pPr>
        <w:tabs>
          <w:tab w:pos="1413" w:val="left" w:leader="none"/>
        </w:tabs>
        <w:spacing w:line="448" w:lineRule="auto" w:before="162"/>
        <w:ind w:left="705" w:right="156" w:firstLine="9"/>
        <w:jc w:val="left"/>
        <w:rPr>
          <w:rFonts w:ascii="宋体" w:hAnsi="宋体" w:cs="宋体" w:eastAsia="宋体" w:hint="default"/>
          <w:sz w:val="28"/>
          <w:szCs w:val="28"/>
        </w:rPr>
      </w:pPr>
      <w:r>
        <w:rPr>
          <w:rFonts w:ascii="Times New Roman" w:hAnsi="Times New Roman" w:cs="Times New Roman" w:eastAsia="Times New Roman" w:hint="default"/>
          <w:b/>
          <w:bCs/>
          <w:spacing w:val="-1"/>
          <w:sz w:val="28"/>
          <w:szCs w:val="28"/>
        </w:rPr>
        <w:t>3</w:t>
      </w:r>
      <w:r>
        <w:rPr>
          <w:rFonts w:ascii="宋体" w:hAnsi="宋体" w:cs="宋体" w:eastAsia="宋体" w:hint="default"/>
          <w:b/>
          <w:bCs/>
          <w:spacing w:val="-1"/>
          <w:sz w:val="28"/>
          <w:szCs w:val="28"/>
        </w:rPr>
        <w:t>、</w:t>
        <w:tab/>
      </w:r>
      <w:r>
        <w:rPr>
          <w:rFonts w:ascii="宋体" w:hAnsi="宋体" w:cs="宋体" w:eastAsia="宋体" w:hint="default"/>
          <w:b/>
          <w:bCs/>
          <w:sz w:val="28"/>
          <w:szCs w:val="28"/>
        </w:rPr>
        <w:t>新业务的市场开拓风险</w:t>
      </w:r>
      <w:r>
        <w:rPr>
          <w:rFonts w:ascii="宋体" w:hAnsi="宋体" w:cs="宋体" w:eastAsia="宋体" w:hint="default"/>
          <w:b/>
          <w:bCs/>
          <w:w w:val="99"/>
          <w:sz w:val="28"/>
          <w:szCs w:val="28"/>
        </w:rPr>
        <w:t> </w:t>
      </w:r>
      <w:r>
        <w:rPr>
          <w:rFonts w:ascii="宋体" w:hAnsi="宋体" w:cs="宋体" w:eastAsia="宋体" w:hint="default"/>
          <w:b/>
          <w:bCs/>
          <w:spacing w:val="2"/>
          <w:sz w:val="28"/>
          <w:szCs w:val="28"/>
        </w:rPr>
        <w:t>报告期内公司对于云计算和大数据等不同领域投入了大量的研发力量，已</w:t>
      </w:r>
      <w:r>
        <w:rPr>
          <w:rFonts w:ascii="宋体" w:hAnsi="宋体" w:cs="宋体" w:eastAsia="宋体" w:hint="default"/>
          <w:spacing w:val="2"/>
          <w:sz w:val="28"/>
          <w:szCs w:val="28"/>
        </w:rPr>
      </w:r>
    </w:p>
    <w:p>
      <w:pPr>
        <w:spacing w:line="386" w:lineRule="auto" w:before="14"/>
        <w:ind w:left="152" w:right="151" w:firstLine="0"/>
        <w:jc w:val="both"/>
        <w:rPr>
          <w:rFonts w:ascii="宋体" w:hAnsi="宋体" w:cs="宋体" w:eastAsia="宋体" w:hint="default"/>
          <w:sz w:val="28"/>
          <w:szCs w:val="28"/>
        </w:rPr>
      </w:pPr>
      <w:r>
        <w:rPr>
          <w:rFonts w:ascii="宋体" w:hAnsi="宋体" w:cs="宋体" w:eastAsia="宋体" w:hint="default"/>
          <w:b/>
          <w:bCs/>
          <w:sz w:val="28"/>
          <w:szCs w:val="28"/>
        </w:rPr>
        <w:t>经取得丰富的基于互联网技术的研发成果，如</w:t>
      </w:r>
      <w:r>
        <w:rPr>
          <w:rFonts w:ascii="宋体" w:hAnsi="宋体" w:cs="宋体" w:eastAsia="宋体" w:hint="default"/>
          <w:b/>
          <w:bCs/>
          <w:spacing w:val="-79"/>
          <w:sz w:val="28"/>
          <w:szCs w:val="28"/>
        </w:rPr>
        <w:t> </w:t>
      </w:r>
      <w:r>
        <w:rPr>
          <w:rFonts w:ascii="Times New Roman" w:hAnsi="Times New Roman" w:cs="Times New Roman" w:eastAsia="Times New Roman" w:hint="default"/>
          <w:b/>
          <w:bCs/>
          <w:sz w:val="28"/>
          <w:szCs w:val="28"/>
        </w:rPr>
        <w:t>PCloud</w:t>
      </w:r>
      <w:r>
        <w:rPr>
          <w:rFonts w:ascii="Times New Roman" w:hAnsi="Times New Roman" w:cs="Times New Roman" w:eastAsia="Times New Roman" w:hint="default"/>
          <w:b/>
          <w:bCs/>
          <w:spacing w:val="-13"/>
          <w:sz w:val="28"/>
          <w:szCs w:val="28"/>
        </w:rPr>
        <w:t> </w:t>
      </w:r>
      <w:r>
        <w:rPr>
          <w:rFonts w:ascii="宋体" w:hAnsi="宋体" w:cs="宋体" w:eastAsia="宋体" w:hint="default"/>
          <w:b/>
          <w:bCs/>
          <w:spacing w:val="-3"/>
          <w:sz w:val="28"/>
          <w:szCs w:val="28"/>
        </w:rPr>
        <w:t>云计算管理平台、</w:t>
      </w:r>
      <w:r>
        <w:rPr>
          <w:rFonts w:ascii="Times New Roman" w:hAnsi="Times New Roman" w:cs="Times New Roman" w:eastAsia="Times New Roman" w:hint="default"/>
          <w:b/>
          <w:bCs/>
          <w:spacing w:val="-3"/>
          <w:sz w:val="28"/>
          <w:szCs w:val="28"/>
        </w:rPr>
        <w:t>DCOS</w:t>
      </w:r>
      <w:r>
        <w:rPr>
          <w:rFonts w:ascii="Times New Roman" w:hAnsi="Times New Roman" w:cs="Times New Roman" w:eastAsia="Times New Roman" w:hint="default"/>
          <w:b/>
          <w:bCs/>
          <w:w w:val="100"/>
          <w:sz w:val="28"/>
          <w:szCs w:val="28"/>
        </w:rPr>
        <w:t> </w:t>
      </w:r>
      <w:r>
        <w:rPr>
          <w:rFonts w:ascii="宋体" w:hAnsi="宋体" w:cs="宋体" w:eastAsia="宋体" w:hint="default"/>
          <w:b/>
          <w:bCs/>
          <w:sz w:val="28"/>
          <w:szCs w:val="28"/>
        </w:rPr>
        <w:t>分布式数据中心操作系统、</w:t>
      </w:r>
      <w:r>
        <w:rPr>
          <w:rFonts w:ascii="Times New Roman" w:hAnsi="Times New Roman" w:cs="Times New Roman" w:eastAsia="Times New Roman" w:hint="default"/>
          <w:b/>
          <w:bCs/>
          <w:sz w:val="28"/>
          <w:szCs w:val="28"/>
        </w:rPr>
        <w:t>PBData </w:t>
      </w:r>
      <w:r>
        <w:rPr>
          <w:rFonts w:ascii="宋体" w:hAnsi="宋体" w:cs="宋体" w:eastAsia="宋体" w:hint="default"/>
          <w:b/>
          <w:bCs/>
          <w:sz w:val="28"/>
          <w:szCs w:val="28"/>
        </w:rPr>
        <w:t>一体机、</w:t>
      </w:r>
      <w:r>
        <w:rPr>
          <w:rFonts w:ascii="Times New Roman" w:hAnsi="Times New Roman" w:cs="Times New Roman" w:eastAsia="Times New Roman" w:hint="default"/>
          <w:b/>
          <w:bCs/>
          <w:sz w:val="28"/>
          <w:szCs w:val="28"/>
        </w:rPr>
        <w:t>PhegData</w:t>
      </w:r>
      <w:r>
        <w:rPr>
          <w:rFonts w:ascii="Times New Roman" w:hAnsi="Times New Roman" w:cs="Times New Roman" w:eastAsia="Times New Roman" w:hint="default"/>
          <w:b/>
          <w:bCs/>
          <w:spacing w:val="10"/>
          <w:sz w:val="28"/>
          <w:szCs w:val="28"/>
        </w:rPr>
        <w:t> </w:t>
      </w:r>
      <w:r>
        <w:rPr>
          <w:rFonts w:ascii="宋体" w:hAnsi="宋体" w:cs="宋体" w:eastAsia="宋体" w:hint="default"/>
          <w:b/>
          <w:bCs/>
          <w:sz w:val="28"/>
          <w:szCs w:val="28"/>
        </w:rPr>
        <w:t>分布式存储等产品。对</w:t>
      </w:r>
      <w:r>
        <w:rPr>
          <w:rFonts w:ascii="宋体" w:hAnsi="宋体" w:cs="宋体" w:eastAsia="宋体" w:hint="default"/>
          <w:b/>
          <w:bCs/>
          <w:w w:val="99"/>
          <w:sz w:val="28"/>
          <w:szCs w:val="28"/>
        </w:rPr>
        <w:t> </w:t>
      </w:r>
      <w:r>
        <w:rPr>
          <w:rFonts w:ascii="宋体" w:hAnsi="宋体" w:cs="宋体" w:eastAsia="宋体" w:hint="default"/>
          <w:b/>
          <w:bCs/>
          <w:sz w:val="28"/>
          <w:szCs w:val="28"/>
        </w:rPr>
        <w:t>于公司新业务的市场开拓可能存在以下风险：</w:t>
      </w:r>
      <w:r>
        <w:rPr>
          <w:rFonts w:ascii="宋体" w:hAnsi="宋体" w:cs="宋体" w:eastAsia="宋体" w:hint="default"/>
          <w:sz w:val="28"/>
          <w:szCs w:val="28"/>
        </w:rPr>
      </w:r>
    </w:p>
    <w:p>
      <w:pPr>
        <w:spacing w:line="400" w:lineRule="auto" w:before="185"/>
        <w:ind w:left="152" w:right="154" w:firstLine="552"/>
        <w:jc w:val="both"/>
        <w:rPr>
          <w:rFonts w:ascii="宋体" w:hAnsi="宋体" w:cs="宋体" w:eastAsia="宋体" w:hint="default"/>
          <w:sz w:val="28"/>
          <w:szCs w:val="28"/>
        </w:rPr>
      </w:pPr>
      <w:r>
        <w:rPr>
          <w:rFonts w:ascii="宋体" w:hAnsi="宋体" w:cs="宋体" w:eastAsia="宋体" w:hint="default"/>
          <w:b/>
          <w:bCs/>
          <w:spacing w:val="-2"/>
          <w:sz w:val="28"/>
          <w:szCs w:val="28"/>
        </w:rPr>
        <w:t>（</w:t>
      </w:r>
      <w:r>
        <w:rPr>
          <w:rFonts w:ascii="Times New Roman" w:hAnsi="Times New Roman" w:cs="Times New Roman" w:eastAsia="Times New Roman" w:hint="default"/>
          <w:b/>
          <w:bCs/>
          <w:spacing w:val="-2"/>
          <w:sz w:val="28"/>
          <w:szCs w:val="28"/>
        </w:rPr>
        <w:t>1</w:t>
      </w:r>
      <w:r>
        <w:rPr>
          <w:rFonts w:ascii="宋体" w:hAnsi="宋体" w:cs="宋体" w:eastAsia="宋体" w:hint="default"/>
          <w:b/>
          <w:bCs/>
          <w:spacing w:val="-2"/>
          <w:sz w:val="28"/>
          <w:szCs w:val="28"/>
        </w:rPr>
        <w:t>）鉴于新产品新方案的形成时间较短，部分客户对相关设备及解决方案</w:t>
      </w:r>
      <w:r>
        <w:rPr>
          <w:rFonts w:ascii="宋体" w:hAnsi="宋体" w:cs="宋体" w:eastAsia="宋体" w:hint="default"/>
          <w:b/>
          <w:bCs/>
          <w:w w:val="99"/>
          <w:sz w:val="28"/>
          <w:szCs w:val="28"/>
        </w:rPr>
        <w:t> </w:t>
      </w:r>
      <w:r>
        <w:rPr>
          <w:rFonts w:ascii="宋体" w:hAnsi="宋体" w:cs="宋体" w:eastAsia="宋体" w:hint="default"/>
          <w:b/>
          <w:bCs/>
          <w:spacing w:val="2"/>
          <w:sz w:val="28"/>
          <w:szCs w:val="28"/>
        </w:rPr>
        <w:t>尚处于测试或观察期，未来该类新业务是否能够广为市场接受并形成对原有产</w:t>
      </w:r>
      <w:r>
        <w:rPr>
          <w:rFonts w:ascii="宋体" w:hAnsi="宋体" w:cs="宋体" w:eastAsia="宋体" w:hint="default"/>
          <w:b/>
          <w:bCs/>
          <w:w w:val="99"/>
          <w:sz w:val="28"/>
          <w:szCs w:val="28"/>
        </w:rPr>
        <w:t> </w:t>
      </w:r>
      <w:r>
        <w:rPr>
          <w:rFonts w:ascii="宋体" w:hAnsi="宋体" w:cs="宋体" w:eastAsia="宋体" w:hint="default"/>
          <w:b/>
          <w:bCs/>
          <w:spacing w:val="2"/>
          <w:sz w:val="28"/>
          <w:szCs w:val="28"/>
        </w:rPr>
        <w:t>品的替代仍存在一定的不确定性。若新业务的市场推广不及预期，可能对经营</w:t>
      </w:r>
      <w:r>
        <w:rPr>
          <w:rFonts w:ascii="宋体" w:hAnsi="宋体" w:cs="宋体" w:eastAsia="宋体" w:hint="default"/>
          <w:b/>
          <w:bCs/>
          <w:w w:val="99"/>
          <w:sz w:val="28"/>
          <w:szCs w:val="28"/>
        </w:rPr>
        <w:t> </w:t>
      </w:r>
      <w:r>
        <w:rPr>
          <w:rFonts w:ascii="宋体" w:hAnsi="宋体" w:cs="宋体" w:eastAsia="宋体" w:hint="default"/>
          <w:b/>
          <w:bCs/>
          <w:sz w:val="28"/>
          <w:szCs w:val="28"/>
        </w:rPr>
        <w:t>业绩产生不利影响。</w:t>
      </w:r>
      <w:r>
        <w:rPr>
          <w:rFonts w:ascii="宋体" w:hAnsi="宋体" w:cs="宋体" w:eastAsia="宋体" w:hint="default"/>
          <w:sz w:val="28"/>
          <w:szCs w:val="28"/>
        </w:rPr>
      </w:r>
    </w:p>
    <w:p>
      <w:pPr>
        <w:spacing w:line="398" w:lineRule="auto" w:before="170"/>
        <w:ind w:left="152" w:right="151" w:firstLine="552"/>
        <w:jc w:val="both"/>
        <w:rPr>
          <w:rFonts w:ascii="宋体" w:hAnsi="宋体" w:cs="宋体" w:eastAsia="宋体" w:hint="default"/>
          <w:sz w:val="28"/>
          <w:szCs w:val="28"/>
        </w:rPr>
      </w:pPr>
      <w:r>
        <w:rPr>
          <w:rFonts w:ascii="宋体" w:hAnsi="宋体" w:cs="宋体" w:eastAsia="宋体" w:hint="default"/>
          <w:b/>
          <w:bCs/>
          <w:spacing w:val="-2"/>
          <w:sz w:val="28"/>
          <w:szCs w:val="28"/>
        </w:rPr>
        <w:t>（</w:t>
      </w:r>
      <w:r>
        <w:rPr>
          <w:rFonts w:ascii="Times New Roman" w:hAnsi="Times New Roman" w:cs="Times New Roman" w:eastAsia="Times New Roman" w:hint="default"/>
          <w:b/>
          <w:bCs/>
          <w:spacing w:val="-2"/>
          <w:sz w:val="28"/>
          <w:szCs w:val="28"/>
        </w:rPr>
        <w:t>2</w:t>
      </w:r>
      <w:r>
        <w:rPr>
          <w:rFonts w:ascii="宋体" w:hAnsi="宋体" w:cs="宋体" w:eastAsia="宋体" w:hint="default"/>
          <w:b/>
          <w:bCs/>
          <w:spacing w:val="-2"/>
          <w:sz w:val="28"/>
          <w:szCs w:val="28"/>
        </w:rPr>
        <w:t>）目前存储市场的主要国内竞争对手为华为，存在不计成本低价竞争的</w:t>
      </w:r>
      <w:r>
        <w:rPr>
          <w:rFonts w:ascii="宋体" w:hAnsi="宋体" w:cs="宋体" w:eastAsia="宋体" w:hint="default"/>
          <w:b/>
          <w:bCs/>
          <w:w w:val="99"/>
          <w:sz w:val="28"/>
          <w:szCs w:val="28"/>
        </w:rPr>
        <w:t> </w:t>
      </w:r>
      <w:r>
        <w:rPr>
          <w:rFonts w:ascii="宋体" w:hAnsi="宋体" w:cs="宋体" w:eastAsia="宋体" w:hint="default"/>
          <w:b/>
          <w:bCs/>
          <w:spacing w:val="2"/>
          <w:sz w:val="28"/>
          <w:szCs w:val="28"/>
        </w:rPr>
        <w:t>现象，可能存在竞争激烈导致毛利率下降的风险。持续研发升级，技术壁垒的</w:t>
      </w:r>
      <w:r>
        <w:rPr>
          <w:rFonts w:ascii="宋体" w:hAnsi="宋体" w:cs="宋体" w:eastAsia="宋体" w:hint="default"/>
          <w:b/>
          <w:bCs/>
          <w:spacing w:val="2"/>
          <w:w w:val="99"/>
          <w:sz w:val="28"/>
          <w:szCs w:val="28"/>
        </w:rPr>
        <w:t> </w:t>
      </w:r>
      <w:r>
        <w:rPr>
          <w:rFonts w:ascii="宋体" w:hAnsi="宋体" w:cs="宋体" w:eastAsia="宋体" w:hint="default"/>
          <w:b/>
          <w:bCs/>
          <w:sz w:val="28"/>
          <w:szCs w:val="28"/>
        </w:rPr>
        <w:t>优势如果不能一直保持，也会存在加剧竞争的风险。</w:t>
      </w:r>
      <w:r>
        <w:rPr>
          <w:rFonts w:ascii="宋体" w:hAnsi="宋体" w:cs="宋体" w:eastAsia="宋体" w:hint="default"/>
          <w:sz w:val="28"/>
          <w:szCs w:val="28"/>
        </w:rPr>
      </w:r>
    </w:p>
    <w:p>
      <w:pPr>
        <w:spacing w:after="0" w:line="398" w:lineRule="auto"/>
        <w:jc w:val="both"/>
        <w:rPr>
          <w:rFonts w:ascii="宋体" w:hAnsi="宋体" w:cs="宋体" w:eastAsia="宋体" w:hint="default"/>
          <w:sz w:val="28"/>
          <w:szCs w:val="28"/>
        </w:rPr>
        <w:sectPr>
          <w:pgSz w:w="11910" w:h="16840"/>
          <w:pgMar w:header="745" w:footer="979" w:top="1060" w:bottom="1160" w:left="980" w:right="980"/>
        </w:sect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3"/>
          <w:szCs w:val="13"/>
        </w:rPr>
      </w:pPr>
    </w:p>
    <w:p>
      <w:pPr>
        <w:spacing w:line="386" w:lineRule="auto" w:before="14"/>
        <w:ind w:left="152" w:right="0" w:firstLine="552"/>
        <w:jc w:val="left"/>
        <w:rPr>
          <w:rFonts w:ascii="宋体" w:hAnsi="宋体" w:cs="宋体" w:eastAsia="宋体" w:hint="default"/>
          <w:sz w:val="28"/>
          <w:szCs w:val="28"/>
        </w:rPr>
      </w:pPr>
      <w:r>
        <w:rPr>
          <w:rFonts w:ascii="宋体" w:hAnsi="宋体" w:cs="宋体" w:eastAsia="宋体" w:hint="default"/>
          <w:b/>
          <w:bCs/>
          <w:spacing w:val="-2"/>
          <w:sz w:val="28"/>
          <w:szCs w:val="28"/>
        </w:rPr>
        <w:t>（</w:t>
      </w:r>
      <w:r>
        <w:rPr>
          <w:rFonts w:ascii="Times New Roman" w:hAnsi="Times New Roman" w:cs="Times New Roman" w:eastAsia="Times New Roman" w:hint="default"/>
          <w:b/>
          <w:bCs/>
          <w:spacing w:val="-2"/>
          <w:sz w:val="28"/>
          <w:szCs w:val="28"/>
        </w:rPr>
        <w:t>3</w:t>
      </w:r>
      <w:r>
        <w:rPr>
          <w:rFonts w:ascii="宋体" w:hAnsi="宋体" w:cs="宋体" w:eastAsia="宋体" w:hint="default"/>
          <w:b/>
          <w:bCs/>
          <w:spacing w:val="-2"/>
          <w:sz w:val="28"/>
          <w:szCs w:val="28"/>
        </w:rPr>
        <w:t>）国外新技术新产品的更新替代，也会对公司现有新产品的市场开拓造</w:t>
      </w:r>
      <w:r>
        <w:rPr>
          <w:rFonts w:ascii="宋体" w:hAnsi="宋体" w:cs="宋体" w:eastAsia="宋体" w:hint="default"/>
          <w:b/>
          <w:bCs/>
          <w:w w:val="99"/>
          <w:sz w:val="28"/>
          <w:szCs w:val="28"/>
        </w:rPr>
        <w:t> </w:t>
      </w:r>
      <w:r>
        <w:rPr>
          <w:rFonts w:ascii="宋体" w:hAnsi="宋体" w:cs="宋体" w:eastAsia="宋体" w:hint="default"/>
          <w:b/>
          <w:bCs/>
          <w:sz w:val="28"/>
          <w:szCs w:val="28"/>
        </w:rPr>
        <w:t>成影响。</w:t>
      </w:r>
      <w:r>
        <w:rPr>
          <w:rFonts w:ascii="宋体" w:hAnsi="宋体" w:cs="宋体" w:eastAsia="宋体" w:hint="default"/>
          <w:sz w:val="28"/>
          <w:szCs w:val="28"/>
        </w:rPr>
      </w:r>
    </w:p>
    <w:p>
      <w:pPr>
        <w:spacing w:line="446" w:lineRule="auto" w:before="187"/>
        <w:ind w:left="705" w:right="0"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4</w:t>
      </w:r>
      <w:r>
        <w:rPr>
          <w:rFonts w:ascii="宋体" w:hAnsi="宋体" w:cs="宋体" w:eastAsia="宋体" w:hint="default"/>
          <w:b/>
          <w:bCs/>
          <w:sz w:val="28"/>
          <w:szCs w:val="28"/>
        </w:rPr>
        <w:t>、应收账款增加风险</w:t>
      </w:r>
      <w:r>
        <w:rPr>
          <w:rFonts w:ascii="宋体" w:hAnsi="宋体" w:cs="宋体" w:eastAsia="宋体" w:hint="default"/>
          <w:b/>
          <w:bCs/>
          <w:w w:val="99"/>
          <w:sz w:val="28"/>
          <w:szCs w:val="28"/>
        </w:rPr>
        <w:t> </w:t>
      </w:r>
      <w:r>
        <w:rPr>
          <w:rFonts w:ascii="宋体" w:hAnsi="宋体" w:cs="宋体" w:eastAsia="宋体" w:hint="default"/>
          <w:b/>
          <w:bCs/>
          <w:spacing w:val="2"/>
          <w:sz w:val="28"/>
          <w:szCs w:val="28"/>
        </w:rPr>
        <w:t>应收账款较大的原因是公司按照与客户之间的合同确认相应的应收账款，</w:t>
      </w:r>
      <w:r>
        <w:rPr>
          <w:rFonts w:ascii="宋体" w:hAnsi="宋体" w:cs="宋体" w:eastAsia="宋体" w:hint="default"/>
          <w:spacing w:val="2"/>
          <w:sz w:val="28"/>
          <w:szCs w:val="28"/>
        </w:rPr>
      </w:r>
    </w:p>
    <w:p>
      <w:pPr>
        <w:spacing w:line="408" w:lineRule="auto" w:before="16"/>
        <w:ind w:left="152" w:right="241" w:firstLine="0"/>
        <w:jc w:val="both"/>
        <w:rPr>
          <w:rFonts w:ascii="宋体" w:hAnsi="宋体" w:cs="宋体" w:eastAsia="宋体" w:hint="default"/>
          <w:sz w:val="28"/>
          <w:szCs w:val="28"/>
        </w:rPr>
      </w:pPr>
      <w:r>
        <w:rPr>
          <w:rFonts w:ascii="宋体" w:hAnsi="宋体" w:cs="宋体" w:eastAsia="宋体" w:hint="default"/>
          <w:b/>
          <w:bCs/>
          <w:spacing w:val="2"/>
          <w:sz w:val="28"/>
          <w:szCs w:val="28"/>
        </w:rPr>
        <w:t>结算与回款存在时间差，导致公司应收账款金额和占比均较大，公司按照既定</w:t>
      </w:r>
      <w:r>
        <w:rPr>
          <w:rFonts w:ascii="宋体" w:hAnsi="宋体" w:cs="宋体" w:eastAsia="宋体" w:hint="default"/>
          <w:b/>
          <w:bCs/>
          <w:w w:val="99"/>
          <w:sz w:val="28"/>
          <w:szCs w:val="28"/>
        </w:rPr>
        <w:t> </w:t>
      </w:r>
      <w:r>
        <w:rPr>
          <w:rFonts w:ascii="宋体" w:hAnsi="宋体" w:cs="宋体" w:eastAsia="宋体" w:hint="default"/>
          <w:b/>
          <w:bCs/>
          <w:spacing w:val="2"/>
          <w:sz w:val="28"/>
          <w:szCs w:val="28"/>
        </w:rPr>
        <w:t>会计政策在期末对应收账款计提了相应的坏账准备。虽然应收账款余额较大，</w:t>
      </w:r>
      <w:r>
        <w:rPr>
          <w:rFonts w:ascii="宋体" w:hAnsi="宋体" w:cs="宋体" w:eastAsia="宋体" w:hint="default"/>
          <w:b/>
          <w:bCs/>
          <w:w w:val="99"/>
          <w:sz w:val="28"/>
          <w:szCs w:val="28"/>
        </w:rPr>
        <w:t> </w:t>
      </w:r>
      <w:r>
        <w:rPr>
          <w:rFonts w:ascii="宋体" w:hAnsi="宋体" w:cs="宋体" w:eastAsia="宋体" w:hint="default"/>
          <w:b/>
          <w:bCs/>
          <w:spacing w:val="2"/>
          <w:sz w:val="28"/>
          <w:szCs w:val="28"/>
        </w:rPr>
        <w:t>但公司客户一般是省级运营商、政府部门、资金实力较好的金融等企业等，资</w:t>
      </w:r>
      <w:r>
        <w:rPr>
          <w:rFonts w:ascii="宋体" w:hAnsi="宋体" w:cs="宋体" w:eastAsia="宋体" w:hint="default"/>
          <w:b/>
          <w:bCs/>
          <w:w w:val="99"/>
          <w:sz w:val="28"/>
          <w:szCs w:val="28"/>
        </w:rPr>
        <w:t> </w:t>
      </w:r>
      <w:r>
        <w:rPr>
          <w:rFonts w:ascii="宋体" w:hAnsi="宋体" w:cs="宋体" w:eastAsia="宋体" w:hint="default"/>
          <w:b/>
          <w:bCs/>
          <w:spacing w:val="2"/>
          <w:sz w:val="28"/>
          <w:szCs w:val="28"/>
        </w:rPr>
        <w:t>金回收保障较高，应收账款发生坏账的风险较小。但是，随着应收账款余额的</w:t>
      </w:r>
      <w:r>
        <w:rPr>
          <w:rFonts w:ascii="宋体" w:hAnsi="宋体" w:cs="宋体" w:eastAsia="宋体" w:hint="default"/>
          <w:b/>
          <w:bCs/>
          <w:w w:val="99"/>
          <w:sz w:val="28"/>
          <w:szCs w:val="28"/>
        </w:rPr>
        <w:t> </w:t>
      </w:r>
      <w:r>
        <w:rPr>
          <w:rFonts w:ascii="宋体" w:hAnsi="宋体" w:cs="宋体" w:eastAsia="宋体" w:hint="default"/>
          <w:b/>
          <w:bCs/>
          <w:spacing w:val="2"/>
          <w:sz w:val="28"/>
          <w:szCs w:val="28"/>
        </w:rPr>
        <w:t>增长，并不排除个别项目在未来可能出现呆坏账金额大于已计提坏账准备的情</w:t>
      </w:r>
      <w:r>
        <w:rPr>
          <w:rFonts w:ascii="宋体" w:hAnsi="宋体" w:cs="宋体" w:eastAsia="宋体" w:hint="default"/>
          <w:b/>
          <w:bCs/>
          <w:w w:val="99"/>
          <w:sz w:val="28"/>
          <w:szCs w:val="28"/>
        </w:rPr>
        <w:t> </w:t>
      </w:r>
      <w:r>
        <w:rPr>
          <w:rFonts w:ascii="宋体" w:hAnsi="宋体" w:cs="宋体" w:eastAsia="宋体" w:hint="default"/>
          <w:b/>
          <w:bCs/>
          <w:sz w:val="28"/>
          <w:szCs w:val="28"/>
        </w:rPr>
        <w:t>况，对公司盈利水平造成不利影响。</w:t>
      </w:r>
      <w:r>
        <w:rPr>
          <w:rFonts w:ascii="宋体" w:hAnsi="宋体" w:cs="宋体" w:eastAsia="宋体" w:hint="default"/>
          <w:sz w:val="28"/>
          <w:szCs w:val="28"/>
        </w:rPr>
      </w:r>
    </w:p>
    <w:p>
      <w:pPr>
        <w:spacing w:before="162"/>
        <w:ind w:left="714" w:right="0" w:firstLine="0"/>
        <w:jc w:val="left"/>
        <w:rPr>
          <w:rFonts w:ascii="宋体" w:hAnsi="宋体" w:cs="宋体" w:eastAsia="宋体" w:hint="default"/>
          <w:sz w:val="28"/>
          <w:szCs w:val="28"/>
        </w:rPr>
      </w:pPr>
      <w:r>
        <w:rPr>
          <w:rFonts w:ascii="宋体" w:hAnsi="宋体" w:cs="宋体" w:eastAsia="宋体" w:hint="default"/>
          <w:b/>
          <w:bCs/>
          <w:spacing w:val="-3"/>
          <w:sz w:val="28"/>
          <w:szCs w:val="28"/>
        </w:rPr>
        <w:t>公司经本次董事会审议通过的利润分配预案为：以公司</w:t>
      </w:r>
      <w:r>
        <w:rPr>
          <w:rFonts w:ascii="宋体" w:hAnsi="宋体" w:cs="宋体" w:eastAsia="宋体" w:hint="default"/>
          <w:b/>
          <w:bCs/>
          <w:spacing w:val="-68"/>
          <w:sz w:val="28"/>
          <w:szCs w:val="28"/>
        </w:rPr>
        <w:t> </w:t>
      </w:r>
      <w:r>
        <w:rPr>
          <w:rFonts w:ascii="Times New Roman" w:hAnsi="Times New Roman" w:cs="Times New Roman" w:eastAsia="Times New Roman" w:hint="default"/>
          <w:b/>
          <w:bCs/>
          <w:sz w:val="28"/>
          <w:szCs w:val="28"/>
        </w:rPr>
        <w:t>2018</w:t>
      </w:r>
      <w:r>
        <w:rPr>
          <w:rFonts w:ascii="Times New Roman" w:hAnsi="Times New Roman" w:cs="Times New Roman" w:eastAsia="Times New Roman" w:hint="default"/>
          <w:b/>
          <w:bCs/>
          <w:spacing w:val="3"/>
          <w:sz w:val="28"/>
          <w:szCs w:val="28"/>
        </w:rPr>
        <w:t> </w:t>
      </w:r>
      <w:r>
        <w:rPr>
          <w:rFonts w:ascii="宋体" w:hAnsi="宋体" w:cs="宋体" w:eastAsia="宋体" w:hint="default"/>
          <w:b/>
          <w:bCs/>
          <w:sz w:val="28"/>
          <w:szCs w:val="28"/>
        </w:rPr>
        <w:t>年</w:t>
      </w:r>
      <w:r>
        <w:rPr>
          <w:rFonts w:ascii="宋体" w:hAnsi="宋体" w:cs="宋体" w:eastAsia="宋体" w:hint="default"/>
          <w:b/>
          <w:bCs/>
          <w:spacing w:val="-70"/>
          <w:sz w:val="28"/>
          <w:szCs w:val="28"/>
        </w:rPr>
        <w:t> </w:t>
      </w:r>
      <w:r>
        <w:rPr>
          <w:rFonts w:ascii="Times New Roman" w:hAnsi="Times New Roman" w:cs="Times New Roman" w:eastAsia="Times New Roman" w:hint="default"/>
          <w:b/>
          <w:bCs/>
          <w:sz w:val="28"/>
          <w:szCs w:val="28"/>
        </w:rPr>
        <w:t>4</w:t>
      </w:r>
      <w:r>
        <w:rPr>
          <w:rFonts w:ascii="Times New Roman" w:hAnsi="Times New Roman" w:cs="Times New Roman" w:eastAsia="Times New Roman" w:hint="default"/>
          <w:b/>
          <w:bCs/>
          <w:spacing w:val="2"/>
          <w:sz w:val="28"/>
          <w:szCs w:val="28"/>
        </w:rPr>
        <w:t> </w:t>
      </w:r>
      <w:r>
        <w:rPr>
          <w:rFonts w:ascii="宋体" w:hAnsi="宋体" w:cs="宋体" w:eastAsia="宋体" w:hint="default"/>
          <w:b/>
          <w:bCs/>
          <w:sz w:val="28"/>
          <w:szCs w:val="28"/>
        </w:rPr>
        <w:t>月</w:t>
      </w:r>
      <w:r>
        <w:rPr>
          <w:rFonts w:ascii="宋体" w:hAnsi="宋体" w:cs="宋体" w:eastAsia="宋体" w:hint="default"/>
          <w:b/>
          <w:bCs/>
          <w:spacing w:val="-70"/>
          <w:sz w:val="28"/>
          <w:szCs w:val="28"/>
        </w:rPr>
        <w:t> </w:t>
      </w:r>
      <w:r>
        <w:rPr>
          <w:rFonts w:ascii="Times New Roman" w:hAnsi="Times New Roman" w:cs="Times New Roman" w:eastAsia="Times New Roman" w:hint="default"/>
          <w:b/>
          <w:bCs/>
          <w:sz w:val="28"/>
          <w:szCs w:val="28"/>
        </w:rPr>
        <w:t>9 </w:t>
      </w:r>
      <w:r>
        <w:rPr>
          <w:rFonts w:ascii="宋体" w:hAnsi="宋体" w:cs="宋体" w:eastAsia="宋体" w:hint="default"/>
          <w:b/>
          <w:bCs/>
          <w:sz w:val="28"/>
          <w:szCs w:val="28"/>
        </w:rPr>
        <w:t>日总</w:t>
      </w:r>
      <w:r>
        <w:rPr>
          <w:rFonts w:ascii="宋体" w:hAnsi="宋体" w:cs="宋体" w:eastAsia="宋体" w:hint="default"/>
          <w:sz w:val="28"/>
          <w:szCs w:val="28"/>
        </w:rPr>
      </w:r>
    </w:p>
    <w:p>
      <w:pPr>
        <w:spacing w:line="386" w:lineRule="auto" w:before="236"/>
        <w:ind w:left="152" w:right="104" w:firstLine="0"/>
        <w:jc w:val="both"/>
        <w:rPr>
          <w:rFonts w:ascii="宋体" w:hAnsi="宋体" w:cs="宋体" w:eastAsia="宋体" w:hint="default"/>
          <w:sz w:val="28"/>
          <w:szCs w:val="28"/>
        </w:rPr>
      </w:pPr>
      <w:r>
        <w:rPr>
          <w:rFonts w:ascii="宋体" w:hAnsi="宋体" w:cs="宋体" w:eastAsia="宋体" w:hint="default"/>
          <w:b/>
          <w:bCs/>
          <w:sz w:val="28"/>
          <w:szCs w:val="28"/>
        </w:rPr>
        <w:t>股本</w:t>
      </w:r>
      <w:r>
        <w:rPr>
          <w:rFonts w:ascii="宋体" w:hAnsi="宋体" w:cs="宋体" w:eastAsia="宋体" w:hint="default"/>
          <w:b/>
          <w:bCs/>
          <w:spacing w:val="-59"/>
          <w:sz w:val="28"/>
          <w:szCs w:val="28"/>
        </w:rPr>
        <w:t> </w:t>
      </w:r>
      <w:r>
        <w:rPr>
          <w:rFonts w:ascii="Times New Roman" w:hAnsi="Times New Roman" w:cs="Times New Roman" w:eastAsia="Times New Roman" w:hint="default"/>
          <w:b/>
          <w:bCs/>
          <w:sz w:val="28"/>
          <w:szCs w:val="28"/>
        </w:rPr>
        <w:t>316,472,493</w:t>
      </w:r>
      <w:r>
        <w:rPr>
          <w:rFonts w:ascii="Times New Roman" w:hAnsi="Times New Roman" w:cs="Times New Roman" w:eastAsia="Times New Roman" w:hint="default"/>
          <w:b/>
          <w:bCs/>
          <w:spacing w:val="8"/>
          <w:sz w:val="28"/>
          <w:szCs w:val="28"/>
        </w:rPr>
        <w:t> </w:t>
      </w:r>
      <w:r>
        <w:rPr>
          <w:rFonts w:ascii="宋体" w:hAnsi="宋体" w:cs="宋体" w:eastAsia="宋体" w:hint="default"/>
          <w:b/>
          <w:bCs/>
          <w:sz w:val="28"/>
          <w:szCs w:val="28"/>
        </w:rPr>
        <w:t>股扣除经</w:t>
      </w:r>
      <w:r>
        <w:rPr>
          <w:rFonts w:ascii="宋体" w:hAnsi="宋体" w:cs="宋体" w:eastAsia="宋体" w:hint="default"/>
          <w:b/>
          <w:bCs/>
          <w:spacing w:val="-59"/>
          <w:sz w:val="28"/>
          <w:szCs w:val="28"/>
        </w:rPr>
        <w:t> </w:t>
      </w:r>
      <w:r>
        <w:rPr>
          <w:rFonts w:ascii="Times New Roman" w:hAnsi="Times New Roman" w:cs="Times New Roman" w:eastAsia="Times New Roman" w:hint="default"/>
          <w:b/>
          <w:bCs/>
          <w:sz w:val="28"/>
          <w:szCs w:val="28"/>
        </w:rPr>
        <w:t>2018</w:t>
      </w:r>
      <w:r>
        <w:rPr>
          <w:rFonts w:ascii="Times New Roman" w:hAnsi="Times New Roman" w:cs="Times New Roman" w:eastAsia="Times New Roman" w:hint="default"/>
          <w:b/>
          <w:bCs/>
          <w:spacing w:val="8"/>
          <w:sz w:val="28"/>
          <w:szCs w:val="28"/>
        </w:rPr>
        <w:t> </w:t>
      </w:r>
      <w:r>
        <w:rPr>
          <w:rFonts w:ascii="宋体" w:hAnsi="宋体" w:cs="宋体" w:eastAsia="宋体" w:hint="default"/>
          <w:b/>
          <w:bCs/>
          <w:sz w:val="28"/>
          <w:szCs w:val="28"/>
        </w:rPr>
        <w:t>年</w:t>
      </w:r>
      <w:r>
        <w:rPr>
          <w:rFonts w:ascii="宋体" w:hAnsi="宋体" w:cs="宋体" w:eastAsia="宋体" w:hint="default"/>
          <w:b/>
          <w:bCs/>
          <w:spacing w:val="-62"/>
          <w:sz w:val="28"/>
          <w:szCs w:val="28"/>
        </w:rPr>
        <w:t> </w:t>
      </w:r>
      <w:r>
        <w:rPr>
          <w:rFonts w:ascii="Times New Roman" w:hAnsi="Times New Roman" w:cs="Times New Roman" w:eastAsia="Times New Roman" w:hint="default"/>
          <w:b/>
          <w:bCs/>
          <w:sz w:val="28"/>
          <w:szCs w:val="28"/>
        </w:rPr>
        <w:t>4</w:t>
      </w:r>
      <w:r>
        <w:rPr>
          <w:rFonts w:ascii="Times New Roman" w:hAnsi="Times New Roman" w:cs="Times New Roman" w:eastAsia="Times New Roman" w:hint="default"/>
          <w:b/>
          <w:bCs/>
          <w:spacing w:val="8"/>
          <w:sz w:val="28"/>
          <w:szCs w:val="28"/>
        </w:rPr>
        <w:t> </w:t>
      </w:r>
      <w:r>
        <w:rPr>
          <w:rFonts w:ascii="宋体" w:hAnsi="宋体" w:cs="宋体" w:eastAsia="宋体" w:hint="default"/>
          <w:b/>
          <w:bCs/>
          <w:sz w:val="28"/>
          <w:szCs w:val="28"/>
        </w:rPr>
        <w:t>月</w:t>
      </w:r>
      <w:r>
        <w:rPr>
          <w:rFonts w:ascii="宋体" w:hAnsi="宋体" w:cs="宋体" w:eastAsia="宋体" w:hint="default"/>
          <w:b/>
          <w:bCs/>
          <w:spacing w:val="-62"/>
          <w:sz w:val="28"/>
          <w:szCs w:val="28"/>
        </w:rPr>
        <w:t> </w:t>
      </w:r>
      <w:r>
        <w:rPr>
          <w:rFonts w:ascii="Times New Roman" w:hAnsi="Times New Roman" w:cs="Times New Roman" w:eastAsia="Times New Roman" w:hint="default"/>
          <w:b/>
          <w:bCs/>
          <w:sz w:val="28"/>
          <w:szCs w:val="28"/>
        </w:rPr>
        <w:t>9</w:t>
      </w:r>
      <w:r>
        <w:rPr>
          <w:rFonts w:ascii="Times New Roman" w:hAnsi="Times New Roman" w:cs="Times New Roman" w:eastAsia="Times New Roman" w:hint="default"/>
          <w:b/>
          <w:bCs/>
          <w:spacing w:val="8"/>
          <w:sz w:val="28"/>
          <w:szCs w:val="28"/>
        </w:rPr>
        <w:t> </w:t>
      </w:r>
      <w:r>
        <w:rPr>
          <w:rFonts w:ascii="宋体" w:hAnsi="宋体" w:cs="宋体" w:eastAsia="宋体" w:hint="default"/>
          <w:b/>
          <w:bCs/>
          <w:sz w:val="28"/>
          <w:szCs w:val="28"/>
        </w:rPr>
        <w:t>日召开的第三届董事会第二十七次董</w:t>
      </w:r>
      <w:r>
        <w:rPr>
          <w:rFonts w:ascii="宋体" w:hAnsi="宋体" w:cs="宋体" w:eastAsia="宋体" w:hint="default"/>
          <w:b/>
          <w:bCs/>
          <w:w w:val="99"/>
          <w:sz w:val="28"/>
          <w:szCs w:val="28"/>
        </w:rPr>
        <w:t> </w:t>
      </w:r>
      <w:r>
        <w:rPr>
          <w:rFonts w:ascii="宋体" w:hAnsi="宋体" w:cs="宋体" w:eastAsia="宋体" w:hint="default"/>
          <w:b/>
          <w:bCs/>
          <w:w w:val="99"/>
          <w:sz w:val="28"/>
          <w:szCs w:val="28"/>
        </w:rPr>
        <w:t>事会审议通过的拟回购注销的限制性股票</w:t>
      </w:r>
      <w:r>
        <w:rPr>
          <w:rFonts w:ascii="宋体" w:hAnsi="宋体" w:cs="宋体" w:eastAsia="宋体" w:hint="default"/>
          <w:b/>
          <w:bCs/>
          <w:spacing w:val="-68"/>
          <w:w w:val="99"/>
          <w:sz w:val="28"/>
          <w:szCs w:val="28"/>
        </w:rPr>
        <w:t> </w:t>
      </w:r>
      <w:r>
        <w:rPr>
          <w:rFonts w:ascii="Times New Roman" w:hAnsi="Times New Roman" w:cs="Times New Roman" w:eastAsia="Times New Roman" w:hint="default"/>
          <w:b/>
          <w:bCs/>
          <w:spacing w:val="-15"/>
          <w:w w:val="100"/>
          <w:sz w:val="28"/>
          <w:szCs w:val="28"/>
        </w:rPr>
        <w:t>3</w:t>
      </w:r>
      <w:r>
        <w:rPr>
          <w:rFonts w:ascii="宋体" w:hAnsi="宋体" w:cs="宋体" w:eastAsia="宋体" w:hint="default"/>
          <w:b/>
          <w:bCs/>
          <w:spacing w:val="-15"/>
          <w:w w:val="100"/>
          <w:sz w:val="28"/>
          <w:szCs w:val="28"/>
        </w:rPr>
        <w:t>，</w:t>
      </w:r>
      <w:r>
        <w:rPr>
          <w:rFonts w:ascii="Times New Roman" w:hAnsi="Times New Roman" w:cs="Times New Roman" w:eastAsia="Times New Roman" w:hint="default"/>
          <w:b/>
          <w:bCs/>
          <w:spacing w:val="-15"/>
          <w:w w:val="100"/>
          <w:sz w:val="28"/>
          <w:szCs w:val="28"/>
        </w:rPr>
        <w:t>015,000</w:t>
      </w:r>
      <w:r>
        <w:rPr>
          <w:rFonts w:ascii="Times New Roman" w:hAnsi="Times New Roman" w:cs="Times New Roman" w:eastAsia="Times New Roman" w:hint="default"/>
          <w:b/>
          <w:bCs/>
          <w:spacing w:val="2"/>
          <w:w w:val="100"/>
          <w:sz w:val="28"/>
          <w:szCs w:val="28"/>
        </w:rPr>
        <w:t> </w:t>
      </w:r>
      <w:r>
        <w:rPr>
          <w:rFonts w:ascii="宋体" w:hAnsi="宋体" w:cs="宋体" w:eastAsia="宋体" w:hint="default"/>
          <w:b/>
          <w:bCs/>
          <w:w w:val="99"/>
          <w:sz w:val="28"/>
          <w:szCs w:val="28"/>
        </w:rPr>
        <w:t>股的股本</w:t>
      </w:r>
      <w:r>
        <w:rPr>
          <w:rFonts w:ascii="宋体" w:hAnsi="宋体" w:cs="宋体" w:eastAsia="宋体" w:hint="default"/>
          <w:b/>
          <w:bCs/>
          <w:spacing w:val="-69"/>
          <w:w w:val="99"/>
          <w:sz w:val="28"/>
          <w:szCs w:val="28"/>
        </w:rPr>
        <w:t> </w:t>
      </w:r>
      <w:r>
        <w:rPr>
          <w:rFonts w:ascii="Times New Roman" w:hAnsi="Times New Roman" w:cs="Times New Roman" w:eastAsia="Times New Roman" w:hint="default"/>
          <w:b/>
          <w:bCs/>
          <w:spacing w:val="-2"/>
          <w:w w:val="100"/>
          <w:sz w:val="28"/>
          <w:szCs w:val="28"/>
        </w:rPr>
        <w:t>313,457,493</w:t>
      </w:r>
      <w:r>
        <w:rPr>
          <w:rFonts w:ascii="Times New Roman" w:hAnsi="Times New Roman" w:cs="Times New Roman" w:eastAsia="Times New Roman" w:hint="default"/>
          <w:b/>
          <w:bCs/>
          <w:spacing w:val="3"/>
          <w:w w:val="100"/>
          <w:sz w:val="28"/>
          <w:szCs w:val="28"/>
        </w:rPr>
        <w:t> </w:t>
      </w:r>
      <w:r>
        <w:rPr>
          <w:rFonts w:ascii="宋体" w:hAnsi="宋体" w:cs="宋体" w:eastAsia="宋体" w:hint="default"/>
          <w:b/>
          <w:bCs/>
          <w:w w:val="99"/>
          <w:sz w:val="28"/>
          <w:szCs w:val="28"/>
        </w:rPr>
        <w:t>股为</w:t>
      </w:r>
      <w:r>
        <w:rPr>
          <w:rFonts w:ascii="宋体" w:hAnsi="宋体" w:cs="宋体" w:eastAsia="宋体" w:hint="default"/>
          <w:b/>
          <w:bCs/>
          <w:spacing w:val="-134"/>
          <w:w w:val="99"/>
          <w:sz w:val="28"/>
          <w:szCs w:val="28"/>
        </w:rPr>
        <w:t> </w:t>
      </w:r>
      <w:r>
        <w:rPr>
          <w:rFonts w:ascii="宋体" w:hAnsi="宋体" w:cs="宋体" w:eastAsia="宋体" w:hint="default"/>
          <w:b/>
          <w:bCs/>
          <w:w w:val="99"/>
          <w:sz w:val="28"/>
          <w:szCs w:val="28"/>
        </w:rPr>
        <w:t>基数，向全体股东每</w:t>
      </w:r>
      <w:r>
        <w:rPr>
          <w:rFonts w:ascii="宋体" w:hAnsi="宋体" w:cs="宋体" w:eastAsia="宋体" w:hint="default"/>
          <w:b/>
          <w:bCs/>
          <w:spacing w:val="-67"/>
          <w:w w:val="99"/>
          <w:sz w:val="28"/>
          <w:szCs w:val="28"/>
        </w:rPr>
        <w:t> </w:t>
      </w:r>
      <w:r>
        <w:rPr>
          <w:rFonts w:ascii="Times New Roman" w:hAnsi="Times New Roman" w:cs="Times New Roman" w:eastAsia="Times New Roman" w:hint="default"/>
          <w:b/>
          <w:bCs/>
          <w:spacing w:val="-1"/>
          <w:w w:val="100"/>
          <w:sz w:val="28"/>
          <w:szCs w:val="28"/>
        </w:rPr>
        <w:t>10</w:t>
      </w:r>
      <w:r>
        <w:rPr>
          <w:rFonts w:ascii="Times New Roman" w:hAnsi="Times New Roman" w:cs="Times New Roman" w:eastAsia="Times New Roman" w:hint="default"/>
          <w:b/>
          <w:bCs/>
          <w:spacing w:val="2"/>
          <w:w w:val="100"/>
          <w:sz w:val="28"/>
          <w:szCs w:val="28"/>
        </w:rPr>
        <w:t> </w:t>
      </w:r>
      <w:r>
        <w:rPr>
          <w:rFonts w:ascii="宋体" w:hAnsi="宋体" w:cs="宋体" w:eastAsia="宋体" w:hint="default"/>
          <w:b/>
          <w:bCs/>
          <w:w w:val="99"/>
          <w:sz w:val="28"/>
          <w:szCs w:val="28"/>
        </w:rPr>
        <w:t>股派发现金红利</w:t>
      </w:r>
      <w:r>
        <w:rPr>
          <w:rFonts w:ascii="宋体" w:hAnsi="宋体" w:cs="宋体" w:eastAsia="宋体" w:hint="default"/>
          <w:b/>
          <w:bCs/>
          <w:spacing w:val="-68"/>
          <w:w w:val="99"/>
          <w:sz w:val="28"/>
          <w:szCs w:val="28"/>
        </w:rPr>
        <w:t> </w:t>
      </w:r>
      <w:r>
        <w:rPr>
          <w:rFonts w:ascii="Times New Roman" w:hAnsi="Times New Roman" w:cs="Times New Roman" w:eastAsia="Times New Roman" w:hint="default"/>
          <w:b/>
          <w:bCs/>
          <w:spacing w:val="-1"/>
          <w:w w:val="100"/>
          <w:sz w:val="28"/>
          <w:szCs w:val="28"/>
        </w:rPr>
        <w:t>0.70</w:t>
      </w:r>
      <w:r>
        <w:rPr>
          <w:rFonts w:ascii="Times New Roman" w:hAnsi="Times New Roman" w:cs="Times New Roman" w:eastAsia="Times New Roman" w:hint="default"/>
          <w:b/>
          <w:bCs/>
          <w:w w:val="100"/>
          <w:sz w:val="28"/>
          <w:szCs w:val="28"/>
        </w:rPr>
        <w:t> </w:t>
      </w:r>
      <w:r>
        <w:rPr>
          <w:rFonts w:ascii="宋体" w:hAnsi="宋体" w:cs="宋体" w:eastAsia="宋体" w:hint="default"/>
          <w:b/>
          <w:bCs/>
          <w:spacing w:val="-16"/>
          <w:w w:val="99"/>
          <w:sz w:val="28"/>
          <w:szCs w:val="28"/>
        </w:rPr>
        <w:t>元（含税），送红股</w:t>
      </w:r>
      <w:r>
        <w:rPr>
          <w:rFonts w:ascii="宋体" w:hAnsi="宋体" w:cs="宋体" w:eastAsia="宋体" w:hint="default"/>
          <w:b/>
          <w:bCs/>
          <w:spacing w:val="-69"/>
          <w:w w:val="99"/>
          <w:sz w:val="28"/>
          <w:szCs w:val="28"/>
        </w:rPr>
        <w:t> </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1"/>
          <w:w w:val="100"/>
          <w:sz w:val="28"/>
          <w:szCs w:val="28"/>
        </w:rPr>
        <w:t> </w:t>
      </w:r>
      <w:r>
        <w:rPr>
          <w:rFonts w:ascii="宋体" w:hAnsi="宋体" w:cs="宋体" w:eastAsia="宋体" w:hint="default"/>
          <w:b/>
          <w:bCs/>
          <w:spacing w:val="-24"/>
          <w:w w:val="99"/>
          <w:sz w:val="28"/>
          <w:szCs w:val="28"/>
        </w:rPr>
        <w:t>股（含税），</w:t>
      </w:r>
      <w:r>
        <w:rPr>
          <w:rFonts w:ascii="宋体" w:hAnsi="宋体" w:cs="宋体" w:eastAsia="宋体" w:hint="default"/>
          <w:spacing w:val="-24"/>
          <w:sz w:val="28"/>
          <w:szCs w:val="28"/>
        </w:rPr>
      </w:r>
    </w:p>
    <w:p>
      <w:pPr>
        <w:spacing w:before="47"/>
        <w:ind w:left="152" w:right="0" w:firstLine="0"/>
        <w:jc w:val="both"/>
        <w:rPr>
          <w:rFonts w:ascii="宋体" w:hAnsi="宋体" w:cs="宋体" w:eastAsia="宋体" w:hint="default"/>
          <w:sz w:val="28"/>
          <w:szCs w:val="28"/>
        </w:rPr>
      </w:pPr>
      <w:r>
        <w:rPr>
          <w:rFonts w:ascii="宋体" w:hAnsi="宋体" w:cs="宋体" w:eastAsia="宋体" w:hint="default"/>
          <w:b/>
          <w:bCs/>
          <w:sz w:val="28"/>
          <w:szCs w:val="28"/>
        </w:rPr>
        <w:t>以资本公积金向全体股东每</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2"/>
          <w:sz w:val="28"/>
          <w:szCs w:val="28"/>
        </w:rPr>
        <w:t> </w:t>
      </w:r>
      <w:r>
        <w:rPr>
          <w:rFonts w:ascii="宋体" w:hAnsi="宋体" w:cs="宋体" w:eastAsia="宋体" w:hint="default"/>
          <w:b/>
          <w:bCs/>
          <w:sz w:val="28"/>
          <w:szCs w:val="28"/>
        </w:rPr>
        <w:t>股转增</w:t>
      </w:r>
      <w:r>
        <w:rPr>
          <w:rFonts w:ascii="宋体" w:hAnsi="宋体" w:cs="宋体" w:eastAsia="宋体" w:hint="default"/>
          <w:b/>
          <w:bCs/>
          <w:spacing w:val="-70"/>
          <w:sz w:val="28"/>
          <w:szCs w:val="28"/>
        </w:rPr>
        <w:t> </w:t>
      </w:r>
      <w:r>
        <w:rPr>
          <w:rFonts w:ascii="Times New Roman" w:hAnsi="Times New Roman" w:cs="Times New Roman" w:eastAsia="Times New Roman" w:hint="default"/>
          <w:b/>
          <w:bCs/>
          <w:sz w:val="28"/>
          <w:szCs w:val="28"/>
        </w:rPr>
        <w:t>0</w:t>
      </w:r>
      <w:r>
        <w:rPr>
          <w:rFonts w:ascii="Times New Roman" w:hAnsi="Times New Roman" w:cs="Times New Roman" w:eastAsia="Times New Roman" w:hint="default"/>
          <w:b/>
          <w:bCs/>
          <w:spacing w:val="-2"/>
          <w:sz w:val="28"/>
          <w:szCs w:val="28"/>
        </w:rPr>
        <w:t> </w:t>
      </w:r>
      <w:r>
        <w:rPr>
          <w:rFonts w:ascii="宋体" w:hAnsi="宋体" w:cs="宋体" w:eastAsia="宋体" w:hint="default"/>
          <w:b/>
          <w:bCs/>
          <w:sz w:val="28"/>
          <w:szCs w:val="28"/>
        </w:rPr>
        <w:t>股。</w:t>
      </w:r>
      <w:r>
        <w:rPr>
          <w:rFonts w:ascii="宋体" w:hAnsi="宋体" w:cs="宋体" w:eastAsia="宋体" w:hint="default"/>
          <w:sz w:val="28"/>
          <w:szCs w:val="28"/>
        </w:rPr>
      </w:r>
    </w:p>
    <w:p>
      <w:pPr>
        <w:spacing w:after="0"/>
        <w:jc w:val="both"/>
        <w:rPr>
          <w:rFonts w:ascii="宋体" w:hAnsi="宋体" w:cs="宋体" w:eastAsia="宋体" w:hint="default"/>
          <w:sz w:val="28"/>
          <w:szCs w:val="28"/>
        </w:rPr>
        <w:sectPr>
          <w:pgSz w:w="11910" w:h="16840"/>
          <w:pgMar w:header="745" w:footer="979" w:top="1060" w:bottom="1160" w:left="980" w:right="90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25"/>
        <w:ind w:left="2784" w:right="2784"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48"/>
          <w:szCs w:val="48"/>
        </w:rPr>
      </w:pPr>
    </w:p>
    <w:sdt>
      <w:sdtPr>
        <w:docPartObj>
          <w:docPartGallery w:val="Table of Contents"/>
          <w:docPartUnique/>
        </w:docPartObj>
      </w:sdtPr>
      <w:sdtEndPr/>
      <w:sdtContent>
        <w:p>
          <w:pPr>
            <w:pStyle w:val="TOC1"/>
            <w:tabs>
              <w:tab w:pos="9783" w:val="right" w:leader="dot"/>
            </w:tabs>
            <w:spacing w:line="240" w:lineRule="auto" w:before="0"/>
            <w:ind w:right="0"/>
            <w:jc w:val="left"/>
            <w:rPr>
              <w:rFonts w:ascii="Times New Roman" w:hAnsi="Times New Roman" w:cs="Times New Roman" w:eastAsia="Times New Roman" w:hint="default"/>
              <w:b w:val="0"/>
              <w:bCs w:val="0"/>
            </w:rPr>
          </w:pPr>
          <w:hyperlink w:history="true" w:anchor="_bookmark0">
            <w:r>
              <w:rPr/>
              <w:t>第一节</w:t>
            </w:r>
            <w:r>
              <w:rPr>
                <w:spacing w:val="-18"/>
              </w:rPr>
              <w:t> </w:t>
            </w:r>
            <w:r>
              <w:rPr/>
              <w:t>重要提示、目录和释义</w:t>
            </w:r>
            <w:r>
              <w:rPr>
                <w:rFonts w:ascii="Times New Roman" w:hAnsi="Times New Roman" w:cs="Times New Roman" w:eastAsia="Times New Roman" w:hint="default"/>
              </w:rPr>
              <w:tab/>
              <w:t>7</w:t>
            </w:r>
            <w:r>
              <w:rPr>
                <w:rFonts w:ascii="Times New Roman" w:hAnsi="Times New Roman" w:cs="Times New Roman" w:eastAsia="Times New Roman" w:hint="default"/>
                <w:b w:val="0"/>
                <w:bCs w:val="0"/>
              </w:rPr>
            </w:r>
          </w:hyperlink>
        </w:p>
        <w:p>
          <w:pPr>
            <w:pStyle w:val="TOC1"/>
            <w:tabs>
              <w:tab w:pos="9769"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r>
            <w:r>
              <w:rPr>
                <w:spacing w:val="-18"/>
              </w:rPr>
              <w:t> </w:t>
            </w:r>
            <w:r>
              <w:rPr/>
              <w:t>公司简介和主要财务指标</w:t>
            </w:r>
            <w:r>
              <w:rPr>
                <w:rFonts w:ascii="Times New Roman" w:hAnsi="Times New Roman" w:cs="Times New Roman" w:eastAsia="Times New Roman" w:hint="default"/>
              </w:rPr>
              <w:tab/>
            </w:r>
            <w:r>
              <w:rPr>
                <w:rFonts w:ascii="Times New Roman" w:hAnsi="Times New Roman" w:cs="Times New Roman" w:eastAsia="Times New Roman" w:hint="default"/>
                <w:spacing w:val="-15"/>
              </w:rPr>
              <w:t>11</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第三节</w:t>
            </w:r>
            <w:r>
              <w:rPr>
                <w:spacing w:val="-18"/>
              </w:rPr>
              <w:t> </w:t>
            </w:r>
            <w:r>
              <w:rPr/>
              <w:t>公司业务概要</w:t>
            </w:r>
            <w:r>
              <w:rPr>
                <w:rFonts w:ascii="Times New Roman" w:hAnsi="Times New Roman" w:cs="Times New Roman" w:eastAsia="Times New Roman" w:hint="default"/>
              </w:rPr>
              <w:tab/>
              <w:t>18</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18"/>
              </w:rPr>
              <w:t> </w:t>
            </w:r>
            <w:r>
              <w:rPr/>
              <w:t>经营情况讨论与分析</w:t>
            </w:r>
            <w:r>
              <w:rPr>
                <w:rFonts w:ascii="Times New Roman" w:hAnsi="Times New Roman" w:cs="Times New Roman" w:eastAsia="Times New Roman" w:hint="default"/>
              </w:rPr>
              <w:tab/>
              <w:t>43</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r>
            <w:r>
              <w:rPr>
                <w:spacing w:val="-18"/>
              </w:rPr>
              <w:t> </w:t>
            </w:r>
            <w:r>
              <w:rPr/>
              <w:t>重要事项</w:t>
            </w:r>
            <w:r>
              <w:rPr>
                <w:rFonts w:ascii="Times New Roman" w:hAnsi="Times New Roman" w:cs="Times New Roman" w:eastAsia="Times New Roman" w:hint="default"/>
              </w:rPr>
              <w:tab/>
              <w:t>71</w:t>
            </w:r>
            <w:r>
              <w:rPr>
                <w:rFonts w:ascii="Times New Roman" w:hAnsi="Times New Roman" w:cs="Times New Roman" w:eastAsia="Times New Roman" w:hint="default"/>
                <w:b w:val="0"/>
                <w:bCs w:val="0"/>
              </w:rPr>
            </w:r>
          </w:hyperlink>
        </w:p>
        <w:p>
          <w:pPr>
            <w:pStyle w:val="TOC1"/>
            <w:tabs>
              <w:tab w:pos="9783" w:val="right" w:leader="dot"/>
            </w:tabs>
            <w:spacing w:line="240" w:lineRule="auto" w:before="316"/>
            <w:ind w:right="0"/>
            <w:jc w:val="left"/>
            <w:rPr>
              <w:rFonts w:ascii="Times New Roman" w:hAnsi="Times New Roman" w:cs="Times New Roman" w:eastAsia="Times New Roman" w:hint="default"/>
              <w:b w:val="0"/>
              <w:bCs w:val="0"/>
            </w:rPr>
          </w:pPr>
          <w:hyperlink w:history="true" w:anchor="_bookmark5">
            <w:r>
              <w:rPr/>
              <w:t>第六节</w:t>
            </w:r>
            <w:r>
              <w:rPr>
                <w:spacing w:val="-18"/>
              </w:rPr>
              <w:t> </w:t>
            </w:r>
            <w:r>
              <w:rPr/>
              <w:t>股份变动及股东情况</w:t>
            </w:r>
            <w:r>
              <w:rPr>
                <w:rFonts w:ascii="Times New Roman" w:hAnsi="Times New Roman" w:cs="Times New Roman" w:eastAsia="Times New Roman" w:hint="default"/>
              </w:rPr>
              <w:tab/>
              <w:t>81</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第七节</w:t>
            </w:r>
            <w:r>
              <w:rPr>
                <w:spacing w:val="-18"/>
              </w:rPr>
              <w:t> </w:t>
            </w:r>
            <w:r>
              <w:rPr/>
              <w:t>优先股相关情况</w:t>
            </w:r>
            <w:r>
              <w:rPr>
                <w:rFonts w:ascii="Times New Roman" w:hAnsi="Times New Roman" w:cs="Times New Roman" w:eastAsia="Times New Roman" w:hint="default"/>
              </w:rPr>
              <w:tab/>
              <w:t>81</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第八节</w:t>
            </w:r>
            <w:r>
              <w:rPr>
                <w:spacing w:val="-18"/>
              </w:rPr>
              <w:t> </w:t>
            </w:r>
            <w:r>
              <w:rPr/>
              <w:t>董事、监事、高级管理人员和员工情况</w:t>
            </w:r>
            <w:r>
              <w:rPr>
                <w:rFonts w:ascii="Times New Roman" w:hAnsi="Times New Roman" w:cs="Times New Roman" w:eastAsia="Times New Roman" w:hint="default"/>
              </w:rPr>
              <w:tab/>
              <w:t>82</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第九节</w:t>
            </w:r>
            <w:r>
              <w:rPr>
                <w:spacing w:val="-18"/>
              </w:rPr>
              <w:t> </w:t>
            </w:r>
            <w:r>
              <w:rPr/>
              <w:t>公司治理</w:t>
            </w:r>
            <w:r>
              <w:rPr>
                <w:rFonts w:ascii="Times New Roman" w:hAnsi="Times New Roman" w:cs="Times New Roman" w:eastAsia="Times New Roman" w:hint="default"/>
              </w:rPr>
              <w:tab/>
              <w:t>90</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第十节</w:t>
            </w:r>
            <w:r>
              <w:rPr>
                <w:spacing w:val="-18"/>
              </w:rPr>
              <w:t> </w:t>
            </w:r>
            <w:r>
              <w:rPr/>
              <w:t>公司债券相关情况</w:t>
            </w:r>
            <w:r>
              <w:rPr>
                <w:rFonts w:ascii="Times New Roman" w:hAnsi="Times New Roman" w:cs="Times New Roman" w:eastAsia="Times New Roman" w:hint="default"/>
              </w:rPr>
              <w:tab/>
              <w:t>97</w:t>
            </w:r>
            <w:r>
              <w:rPr>
                <w:rFonts w:ascii="Times New Roman" w:hAnsi="Times New Roman" w:cs="Times New Roman" w:eastAsia="Times New Roman" w:hint="default"/>
                <w:b w:val="0"/>
                <w:bCs w:val="0"/>
              </w:rPr>
            </w:r>
          </w:hyperlink>
        </w:p>
        <w:p>
          <w:pPr>
            <w:pStyle w:val="TOC1"/>
            <w:tabs>
              <w:tab w:pos="9783" w:val="right" w:leader="dot"/>
            </w:tabs>
            <w:spacing w:line="240" w:lineRule="auto" w:before="316"/>
            <w:ind w:right="0"/>
            <w:jc w:val="left"/>
            <w:rPr>
              <w:rFonts w:ascii="Times New Roman" w:hAnsi="Times New Roman" w:cs="Times New Roman" w:eastAsia="Times New Roman" w:hint="default"/>
              <w:b w:val="0"/>
              <w:bCs w:val="0"/>
            </w:rPr>
          </w:pPr>
          <w:hyperlink w:history="true" w:anchor="_bookmark9">
            <w:r>
              <w:rPr/>
              <w:t>第十一节</w:t>
            </w:r>
            <w:r>
              <w:rPr>
                <w:spacing w:val="-17"/>
              </w:rPr>
              <w:t> </w:t>
            </w:r>
            <w:r>
              <w:rPr/>
              <w:t>财务报告</w:t>
            </w:r>
            <w:r>
              <w:rPr>
                <w:rFonts w:ascii="Times New Roman" w:hAnsi="Times New Roman" w:cs="Times New Roman" w:eastAsia="Times New Roman" w:hint="default"/>
              </w:rPr>
              <w:tab/>
              <w:t>98</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第十二节</w:t>
            </w:r>
            <w:r>
              <w:rPr>
                <w:spacing w:val="-18"/>
              </w:rPr>
              <w:t> </w:t>
            </w:r>
            <w:r>
              <w:rPr/>
              <w:t>备查文件目录</w:t>
            </w:r>
            <w:r>
              <w:rPr>
                <w:rFonts w:ascii="Times New Roman" w:hAnsi="Times New Roman" w:cs="Times New Roman" w:eastAsia="Times New Roman" w:hint="default"/>
              </w:rPr>
              <w:tab/>
              <w:t>218</w:t>
            </w:r>
            <w:r>
              <w:rPr>
                <w:rFonts w:ascii="Times New Roman" w:hAnsi="Times New Roman" w:cs="Times New Roman" w:eastAsia="Times New Roman" w:hint="default"/>
                <w:b w:val="0"/>
                <w:bCs w:val="0"/>
              </w:rPr>
            </w:r>
          </w:hyperlink>
        </w:p>
      </w:sdtContent>
    </w:sdt>
    <w:p>
      <w:pPr>
        <w:spacing w:after="0" w:line="240" w:lineRule="auto"/>
        <w:jc w:val="left"/>
        <w:rPr>
          <w:rFonts w:ascii="Times New Roman" w:hAnsi="Times New Roman" w:cs="Times New Roman" w:eastAsia="Times New Roman" w:hint="default"/>
        </w:rPr>
        <w:sectPr>
          <w:pgSz w:w="11910" w:h="16840"/>
          <w:pgMar w:header="745" w:footer="979" w:top="1060" w:bottom="1160" w:left="980" w:right="980"/>
        </w:sectPr>
      </w:pPr>
    </w:p>
    <w:p>
      <w:pPr>
        <w:spacing w:before="945"/>
        <w:ind w:left="2784" w:right="2784"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536"/>
        <w:gridCol w:w="599"/>
        <w:gridCol w:w="5436"/>
      </w:tblGrid>
      <w:tr>
        <w:trPr>
          <w:trHeight w:val="403"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天玑科技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上海天玑科技股份有限公司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力克数码</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上海力克数码科技有限公司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系公司全资子公司</w:t>
            </w:r>
          </w:p>
        </w:tc>
      </w:tr>
      <w:tr>
        <w:trPr>
          <w:trHeight w:val="404"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领卓咨询</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上海领卓企业管理咨询有限公司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系公司全资子公司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极品数据</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TOP Data</w:t>
            </w:r>
            <w:r>
              <w:rPr>
                <w:rFonts w:ascii="Times New Roman" w:hAnsi="Times New Roman" w:cs="Times New Roman" w:eastAsia="Times New Roman" w:hint="default"/>
                <w:spacing w:val="-15"/>
                <w:sz w:val="18"/>
                <w:szCs w:val="18"/>
              </w:rPr>
              <w:t> </w:t>
            </w:r>
            <w:r>
              <w:rPr>
                <w:rFonts w:ascii="Times New Roman" w:hAnsi="Times New Roman" w:cs="Times New Roman" w:eastAsia="Times New Roman" w:hint="default"/>
                <w:sz w:val="18"/>
                <w:szCs w:val="18"/>
              </w:rPr>
              <w:t>Systems,Inc,</w:t>
            </w:r>
            <w:r>
              <w:rPr>
                <w:rFonts w:ascii="宋体" w:hAnsi="宋体" w:cs="宋体" w:eastAsia="宋体" w:hint="default"/>
                <w:sz w:val="18"/>
                <w:szCs w:val="18"/>
              </w:rPr>
              <w:t>极品数据系统公司</w:t>
            </w:r>
            <w:r>
              <w:rPr>
                <w:rFonts w:ascii="Times New Roman" w:hAnsi="Times New Roman" w:cs="Times New Roman" w:eastAsia="Times New Roman" w:hint="default"/>
                <w:sz w:val="18"/>
                <w:szCs w:val="18"/>
              </w:rPr>
              <w:t>(</w:t>
            </w:r>
            <w:r>
              <w:rPr>
                <w:rFonts w:ascii="宋体" w:hAnsi="宋体" w:cs="宋体" w:eastAsia="宋体" w:hint="default"/>
                <w:sz w:val="18"/>
                <w:szCs w:val="18"/>
              </w:rPr>
              <w:t>美国</w:t>
            </w:r>
            <w:r>
              <w:rPr>
                <w:rFonts w:ascii="Times New Roman" w:hAnsi="Times New Roman" w:cs="Times New Roman" w:eastAsia="Times New Roman" w:hint="default"/>
                <w:sz w:val="18"/>
                <w:szCs w:val="18"/>
              </w:rPr>
              <w:t>),</w:t>
            </w:r>
            <w:r>
              <w:rPr>
                <w:rFonts w:ascii="宋体" w:hAnsi="宋体" w:cs="宋体" w:eastAsia="宋体" w:hint="default"/>
                <w:sz w:val="18"/>
                <w:szCs w:val="18"/>
              </w:rPr>
              <w:t>系公司全资子公司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极品数据</w:t>
            </w:r>
            <w:r>
              <w:rPr>
                <w:rFonts w:ascii="Times New Roman" w:hAnsi="Times New Roman" w:cs="Times New Roman" w:eastAsia="Times New Roman" w:hint="default"/>
                <w:sz w:val="18"/>
                <w:szCs w:val="18"/>
              </w:rPr>
              <w:t>(</w:t>
            </w:r>
            <w:r>
              <w:rPr>
                <w:rFonts w:ascii="宋体" w:hAnsi="宋体" w:cs="宋体" w:eastAsia="宋体" w:hint="default"/>
                <w:sz w:val="18"/>
                <w:szCs w:val="18"/>
              </w:rPr>
              <w:t>香港</w:t>
            </w:r>
            <w:r>
              <w:rPr>
                <w:rFonts w:ascii="Times New Roman" w:hAnsi="Times New Roman" w:cs="Times New Roman" w:eastAsia="Times New Roman" w:hint="default"/>
                <w:sz w:val="18"/>
                <w:szCs w:val="18"/>
              </w:rPr>
              <w:t>)</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极品数据系统</w:t>
            </w:r>
            <w:r>
              <w:rPr>
                <w:rFonts w:ascii="Times New Roman" w:hAnsi="Times New Roman" w:cs="Times New Roman" w:eastAsia="Times New Roman" w:hint="default"/>
                <w:sz w:val="18"/>
                <w:szCs w:val="18"/>
              </w:rPr>
              <w:t>(</w:t>
            </w:r>
            <w:r>
              <w:rPr>
                <w:rFonts w:ascii="宋体" w:hAnsi="宋体" w:cs="宋体" w:eastAsia="宋体" w:hint="default"/>
                <w:sz w:val="18"/>
                <w:szCs w:val="18"/>
              </w:rPr>
              <w:t>香港</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系公司全资子公司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复深蓝</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上海复深蓝软件股份有限公司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系公司参股公司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杉岩</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深圳市杉岩数据技术有限公司，系控股子公司参股公司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天玑数据</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上海天玑数据技术有限公司，系公司控股子公司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力拓信息</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北京天玑力拓信息技术有限公司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系公司全资子公司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平民软件</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杭州平民软件有限公司，系公司控股子公司</w:t>
            </w:r>
          </w:p>
        </w:tc>
      </w:tr>
      <w:tr>
        <w:trPr>
          <w:trHeight w:val="404"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广捷科技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杭州广捷科技有限公司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系公司全资子公司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鸿昇科技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杭州鸿昇科技有限公司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系公司全资子公司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西安力拓</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西安天玑力拓信息技术有限公司，系控股子公司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杭州分公司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上海天玑科技股份有限公司杭州分公司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北京分公司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上海天玑科技股份有限公司北京分公司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武汉分公司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上海天玑科技股份有限公司武汉分公司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沈阳分公司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上海天玑科技股份有限公司沈阳分公司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广州分公司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上海天玑科技股份有限公司广州分公司</w:t>
            </w:r>
          </w:p>
        </w:tc>
      </w:tr>
      <w:tr>
        <w:trPr>
          <w:trHeight w:val="404"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南京分公司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上海天玑科技股份有限公司南京分公司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成都分公司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上海天玑科技股份有限公司成都分公司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深圳分公司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上海天玑科技股份有限公司深圳分公司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上海天玑科技股份有限公司股东大会</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上海天玑科技股份有限公司董事会</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上海天玑科技股份有限公司监事会</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0"/>
          <w:szCs w:val="20"/>
        </w:rPr>
      </w:pPr>
    </w:p>
    <w:p>
      <w:pPr>
        <w:pStyle w:val="Heading1"/>
        <w:spacing w:line="240" w:lineRule="auto"/>
        <w:ind w:left="2642" w:right="0"/>
        <w:jc w:val="left"/>
        <w:rPr>
          <w:b w:val="0"/>
          <w:bCs w:val="0"/>
        </w:rPr>
      </w:pPr>
      <w:bookmarkStart w:name="_bookmark0" w:id="1"/>
      <w:bookmarkEnd w:id="1"/>
      <w:r>
        <w:rPr>
          <w:b w:val="0"/>
          <w:bCs w:val="0"/>
        </w:rPr>
      </w:r>
      <w:r>
        <w:rPr/>
        <w:t>第二节</w:t>
      </w:r>
      <w:r>
        <w:rPr>
          <w:spacing w:val="-5"/>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r>
        <w:rPr/>
        <w:pict>
          <v:group style="position:absolute;margin-left:172.339996pt;margin-top:114.705597pt;width:361.55pt;height:19.7pt;mso-position-horizontal-relative:page;mso-position-vertical-relative:paragraph;z-index:-1016848" coordorigin="3447,2294" coordsize="7231,394">
            <v:shape style="position:absolute;left:3447;top:2294;width:7231;height:394" coordorigin="3447,2294" coordsize="7231,394" path="m3447,2688l10677,2688,10677,2294,3447,2294,3447,2688xe" filled="true" fillcolor="#ffffff" stroked="false">
              <v:path arrowok="t"/>
              <v:fill type="solid"/>
            </v:shape>
            <w10:wrap type="none"/>
          </v:group>
        </w:pict>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2"/>
        <w:gridCol w:w="2966"/>
        <w:gridCol w:w="2154"/>
        <w:gridCol w:w="2177"/>
      </w:tblGrid>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天玑科技</w:t>
            </w:r>
          </w:p>
        </w:tc>
        <w:tc>
          <w:tcPr>
            <w:tcW w:w="2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300245</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上海天玑科技股份有限公司</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上海天玑科技股份有限公司</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天玑科技</w:t>
            </w:r>
          </w:p>
        </w:tc>
      </w:tr>
      <w:tr>
        <w:trPr>
          <w:trHeight w:val="403" w:hRule="exact"/>
        </w:trPr>
        <w:tc>
          <w:tcPr>
            <w:tcW w:w="227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8"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Shanghai DragonNet Technology</w:t>
            </w:r>
            <w:r>
              <w:rPr>
                <w:rFonts w:ascii="Times New Roman"/>
                <w:spacing w:val="-29"/>
                <w:sz w:val="18"/>
              </w:rPr>
              <w:t> </w:t>
            </w:r>
            <w:r>
              <w:rPr>
                <w:rFonts w:ascii="Times New Roman"/>
                <w:sz w:val="18"/>
              </w:rPr>
              <w:t>Co.,Ltd.</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陆文雄</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上海市青浦区清河湾路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室</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201700</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上海市闵行区田林路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号科技绿洲三期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号楼</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200233</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8">
              <w:r>
                <w:rPr>
                  <w:rFonts w:ascii="Times New Roman"/>
                  <w:sz w:val="18"/>
                </w:rPr>
                <w:t>www.dnt.com.cn</w:t>
              </w:r>
            </w:hyperlink>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9">
              <w:r>
                <w:rPr>
                  <w:rFonts w:ascii="Times New Roman"/>
                  <w:sz w:val="18"/>
                </w:rPr>
                <w:t>public@dnt.com.cn</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二、联系人和联系方式</w:t>
      </w:r>
      <w:r>
        <w:rPr>
          <w:b w:val="0"/>
          <w:bCs w:val="0"/>
        </w:rPr>
      </w:r>
    </w:p>
    <w:p>
      <w:pPr>
        <w:spacing w:line="240" w:lineRule="auto" w:before="11"/>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陆廷洁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余美伊</w:t>
            </w:r>
          </w:p>
        </w:tc>
      </w:tr>
      <w:tr>
        <w:trPr>
          <w:trHeight w:val="161" w:hRule="exact"/>
        </w:trPr>
        <w:tc>
          <w:tcPr>
            <w:tcW w:w="3168" w:type="dxa"/>
            <w:tcBorders>
              <w:top w:val="single" w:sz="4" w:space="0" w:color="000000"/>
              <w:left w:val="single" w:sz="4" w:space="0" w:color="000000"/>
              <w:bottom w:val="nil" w:sz="6" w:space="0" w:color="auto"/>
              <w:right w:val="single" w:sz="4" w:space="0" w:color="000000"/>
            </w:tcBorders>
            <w:shd w:val="clear" w:color="auto" w:fill="D2D2D2"/>
          </w:tcPr>
          <w:p>
            <w:pPr/>
          </w:p>
        </w:tc>
        <w:tc>
          <w:tcPr>
            <w:tcW w:w="3201" w:type="dxa"/>
            <w:vMerge w:val="restart"/>
            <w:tcBorders>
              <w:top w:val="single" w:sz="4" w:space="0" w:color="000000"/>
              <w:left w:val="single" w:sz="9" w:space="0" w:color="D2D2D2"/>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上海市闵行区田林路</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号科技绿洲三</w:t>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期</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上海市闵行区田林路</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1016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号科技绿洲三</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期</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p>
        </w:tc>
      </w:tr>
      <w:tr>
        <w:trPr>
          <w:trHeight w:val="391" w:hRule="exact"/>
        </w:trPr>
        <w:tc>
          <w:tcPr>
            <w:tcW w:w="31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1"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68" w:type="dxa"/>
            <w:tcBorders>
              <w:top w:val="nil" w:sz="6" w:space="0" w:color="auto"/>
              <w:left w:val="single" w:sz="4" w:space="0" w:color="000000"/>
              <w:bottom w:val="single" w:sz="4" w:space="0" w:color="000000"/>
              <w:right w:val="single" w:sz="4" w:space="0" w:color="000000"/>
            </w:tcBorders>
            <w:shd w:val="clear" w:color="auto" w:fill="D2D2D2"/>
          </w:tcPr>
          <w:p>
            <w:pPr/>
          </w:p>
        </w:tc>
        <w:tc>
          <w:tcPr>
            <w:tcW w:w="3201"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021-54278888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021-54278888</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021-23521380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021-23521380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9">
              <w:r>
                <w:rPr>
                  <w:rFonts w:ascii="Times New Roman"/>
                  <w:sz w:val="18"/>
                </w:rPr>
                <w:t>public@dnt.com.cn</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9">
              <w:r>
                <w:rPr>
                  <w:rFonts w:ascii="Times New Roman"/>
                  <w:sz w:val="18"/>
                </w:rPr>
                <w:t>public@dnt.com.cn</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1"/>
        <w:gridCol w:w="5579"/>
      </w:tblGrid>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z w:val="18"/>
                <w:szCs w:val="18"/>
              </w:rPr>
              <w:t>《上海证券</w:t>
            </w:r>
            <w:r>
              <w:rPr>
                <w:rFonts w:ascii="宋体" w:hAnsi="宋体" w:cs="宋体" w:eastAsia="宋体" w:hint="default"/>
                <w:spacing w:val="2"/>
                <w:sz w:val="18"/>
                <w:szCs w:val="18"/>
              </w:rPr>
              <w:t>报</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《中国证券报》</w:t>
            </w:r>
          </w:p>
        </w:tc>
      </w:tr>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上海市闵行区田林路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号科技绿洲三期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号楼</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四、其他有关资料</w:t>
      </w:r>
      <w:r>
        <w:rPr>
          <w:b w:val="0"/>
          <w:bCs w:val="0"/>
        </w:rPr>
      </w:r>
    </w:p>
    <w:p>
      <w:pPr>
        <w:spacing w:line="240" w:lineRule="auto" w:before="7"/>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after="0"/>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61"/>
        <w:gridCol w:w="6909"/>
      </w:tblGrid>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上海市南京东路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朱育勤</w:t>
            </w:r>
            <w:r>
              <w:rPr>
                <w:rFonts w:ascii="宋体" w:hAnsi="宋体" w:cs="宋体" w:eastAsia="宋体" w:hint="default"/>
                <w:spacing w:val="1"/>
                <w:sz w:val="18"/>
                <w:szCs w:val="18"/>
              </w:rPr>
              <w:t> </w:t>
            </w:r>
            <w:r>
              <w:rPr>
                <w:rFonts w:ascii="宋体" w:hAnsi="宋体" w:cs="宋体" w:eastAsia="宋体" w:hint="default"/>
                <w:sz w:val="18"/>
                <w:szCs w:val="18"/>
              </w:rPr>
              <w:t>、鲍列仑</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华泰联合证券有限责任公司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上海市东方路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号保利广场</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 </w:t>
            </w:r>
            <w:r>
              <w:rPr>
                <w:rFonts w:ascii="宋体" w:hAnsi="宋体" w:cs="宋体" w:eastAsia="宋体" w:hint="default"/>
                <w:sz w:val="18"/>
                <w:szCs w:val="18"/>
              </w:rPr>
              <w:t>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楼华泰联合证券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孙川、邹晓东</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公司聘请的报告期内履行持续督导职责的财务顾问</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五、主要会计数据和财务指标</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公司是否需追溯调整或重述以前年度会计数据</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8"/>
        <w:gridCol w:w="1749"/>
        <w:gridCol w:w="1738"/>
        <w:gridCol w:w="1738"/>
        <w:gridCol w:w="1735"/>
      </w:tblGrid>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359,535,979.29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417,224,083.22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-13.83%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394,995,623.83</w:t>
            </w:r>
          </w:p>
        </w:tc>
      </w:tr>
      <w:tr>
        <w:trPr>
          <w:trHeight w:val="716"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7"/>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54,954,319.42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57,773,537.53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-4.88%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45,302,096.37</w:t>
            </w:r>
          </w:p>
        </w:tc>
      </w:tr>
      <w:tr>
        <w:trPr>
          <w:trHeight w:val="71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54"/>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26,673,564.09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47,961,245.21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-44.39%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35,614,528.14</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46,011,344.92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55,513,809.30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-17.12%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33,971,725.75</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0.20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0.22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-9.09%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0.17</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0.20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0.21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-4.76%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0.17</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-1.34%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6.65%</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1,525,737,049.21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999,302,513.37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52.68%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815,914,970.23</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1,369,081,119.65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733,644,892.34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86.61%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682,640,534.45</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六、分季度主要财务指标</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40"/>
        <w:gridCol w:w="1738"/>
        <w:gridCol w:w="1730"/>
      </w:tblGrid>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7"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78,943,914.90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112,084,906.95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75,762,487.04</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92,744,670.40</w:t>
            </w:r>
          </w:p>
        </w:tc>
      </w:tr>
      <w:tr>
        <w:trPr>
          <w:trHeight w:val="40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6,245,195.60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36,704,751.79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8,945,277.46</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3,059,094.57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20"/>
        <w:gridCol w:w="1741"/>
        <w:gridCol w:w="1740"/>
        <w:gridCol w:w="1738"/>
        <w:gridCol w:w="1730"/>
      </w:tblGrid>
      <w:tr>
        <w:trPr>
          <w:trHeight w:val="713" w:hRule="exact"/>
        </w:trPr>
        <w:tc>
          <w:tcPr>
            <w:tcW w:w="2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6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4,564,327.06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15,824,534.10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4,467,947.34</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1,816,755.59</w:t>
            </w:r>
          </w:p>
        </w:tc>
      </w:tr>
      <w:tr>
        <w:trPr>
          <w:trHeight w:val="403" w:hRule="exact"/>
        </w:trPr>
        <w:tc>
          <w:tcPr>
            <w:tcW w:w="2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-24,543,444.35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-1,890,774.46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-11,272,388.83</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83,717,952.56</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上述财务指标或其加总数是否与公司已披露季度报告、半年度报告相关财务指标存在重大差异</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七、境内外会计准则下会计数据差异</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5"/>
        <w:rPr>
          <w:rFonts w:ascii="宋体" w:hAnsi="宋体" w:cs="宋体" w:eastAsia="宋体" w:hint="default"/>
          <w:b/>
          <w:bCs/>
          <w:sz w:val="26"/>
          <w:szCs w:val="26"/>
        </w:rPr>
      </w:pPr>
    </w:p>
    <w:p>
      <w:pPr>
        <w:spacing w:line="338" w:lineRule="auto" w:before="0"/>
        <w:ind w:left="152" w:right="59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公司报告期不存在按照国际会计准则与按照中国会计准则披露的财务报告中净利润和净资产差异情况。</w:t>
      </w:r>
    </w:p>
    <w:p>
      <w:pPr>
        <w:spacing w:line="240" w:lineRule="auto" w:before="7"/>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spacing w:line="338" w:lineRule="auto" w:before="0"/>
        <w:ind w:left="152" w:right="16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公司报告期不存在按照境外会计准则与按照中国会计准则披露的财务报告中净利润和净资产差异情况。</w:t>
      </w:r>
    </w:p>
    <w:p>
      <w:pPr>
        <w:spacing w:line="240" w:lineRule="auto" w:before="8"/>
        <w:rPr>
          <w:rFonts w:ascii="宋体" w:hAnsi="宋体" w:cs="宋体" w:eastAsia="宋体" w:hint="default"/>
          <w:sz w:val="19"/>
          <w:szCs w:val="19"/>
        </w:rPr>
      </w:pPr>
    </w:p>
    <w:p>
      <w:pPr>
        <w:pStyle w:val="Heading2"/>
        <w:spacing w:line="240" w:lineRule="auto"/>
        <w:ind w:right="0"/>
        <w:jc w:val="left"/>
        <w:rPr>
          <w:b w:val="0"/>
          <w:bCs w:val="0"/>
        </w:rPr>
      </w:pPr>
      <w:r>
        <w:rPr/>
        <w:t>八、非经常性损益项目及金额</w:t>
      </w:r>
      <w:r>
        <w:rPr>
          <w:b w:val="0"/>
          <w:bCs w:val="0"/>
        </w:rPr>
      </w:r>
    </w:p>
    <w:p>
      <w:pPr>
        <w:spacing w:line="240" w:lineRule="auto" w:before="1"/>
        <w:rPr>
          <w:rFonts w:ascii="宋体" w:hAnsi="宋体" w:cs="宋体" w:eastAsia="宋体" w:hint="default"/>
          <w:b/>
          <w:bCs/>
          <w:sz w:val="23"/>
          <w:szCs w:val="23"/>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3"/>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1"/>
      </w:tblGrid>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-15,994,353.03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150,073.95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-647,293.74</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8,317,219.08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6,921,279.31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12,923,389.04</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 的损益</w:t>
            </w:r>
          </w:p>
        </w:tc>
        <w:tc>
          <w:tcPr>
            <w:tcW w:w="1532" w:type="dxa"/>
            <w:tcBorders>
              <w:top w:val="single" w:sz="4" w:space="0" w:color="000000"/>
              <w:left w:val="single" w:sz="10"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4,140,508.38</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65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35,858.89</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-792,097.06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372,304.57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1,657.11</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25,709,121.40</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4,956,397.77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1,593,080.30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1,869,168.35</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少数股东权益影响额（税后）</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-15,961,403.82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178,793.59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721,015.83</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28,280,755.33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9,812,292.32</w:t>
            </w:r>
          </w:p>
        </w:tc>
        <w:tc>
          <w:tcPr>
            <w:tcW w:w="152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9,687,568.23</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5"/>
          <w:szCs w:val="25"/>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0" w:lineRule="auto" w:before="63"/>
        <w:ind w:left="152" w:right="139"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72"/>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300" w:lineRule="auto" w:before="101"/>
        <w:ind w:left="152" w:right="137" w:firstLine="0"/>
        <w:jc w:val="left"/>
        <w:rPr>
          <w:rFonts w:ascii="宋体" w:hAnsi="宋体" w:cs="宋体" w:eastAsia="宋体" w:hint="default"/>
          <w:sz w:val="18"/>
          <w:szCs w:val="18"/>
        </w:rPr>
      </w:pPr>
      <w:r>
        <w:rPr>
          <w:rFonts w:ascii="宋体" w:hAnsi="宋体" w:cs="宋体" w:eastAsia="宋体" w:hint="default"/>
          <w:sz w:val="18"/>
          <w:szCs w:val="18"/>
        </w:rPr>
        <w:t>公司报告期不存在将根据《公开发行证券的公司信息披露解释性公告第</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非经常性损益》定义、列举的非经常性损益</w:t>
      </w:r>
      <w:r>
        <w:rPr>
          <w:rFonts w:ascii="宋体" w:hAnsi="宋体" w:cs="宋体" w:eastAsia="宋体" w:hint="default"/>
          <w:sz w:val="18"/>
          <w:szCs w:val="18"/>
        </w:rPr>
        <w:t> 项目界定为经常性损益的项目的情形。</w:t>
      </w:r>
    </w:p>
    <w:p>
      <w:pPr>
        <w:spacing w:after="0" w:line="30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2785"/>
        <w:jc w:val="center"/>
        <w:rPr>
          <w:b w:val="0"/>
          <w:bCs w:val="0"/>
        </w:rPr>
      </w:pPr>
      <w:bookmarkStart w:name="_bookmark1" w:id="2"/>
      <w:bookmarkEnd w:id="2"/>
      <w:r>
        <w:rPr>
          <w:b w:val="0"/>
          <w:bCs w:val="0"/>
        </w:rPr>
      </w:r>
      <w:r>
        <w:rPr/>
        <w:t>第三节</w:t>
      </w:r>
      <w:r>
        <w:rPr>
          <w:spacing w:val="-6"/>
        </w:rPr>
        <w:t> </w:t>
      </w:r>
      <w:r>
        <w:rPr/>
        <w:t>公司业务概要</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left"/>
        <w:rPr>
          <w:b w:val="0"/>
          <w:bCs w:val="0"/>
        </w:rPr>
      </w:pPr>
      <w:r>
        <w:rPr/>
        <w:t>一、报告期内公司从事的主要业务</w:t>
      </w:r>
      <w:r>
        <w:rPr>
          <w:b w:val="0"/>
          <w:bCs w:val="0"/>
        </w:rPr>
      </w:r>
    </w:p>
    <w:p>
      <w:pPr>
        <w:spacing w:line="240" w:lineRule="auto" w:before="4"/>
        <w:rPr>
          <w:rFonts w:ascii="宋体" w:hAnsi="宋体" w:cs="宋体" w:eastAsia="宋体" w:hint="default"/>
          <w:b/>
          <w:bCs/>
          <w:sz w:val="26"/>
          <w:szCs w:val="26"/>
        </w:rPr>
      </w:pPr>
    </w:p>
    <w:p>
      <w:pPr>
        <w:spacing w:line="360" w:lineRule="auto" w:before="0"/>
        <w:ind w:left="152" w:right="6714"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240" w:lineRule="auto" w:before="83"/>
        <w:ind w:right="0"/>
        <w:jc w:val="left"/>
      </w:pPr>
      <w:r>
        <w:rPr>
          <w:rFonts w:ascii="Times New Roman" w:hAnsi="Times New Roman" w:cs="Times New Roman" w:eastAsia="Times New Roman" w:hint="default"/>
        </w:rPr>
        <w:t>1</w:t>
      </w:r>
      <w:r>
        <w:rPr/>
        <w:t>、报告期内公司主要服务和产品</w:t>
      </w:r>
    </w:p>
    <w:p>
      <w:pPr>
        <w:pStyle w:val="BodyText"/>
        <w:spacing w:line="436" w:lineRule="exact" w:before="37"/>
        <w:ind w:left="633" w:right="0" w:hanging="481"/>
        <w:jc w:val="left"/>
      </w:pPr>
      <w:r>
        <w:rPr/>
        <w:t>①</w:t>
      </w:r>
      <w:r>
        <w:rPr>
          <w:spacing w:val="-21"/>
        </w:rPr>
        <w:t> </w:t>
      </w:r>
      <w:r>
        <w:rPr>
          <w:rFonts w:ascii="Times New Roman" w:hAnsi="Times New Roman" w:cs="Times New Roman" w:eastAsia="Times New Roman" w:hint="default"/>
        </w:rPr>
        <w:t>IT</w:t>
      </w:r>
      <w:r>
        <w:rPr/>
        <w:t>支持与维护服务</w:t>
      </w:r>
      <w:r>
        <w:rPr>
          <w:w w:val="100"/>
        </w:rPr>
        <w:t> </w:t>
      </w:r>
      <w:r>
        <w:rPr>
          <w:rFonts w:ascii="Times New Roman" w:hAnsi="Times New Roman" w:cs="Times New Roman" w:eastAsia="Times New Roman" w:hint="default"/>
          <w:spacing w:val="-3"/>
        </w:rPr>
        <w:t>IT</w:t>
      </w:r>
      <w:r>
        <w:rPr>
          <w:spacing w:val="-3"/>
        </w:rPr>
        <w:t>支持与维护服务：指在用户购买</w:t>
      </w:r>
      <w:r>
        <w:rPr>
          <w:rFonts w:ascii="Times New Roman" w:hAnsi="Times New Roman" w:cs="Times New Roman" w:eastAsia="Times New Roman" w:hint="default"/>
          <w:spacing w:val="-3"/>
        </w:rPr>
        <w:t>IT</w:t>
      </w:r>
      <w:r>
        <w:rPr>
          <w:spacing w:val="-3"/>
        </w:rPr>
        <w:t>产品后，帮助用户正确使用，排除</w:t>
      </w:r>
      <w:r>
        <w:rPr>
          <w:rFonts w:ascii="Times New Roman" w:hAnsi="Times New Roman" w:cs="Times New Roman" w:eastAsia="Times New Roman" w:hint="default"/>
          <w:spacing w:val="-3"/>
        </w:rPr>
        <w:t>IT</w:t>
      </w:r>
      <w:r>
        <w:rPr>
          <w:spacing w:val="-3"/>
        </w:rPr>
        <w:t>产品故障，保障其功效按照</w:t>
      </w:r>
    </w:p>
    <w:p>
      <w:pPr>
        <w:pStyle w:val="BodyText"/>
        <w:spacing w:line="254" w:lineRule="exact"/>
        <w:ind w:right="0"/>
        <w:jc w:val="left"/>
      </w:pPr>
      <w:r>
        <w:rPr/>
        <w:t>用户的要求正常发挥的服务，包括承诺的产品保修期内的厂商服务和保修期后的延展收费服务，主要涉及</w:t>
      </w:r>
    </w:p>
    <w:p>
      <w:pPr>
        <w:pStyle w:val="BodyText"/>
        <w:spacing w:line="273" w:lineRule="auto" w:before="37"/>
        <w:ind w:right="0"/>
        <w:jc w:val="left"/>
      </w:pPr>
      <w:r>
        <w:rPr>
          <w:spacing w:val="-2"/>
        </w:rPr>
        <w:t>的产品包括计算机硬件、计算机软件和网络设备。此外，天玑科技还提供以一次性故障解决为目的的单次</w:t>
      </w:r>
      <w:r>
        <w:rPr>
          <w:spacing w:val="-43"/>
        </w:rPr>
        <w:t> </w:t>
      </w:r>
      <w:r>
        <w:rPr>
          <w:spacing w:val="-43"/>
        </w:rPr>
      </w:r>
      <w:r>
        <w:rPr/>
        <w:t>收费服务，作为补充形式向未签订维护合约的用户提供服务。</w:t>
      </w:r>
    </w:p>
    <w:p>
      <w:pPr>
        <w:pStyle w:val="BodyText"/>
        <w:spacing w:line="264" w:lineRule="auto" w:before="127"/>
        <w:ind w:right="146" w:firstLine="480"/>
        <w:jc w:val="both"/>
      </w:pPr>
      <w:r>
        <w:rPr>
          <w:rFonts w:ascii="Times New Roman" w:hAnsi="Times New Roman" w:cs="Times New Roman" w:eastAsia="Times New Roman" w:hint="default"/>
          <w:spacing w:val="-3"/>
        </w:rPr>
        <w:t>IT</w:t>
      </w:r>
      <w:r>
        <w:rPr>
          <w:spacing w:val="-3"/>
        </w:rPr>
        <w:t>支持与维护服务的主要服务内容有主动性服务项目和支持响应服务项目，主要包括：定期的系统环</w:t>
      </w:r>
      <w:r>
        <w:rPr>
          <w:w w:val="100"/>
        </w:rPr>
        <w:t> </w:t>
      </w:r>
      <w:r>
        <w:rPr>
          <w:spacing w:val="-2"/>
        </w:rPr>
        <w:t>境检查、定期的设备健康性检查、技术支持响应、故障解决、部件更换等标准支持服务，以及根据用户需</w:t>
      </w:r>
      <w:r>
        <w:rPr>
          <w:spacing w:val="-43"/>
        </w:rPr>
        <w:t> </w:t>
      </w:r>
      <w:r>
        <w:rPr>
          <w:spacing w:val="-43"/>
        </w:rPr>
      </w:r>
      <w:r>
        <w:rPr/>
        <w:t>求定制的各类增强性支持服务。</w:t>
      </w:r>
    </w:p>
    <w:p>
      <w:pPr>
        <w:pStyle w:val="BodyText"/>
        <w:spacing w:line="256" w:lineRule="auto" w:before="136"/>
        <w:ind w:right="146" w:firstLine="480"/>
        <w:jc w:val="both"/>
      </w:pPr>
      <w:r>
        <w:rPr>
          <w:rFonts w:ascii="Times New Roman" w:hAnsi="Times New Roman" w:cs="Times New Roman" w:eastAsia="Times New Roman" w:hint="default"/>
          <w:spacing w:val="-3"/>
        </w:rPr>
        <w:t>IT</w:t>
      </w:r>
      <w:r>
        <w:rPr>
          <w:spacing w:val="-3"/>
        </w:rPr>
        <w:t>支持与维护服务重点关注系统的可用性，其主要用途是在维护服务期间，提供无故障时的定期预防</w:t>
      </w:r>
      <w:r>
        <w:rPr>
          <w:w w:val="100"/>
        </w:rPr>
        <w:t> </w:t>
      </w:r>
      <w:r>
        <w:rPr/>
        <w:t>性维护服务和故障时的紧急响应支持服务，使用户</w:t>
      </w:r>
      <w:r>
        <w:rPr>
          <w:rFonts w:ascii="Times New Roman" w:hAnsi="Times New Roman" w:cs="Times New Roman" w:eastAsia="Times New Roman" w:hint="default"/>
        </w:rPr>
        <w:t>IT</w:t>
      </w:r>
      <w:r>
        <w:rPr/>
        <w:t>系统基础设施的整体可用性得到有效提升。</w:t>
      </w:r>
    </w:p>
    <w:p>
      <w:pPr>
        <w:pStyle w:val="BodyText"/>
        <w:spacing w:line="240" w:lineRule="auto" w:before="123"/>
        <w:ind w:left="633" w:right="0"/>
        <w:jc w:val="left"/>
      </w:pPr>
      <w:r>
        <w:rPr/>
        <w:t>数据中心</w:t>
      </w:r>
      <w:r>
        <w:rPr>
          <w:rFonts w:ascii="Times New Roman" w:hAnsi="Times New Roman" w:cs="Times New Roman" w:eastAsia="Times New Roman" w:hint="default"/>
        </w:rPr>
        <w:t>IT</w:t>
      </w:r>
      <w:r>
        <w:rPr/>
        <w:t>基础设施支持与维护服务流程如下图所示：</w:t>
      </w:r>
    </w:p>
    <w:p>
      <w:pPr>
        <w:spacing w:line="240" w:lineRule="auto" w:before="9"/>
        <w:rPr>
          <w:rFonts w:ascii="宋体" w:hAnsi="宋体" w:cs="宋体" w:eastAsia="宋体" w:hint="default"/>
          <w:sz w:val="11"/>
          <w:szCs w:val="11"/>
        </w:rPr>
      </w:pPr>
    </w:p>
    <w:p>
      <w:pPr>
        <w:spacing w:line="6171" w:lineRule="exact"/>
        <w:ind w:left="633" w:right="0" w:firstLine="0"/>
        <w:rPr>
          <w:rFonts w:ascii="宋体" w:hAnsi="宋体" w:cs="宋体" w:eastAsia="宋体" w:hint="default"/>
          <w:sz w:val="20"/>
          <w:szCs w:val="20"/>
        </w:rPr>
      </w:pPr>
      <w:r>
        <w:rPr>
          <w:rFonts w:ascii="宋体" w:hAnsi="宋体" w:cs="宋体" w:eastAsia="宋体" w:hint="default"/>
          <w:position w:val="-122"/>
          <w:sz w:val="20"/>
          <w:szCs w:val="20"/>
        </w:rPr>
        <w:drawing>
          <wp:inline distT="0" distB="0" distL="0" distR="0">
            <wp:extent cx="4331158" cy="3918966"/>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10" cstate="print"/>
                    <a:stretch>
                      <a:fillRect/>
                    </a:stretch>
                  </pic:blipFill>
                  <pic:spPr>
                    <a:xfrm>
                      <a:off x="0" y="0"/>
                      <a:ext cx="4331158" cy="3918966"/>
                    </a:xfrm>
                    <a:prstGeom prst="rect">
                      <a:avLst/>
                    </a:prstGeom>
                  </pic:spPr>
                </pic:pic>
              </a:graphicData>
            </a:graphic>
          </wp:inline>
        </w:drawing>
      </w:r>
      <w:r>
        <w:rPr>
          <w:rFonts w:ascii="宋体" w:hAnsi="宋体" w:cs="宋体" w:eastAsia="宋体" w:hint="default"/>
          <w:position w:val="-122"/>
          <w:sz w:val="20"/>
          <w:szCs w:val="20"/>
        </w:rPr>
      </w:r>
    </w:p>
    <w:p>
      <w:pPr>
        <w:spacing w:after="0" w:line="6171" w:lineRule="exact"/>
        <w:rPr>
          <w:rFonts w:ascii="宋体" w:hAnsi="宋体" w:cs="宋体" w:eastAsia="宋体" w:hint="default"/>
          <w:sz w:val="20"/>
          <w:szCs w:val="20"/>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BodyText"/>
        <w:spacing w:line="240" w:lineRule="auto" w:before="36"/>
        <w:ind w:right="101"/>
        <w:jc w:val="left"/>
      </w:pPr>
      <w:r>
        <w:rPr/>
        <w:t>②</w:t>
      </w:r>
      <w:r>
        <w:rPr>
          <w:spacing w:val="-21"/>
        </w:rPr>
        <w:t> </w:t>
      </w:r>
      <w:r>
        <w:rPr>
          <w:rFonts w:ascii="Times New Roman" w:hAnsi="Times New Roman" w:cs="Times New Roman" w:eastAsia="Times New Roman" w:hint="default"/>
        </w:rPr>
        <w:t>IT</w:t>
      </w:r>
      <w:r>
        <w:rPr/>
        <w:t>外包服务</w:t>
      </w:r>
    </w:p>
    <w:p>
      <w:pPr>
        <w:pStyle w:val="BodyText"/>
        <w:spacing w:line="256" w:lineRule="auto" w:before="143"/>
        <w:ind w:right="101" w:firstLine="480"/>
        <w:jc w:val="left"/>
      </w:pPr>
      <w:r>
        <w:rPr>
          <w:rFonts w:ascii="Times New Roman" w:hAnsi="Times New Roman" w:cs="Times New Roman" w:eastAsia="Times New Roman" w:hint="default"/>
          <w:spacing w:val="-3"/>
        </w:rPr>
        <w:t>IT</w:t>
      </w:r>
      <w:r>
        <w:rPr>
          <w:spacing w:val="-3"/>
        </w:rPr>
        <w:t>外包服务：指利用</w:t>
      </w:r>
      <w:r>
        <w:rPr>
          <w:rFonts w:ascii="Times New Roman" w:hAnsi="Times New Roman" w:cs="Times New Roman" w:eastAsia="Times New Roman" w:hint="default"/>
          <w:spacing w:val="-3"/>
        </w:rPr>
        <w:t>IT</w:t>
      </w:r>
      <w:r>
        <w:rPr>
          <w:spacing w:val="-3"/>
        </w:rPr>
        <w:t>系统来帮助用户完成某项流程或任务，支持其自身目标实现的服务集合，这是</w:t>
      </w:r>
      <w:r>
        <w:rPr>
          <w:w w:val="100"/>
        </w:rPr>
        <w:t> </w:t>
      </w:r>
      <w:r>
        <w:rPr/>
        <w:t>一种面向用户任务的承揽式服务，其具体形式有面向商业任务的业务流程外包和面向</w:t>
      </w:r>
      <w:r>
        <w:rPr>
          <w:rFonts w:ascii="Times New Roman" w:hAnsi="Times New Roman" w:cs="Times New Roman" w:eastAsia="Times New Roman" w:hint="default"/>
        </w:rPr>
        <w:t>IT</w:t>
      </w:r>
      <w:r>
        <w:rPr/>
        <w:t>任务的</w:t>
      </w:r>
      <w:r>
        <w:rPr>
          <w:rFonts w:ascii="Times New Roman" w:hAnsi="Times New Roman" w:cs="Times New Roman" w:eastAsia="Times New Roman" w:hint="default"/>
        </w:rPr>
        <w:t>IT</w:t>
      </w:r>
      <w:r>
        <w:rPr/>
        <w:t>外包。</w:t>
      </w:r>
    </w:p>
    <w:p>
      <w:pPr>
        <w:pStyle w:val="BodyText"/>
        <w:spacing w:line="434" w:lineRule="exact" w:before="23"/>
        <w:ind w:left="633" w:right="101"/>
        <w:jc w:val="left"/>
      </w:pPr>
      <w:r>
        <w:rPr>
          <w:rFonts w:ascii="Times New Roman" w:hAnsi="Times New Roman" w:cs="Times New Roman" w:eastAsia="Times New Roman" w:hint="default"/>
        </w:rPr>
        <w:t>IT</w:t>
      </w:r>
      <w:r>
        <w:rPr/>
        <w:t>外包服务的服务形式有专人驻场服务、远程运维服务和系统托管运维服务。</w:t>
      </w:r>
      <w:r>
        <w:rPr>
          <w:w w:val="100"/>
        </w:rPr>
        <w:t> </w:t>
      </w:r>
      <w:r>
        <w:rPr>
          <w:rFonts w:ascii="Times New Roman" w:hAnsi="Times New Roman" w:cs="Times New Roman" w:eastAsia="Times New Roman" w:hint="default"/>
          <w:spacing w:val="-3"/>
        </w:rPr>
        <w:t>IT</w:t>
      </w:r>
      <w:r>
        <w:rPr>
          <w:spacing w:val="-3"/>
        </w:rPr>
        <w:t>外包服务重点关注系统的运维管理能力，其主要用途是向用户提供专业的</w:t>
      </w:r>
      <w:r>
        <w:rPr>
          <w:rFonts w:ascii="Times New Roman" w:hAnsi="Times New Roman" w:cs="Times New Roman" w:eastAsia="Times New Roman" w:hint="default"/>
          <w:spacing w:val="-3"/>
        </w:rPr>
        <w:t>IT</w:t>
      </w:r>
      <w:r>
        <w:rPr>
          <w:spacing w:val="-3"/>
        </w:rPr>
        <w:t>系统运维外包服务，使</w:t>
      </w:r>
    </w:p>
    <w:p>
      <w:pPr>
        <w:pStyle w:val="BodyText"/>
        <w:spacing w:line="252" w:lineRule="exact"/>
        <w:ind w:right="101"/>
        <w:jc w:val="left"/>
      </w:pPr>
      <w:r>
        <w:rPr/>
        <w:t>用户自身资源更专注于其核心业务，提升自身的业务竞争力。</w:t>
      </w:r>
    </w:p>
    <w:p>
      <w:pPr>
        <w:spacing w:line="240" w:lineRule="auto" w:before="4"/>
        <w:rPr>
          <w:rFonts w:ascii="宋体" w:hAnsi="宋体" w:cs="宋体" w:eastAsia="宋体" w:hint="default"/>
          <w:sz w:val="21"/>
          <w:szCs w:val="21"/>
        </w:rPr>
      </w:pPr>
    </w:p>
    <w:p>
      <w:pPr>
        <w:spacing w:line="3520" w:lineRule="exact"/>
        <w:ind w:left="863" w:right="0" w:firstLine="0"/>
        <w:rPr>
          <w:rFonts w:ascii="宋体" w:hAnsi="宋体" w:cs="宋体" w:eastAsia="宋体" w:hint="default"/>
          <w:sz w:val="20"/>
          <w:szCs w:val="20"/>
        </w:rPr>
      </w:pPr>
      <w:r>
        <w:rPr>
          <w:rFonts w:ascii="宋体" w:hAnsi="宋体" w:cs="宋体" w:eastAsia="宋体" w:hint="default"/>
          <w:position w:val="-69"/>
          <w:sz w:val="20"/>
          <w:szCs w:val="20"/>
        </w:rPr>
        <w:drawing>
          <wp:inline distT="0" distB="0" distL="0" distR="0">
            <wp:extent cx="5216228" cy="2235707"/>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1" cstate="print"/>
                    <a:stretch>
                      <a:fillRect/>
                    </a:stretch>
                  </pic:blipFill>
                  <pic:spPr>
                    <a:xfrm>
                      <a:off x="0" y="0"/>
                      <a:ext cx="5216228" cy="2235707"/>
                    </a:xfrm>
                    <a:prstGeom prst="rect">
                      <a:avLst/>
                    </a:prstGeom>
                  </pic:spPr>
                </pic:pic>
              </a:graphicData>
            </a:graphic>
          </wp:inline>
        </w:drawing>
      </w:r>
      <w:r>
        <w:rPr>
          <w:rFonts w:ascii="宋体" w:hAnsi="宋体" w:cs="宋体" w:eastAsia="宋体" w:hint="default"/>
          <w:position w:val="-69"/>
          <w:sz w:val="20"/>
          <w:szCs w:val="20"/>
        </w:rPr>
      </w:r>
    </w:p>
    <w:p>
      <w:pPr>
        <w:spacing w:line="240" w:lineRule="auto" w:before="0"/>
        <w:rPr>
          <w:rFonts w:ascii="宋体" w:hAnsi="宋体" w:cs="宋体" w:eastAsia="宋体" w:hint="default"/>
          <w:sz w:val="17"/>
          <w:szCs w:val="17"/>
        </w:rPr>
      </w:pPr>
    </w:p>
    <w:p>
      <w:pPr>
        <w:pStyle w:val="BodyText"/>
        <w:spacing w:line="240" w:lineRule="auto"/>
        <w:ind w:right="101"/>
        <w:jc w:val="left"/>
      </w:pPr>
      <w:r>
        <w:rPr/>
        <w:t>③</w:t>
      </w:r>
      <w:r>
        <w:rPr>
          <w:spacing w:val="-21"/>
        </w:rPr>
        <w:t> </w:t>
      </w:r>
      <w:r>
        <w:rPr>
          <w:rFonts w:ascii="Times New Roman" w:hAnsi="Times New Roman" w:cs="Times New Roman" w:eastAsia="Times New Roman" w:hint="default"/>
        </w:rPr>
        <w:t>IT</w:t>
      </w:r>
      <w:r>
        <w:rPr/>
        <w:t>专业服务</w:t>
      </w:r>
    </w:p>
    <w:p>
      <w:pPr>
        <w:pStyle w:val="BodyText"/>
        <w:spacing w:line="256" w:lineRule="auto" w:before="144"/>
        <w:ind w:right="101" w:firstLine="480"/>
        <w:jc w:val="left"/>
      </w:pPr>
      <w:r>
        <w:rPr>
          <w:rFonts w:ascii="Times New Roman" w:hAnsi="Times New Roman" w:cs="Times New Roman" w:eastAsia="Times New Roman" w:hint="default"/>
          <w:spacing w:val="-3"/>
        </w:rPr>
        <w:t>IT</w:t>
      </w:r>
      <w:r>
        <w:rPr>
          <w:spacing w:val="-3"/>
        </w:rPr>
        <w:t>专业服务：指针对数据中心</w:t>
      </w:r>
      <w:r>
        <w:rPr>
          <w:rFonts w:ascii="Times New Roman" w:hAnsi="Times New Roman" w:cs="Times New Roman" w:eastAsia="Times New Roman" w:hint="default"/>
          <w:spacing w:val="-3"/>
        </w:rPr>
        <w:t>IT</w:t>
      </w:r>
      <w:r>
        <w:rPr>
          <w:spacing w:val="-3"/>
        </w:rPr>
        <w:t>基础设施的专业咨询和技术实施服务，包括为数据中心提供</w:t>
      </w:r>
      <w:r>
        <w:rPr>
          <w:rFonts w:ascii="Times New Roman" w:hAnsi="Times New Roman" w:cs="Times New Roman" w:eastAsia="Times New Roman" w:hint="default"/>
          <w:spacing w:val="-3"/>
        </w:rPr>
        <w:t>IT</w:t>
      </w:r>
      <w:r>
        <w:rPr>
          <w:spacing w:val="-3"/>
        </w:rPr>
        <w:t>基础设</w:t>
      </w:r>
      <w:r>
        <w:rPr>
          <w:w w:val="100"/>
        </w:rPr>
        <w:t> </w:t>
      </w:r>
      <w:r>
        <w:rPr/>
        <w:t>施的系统咨询、系统设计、系统评估服务；系统调优、设备配置、设备升级、设备搬迁等实施服务。</w:t>
      </w:r>
    </w:p>
    <w:p>
      <w:pPr>
        <w:pStyle w:val="BodyText"/>
        <w:spacing w:line="256" w:lineRule="auto" w:before="145"/>
        <w:ind w:right="101" w:firstLine="480"/>
        <w:jc w:val="left"/>
      </w:pPr>
      <w:r>
        <w:rPr>
          <w:rFonts w:ascii="Times New Roman" w:hAnsi="Times New Roman" w:cs="Times New Roman" w:eastAsia="Times New Roman" w:hint="default"/>
          <w:spacing w:val="-6"/>
          <w:w w:val="100"/>
        </w:rPr>
        <w:t>IT</w:t>
      </w:r>
      <w:r>
        <w:rPr>
          <w:spacing w:val="-6"/>
          <w:w w:val="100"/>
        </w:rPr>
        <w:t>专业服务重点关注系统的稳定性、安全性和运行效率，其主要用途是通过专业咨询和实施服务项目，</w:t>
      </w:r>
      <w:r>
        <w:rPr>
          <w:w w:val="100"/>
        </w:rPr>
        <w:t> </w:t>
      </w:r>
      <w:r>
        <w:rPr/>
        <w:t>优化用户</w:t>
      </w:r>
      <w:r>
        <w:rPr>
          <w:rFonts w:ascii="Times New Roman" w:hAnsi="Times New Roman" w:cs="Times New Roman" w:eastAsia="Times New Roman" w:hint="default"/>
        </w:rPr>
        <w:t>IT</w:t>
      </w:r>
      <w:r>
        <w:rPr/>
        <w:t>系统基础设施的组成结构和性能，使用户</w:t>
      </w:r>
      <w:r>
        <w:rPr>
          <w:rFonts w:ascii="Times New Roman" w:hAnsi="Times New Roman" w:cs="Times New Roman" w:eastAsia="Times New Roman" w:hint="default"/>
        </w:rPr>
        <w:t>IT</w:t>
      </w:r>
      <w:r>
        <w:rPr/>
        <w:t>基础设施的整体稳定性、安全性和性能得到有效提</w:t>
      </w:r>
      <w:r>
        <w:rPr>
          <w:w w:val="100"/>
        </w:rPr>
        <w:t> </w:t>
      </w:r>
      <w:r>
        <w:rPr/>
        <w:t>升。</w:t>
      </w:r>
    </w:p>
    <w:p>
      <w:pPr>
        <w:spacing w:line="240" w:lineRule="auto" w:before="2"/>
        <w:rPr>
          <w:rFonts w:ascii="宋体" w:hAnsi="宋体" w:cs="宋体" w:eastAsia="宋体" w:hint="default"/>
          <w:sz w:val="8"/>
          <w:szCs w:val="8"/>
        </w:rPr>
      </w:pPr>
    </w:p>
    <w:p>
      <w:pPr>
        <w:pStyle w:val="BodyText"/>
        <w:spacing w:line="240" w:lineRule="auto" w:before="36"/>
        <w:ind w:left="633" w:right="101"/>
        <w:jc w:val="left"/>
      </w:pPr>
      <w:r>
        <w:rPr/>
        <w:t>数据中心</w:t>
      </w:r>
      <w:r>
        <w:rPr>
          <w:rFonts w:ascii="Times New Roman" w:hAnsi="Times New Roman" w:cs="Times New Roman" w:eastAsia="Times New Roman" w:hint="default"/>
        </w:rPr>
        <w:t>IT</w:t>
      </w:r>
      <w:r>
        <w:rPr/>
        <w:t>基础设施专业服务的流程如下图所示：</w:t>
      </w:r>
    </w:p>
    <w:p>
      <w:pPr>
        <w:spacing w:line="240" w:lineRule="auto" w:before="0"/>
        <w:rPr>
          <w:rFonts w:ascii="宋体" w:hAnsi="宋体" w:cs="宋体" w:eastAsia="宋体" w:hint="default"/>
          <w:sz w:val="12"/>
          <w:szCs w:val="12"/>
        </w:rPr>
      </w:pPr>
    </w:p>
    <w:p>
      <w:pPr>
        <w:spacing w:line="4352" w:lineRule="exact"/>
        <w:ind w:left="1127" w:right="0" w:firstLine="0"/>
        <w:rPr>
          <w:rFonts w:ascii="宋体" w:hAnsi="宋体" w:cs="宋体" w:eastAsia="宋体" w:hint="default"/>
          <w:sz w:val="20"/>
          <w:szCs w:val="20"/>
        </w:rPr>
      </w:pPr>
      <w:r>
        <w:rPr>
          <w:rFonts w:ascii="宋体" w:hAnsi="宋体" w:cs="宋体" w:eastAsia="宋体" w:hint="default"/>
          <w:position w:val="-86"/>
          <w:sz w:val="20"/>
          <w:szCs w:val="20"/>
        </w:rPr>
        <w:drawing>
          <wp:inline distT="0" distB="0" distL="0" distR="0">
            <wp:extent cx="4874972" cy="2763774"/>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12" cstate="print"/>
                    <a:stretch>
                      <a:fillRect/>
                    </a:stretch>
                  </pic:blipFill>
                  <pic:spPr>
                    <a:xfrm>
                      <a:off x="0" y="0"/>
                      <a:ext cx="4874972" cy="2763774"/>
                    </a:xfrm>
                    <a:prstGeom prst="rect">
                      <a:avLst/>
                    </a:prstGeom>
                  </pic:spPr>
                </pic:pic>
              </a:graphicData>
            </a:graphic>
          </wp:inline>
        </w:drawing>
      </w:r>
      <w:r>
        <w:rPr>
          <w:rFonts w:ascii="宋体" w:hAnsi="宋体" w:cs="宋体" w:eastAsia="宋体" w:hint="default"/>
          <w:position w:val="-86"/>
          <w:sz w:val="20"/>
          <w:szCs w:val="20"/>
        </w:rPr>
      </w:r>
    </w:p>
    <w:p>
      <w:pPr>
        <w:spacing w:after="0" w:line="4352" w:lineRule="exact"/>
        <w:rPr>
          <w:rFonts w:ascii="宋体" w:hAnsi="宋体" w:cs="宋体" w:eastAsia="宋体" w:hint="default"/>
          <w:sz w:val="20"/>
          <w:szCs w:val="20"/>
        </w:rPr>
        <w:sectPr>
          <w:pgSz w:w="11910" w:h="16840"/>
          <w:pgMar w:header="745" w:footer="979" w:top="1060" w:bottom="1160" w:left="980" w:right="920"/>
        </w:sectPr>
      </w:pPr>
    </w:p>
    <w:p>
      <w:pPr>
        <w:spacing w:line="240" w:lineRule="auto" w:before="10"/>
        <w:rPr>
          <w:rFonts w:ascii="宋体" w:hAnsi="宋体" w:cs="宋体" w:eastAsia="宋体" w:hint="default"/>
          <w:sz w:val="24"/>
          <w:szCs w:val="24"/>
        </w:rPr>
      </w:pPr>
    </w:p>
    <w:p>
      <w:pPr>
        <w:pStyle w:val="BodyText"/>
        <w:spacing w:line="240" w:lineRule="auto" w:before="36"/>
        <w:ind w:right="94"/>
        <w:jc w:val="left"/>
      </w:pPr>
      <w:r>
        <w:rPr/>
        <w:t>④</w:t>
      </w:r>
      <w:r>
        <w:rPr>
          <w:spacing w:val="-21"/>
        </w:rPr>
        <w:t> </w:t>
      </w:r>
      <w:r>
        <w:rPr>
          <w:rFonts w:ascii="Times New Roman" w:hAnsi="Times New Roman" w:cs="Times New Roman" w:eastAsia="Times New Roman" w:hint="default"/>
        </w:rPr>
        <w:t>IT</w:t>
      </w:r>
      <w:r>
        <w:rPr/>
        <w:t>软件服务</w:t>
      </w:r>
    </w:p>
    <w:p>
      <w:pPr>
        <w:pStyle w:val="BodyText"/>
        <w:spacing w:line="256" w:lineRule="auto" w:before="143"/>
        <w:ind w:right="116" w:firstLine="480"/>
        <w:jc w:val="both"/>
      </w:pPr>
      <w:r>
        <w:rPr>
          <w:spacing w:val="-2"/>
        </w:rPr>
        <w:t>公司的</w:t>
      </w:r>
      <w:r>
        <w:rPr>
          <w:rFonts w:ascii="Times New Roman" w:hAnsi="Times New Roman" w:cs="Times New Roman" w:eastAsia="Times New Roman" w:hint="default"/>
          <w:spacing w:val="-2"/>
        </w:rPr>
        <w:t>IT</w:t>
      </w:r>
      <w:r>
        <w:rPr>
          <w:spacing w:val="-2"/>
        </w:rPr>
        <w:t>软件服务主要由公司的参股公司复深蓝提供，复深蓝自创立以来长期致力于应用软件领域，</w:t>
      </w:r>
      <w:r>
        <w:rPr>
          <w:w w:val="100"/>
        </w:rPr>
        <w:t> </w:t>
      </w:r>
      <w:r>
        <w:rPr>
          <w:spacing w:val="-2"/>
        </w:rPr>
        <w:t>面向企事业单位提供稳定高效的信息化解决方案、软件产品、软件定制化开发测试及全方位的技术服务。</w:t>
      </w:r>
    </w:p>
    <w:p>
      <w:pPr>
        <w:pStyle w:val="BodyText"/>
        <w:spacing w:line="240" w:lineRule="auto" w:before="142"/>
        <w:ind w:right="94"/>
        <w:jc w:val="left"/>
      </w:pPr>
      <w:r>
        <w:rPr/>
        <w:t>⑤软硬件销售</w:t>
      </w:r>
    </w:p>
    <w:p>
      <w:pPr>
        <w:pStyle w:val="BodyText"/>
        <w:spacing w:line="271" w:lineRule="auto" w:before="159"/>
        <w:ind w:right="186" w:firstLine="480"/>
        <w:jc w:val="both"/>
      </w:pPr>
      <w:r>
        <w:rPr>
          <w:spacing w:val="-4"/>
        </w:rPr>
        <w:t>天玑科技软硬件销售业务主要分为两类，一类是第三方软硬件设备的代理销售业务，指针对现有企业</w:t>
      </w:r>
      <w:r>
        <w:rPr>
          <w:w w:val="100"/>
        </w:rPr>
        <w:t> </w:t>
      </w:r>
      <w:r>
        <w:rPr>
          <w:spacing w:val="-2"/>
        </w:rPr>
        <w:t>客户的需求，结合多年积累的原厂商合作关系，帮助客户采购各类第三方软硬件设备；另一类是备品备件</w:t>
      </w:r>
      <w:r>
        <w:rPr>
          <w:spacing w:val="-44"/>
        </w:rPr>
        <w:t> </w:t>
      </w:r>
      <w:r>
        <w:rPr>
          <w:spacing w:val="-44"/>
        </w:rPr>
      </w:r>
      <w:r>
        <w:rPr/>
        <w:t>销售，是公司</w:t>
      </w:r>
      <w:r>
        <w:rPr>
          <w:rFonts w:ascii="Times New Roman" w:hAnsi="Times New Roman" w:cs="Times New Roman" w:eastAsia="Times New Roman" w:hint="default"/>
        </w:rPr>
        <w:t>IT</w:t>
      </w:r>
      <w:r>
        <w:rPr/>
        <w:t>支持与维护服务的延伸，针对客户在维保服务之外的替换维修需求提供销售业务。</w:t>
      </w:r>
    </w:p>
    <w:p>
      <w:pPr>
        <w:pStyle w:val="BodyText"/>
        <w:spacing w:line="273" w:lineRule="auto" w:before="32"/>
        <w:ind w:right="186" w:firstLine="420"/>
        <w:jc w:val="both"/>
      </w:pPr>
      <w:r>
        <w:rPr>
          <w:spacing w:val="-2"/>
        </w:rPr>
        <w:t>软硬件销售业务重点满足客户需求，有选择地提供第三方软硬件产品，力求能在公司现行的服务体系</w:t>
      </w:r>
      <w:r>
        <w:rPr>
          <w:w w:val="100"/>
        </w:rPr>
        <w:t> </w:t>
      </w:r>
      <w:r>
        <w:rPr/>
        <w:t>内，为这些软硬件产品提供支持与维护，乃至其他的增值服务，以体现公司的一站式</w:t>
      </w:r>
      <w:r>
        <w:rPr>
          <w:rFonts w:ascii="Times New Roman" w:hAnsi="Times New Roman" w:cs="Times New Roman" w:eastAsia="Times New Roman" w:hint="default"/>
        </w:rPr>
        <w:t>IT</w:t>
      </w:r>
      <w:r>
        <w:rPr/>
        <w:t>服务能力。</w:t>
      </w:r>
    </w:p>
    <w:p>
      <w:pPr>
        <w:pStyle w:val="BodyText"/>
        <w:spacing w:line="307" w:lineRule="auto" w:before="107"/>
        <w:ind w:left="573" w:right="94" w:hanging="421"/>
        <w:jc w:val="left"/>
      </w:pPr>
      <w:r>
        <w:rPr/>
        <w:t>⑥自有产品销售</w:t>
      </w:r>
      <w:r>
        <w:rPr>
          <w:spacing w:val="-103"/>
        </w:rPr>
        <w:t> </w:t>
      </w:r>
      <w:r>
        <w:rPr>
          <w:spacing w:val="-103"/>
        </w:rPr>
      </w:r>
      <w:r>
        <w:rPr>
          <w:spacing w:val="-2"/>
        </w:rPr>
        <w:t>为了满足云计算、大数据的平台化需要，全球领先的信息技术厂商都在积极投入巨资研究分布式系统</w:t>
      </w:r>
    </w:p>
    <w:p>
      <w:pPr>
        <w:pStyle w:val="BodyText"/>
        <w:spacing w:line="269" w:lineRule="exact"/>
        <w:ind w:right="94"/>
        <w:jc w:val="left"/>
      </w:pPr>
      <w:r>
        <w:rPr/>
        <w:t>和软件定义技术，开发分布式信息系统。目前，产业界已经积累了大量的结构化数据（</w:t>
      </w:r>
      <w:r>
        <w:rPr>
          <w:rFonts w:ascii="Times New Roman" w:hAnsi="Times New Roman" w:cs="Times New Roman" w:eastAsia="Times New Roman" w:hint="default"/>
        </w:rPr>
        <w:t>Structured</w:t>
      </w:r>
      <w:r>
        <w:rPr>
          <w:rFonts w:ascii="Times New Roman" w:hAnsi="Times New Roman" w:cs="Times New Roman" w:eastAsia="Times New Roman" w:hint="default"/>
          <w:spacing w:val="45"/>
        </w:rPr>
        <w:t> </w:t>
      </w:r>
      <w:r>
        <w:rPr>
          <w:rFonts w:ascii="Times New Roman" w:hAnsi="Times New Roman" w:cs="Times New Roman" w:eastAsia="Times New Roman" w:hint="default"/>
        </w:rPr>
        <w:t>Data)</w:t>
      </w:r>
      <w:r>
        <w:rPr/>
        <w:t>，</w:t>
      </w:r>
    </w:p>
    <w:p>
      <w:pPr>
        <w:pStyle w:val="BodyText"/>
        <w:spacing w:line="266" w:lineRule="auto" w:before="21"/>
        <w:ind w:right="142"/>
        <w:jc w:val="both"/>
      </w:pPr>
      <w:r>
        <w:rPr>
          <w:spacing w:val="-2"/>
        </w:rPr>
        <w:t>而且数据量仍在快速增长，很多大数据分析、挖掘工作是建立在结构化数据基础上的。结构化数据量的快</w:t>
      </w:r>
      <w:r>
        <w:rPr>
          <w:spacing w:val="-45"/>
        </w:rPr>
        <w:t> </w:t>
      </w:r>
      <w:r>
        <w:rPr>
          <w:spacing w:val="-45"/>
        </w:rPr>
      </w:r>
      <w:r>
        <w:rPr/>
        <w:t>速增长和应用的普及决定了块级存储（</w:t>
      </w:r>
      <w:r>
        <w:rPr>
          <w:rFonts w:ascii="Times New Roman" w:hAnsi="Times New Roman" w:cs="Times New Roman" w:eastAsia="Times New Roman" w:hint="default"/>
        </w:rPr>
        <w:t>Block-level</w:t>
      </w:r>
      <w:r>
        <w:rPr/>
        <w:t>）的分布式产品有着广泛的用户需求。为了满足此类结</w:t>
      </w:r>
      <w:r>
        <w:rPr>
          <w:spacing w:val="-58"/>
        </w:rPr>
        <w:t> </w:t>
      </w:r>
      <w:r>
        <w:rPr>
          <w:spacing w:val="-2"/>
        </w:rPr>
        <w:t>构化数据和虚拟化、云计算的存储需求，在综合分析行业发展趋势后，公司研发了</w:t>
      </w:r>
      <w:r>
        <w:rPr>
          <w:rFonts w:ascii="Times New Roman" w:hAnsi="Times New Roman" w:cs="Times New Roman" w:eastAsia="Times New Roman" w:hint="default"/>
          <w:spacing w:val="-2"/>
        </w:rPr>
        <w:t>PBData</w:t>
      </w:r>
      <w:r>
        <w:rPr>
          <w:spacing w:val="-2"/>
        </w:rPr>
        <w:t>数据库一体机。</w:t>
      </w:r>
      <w:r>
        <w:rPr>
          <w:spacing w:val="-18"/>
        </w:rPr>
        <w:t> </w:t>
      </w:r>
      <w:r>
        <w:rPr>
          <w:spacing w:val="-18"/>
        </w:rPr>
      </w:r>
      <w:r>
        <w:rPr>
          <w:rFonts w:ascii="Times New Roman" w:hAnsi="Times New Roman" w:cs="Times New Roman" w:eastAsia="Times New Roman" w:hint="default"/>
        </w:rPr>
        <w:t>PBData</w:t>
      </w:r>
      <w:r>
        <w:rPr/>
        <w:t>是由天玑科技自主研发的全新一代数据库云平台，采用标准</w:t>
      </w:r>
      <w:r>
        <w:rPr>
          <w:rFonts w:ascii="Times New Roman" w:hAnsi="Times New Roman" w:cs="Times New Roman" w:eastAsia="Times New Roman" w:hint="default"/>
        </w:rPr>
        <w:t>X86</w:t>
      </w:r>
      <w:r>
        <w:rPr/>
        <w:t>的融合架构，配备高速</w:t>
      </w:r>
      <w:r>
        <w:rPr>
          <w:rFonts w:ascii="Times New Roman" w:hAnsi="Times New Roman" w:cs="Times New Roman" w:eastAsia="Times New Roman" w:hint="default"/>
        </w:rPr>
        <w:t>InfiniBand</w:t>
      </w:r>
      <w:r>
        <w:rPr>
          <w:rFonts w:ascii="Times New Roman" w:hAnsi="Times New Roman" w:cs="Times New Roman" w:eastAsia="Times New Roman" w:hint="default"/>
          <w:spacing w:val="34"/>
        </w:rPr>
        <w:t> </w:t>
      </w:r>
      <w:r>
        <w:rPr>
          <w:rFonts w:ascii="Times New Roman" w:hAnsi="Times New Roman" w:cs="Times New Roman" w:eastAsia="Times New Roman" w:hint="default"/>
          <w:spacing w:val="34"/>
        </w:rPr>
      </w:r>
      <w:r>
        <w:rPr/>
        <w:t>与基于</w:t>
      </w:r>
      <w:r>
        <w:rPr>
          <w:rFonts w:ascii="Times New Roman" w:hAnsi="Times New Roman" w:cs="Times New Roman" w:eastAsia="Times New Roman" w:hint="default"/>
        </w:rPr>
        <w:t>NVMe</w:t>
      </w:r>
      <w:r>
        <w:rPr/>
        <w:t>闪存的智能缓存的分布式存储，提供针对数据库业务的高性能、高可用的一站式云平台，协</w:t>
      </w:r>
      <w:r>
        <w:rPr>
          <w:spacing w:val="-89"/>
        </w:rPr>
        <w:t> </w:t>
      </w:r>
      <w:r>
        <w:rPr>
          <w:spacing w:val="-89"/>
        </w:rPr>
      </w:r>
      <w:r>
        <w:rPr/>
        <w:t>助企业最小化</w:t>
      </w:r>
      <w:r>
        <w:rPr>
          <w:rFonts w:ascii="Times New Roman" w:hAnsi="Times New Roman" w:cs="Times New Roman" w:eastAsia="Times New Roman" w:hint="default"/>
        </w:rPr>
        <w:t>TCO</w:t>
      </w:r>
      <w:r>
        <w:rPr/>
        <w:t>并简化</w:t>
      </w:r>
      <w:r>
        <w:rPr>
          <w:rFonts w:ascii="Times New Roman" w:hAnsi="Times New Roman" w:cs="Times New Roman" w:eastAsia="Times New Roman" w:hint="default"/>
        </w:rPr>
        <w:t>IT</w:t>
      </w:r>
      <w:r>
        <w:rPr/>
        <w:t>运维。</w:t>
      </w:r>
    </w:p>
    <w:p>
      <w:pPr>
        <w:pStyle w:val="BodyText"/>
        <w:spacing w:line="290" w:lineRule="auto" w:before="36"/>
        <w:ind w:right="3154"/>
        <w:jc w:val="left"/>
      </w:pPr>
      <w:r>
        <w:rPr>
          <w:rFonts w:ascii="Times New Roman" w:hAnsi="Times New Roman" w:cs="Times New Roman" w:eastAsia="Times New Roman" w:hint="default"/>
        </w:rPr>
        <w:t>PBData</w:t>
      </w:r>
      <w:r>
        <w:rPr/>
        <w:t>的特点和核心优势如下：</w:t>
      </w:r>
      <w:r>
        <w:rPr>
          <w:w w:val="100"/>
        </w:rPr>
        <w:t> </w:t>
      </w:r>
      <w:r>
        <w:rPr>
          <w:rFonts w:ascii="Times New Roman" w:hAnsi="Times New Roman" w:cs="Times New Roman" w:eastAsia="Times New Roman" w:hint="default"/>
          <w:spacing w:val="-2"/>
        </w:rPr>
        <w:t>A</w:t>
      </w:r>
      <w:r>
        <w:rPr>
          <w:spacing w:val="-2"/>
        </w:rPr>
        <w:t>、通过预先验证调优缩短了</w:t>
      </w:r>
      <w:r>
        <w:rPr>
          <w:rFonts w:ascii="Times New Roman" w:hAnsi="Times New Roman" w:cs="Times New Roman" w:eastAsia="Times New Roman" w:hint="default"/>
          <w:spacing w:val="-2"/>
        </w:rPr>
        <w:t>65%</w:t>
      </w:r>
      <w:r>
        <w:rPr>
          <w:spacing w:val="-2"/>
        </w:rPr>
        <w:t>的部署时间，加快企业业务上线速度。</w:t>
      </w:r>
      <w:r>
        <w:rPr>
          <w:spacing w:val="-46"/>
        </w:rPr>
        <w:t> </w:t>
      </w:r>
      <w:r>
        <w:rPr>
          <w:spacing w:val="-46"/>
        </w:rPr>
      </w:r>
      <w:r>
        <w:rPr>
          <w:rFonts w:ascii="Times New Roman" w:hAnsi="Times New Roman" w:cs="Times New Roman" w:eastAsia="Times New Roman" w:hint="default"/>
        </w:rPr>
        <w:t>B</w:t>
      </w:r>
      <w:r>
        <w:rPr/>
        <w:t>、采用</w:t>
      </w:r>
      <w:r>
        <w:rPr>
          <w:rFonts w:ascii="Times New Roman" w:hAnsi="Times New Roman" w:cs="Times New Roman" w:eastAsia="Times New Roman" w:hint="default"/>
        </w:rPr>
        <w:t>NVMe</w:t>
      </w:r>
      <w:r>
        <w:rPr/>
        <w:t>闪存与</w:t>
      </w:r>
      <w:r>
        <w:rPr>
          <w:rFonts w:ascii="Times New Roman" w:hAnsi="Times New Roman" w:cs="Times New Roman" w:eastAsia="Times New Roman" w:hint="default"/>
        </w:rPr>
        <w:t>InfiniBand</w:t>
      </w:r>
      <w:r>
        <w:rPr/>
        <w:t>，性能超越传统架构可达</w:t>
      </w:r>
      <w:r>
        <w:rPr>
          <w:rFonts w:ascii="Times New Roman" w:hAnsi="Times New Roman" w:cs="Times New Roman" w:eastAsia="Times New Roman" w:hint="default"/>
        </w:rPr>
        <w:t>7</w:t>
      </w:r>
      <w:r>
        <w:rPr/>
        <w:t>倍。</w:t>
      </w:r>
      <w:r>
        <w:rPr>
          <w:w w:val="100"/>
        </w:rPr>
        <w:t> </w:t>
      </w:r>
      <w:r>
        <w:rPr>
          <w:rFonts w:ascii="Times New Roman" w:hAnsi="Times New Roman" w:cs="Times New Roman" w:eastAsia="Times New Roman" w:hint="default"/>
        </w:rPr>
        <w:t>C</w:t>
      </w:r>
      <w:r>
        <w:rPr/>
        <w:t>、可横向扩展，突破传统架构瓶颈，性能随容量线性增长。</w:t>
      </w:r>
      <w:r>
        <w:rPr>
          <w:w w:val="100"/>
        </w:rPr>
        <w:t> </w:t>
      </w:r>
      <w:r>
        <w:rPr>
          <w:rFonts w:ascii="Times New Roman" w:hAnsi="Times New Roman" w:cs="Times New Roman" w:eastAsia="Times New Roman" w:hint="default"/>
        </w:rPr>
        <w:t>D</w:t>
      </w:r>
      <w:r>
        <w:rPr/>
        <w:t>、支持多种数据库，完美支撑</w:t>
      </w:r>
      <w:r>
        <w:rPr>
          <w:rFonts w:ascii="Times New Roman" w:hAnsi="Times New Roman" w:cs="Times New Roman" w:eastAsia="Times New Roman" w:hint="default"/>
        </w:rPr>
        <w:t>OLTP</w:t>
      </w:r>
      <w:r>
        <w:rPr/>
        <w:t>、</w:t>
      </w:r>
      <w:r>
        <w:rPr>
          <w:rFonts w:ascii="Times New Roman" w:hAnsi="Times New Roman" w:cs="Times New Roman" w:eastAsia="Times New Roman" w:hint="default"/>
        </w:rPr>
        <w:t>OLAP</w:t>
      </w:r>
      <w:r>
        <w:rPr/>
        <w:t>业务与混合负载。</w:t>
      </w:r>
    </w:p>
    <w:p>
      <w:pPr>
        <w:pStyle w:val="BodyText"/>
        <w:spacing w:line="357" w:lineRule="auto" w:before="90"/>
        <w:ind w:right="4343"/>
        <w:jc w:val="left"/>
        <w:rPr>
          <w:rFonts w:ascii="Times New Roman" w:hAnsi="Times New Roman" w:cs="Times New Roman" w:eastAsia="Times New Roman" w:hint="default"/>
        </w:rPr>
      </w:pPr>
      <w:r>
        <w:rPr>
          <w:rFonts w:ascii="Times New Roman" w:hAnsi="Times New Roman" w:cs="Times New Roman" w:eastAsia="Times New Roman" w:hint="default"/>
        </w:rPr>
        <w:t>E</w:t>
      </w:r>
      <w:r>
        <w:rPr/>
        <w:t>、媲美小型机的高可用性，满足大多数业务关键型需求。</w:t>
      </w:r>
      <w:r>
        <w:rPr>
          <w:rFonts w:ascii="宋体" w:hAnsi="宋体" w:cs="宋体" w:eastAsia="宋体" w:hint="default"/>
          <w:w w:val="100"/>
        </w:rPr>
        <w:t> </w:t>
      </w:r>
      <w:r>
        <w:rPr>
          <w:rFonts w:ascii="Times New Roman" w:hAnsi="Times New Roman" w:cs="Times New Roman" w:eastAsia="Times New Roman" w:hint="default"/>
        </w:rPr>
        <w:t>II</w:t>
      </w:r>
      <w:r>
        <w:rPr/>
        <w:t>、一体化私有云</w:t>
      </w:r>
      <w:r>
        <w:rPr>
          <w:rFonts w:ascii="Times New Roman" w:hAnsi="Times New Roman" w:cs="Times New Roman" w:eastAsia="Times New Roman" w:hint="default"/>
        </w:rPr>
        <w:t>-PriData</w:t>
      </w:r>
      <w:r>
        <w:rPr/>
        <w:t>、大数据存储</w:t>
      </w:r>
      <w:r>
        <w:rPr>
          <w:rFonts w:ascii="Times New Roman" w:hAnsi="Times New Roman" w:cs="Times New Roman" w:eastAsia="Times New Roman" w:hint="default"/>
        </w:rPr>
        <w:t>-PhegData</w:t>
      </w:r>
    </w:p>
    <w:p>
      <w:pPr>
        <w:pStyle w:val="BodyText"/>
        <w:spacing w:line="236" w:lineRule="exact"/>
        <w:ind w:right="0" w:firstLine="420"/>
        <w:jc w:val="both"/>
      </w:pPr>
      <w:r>
        <w:rPr>
          <w:rFonts w:ascii="Times New Roman" w:hAnsi="Times New Roman" w:cs="Times New Roman" w:eastAsia="Times New Roman" w:hint="default"/>
          <w:spacing w:val="-2"/>
        </w:rPr>
        <w:t>PriData</w:t>
      </w:r>
      <w:r>
        <w:rPr>
          <w:spacing w:val="-2"/>
        </w:rPr>
        <w:t>是天玑科技自主研发的私有云平台，采用超融合基础架构，通过软件定义将计算和存储整合部</w:t>
      </w:r>
    </w:p>
    <w:p>
      <w:pPr>
        <w:pStyle w:val="BodyText"/>
        <w:spacing w:line="256" w:lineRule="auto" w:before="21"/>
        <w:ind w:right="188"/>
        <w:jc w:val="both"/>
      </w:pPr>
      <w:r>
        <w:rPr>
          <w:spacing w:val="-5"/>
        </w:rPr>
        <w:t>署于扩展型集群的单个</w:t>
      </w:r>
      <w:r>
        <w:rPr>
          <w:rFonts w:ascii="Times New Roman" w:hAnsi="Times New Roman" w:cs="Times New Roman" w:eastAsia="Times New Roman" w:hint="default"/>
          <w:spacing w:val="-5"/>
        </w:rPr>
        <w:t>X86</w:t>
      </w:r>
      <w:r>
        <w:rPr>
          <w:spacing w:val="-5"/>
        </w:rPr>
        <w:t>服务器中，并结合虚拟化技术极大程度消除了架构复杂度，简化</w:t>
      </w:r>
      <w:r>
        <w:rPr>
          <w:rFonts w:ascii="Times New Roman" w:hAnsi="Times New Roman" w:cs="Times New Roman" w:eastAsia="Times New Roman" w:hint="default"/>
          <w:spacing w:val="-5"/>
        </w:rPr>
        <w:t>IT</w:t>
      </w:r>
      <w:r>
        <w:rPr>
          <w:spacing w:val="-5"/>
        </w:rPr>
        <w:t>运维。</w:t>
      </w:r>
      <w:r>
        <w:rPr>
          <w:rFonts w:ascii="Times New Roman" w:hAnsi="Times New Roman" w:cs="Times New Roman" w:eastAsia="Times New Roman" w:hint="default"/>
          <w:spacing w:val="-5"/>
        </w:rPr>
        <w:t>PriData</w:t>
      </w:r>
      <w:r>
        <w:rPr>
          <w:rFonts w:ascii="Times New Roman" w:hAnsi="Times New Roman" w:cs="Times New Roman" w:eastAsia="Times New Roman" w:hint="default"/>
          <w:spacing w:val="21"/>
        </w:rPr>
        <w:t> </w:t>
      </w:r>
      <w:r>
        <w:rPr>
          <w:rFonts w:ascii="Times New Roman" w:hAnsi="Times New Roman" w:cs="Times New Roman" w:eastAsia="Times New Roman" w:hint="default"/>
          <w:spacing w:val="21"/>
        </w:rPr>
      </w:r>
      <w:r>
        <w:rPr>
          <w:spacing w:val="-2"/>
        </w:rPr>
        <w:t>提供在虚拟化之上真正的私有云能力，提供一站式</w:t>
      </w:r>
      <w:r>
        <w:rPr>
          <w:rFonts w:ascii="Times New Roman" w:hAnsi="Times New Roman" w:cs="Times New Roman" w:eastAsia="Times New Roman" w:hint="default"/>
          <w:spacing w:val="-2"/>
        </w:rPr>
        <w:t>IT</w:t>
      </w:r>
      <w:r>
        <w:rPr>
          <w:spacing w:val="-2"/>
        </w:rPr>
        <w:t>资源交付服务，从而有效缩短</w:t>
      </w:r>
      <w:r>
        <w:rPr>
          <w:rFonts w:ascii="Times New Roman" w:hAnsi="Times New Roman" w:cs="Times New Roman" w:eastAsia="Times New Roman" w:hint="default"/>
          <w:spacing w:val="-2"/>
        </w:rPr>
        <w:t>IT</w:t>
      </w:r>
      <w:r>
        <w:rPr>
          <w:spacing w:val="-2"/>
        </w:rPr>
        <w:t>生命周期，释放资源</w:t>
      </w:r>
      <w:r>
        <w:rPr>
          <w:spacing w:val="-19"/>
        </w:rPr>
        <w:t> </w:t>
      </w:r>
      <w:r>
        <w:rPr>
          <w:spacing w:val="-19"/>
        </w:rPr>
      </w:r>
      <w:r>
        <w:rPr/>
        <w:t>实现</w:t>
      </w:r>
      <w:r>
        <w:rPr>
          <w:rFonts w:ascii="Times New Roman" w:hAnsi="Times New Roman" w:cs="Times New Roman" w:eastAsia="Times New Roman" w:hint="default"/>
        </w:rPr>
        <w:t>IT</w:t>
      </w:r>
      <w:r>
        <w:rPr/>
        <w:t>创新。</w:t>
      </w:r>
    </w:p>
    <w:p>
      <w:pPr>
        <w:pStyle w:val="BodyText"/>
        <w:spacing w:line="256" w:lineRule="auto" w:before="46"/>
        <w:ind w:right="187" w:firstLine="420"/>
        <w:jc w:val="both"/>
      </w:pPr>
      <w:r>
        <w:rPr>
          <w:rFonts w:ascii="Times New Roman" w:hAnsi="Times New Roman" w:cs="Times New Roman" w:eastAsia="Times New Roman" w:hint="default"/>
        </w:rPr>
        <w:t>PhegData</w:t>
      </w:r>
      <w:r>
        <w:rPr/>
        <w:t>是天玑科技自主研发的大数据云平台，采用标准</w:t>
      </w:r>
      <w:r>
        <w:rPr>
          <w:rFonts w:ascii="Times New Roman" w:hAnsi="Times New Roman" w:cs="Times New Roman" w:eastAsia="Times New Roman" w:hint="default"/>
        </w:rPr>
        <w:t>X86</w:t>
      </w:r>
      <w:r>
        <w:rPr/>
        <w:t>服务器结合分布式存储引擎，结合智能</w:t>
      </w:r>
      <w:r>
        <w:rPr>
          <w:w w:val="100"/>
        </w:rPr>
        <w:t> </w:t>
      </w:r>
      <w:r>
        <w:rPr>
          <w:spacing w:val="-1"/>
        </w:rPr>
        <w:t>缓存技术实现大规模扩展（</w:t>
      </w:r>
      <w:r>
        <w:rPr>
          <w:rFonts w:ascii="Times New Roman" w:hAnsi="Times New Roman" w:cs="Times New Roman" w:eastAsia="Times New Roman" w:hint="default"/>
          <w:spacing w:val="-1"/>
        </w:rPr>
        <w:t>Scale-out</w:t>
      </w:r>
      <w:r>
        <w:rPr>
          <w:spacing w:val="-1"/>
        </w:rPr>
        <w:t>）能力与强劲性能，针对数据中心提供统一的海量资源池管理，满足</w:t>
      </w:r>
      <w:r>
        <w:rPr>
          <w:spacing w:val="-37"/>
        </w:rPr>
        <w:t> </w:t>
      </w:r>
      <w:r>
        <w:rPr>
          <w:spacing w:val="-37"/>
        </w:rPr>
      </w:r>
      <w:r>
        <w:rPr/>
        <w:t>企业极速增长的系统规模与不断变化的业务需求。</w:t>
      </w:r>
    </w:p>
    <w:p>
      <w:pPr>
        <w:pStyle w:val="BodyText"/>
        <w:spacing w:line="240" w:lineRule="auto" w:before="63"/>
        <w:ind w:right="94"/>
        <w:jc w:val="left"/>
      </w:pPr>
      <w:r>
        <w:rPr/>
        <w:t>（</w:t>
      </w:r>
      <w:r>
        <w:rPr>
          <w:rFonts w:ascii="Times New Roman" w:hAnsi="Times New Roman" w:cs="Times New Roman" w:eastAsia="Times New Roman" w:hint="default"/>
        </w:rPr>
        <w:t>2</w:t>
      </w:r>
      <w:r>
        <w:rPr/>
        <w:t>）经营模式</w:t>
      </w:r>
    </w:p>
    <w:p>
      <w:pPr>
        <w:pStyle w:val="BodyText"/>
        <w:spacing w:line="273" w:lineRule="auto" w:before="59"/>
        <w:ind w:right="186" w:firstLine="420"/>
        <w:jc w:val="both"/>
      </w:pPr>
      <w:r>
        <w:rPr>
          <w:spacing w:val="-2"/>
        </w:rPr>
        <w:t>公司拥有独立完整的采购、研发、销售模式，根据市场需求及自身情况，独立进行生产经营活动。公</w:t>
      </w:r>
      <w:r>
        <w:rPr>
          <w:w w:val="100"/>
        </w:rPr>
        <w:t> </w:t>
      </w:r>
      <w:r>
        <w:rPr>
          <w:spacing w:val="-2"/>
        </w:rPr>
        <w:t>司在保持传统的经营模式的基础上，积极探索新产品的销售模式，有效地利用自身资源积极寻求外延式发</w:t>
      </w:r>
      <w:r>
        <w:rPr>
          <w:spacing w:val="-42"/>
        </w:rPr>
        <w:t> </w:t>
      </w:r>
      <w:r>
        <w:rPr>
          <w:spacing w:val="-42"/>
        </w:rPr>
      </w:r>
      <w:r>
        <w:rPr/>
        <w:t>展战略，实现公司资源整合最优化，确保公司持续稳定快速发展。</w:t>
      </w:r>
    </w:p>
    <w:p>
      <w:pPr>
        <w:pStyle w:val="BodyText"/>
        <w:spacing w:line="300" w:lineRule="auto" w:before="48"/>
        <w:ind w:right="94"/>
        <w:jc w:val="left"/>
      </w:pPr>
      <w:r>
        <w:rPr/>
        <w:t>（</w:t>
      </w:r>
      <w:r>
        <w:rPr>
          <w:rFonts w:ascii="Times New Roman" w:hAnsi="Times New Roman" w:cs="Times New Roman" w:eastAsia="Times New Roman" w:hint="default"/>
        </w:rPr>
        <w:t>3</w:t>
      </w:r>
      <w:r>
        <w:rPr/>
        <w:t>）主要业绩驱动因素</w:t>
      </w:r>
      <w:r>
        <w:rPr>
          <w:w w:val="100"/>
        </w:rPr>
        <w:t> </w:t>
      </w:r>
      <w:r>
        <w:rPr>
          <w:spacing w:val="-2"/>
        </w:rPr>
        <w:t>公司主要的业绩驱动因素来源于传统客户的持续性服务、新客户拓展及新业务机会获取三个方面：</w:t>
      </w:r>
      <w:r>
        <w:rPr>
          <w:spacing w:val="-25"/>
        </w:rPr>
        <w:t> </w:t>
      </w:r>
      <w:r>
        <w:rPr>
          <w:spacing w:val="-25"/>
        </w:rPr>
      </w:r>
      <w:r>
        <w:rPr>
          <w:rFonts w:ascii="Times New Roman" w:hAnsi="Times New Roman" w:cs="Times New Roman" w:eastAsia="Times New Roman" w:hint="default"/>
        </w:rPr>
        <w:t>1</w:t>
      </w:r>
      <w:r>
        <w:rPr/>
        <w:t>、传统客户的持续性服务</w:t>
      </w:r>
    </w:p>
    <w:p>
      <w:pPr>
        <w:pStyle w:val="BodyText"/>
        <w:spacing w:line="240" w:lineRule="auto" w:before="4"/>
        <w:ind w:left="573" w:right="94"/>
        <w:jc w:val="left"/>
      </w:pPr>
      <w:r>
        <w:rPr/>
        <w:t>多年来，公司收入较大比例来自公司传统客户，在公司传统客户进行大规模系统升级或者大规模应用</w:t>
      </w:r>
    </w:p>
    <w:p>
      <w:pPr>
        <w:spacing w:after="0" w:line="240" w:lineRule="auto"/>
        <w:jc w:val="left"/>
        <w:sectPr>
          <w:pgSz w:w="11910" w:h="16840"/>
          <w:pgMar w:header="745" w:footer="979" w:top="1060" w:bottom="1160" w:left="980" w:right="940"/>
        </w:sectPr>
      </w:pPr>
    </w:p>
    <w:p>
      <w:pPr>
        <w:spacing w:line="240" w:lineRule="auto" w:before="10"/>
        <w:rPr>
          <w:rFonts w:ascii="宋体" w:hAnsi="宋体" w:cs="宋体" w:eastAsia="宋体" w:hint="default"/>
          <w:sz w:val="24"/>
          <w:szCs w:val="24"/>
        </w:rPr>
      </w:pPr>
    </w:p>
    <w:p>
      <w:pPr>
        <w:pStyle w:val="BodyText"/>
        <w:spacing w:line="240" w:lineRule="auto" w:before="36"/>
        <w:ind w:right="0"/>
        <w:jc w:val="both"/>
      </w:pPr>
      <w:r>
        <w:rPr/>
        <w:t>系统建设时，公司有机会获得更多的业务机会。</w:t>
      </w:r>
    </w:p>
    <w:p>
      <w:pPr>
        <w:pStyle w:val="BodyText"/>
        <w:spacing w:line="240" w:lineRule="auto" w:before="78"/>
        <w:ind w:right="0"/>
        <w:jc w:val="both"/>
      </w:pPr>
      <w:r>
        <w:rPr>
          <w:rFonts w:ascii="Times New Roman" w:hAnsi="Times New Roman" w:cs="Times New Roman" w:eastAsia="Times New Roman" w:hint="default"/>
        </w:rPr>
        <w:t>2</w:t>
      </w:r>
      <w:r>
        <w:rPr/>
        <w:t>、新客户拓展</w:t>
      </w:r>
    </w:p>
    <w:p>
      <w:pPr>
        <w:pStyle w:val="BodyText"/>
        <w:spacing w:line="273" w:lineRule="auto" w:before="59"/>
        <w:ind w:right="101" w:firstLine="420"/>
        <w:jc w:val="left"/>
      </w:pPr>
      <w:r>
        <w:rPr>
          <w:spacing w:val="-3"/>
        </w:rPr>
        <w:t>通过创新产品，加强和现有客户的合作，提升客户价值，创建新的收入来源，同时公司积极开拓新客</w:t>
      </w:r>
      <w:r>
        <w:rPr>
          <w:w w:val="100"/>
        </w:rPr>
        <w:t> </w:t>
      </w:r>
      <w:r>
        <w:rPr/>
        <w:t>户，以不断提升市场占有量。</w:t>
      </w:r>
    </w:p>
    <w:p>
      <w:pPr>
        <w:pStyle w:val="BodyText"/>
        <w:spacing w:line="290" w:lineRule="auto" w:before="48"/>
        <w:ind w:left="573" w:right="101" w:hanging="421"/>
        <w:jc w:val="left"/>
      </w:pPr>
      <w:r>
        <w:rPr>
          <w:rFonts w:ascii="Times New Roman" w:hAnsi="Times New Roman" w:cs="Times New Roman" w:eastAsia="Times New Roman" w:hint="default"/>
        </w:rPr>
        <w:t>3</w:t>
      </w:r>
      <w:r>
        <w:rPr/>
        <w:t>、新的业务机会</w:t>
      </w:r>
      <w:r>
        <w:rPr>
          <w:w w:val="100"/>
        </w:rPr>
        <w:t> </w:t>
      </w:r>
      <w:r>
        <w:rPr>
          <w:spacing w:val="-2"/>
        </w:rPr>
        <w:t>随着云计算应用的不断深入，数据中心数据处理架构也进入了更替交互时代。原有架构的扩展瓶颈等</w:t>
      </w:r>
    </w:p>
    <w:p>
      <w:pPr>
        <w:pStyle w:val="BodyText"/>
        <w:spacing w:line="264" w:lineRule="auto"/>
        <w:ind w:right="206"/>
        <w:jc w:val="both"/>
      </w:pPr>
      <w:r>
        <w:rPr>
          <w:spacing w:val="-2"/>
        </w:rPr>
        <w:t>问题将在新的应用架构下得以解决，为了满足此类结构化数据和虚拟化、云计算的存储需求，在综合分析</w:t>
      </w:r>
      <w:r>
        <w:rPr>
          <w:spacing w:val="-45"/>
        </w:rPr>
        <w:t> </w:t>
      </w:r>
      <w:r>
        <w:rPr>
          <w:spacing w:val="-45"/>
        </w:rPr>
      </w:r>
      <w:r>
        <w:rPr>
          <w:spacing w:val="2"/>
        </w:rPr>
        <w:t>行业发展趋势后，公司研发了</w:t>
      </w:r>
      <w:r>
        <w:rPr>
          <w:rFonts w:ascii="Times New Roman" w:hAnsi="Times New Roman" w:cs="Times New Roman" w:eastAsia="Times New Roman" w:hint="default"/>
          <w:spacing w:val="2"/>
        </w:rPr>
        <w:t>PBData</w:t>
      </w:r>
      <w:r>
        <w:rPr>
          <w:spacing w:val="2"/>
        </w:rPr>
        <w:t>数据库云平台系统以及</w:t>
      </w:r>
      <w:r>
        <w:rPr>
          <w:rFonts w:ascii="Times New Roman" w:hAnsi="Times New Roman" w:cs="Times New Roman" w:eastAsia="Times New Roman" w:hint="default"/>
          <w:spacing w:val="2"/>
        </w:rPr>
        <w:t>DCOS</w:t>
      </w:r>
      <w:r>
        <w:rPr>
          <w:spacing w:val="2"/>
        </w:rPr>
        <w:t>云操作系统。经过几年的市场开拓，</w:t>
      </w:r>
      <w:r>
        <w:rPr>
          <w:spacing w:val="-3"/>
        </w:rPr>
        <w:t> </w:t>
      </w:r>
      <w:r>
        <w:rPr>
          <w:spacing w:val="-3"/>
        </w:rPr>
      </w:r>
      <w:r>
        <w:rPr>
          <w:rFonts w:ascii="Times New Roman" w:hAnsi="Times New Roman" w:cs="Times New Roman" w:eastAsia="Times New Roman" w:hint="default"/>
        </w:rPr>
        <w:t>PBData</w:t>
      </w:r>
      <w:r>
        <w:rPr/>
        <w:t>数据库云平台已经取得了一定的市场份额。</w:t>
      </w:r>
    </w:p>
    <w:p>
      <w:pPr>
        <w:pStyle w:val="BodyText"/>
        <w:spacing w:line="240" w:lineRule="auto" w:before="36"/>
        <w:ind w:right="0"/>
        <w:jc w:val="both"/>
      </w:pPr>
      <w:r>
        <w:rPr/>
        <w:t>（</w:t>
      </w:r>
      <w:r>
        <w:rPr>
          <w:rFonts w:ascii="Times New Roman" w:hAnsi="Times New Roman" w:cs="Times New Roman" w:eastAsia="Times New Roman" w:hint="default"/>
        </w:rPr>
        <w:t>4</w:t>
      </w:r>
      <w:r>
        <w:rPr/>
        <w:t>）行业特征</w:t>
      </w:r>
    </w:p>
    <w:p>
      <w:pPr>
        <w:pStyle w:val="BodyText"/>
        <w:spacing w:line="264" w:lineRule="auto" w:before="62"/>
        <w:ind w:right="101" w:firstLine="420"/>
        <w:jc w:val="left"/>
      </w:pPr>
      <w:r>
        <w:rPr/>
        <w:t>计世资讯（</w:t>
      </w:r>
      <w:r>
        <w:rPr>
          <w:rFonts w:ascii="Times New Roman" w:hAnsi="Times New Roman" w:cs="Times New Roman" w:eastAsia="Times New Roman" w:hint="default"/>
        </w:rPr>
        <w:t>CCW Research</w:t>
      </w:r>
      <w:r>
        <w:rPr/>
        <w:t>）的调研数据表明， </w:t>
      </w:r>
      <w:r>
        <w:rPr>
          <w:rFonts w:ascii="Times New Roman" w:hAnsi="Times New Roman" w:cs="Times New Roman" w:eastAsia="Times New Roman" w:hint="default"/>
        </w:rPr>
        <w:t>2017 </w:t>
      </w:r>
      <w:r>
        <w:rPr/>
        <w:t>年中国 </w:t>
      </w:r>
      <w:r>
        <w:rPr>
          <w:rFonts w:ascii="Times New Roman" w:hAnsi="Times New Roman" w:cs="Times New Roman" w:eastAsia="Times New Roman" w:hint="default"/>
        </w:rPr>
        <w:t>IT </w:t>
      </w:r>
      <w:r>
        <w:rPr/>
        <w:t>服务总体市场规模为 </w:t>
      </w:r>
      <w:r>
        <w:rPr>
          <w:rFonts w:ascii="Times New Roman" w:hAnsi="Times New Roman" w:cs="Times New Roman" w:eastAsia="Times New Roman" w:hint="default"/>
        </w:rPr>
        <w:t>2112</w:t>
      </w:r>
      <w:r>
        <w:rPr>
          <w:rFonts w:ascii="Times New Roman" w:hAnsi="Times New Roman" w:cs="Times New Roman" w:eastAsia="Times New Roman" w:hint="default"/>
          <w:spacing w:val="42"/>
        </w:rPr>
        <w:t> </w:t>
      </w:r>
      <w:r>
        <w:rPr/>
        <w:t>亿元人民</w:t>
      </w:r>
      <w:r>
        <w:rPr>
          <w:w w:val="100"/>
        </w:rPr>
        <w:t> </w:t>
      </w:r>
      <w:r>
        <w:rPr/>
        <w:t>币，同比增长</w:t>
      </w:r>
      <w:r>
        <w:rPr>
          <w:spacing w:val="-29"/>
        </w:rPr>
        <w:t> </w:t>
      </w:r>
      <w:r>
        <w:rPr>
          <w:rFonts w:ascii="Times New Roman" w:hAnsi="Times New Roman" w:cs="Times New Roman" w:eastAsia="Times New Roman" w:hint="default"/>
        </w:rPr>
        <w:t>8.5%</w:t>
      </w:r>
      <w:r>
        <w:rPr/>
        <w:t>，行业保持稳定发展。</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、云计算、大数据、工业互联网等一系列国家政策持</w:t>
      </w:r>
      <w:r>
        <w:rPr>
          <w:w w:val="100"/>
        </w:rPr>
        <w:t> </w:t>
      </w:r>
      <w:r>
        <w:rPr>
          <w:spacing w:val="-2"/>
        </w:rPr>
        <w:t>续出台，明确了信息技术与经济社会各领域进一步深度融合发展的大趋势。作为互联网、云计算和大数据</w:t>
      </w:r>
      <w:r>
        <w:rPr>
          <w:spacing w:val="-42"/>
        </w:rPr>
        <w:t> </w:t>
      </w:r>
      <w:r>
        <w:rPr>
          <w:spacing w:val="-42"/>
        </w:rPr>
      </w:r>
      <w:r>
        <w:rPr/>
        <w:t>等产业的重要基础设施之一，国家对数据中心的建设也提出了新的要求。</w:t>
      </w:r>
      <w:r>
        <w:rPr>
          <w:rFonts w:ascii="Times New Roman" w:hAnsi="Times New Roman" w:cs="Times New Roman" w:eastAsia="Times New Roman" w:hint="default"/>
        </w:rPr>
        <w:t>2015 </w:t>
      </w:r>
      <w:r>
        <w:rPr/>
        <w:t>年，国务院发布《关于促</w:t>
      </w:r>
      <w:r>
        <w:rPr>
          <w:spacing w:val="-24"/>
        </w:rPr>
        <w:t> </w:t>
      </w:r>
      <w:r>
        <w:rPr>
          <w:spacing w:val="-24"/>
        </w:rPr>
      </w:r>
      <w:r>
        <w:rPr/>
        <w:t>进云计算创新发展培育信息产业新业态的意见》</w:t>
      </w:r>
      <w:r>
        <w:rPr>
          <w:spacing w:val="-22"/>
        </w:rPr>
        <w:t> </w:t>
      </w:r>
      <w:r>
        <w:rPr/>
        <w:t>和</w:t>
      </w:r>
      <w:r>
        <w:rPr>
          <w:spacing w:val="-24"/>
        </w:rPr>
        <w:t> </w:t>
      </w:r>
      <w:r>
        <w:rPr>
          <w:spacing w:val="-4"/>
        </w:rPr>
        <w:t>《促进大数据发展行动纲要》。在国家政策的推动下，</w:t>
      </w:r>
      <w:r>
        <w:rPr>
          <w:spacing w:val="-98"/>
        </w:rPr>
        <w:t> </w:t>
      </w:r>
      <w:r>
        <w:rPr>
          <w:spacing w:val="-98"/>
        </w:rPr>
      </w:r>
      <w:r>
        <w:rPr>
          <w:spacing w:val="-2"/>
        </w:rPr>
        <w:t>国内数据中心服务市场将呈现大型数据中心投资热潮兴起和传统数据中心升级改造两大特点，基于云计算</w:t>
      </w:r>
      <w:r>
        <w:rPr>
          <w:spacing w:val="-43"/>
        </w:rPr>
        <w:t> </w:t>
      </w:r>
      <w:r>
        <w:rPr>
          <w:spacing w:val="-43"/>
        </w:rPr>
      </w:r>
      <w:r>
        <w:rPr>
          <w:spacing w:val="-4"/>
        </w:rPr>
        <w:t>的新一代大型数据中心将成为国家和企业建设的重点，从而驱动着数据中心 </w:t>
      </w:r>
      <w:r>
        <w:rPr>
          <w:rFonts w:ascii="Times New Roman" w:hAnsi="Times New Roman" w:cs="Times New Roman" w:eastAsia="Times New Roman" w:hint="default"/>
        </w:rPr>
        <w:t>IT </w:t>
      </w:r>
      <w:r>
        <w:rPr/>
        <w:t>基础设施服务市场的发展。</w:t>
      </w:r>
      <w:r>
        <w:rPr>
          <w:spacing w:val="-92"/>
        </w:rPr>
        <w:t> </w:t>
      </w:r>
      <w:r>
        <w:rPr>
          <w:spacing w:val="-92"/>
        </w:rPr>
      </w:r>
      <w:r>
        <w:rPr>
          <w:spacing w:val="-11"/>
        </w:rPr>
        <w:t>计世资讯（</w:t>
      </w:r>
      <w:r>
        <w:rPr>
          <w:rFonts w:ascii="Times New Roman" w:hAnsi="Times New Roman" w:cs="Times New Roman" w:eastAsia="Times New Roman" w:hint="default"/>
          <w:spacing w:val="-11"/>
        </w:rPr>
        <w:t>CCW </w:t>
      </w:r>
      <w:r>
        <w:rPr>
          <w:rFonts w:ascii="Times New Roman" w:hAnsi="Times New Roman" w:cs="Times New Roman" w:eastAsia="Times New Roman" w:hint="default"/>
          <w:spacing w:val="-9"/>
        </w:rPr>
        <w:t>Research</w:t>
      </w:r>
      <w:r>
        <w:rPr>
          <w:spacing w:val="-9"/>
        </w:rPr>
        <w:t>）调研数据表明，</w:t>
      </w:r>
      <w:r>
        <w:rPr>
          <w:rFonts w:ascii="Times New Roman" w:hAnsi="Times New Roman" w:cs="Times New Roman" w:eastAsia="Times New Roman" w:hint="default"/>
          <w:spacing w:val="-9"/>
        </w:rPr>
        <w:t>2017 </w:t>
      </w:r>
      <w:r>
        <w:rPr/>
        <w:t>年中国数据中心</w:t>
      </w:r>
      <w:r>
        <w:rPr>
          <w:rFonts w:ascii="Times New Roman" w:hAnsi="Times New Roman" w:cs="Times New Roman" w:eastAsia="Times New Roman" w:hint="default"/>
        </w:rPr>
        <w:t>IT </w:t>
      </w:r>
      <w:r>
        <w:rPr/>
        <w:t>基础设施服务总体市场规模为 </w:t>
      </w:r>
      <w:r>
        <w:rPr>
          <w:rFonts w:ascii="Times New Roman" w:hAnsi="Times New Roman" w:cs="Times New Roman" w:eastAsia="Times New Roman" w:hint="default"/>
        </w:rPr>
        <w:t>796.5 </w:t>
      </w:r>
      <w:r>
        <w:rPr/>
        <w:t>亿</w:t>
      </w:r>
      <w:r>
        <w:rPr>
          <w:spacing w:val="-83"/>
        </w:rPr>
        <w:t> </w:t>
      </w:r>
      <w:r>
        <w:rPr/>
        <w:t>元人民币，同比增长</w:t>
      </w:r>
      <w:r>
        <w:rPr>
          <w:spacing w:val="-26"/>
        </w:rPr>
        <w:t> </w:t>
      </w:r>
      <w:r>
        <w:rPr>
          <w:rFonts w:ascii="Times New Roman" w:hAnsi="Times New Roman" w:cs="Times New Roman" w:eastAsia="Times New Roman" w:hint="default"/>
        </w:rPr>
        <w:t>10.4%</w:t>
      </w:r>
      <w:r>
        <w:rPr/>
        <w:t>。由此可见，天玑科技主营业务所属市场有着良好的发展环境。</w:t>
      </w:r>
    </w:p>
    <w:p>
      <w:pPr>
        <w:pStyle w:val="BodyText"/>
        <w:spacing w:line="240" w:lineRule="auto" w:before="39"/>
        <w:ind w:right="0"/>
        <w:jc w:val="both"/>
      </w:pPr>
      <w:r>
        <w:rPr/>
        <w:t>（</w:t>
      </w:r>
      <w:r>
        <w:rPr>
          <w:rFonts w:ascii="Times New Roman" w:hAnsi="Times New Roman" w:cs="Times New Roman" w:eastAsia="Times New Roman" w:hint="default"/>
        </w:rPr>
        <w:t>5</w:t>
      </w:r>
      <w:r>
        <w:rPr/>
        <w:t>）所处行业地位</w:t>
      </w:r>
    </w:p>
    <w:p>
      <w:pPr>
        <w:pStyle w:val="BodyText"/>
        <w:spacing w:line="256" w:lineRule="auto" w:before="60"/>
        <w:ind w:right="208" w:firstLine="336"/>
        <w:jc w:val="both"/>
      </w:pPr>
      <w:r>
        <w:rPr/>
        <w:t>第三方</w:t>
      </w:r>
      <w:r>
        <w:rPr>
          <w:rFonts w:ascii="Times New Roman" w:hAnsi="Times New Roman" w:cs="Times New Roman" w:eastAsia="Times New Roman" w:hint="default"/>
        </w:rPr>
        <w:t>IT</w:t>
      </w:r>
      <w:r>
        <w:rPr/>
        <w:t>服务厂商近年来发展迅速，市场集中度正逐步提升。根据计世资讯（</w:t>
      </w:r>
      <w:r>
        <w:rPr>
          <w:rFonts w:ascii="Times New Roman" w:hAnsi="Times New Roman" w:cs="Times New Roman" w:eastAsia="Times New Roman" w:hint="default"/>
        </w:rPr>
        <w:t>CCW</w:t>
      </w:r>
      <w:r>
        <w:rPr>
          <w:rFonts w:ascii="Times New Roman" w:hAnsi="Times New Roman" w:cs="Times New Roman" w:eastAsia="Times New Roman" w:hint="default"/>
          <w:spacing w:val="21"/>
        </w:rPr>
        <w:t> </w:t>
      </w:r>
      <w:r>
        <w:rPr>
          <w:rFonts w:ascii="Times New Roman" w:hAnsi="Times New Roman" w:cs="Times New Roman" w:eastAsia="Times New Roman" w:hint="default"/>
        </w:rPr>
        <w:t>Research</w:t>
      </w:r>
      <w:r>
        <w:rPr/>
        <w:t>）调研数</w:t>
      </w:r>
      <w:r>
        <w:rPr>
          <w:spacing w:val="-3"/>
          <w:w w:val="100"/>
        </w:rPr>
        <w:t> </w:t>
      </w:r>
      <w:r>
        <w:rPr>
          <w:spacing w:val="-2"/>
        </w:rPr>
        <w:t>据表明公司在</w:t>
      </w:r>
      <w:r>
        <w:rPr>
          <w:rFonts w:ascii="Times New Roman" w:hAnsi="Times New Roman" w:cs="Times New Roman" w:eastAsia="Times New Roman" w:hint="default"/>
          <w:spacing w:val="-2"/>
        </w:rPr>
        <w:t>2017</w:t>
      </w:r>
      <w:r>
        <w:rPr>
          <w:spacing w:val="-2"/>
        </w:rPr>
        <w:t>年数据中心</w:t>
      </w:r>
      <w:r>
        <w:rPr>
          <w:rFonts w:ascii="Times New Roman" w:hAnsi="Times New Roman" w:cs="Times New Roman" w:eastAsia="Times New Roman" w:hint="default"/>
          <w:spacing w:val="-2"/>
        </w:rPr>
        <w:t>IT</w:t>
      </w:r>
      <w:r>
        <w:rPr>
          <w:spacing w:val="-2"/>
        </w:rPr>
        <w:t>基础设施第三方服务市场排名第七，在数据中心</w:t>
      </w:r>
      <w:r>
        <w:rPr>
          <w:rFonts w:ascii="Times New Roman" w:hAnsi="Times New Roman" w:cs="Times New Roman" w:eastAsia="Times New Roman" w:hint="default"/>
          <w:spacing w:val="-2"/>
        </w:rPr>
        <w:t>IT</w:t>
      </w:r>
      <w:r>
        <w:rPr>
          <w:spacing w:val="-2"/>
        </w:rPr>
        <w:t>基础设施</w:t>
      </w:r>
      <w:r>
        <w:rPr>
          <w:rFonts w:ascii="Times New Roman" w:hAnsi="Times New Roman" w:cs="Times New Roman" w:eastAsia="Times New Roman" w:hint="default"/>
          <w:spacing w:val="-2"/>
        </w:rPr>
        <w:t>IT</w:t>
      </w:r>
      <w:r>
        <w:rPr>
          <w:spacing w:val="-2"/>
        </w:rPr>
        <w:t>支持与维护</w:t>
      </w:r>
      <w:r>
        <w:rPr>
          <w:spacing w:val="-1"/>
        </w:rPr>
        <w:t> </w:t>
      </w:r>
      <w:r>
        <w:rPr>
          <w:spacing w:val="-1"/>
        </w:rPr>
      </w:r>
      <w:r>
        <w:rPr/>
        <w:t>市场第三方中排名第三；在数据中心</w:t>
      </w:r>
      <w:r>
        <w:rPr>
          <w:rFonts w:ascii="Times New Roman" w:hAnsi="Times New Roman" w:cs="Times New Roman" w:eastAsia="Times New Roman" w:hint="default"/>
        </w:rPr>
        <w:t>IT</w:t>
      </w:r>
      <w:r>
        <w:rPr/>
        <w:t>基础设施第三方服务的华东市场中排名第二。</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26"/>
          <w:szCs w:val="26"/>
        </w:rPr>
      </w:pPr>
    </w:p>
    <w:p>
      <w:pPr>
        <w:pStyle w:val="Heading2"/>
        <w:spacing w:line="240" w:lineRule="auto"/>
        <w:ind w:right="0"/>
        <w:jc w:val="both"/>
        <w:rPr>
          <w:b w:val="0"/>
          <w:bCs w:val="0"/>
        </w:rPr>
      </w:pPr>
      <w:r>
        <w:rPr/>
        <w:t>二、主要资产重大变化情况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051"/>
        <w:gridCol w:w="6519"/>
      </w:tblGrid>
      <w:tr>
        <w:trPr>
          <w:trHeight w:val="187" w:hRule="exact"/>
        </w:trPr>
        <w:tc>
          <w:tcPr>
            <w:tcW w:w="305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0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5" w:hRule="exact"/>
        </w:trPr>
        <w:tc>
          <w:tcPr>
            <w:tcW w:w="305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702" w:hRule="exact"/>
        </w:trPr>
        <w:tc>
          <w:tcPr>
            <w:tcW w:w="305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9" w:type="dxa"/>
            <w:vMerge w:val="restart"/>
            <w:tcBorders>
              <w:top w:val="single" w:sz="4" w:space="0" w:color="000000"/>
              <w:left w:val="single" w:sz="10" w:space="0" w:color="D2D2D2"/>
              <w:right w:val="single" w:sz="4" w:space="0" w:color="000000"/>
            </w:tcBorders>
          </w:tcPr>
          <w:p>
            <w:pPr>
              <w:pStyle w:val="TableParagraph"/>
              <w:spacing w:line="302" w:lineRule="auto" w:before="51"/>
              <w:ind w:left="16" w:right="19"/>
              <w:jc w:val="left"/>
              <w:rPr>
                <w:rFonts w:ascii="宋体" w:hAnsi="宋体" w:cs="宋体" w:eastAsia="宋体" w:hint="default"/>
                <w:sz w:val="18"/>
                <w:szCs w:val="18"/>
              </w:rPr>
            </w:pPr>
            <w:r>
              <w:rPr>
                <w:rFonts w:ascii="Times New Roman" w:hAnsi="Times New Roman" w:cs="Times New Roman" w:eastAsia="Times New Roman" w:hint="default"/>
                <w:spacing w:val="-11"/>
                <w:sz w:val="18"/>
                <w:szCs w:val="18"/>
              </w:rPr>
              <w:t>1</w:t>
            </w:r>
            <w:r>
              <w:rPr>
                <w:rFonts w:ascii="宋体" w:hAnsi="宋体" w:cs="宋体" w:eastAsia="宋体" w:hint="default"/>
                <w:spacing w:val="-11"/>
                <w:sz w:val="18"/>
                <w:szCs w:val="18"/>
              </w:rPr>
              <w:t>、公司于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日召开了第三届董事会第十九次临时会议审议通过了《关</w:t>
            </w:r>
            <w:r>
              <w:rPr>
                <w:rFonts w:ascii="宋体" w:hAnsi="宋体" w:cs="宋体" w:eastAsia="宋体" w:hint="default"/>
                <w:sz w:val="18"/>
                <w:szCs w:val="18"/>
              </w:rPr>
              <w:t> </w:t>
            </w:r>
            <w:r>
              <w:rPr>
                <w:rFonts w:ascii="宋体" w:hAnsi="宋体" w:cs="宋体" w:eastAsia="宋体" w:hint="default"/>
                <w:spacing w:val="-3"/>
                <w:sz w:val="18"/>
                <w:szCs w:val="18"/>
              </w:rPr>
              <w:t>于出售参股公司部分股权暨关联交易的议案》，公司依据未来发展战略规划，为进</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4"/>
                <w:sz w:val="18"/>
                <w:szCs w:val="18"/>
              </w:rPr>
              <w:t>一步优化资产结构，聚焦主营业务经营，增强公司持续经营能力，拟以人民币</w:t>
            </w:r>
            <w:r>
              <w:rPr>
                <w:rFonts w:ascii="宋体" w:hAnsi="宋体" w:cs="宋体" w:eastAsia="宋体" w:hint="default"/>
                <w:spacing w:val="-27"/>
                <w:sz w:val="18"/>
                <w:szCs w:val="18"/>
              </w:rPr>
              <w:t> </w:t>
            </w:r>
            <w:r>
              <w:rPr>
                <w:rFonts w:ascii="Times New Roman" w:hAnsi="Times New Roman" w:cs="Times New Roman" w:eastAsia="Times New Roman" w:hint="default"/>
                <w:sz w:val="18"/>
                <w:szCs w:val="18"/>
              </w:rPr>
              <w:t>3,420</w:t>
            </w:r>
            <w:r>
              <w:rPr>
                <w:rFonts w:ascii="Times New Roman" w:hAnsi="Times New Roman" w:cs="Times New Roman" w:eastAsia="Times New Roman" w:hint="default"/>
                <w:spacing w:val="-37"/>
                <w:sz w:val="18"/>
                <w:szCs w:val="18"/>
              </w:rPr>
              <w:t> </w:t>
            </w:r>
            <w:r>
              <w:rPr>
                <w:rFonts w:ascii="Times New Roman" w:hAnsi="Times New Roman" w:cs="Times New Roman" w:eastAsia="Times New Roman" w:hint="default"/>
                <w:spacing w:val="-37"/>
                <w:sz w:val="18"/>
                <w:szCs w:val="18"/>
              </w:rPr>
            </w:r>
            <w:r>
              <w:rPr>
                <w:rFonts w:ascii="宋体" w:hAnsi="宋体" w:cs="宋体" w:eastAsia="宋体" w:hint="default"/>
                <w:sz w:val="18"/>
                <w:szCs w:val="18"/>
              </w:rPr>
              <w:t>万元转让公司持有的上海复深蓝软件股份有限公司（以下简称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复深蓝</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19%</w:t>
            </w:r>
            <w:r>
              <w:rPr>
                <w:rFonts w:ascii="宋体" w:hAnsi="宋体" w:cs="宋体" w:eastAsia="宋体" w:hint="default"/>
                <w:sz w:val="18"/>
                <w:szCs w:val="18"/>
              </w:rPr>
              <w:t>的股 权。其中以人民币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2,520 </w:t>
            </w:r>
            <w:r>
              <w:rPr>
                <w:rFonts w:ascii="宋体" w:hAnsi="宋体" w:cs="宋体" w:eastAsia="宋体" w:hint="default"/>
                <w:sz w:val="18"/>
                <w:szCs w:val="18"/>
              </w:rPr>
              <w:t>万元的价格向上海炽蓝企业管理合伙企业（有限合伙）及 其指定的第三方转让本公司持有的复深蓝</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280</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万股股份，即复深蓝</w:t>
            </w:r>
            <w:r>
              <w:rPr>
                <w:rFonts w:ascii="宋体" w:hAnsi="宋体" w:cs="宋体" w:eastAsia="宋体" w:hint="default"/>
                <w:spacing w:val="-41"/>
                <w:sz w:val="18"/>
                <w:szCs w:val="18"/>
              </w:rPr>
              <w:t> </w:t>
            </w:r>
            <w:r>
              <w:rPr>
                <w:rFonts w:ascii="Times New Roman" w:hAnsi="Times New Roman" w:cs="Times New Roman" w:eastAsia="Times New Roman" w:hint="default"/>
                <w:spacing w:val="-3"/>
                <w:sz w:val="18"/>
                <w:szCs w:val="18"/>
              </w:rPr>
              <w:t>14%</w:t>
            </w:r>
            <w:r>
              <w:rPr>
                <w:rFonts w:ascii="宋体" w:hAnsi="宋体" w:cs="宋体" w:eastAsia="宋体" w:hint="default"/>
                <w:spacing w:val="-3"/>
                <w:sz w:val="18"/>
                <w:szCs w:val="18"/>
              </w:rPr>
              <w:t>的股权；以</w:t>
            </w:r>
            <w:r>
              <w:rPr>
                <w:rFonts w:ascii="宋体" w:hAnsi="宋体" w:cs="宋体" w:eastAsia="宋体" w:hint="default"/>
                <w:sz w:val="18"/>
                <w:szCs w:val="18"/>
              </w:rPr>
              <w:t> 人民币</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900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万元的价格向南京元谷股权投资合伙企业（有限合伙）转让本公司持有 的复深蓝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万股股份，即复深蓝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的股权。</w:t>
            </w:r>
          </w:p>
          <w:p>
            <w:pPr>
              <w:pStyle w:val="TableParagraph"/>
              <w:spacing w:line="309" w:lineRule="auto" w:before="11"/>
              <w:ind w:left="16" w:right="-4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日公司披露了《关于出售参股公司部分股权暨关联交易的议案》 的进展公告，上海炽蓝企业管理合伙企业（有限合伙）指定第三方上海瑞力骄阳投 资管理合伙企业（有限合伙）受让公司持有的复深蓝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60 </w:t>
            </w:r>
            <w:r>
              <w:rPr>
                <w:rFonts w:ascii="宋体" w:hAnsi="宋体" w:cs="宋体" w:eastAsia="宋体" w:hint="default"/>
                <w:sz w:val="18"/>
                <w:szCs w:val="18"/>
              </w:rPr>
              <w:t>万股股份，股份转让款为</w:t>
            </w:r>
          </w:p>
          <w:p>
            <w:pPr>
              <w:pStyle w:val="TableParagraph"/>
              <w:spacing w:line="240" w:lineRule="auto" w:before="5"/>
              <w:ind w:left="16" w:right="0"/>
              <w:jc w:val="left"/>
              <w:rPr>
                <w:rFonts w:ascii="宋体" w:hAnsi="宋体" w:cs="宋体" w:eastAsia="宋体" w:hint="default"/>
                <w:sz w:val="18"/>
                <w:szCs w:val="18"/>
              </w:rPr>
            </w:pPr>
            <w:r>
              <w:rPr>
                <w:rFonts w:ascii="宋体" w:hAnsi="宋体" w:cs="宋体" w:eastAsia="宋体" w:hint="default"/>
                <w:sz w:val="18"/>
                <w:szCs w:val="18"/>
              </w:rPr>
              <w:t>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万元，其中</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220 </w:t>
            </w:r>
            <w:r>
              <w:rPr>
                <w:rFonts w:ascii="宋体" w:hAnsi="宋体" w:cs="宋体" w:eastAsia="宋体" w:hint="default"/>
                <w:sz w:val="18"/>
                <w:szCs w:val="18"/>
              </w:rPr>
              <w:t>万股股份由炽蓝受让。</w:t>
            </w:r>
          </w:p>
        </w:tc>
      </w:tr>
      <w:tr>
        <w:trPr>
          <w:trHeight w:val="394" w:hRule="exact"/>
        </w:trPr>
        <w:tc>
          <w:tcPr>
            <w:tcW w:w="30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9" w:type="dxa"/>
            <w:vMerge/>
            <w:tcBorders>
              <w:left w:val="single" w:sz="10" w:space="0" w:color="D2D2D2"/>
              <w:right w:val="single" w:sz="4" w:space="0" w:color="000000"/>
            </w:tcBorders>
          </w:tcPr>
          <w:p>
            <w:pPr/>
          </w:p>
        </w:tc>
      </w:tr>
      <w:tr>
        <w:trPr>
          <w:trHeight w:val="1700" w:hRule="exact"/>
        </w:trPr>
        <w:tc>
          <w:tcPr>
            <w:tcW w:w="305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9" w:type="dxa"/>
            <w:vMerge/>
            <w:tcBorders>
              <w:left w:val="single" w:sz="10" w:space="0" w:color="D2D2D2"/>
              <w:bottom w:val="single" w:sz="4" w:space="0" w:color="000000"/>
              <w:right w:val="single" w:sz="4" w:space="0" w:color="000000"/>
            </w:tcBorders>
          </w:tcPr>
          <w:p>
            <w:pPr/>
          </w:p>
        </w:tc>
      </w:tr>
    </w:tbl>
    <w:p>
      <w:pPr>
        <w:spacing w:after="0"/>
        <w:sectPr>
          <w:pgSz w:w="11910" w:h="16840"/>
          <w:pgMar w:header="745" w:footer="979" w:top="1060" w:bottom="1160" w:left="980" w:right="92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050"/>
        <w:gridCol w:w="6519"/>
      </w:tblGrid>
      <w:tr>
        <w:trPr>
          <w:trHeight w:val="987" w:hRule="exact"/>
        </w:trPr>
        <w:tc>
          <w:tcPr>
            <w:tcW w:w="30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4" w:right="43"/>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、公司第三届董事会第二十四次临时会议审议通过《关于注销控股子公司上海卓 </w:t>
            </w:r>
            <w:r>
              <w:rPr>
                <w:rFonts w:ascii="宋体" w:hAnsi="宋体" w:cs="宋体" w:eastAsia="宋体" w:hint="default"/>
                <w:spacing w:val="-3"/>
                <w:sz w:val="18"/>
                <w:szCs w:val="18"/>
              </w:rPr>
              <w:t>之联信息科技有限公司的议案》，决定注销上海卓之联信息科技有限公司，</w:t>
            </w:r>
            <w:r>
              <w:rPr>
                <w:rFonts w:ascii="Times New Roman" w:hAnsi="Times New Roman" w:cs="Times New Roman" w:eastAsia="Times New Roman" w:hint="default"/>
                <w:spacing w:val="-3"/>
                <w:sz w:val="18"/>
                <w:szCs w:val="18"/>
              </w:rPr>
              <w:t>2017</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85"/>
                <w:sz w:val="18"/>
                <w:szCs w:val="18"/>
              </w:rPr>
              <w:t> </w:t>
            </w:r>
            <w:r>
              <w:rPr>
                <w:rFonts w:ascii="宋体" w:hAnsi="宋体" w:cs="宋体" w:eastAsia="宋体" w:hint="default"/>
                <w:sz w:val="18"/>
                <w:szCs w:val="18"/>
              </w:rPr>
              <w:t>年报不再纳入合并报表范围。</w:t>
            </w:r>
          </w:p>
        </w:tc>
      </w:tr>
      <w:tr>
        <w:trPr>
          <w:trHeight w:val="1961" w:hRule="exact"/>
        </w:trPr>
        <w:tc>
          <w:tcPr>
            <w:tcW w:w="30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日召开第三届董事会第二次会议审议通过了《关于购买募 </w:t>
            </w:r>
            <w:r>
              <w:rPr>
                <w:rFonts w:ascii="宋体" w:hAnsi="宋体" w:cs="宋体" w:eastAsia="宋体" w:hint="default"/>
                <w:spacing w:val="-6"/>
                <w:sz w:val="18"/>
                <w:szCs w:val="18"/>
              </w:rPr>
              <w:t>投房产的议案》，《关于使用超募资金购买办公房产并设立全资子公司的议案》同意</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购买位于杭州萧山区宁围镇市心北路的</w:t>
            </w:r>
            <w:r>
              <w:rPr>
                <w:rFonts w:ascii="Times New Roman" w:hAnsi="Times New Roman" w:cs="Times New Roman" w:eastAsia="Times New Roman" w:hint="default"/>
                <w:sz w:val="18"/>
                <w:szCs w:val="18"/>
              </w:rPr>
              <w:t>“</w:t>
            </w:r>
            <w:r>
              <w:rPr>
                <w:rFonts w:ascii="宋体" w:hAnsi="宋体" w:cs="宋体" w:eastAsia="宋体" w:hint="default"/>
                <w:sz w:val="18"/>
                <w:szCs w:val="18"/>
              </w:rPr>
              <w:t>博地世纪中心</w:t>
            </w:r>
            <w:r>
              <w:rPr>
                <w:rFonts w:ascii="Times New Roman" w:hAnsi="Times New Roman" w:cs="Times New Roman" w:eastAsia="Times New Roman" w:hint="default"/>
                <w:sz w:val="18"/>
                <w:szCs w:val="18"/>
              </w:rPr>
              <w:t>”1 </w:t>
            </w:r>
            <w:r>
              <w:rPr>
                <w:rFonts w:ascii="宋体" w:hAnsi="宋体" w:cs="宋体" w:eastAsia="宋体" w:hint="default"/>
                <w:sz w:val="18"/>
                <w:szCs w:val="18"/>
              </w:rPr>
              <w:t>号楼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宋体" w:hAnsi="宋体" w:cs="宋体" w:eastAsia="宋体" w:hint="default"/>
                <w:sz w:val="18"/>
                <w:szCs w:val="18"/>
              </w:rPr>
              <w:t>、</w:t>
            </w:r>
            <w:r>
              <w:rPr>
                <w:rFonts w:ascii="Times New Roman" w:hAnsi="Times New Roman" w:cs="Times New Roman" w:eastAsia="Times New Roman" w:hint="default"/>
                <w:sz w:val="18"/>
                <w:szCs w:val="18"/>
              </w:rPr>
              <w:t>02</w:t>
            </w:r>
            <w:r>
              <w:rPr>
                <w:rFonts w:ascii="宋体" w:hAnsi="宋体" w:cs="宋体" w:eastAsia="宋体" w:hint="default"/>
                <w:sz w:val="18"/>
                <w:szCs w:val="18"/>
              </w:rPr>
              <w:t>、</w:t>
            </w:r>
            <w:r>
              <w:rPr>
                <w:rFonts w:ascii="Times New Roman" w:hAnsi="Times New Roman" w:cs="Times New Roman" w:eastAsia="Times New Roman" w:hint="default"/>
                <w:sz w:val="18"/>
                <w:szCs w:val="18"/>
              </w:rPr>
              <w:t>03 </w:t>
            </w:r>
            <w:r>
              <w:rPr>
                <w:rFonts w:ascii="宋体" w:hAnsi="宋体" w:cs="宋体" w:eastAsia="宋体" w:hint="default"/>
                <w:sz w:val="18"/>
                <w:szCs w:val="18"/>
              </w:rPr>
              <w:t>号 房屋、</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号楼</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层</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宋体" w:hAnsi="宋体" w:cs="宋体" w:eastAsia="宋体" w:hint="default"/>
                <w:sz w:val="18"/>
                <w:szCs w:val="18"/>
              </w:rPr>
              <w:t>、</w:t>
            </w:r>
            <w:r>
              <w:rPr>
                <w:rFonts w:ascii="Times New Roman" w:hAnsi="Times New Roman" w:cs="Times New Roman" w:eastAsia="Times New Roman" w:hint="default"/>
                <w:sz w:val="18"/>
                <w:szCs w:val="18"/>
              </w:rPr>
              <w:t>02</w:t>
            </w:r>
            <w:r>
              <w:rPr>
                <w:rFonts w:ascii="宋体" w:hAnsi="宋体" w:cs="宋体" w:eastAsia="宋体" w:hint="default"/>
                <w:sz w:val="18"/>
                <w:szCs w:val="18"/>
              </w:rPr>
              <w:t>、</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号房屋的办公楼、</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号楼</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层</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宋体" w:hAnsi="宋体" w:cs="宋体" w:eastAsia="宋体" w:hint="default"/>
                <w:sz w:val="18"/>
                <w:szCs w:val="18"/>
              </w:rPr>
              <w:t>、</w:t>
            </w:r>
            <w:r>
              <w:rPr>
                <w:rFonts w:ascii="Times New Roman" w:hAnsi="Times New Roman" w:cs="Times New Roman" w:eastAsia="Times New Roman" w:hint="default"/>
                <w:sz w:val="18"/>
                <w:szCs w:val="18"/>
              </w:rPr>
              <w:t>02</w:t>
            </w:r>
            <w:r>
              <w:rPr>
                <w:rFonts w:ascii="宋体" w:hAnsi="宋体" w:cs="宋体" w:eastAsia="宋体" w:hint="default"/>
                <w:sz w:val="18"/>
                <w:szCs w:val="18"/>
              </w:rPr>
              <w:t>、</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号房屋和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r>
              <w:rPr>
                <w:rFonts w:ascii="宋体" w:hAnsi="宋体" w:cs="宋体" w:eastAsia="宋体" w:hint="default"/>
                <w:spacing w:val="-47"/>
                <w:sz w:val="18"/>
                <w:szCs w:val="18"/>
              </w:rPr>
              <w:t> </w:t>
            </w:r>
            <w:r>
              <w:rPr>
                <w:rFonts w:ascii="Times New Roman" w:hAnsi="Times New Roman" w:cs="Times New Roman" w:eastAsia="Times New Roman" w:hint="default"/>
                <w:spacing w:val="-6"/>
                <w:sz w:val="18"/>
                <w:szCs w:val="18"/>
              </w:rPr>
              <w:t>01</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02</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号房屋。该房屋已于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日办理完成房屋交接 手续。</w:t>
            </w:r>
          </w:p>
        </w:tc>
      </w:tr>
      <w:tr>
        <w:trPr>
          <w:trHeight w:val="1028" w:hRule="exact"/>
        </w:trPr>
        <w:tc>
          <w:tcPr>
            <w:tcW w:w="30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23"/>
              <w:jc w:val="both"/>
              <w:rPr>
                <w:rFonts w:ascii="宋体" w:hAnsi="宋体" w:cs="宋体" w:eastAsia="宋体" w:hint="default"/>
                <w:sz w:val="18"/>
                <w:szCs w:val="18"/>
              </w:rPr>
            </w:pPr>
            <w:r>
              <w:rPr>
                <w:rFonts w:ascii="宋体" w:hAnsi="宋体" w:cs="宋体" w:eastAsia="宋体" w:hint="default"/>
                <w:spacing w:val="-1"/>
                <w:sz w:val="18"/>
                <w:szCs w:val="18"/>
              </w:rPr>
              <w:t>公司第三届董事会第二十四次临时会议审议通过《关于注销控股子公司上海卓之联</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信息科技有限公司的议案》，决定注销上海卓之联信息科技有限公司，</w:t>
            </w:r>
            <w:r>
              <w:rPr>
                <w:rFonts w:ascii="Times New Roman" w:hAnsi="Times New Roman" w:cs="Times New Roman" w:eastAsia="Times New Roman" w:hint="default"/>
                <w:spacing w:val="-3"/>
                <w:sz w:val="18"/>
                <w:szCs w:val="18"/>
              </w:rPr>
              <w:t>2017</w:t>
            </w:r>
            <w:r>
              <w:rPr>
                <w:rFonts w:ascii="Times New Roman" w:hAnsi="Times New Roman" w:cs="Times New Roman" w:eastAsia="Times New Roman" w:hint="default"/>
                <w:sz w:val="18"/>
                <w:szCs w:val="18"/>
              </w:rPr>
              <w:t> </w:t>
            </w:r>
            <w:r>
              <w:rPr>
                <w:rFonts w:ascii="宋体" w:hAnsi="宋体" w:cs="宋体" w:eastAsia="宋体" w:hint="default"/>
                <w:sz w:val="18"/>
                <w:szCs w:val="18"/>
              </w:rPr>
              <w:t>年年报</w:t>
            </w:r>
            <w:r>
              <w:rPr>
                <w:rFonts w:ascii="宋体" w:hAnsi="宋体" w:cs="宋体" w:eastAsia="宋体" w:hint="default"/>
                <w:spacing w:val="-72"/>
                <w:sz w:val="18"/>
                <w:szCs w:val="18"/>
              </w:rPr>
              <w:t> </w:t>
            </w:r>
            <w:r>
              <w:rPr>
                <w:rFonts w:ascii="宋体" w:hAnsi="宋体" w:cs="宋体" w:eastAsia="宋体" w:hint="default"/>
                <w:sz w:val="18"/>
                <w:szCs w:val="18"/>
              </w:rPr>
              <w:t>不再纳入合并报表范围。卓之联股东以软件著作权出资的无形资产同步减少。</w:t>
            </w:r>
          </w:p>
        </w:tc>
      </w:tr>
      <w:tr>
        <w:trPr>
          <w:trHeight w:val="401" w:hRule="exact"/>
        </w:trPr>
        <w:tc>
          <w:tcPr>
            <w:tcW w:w="30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三、核心竞争力分析</w:t>
      </w:r>
      <w:r>
        <w:rPr>
          <w:b w:val="0"/>
          <w:bCs w:val="0"/>
        </w:rPr>
      </w:r>
    </w:p>
    <w:p>
      <w:pPr>
        <w:spacing w:line="240" w:lineRule="auto" w:before="7"/>
        <w:rPr>
          <w:rFonts w:ascii="宋体" w:hAnsi="宋体" w:cs="宋体" w:eastAsia="宋体" w:hint="default"/>
          <w:b/>
          <w:bCs/>
          <w:sz w:val="26"/>
          <w:szCs w:val="26"/>
        </w:rPr>
      </w:pPr>
    </w:p>
    <w:p>
      <w:pPr>
        <w:spacing w:line="357" w:lineRule="auto" w:before="0"/>
        <w:ind w:left="152" w:right="6714"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273" w:lineRule="auto" w:before="8"/>
        <w:ind w:right="0" w:firstLine="420"/>
        <w:jc w:val="left"/>
      </w:pPr>
      <w:r>
        <w:rPr>
          <w:spacing w:val="-3"/>
        </w:rPr>
        <w:t>报告期内，公司通过不断的技术创新和市场拓展，合作创新，突出公司的品牌特色，核心竞争力及行</w:t>
      </w:r>
      <w:r>
        <w:rPr>
          <w:w w:val="100"/>
        </w:rPr>
        <w:t> </w:t>
      </w:r>
      <w:r>
        <w:rPr/>
        <w:t>业地位呈逐年稳定提升趋势。</w:t>
      </w:r>
    </w:p>
    <w:p>
      <w:pPr>
        <w:pStyle w:val="Heading3"/>
        <w:spacing w:line="273" w:lineRule="auto" w:before="7"/>
        <w:ind w:right="5826"/>
        <w:jc w:val="left"/>
        <w:rPr>
          <w:b w:val="0"/>
          <w:bCs w:val="0"/>
        </w:rPr>
      </w:pPr>
      <w:r>
        <w:rPr>
          <w:spacing w:val="-1"/>
        </w:rPr>
        <w:t>一、丰富知识产权，提升公司核心竞争力</w:t>
      </w:r>
      <w:r>
        <w:rPr>
          <w:spacing w:val="-87"/>
        </w:rPr>
        <w:t> </w:t>
      </w:r>
      <w:r>
        <w:rPr>
          <w:spacing w:val="-87"/>
        </w:rPr>
      </w:r>
      <w:r>
        <w:rPr>
          <w:rFonts w:ascii="宋体" w:hAnsi="宋体" w:cs="宋体" w:eastAsia="宋体" w:hint="default"/>
        </w:rPr>
        <w:t>1.</w:t>
      </w:r>
      <w:r>
        <w:rPr>
          <w:rFonts w:ascii="宋体" w:hAnsi="宋体" w:cs="宋体" w:eastAsia="宋体" w:hint="default"/>
          <w:spacing w:val="43"/>
        </w:rPr>
        <w:t> </w:t>
      </w:r>
      <w:r>
        <w:rPr/>
        <w:t>专利权</w:t>
      </w:r>
      <w:r>
        <w:rPr>
          <w:b w:val="0"/>
          <w:bCs w:val="0"/>
        </w:rPr>
      </w:r>
    </w:p>
    <w:p>
      <w:pPr>
        <w:pStyle w:val="BodyText"/>
        <w:spacing w:line="240" w:lineRule="auto" w:before="7"/>
        <w:ind w:left="513" w:right="0"/>
        <w:jc w:val="left"/>
      </w:pPr>
      <w:r>
        <w:rPr/>
        <w:t>报告期内，公司新增获得专利证书一项。具体情况如下：</w:t>
      </w:r>
    </w:p>
    <w:p>
      <w:pPr>
        <w:spacing w:line="240" w:lineRule="auto" w:before="10"/>
        <w:rPr>
          <w:rFonts w:ascii="宋体" w:hAnsi="宋体" w:cs="宋体" w:eastAsia="宋体" w:hint="default"/>
          <w:sz w:val="3"/>
          <w:szCs w:val="3"/>
        </w:rPr>
      </w:pPr>
    </w:p>
    <w:tbl>
      <w:tblPr>
        <w:tblW w:w="0" w:type="auto"/>
        <w:jc w:val="left"/>
        <w:tblInd w:w="164" w:type="dxa"/>
        <w:tblLayout w:type="fixed"/>
        <w:tblCellMar>
          <w:top w:w="0" w:type="dxa"/>
          <w:left w:w="0" w:type="dxa"/>
          <w:bottom w:w="0" w:type="dxa"/>
          <w:right w:w="0" w:type="dxa"/>
        </w:tblCellMar>
        <w:tblLook w:val="01E0"/>
      </w:tblPr>
      <w:tblGrid>
        <w:gridCol w:w="567"/>
        <w:gridCol w:w="2535"/>
        <w:gridCol w:w="2002"/>
        <w:gridCol w:w="1133"/>
        <w:gridCol w:w="1702"/>
        <w:gridCol w:w="912"/>
      </w:tblGrid>
      <w:tr>
        <w:trPr>
          <w:trHeight w:val="346" w:hRule="exact"/>
        </w:trPr>
        <w:tc>
          <w:tcPr>
            <w:tcW w:w="56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123"/>
              <w:jc w:val="center"/>
              <w:rPr>
                <w:rFonts w:ascii="宋体" w:hAnsi="宋体" w:cs="宋体" w:eastAsia="宋体" w:hint="default"/>
                <w:sz w:val="21"/>
                <w:szCs w:val="21"/>
              </w:rPr>
            </w:pPr>
            <w:r>
              <w:rPr>
                <w:rFonts w:ascii="宋体" w:hAnsi="宋体" w:cs="宋体" w:eastAsia="宋体" w:hint="default"/>
                <w:sz w:val="21"/>
                <w:szCs w:val="21"/>
              </w:rPr>
              <w:t>序号</w:t>
            </w:r>
          </w:p>
        </w:tc>
        <w:tc>
          <w:tcPr>
            <w:tcW w:w="253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z w:val="21"/>
                <w:szCs w:val="21"/>
              </w:rPr>
              <w:t>专利名称</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z w:val="21"/>
                <w:szCs w:val="21"/>
              </w:rPr>
              <w:t>专利号</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z w:val="21"/>
                <w:szCs w:val="21"/>
              </w:rPr>
              <w:t>类型</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获得日期</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专利权人</w:t>
            </w:r>
          </w:p>
        </w:tc>
      </w:tr>
      <w:tr>
        <w:trPr>
          <w:trHeight w:val="1054" w:hRule="exact"/>
        </w:trPr>
        <w:tc>
          <w:tcPr>
            <w:tcW w:w="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w w:val="100"/>
                <w:sz w:val="21"/>
              </w:rPr>
              <w:t>1</w:t>
            </w:r>
          </w:p>
        </w:tc>
        <w:tc>
          <w:tcPr>
            <w:tcW w:w="253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40"/>
              <w:ind w:left="2" w:right="1"/>
              <w:jc w:val="both"/>
              <w:rPr>
                <w:rFonts w:ascii="宋体" w:hAnsi="宋体" w:cs="宋体" w:eastAsia="宋体" w:hint="default"/>
                <w:sz w:val="21"/>
                <w:szCs w:val="21"/>
              </w:rPr>
            </w:pPr>
            <w:r>
              <w:rPr>
                <w:rFonts w:ascii="宋体" w:hAnsi="宋体" w:cs="宋体" w:eastAsia="宋体" w:hint="default"/>
                <w:spacing w:val="16"/>
                <w:sz w:val="21"/>
                <w:szCs w:val="21"/>
              </w:rPr>
              <w:t>一种在云数据中心环境下</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16"/>
                <w:sz w:val="21"/>
                <w:szCs w:val="21"/>
              </w:rPr>
              <w:t>对虚拟机进行监控等级划</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分的方法</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31" w:right="0"/>
              <w:jc w:val="left"/>
              <w:rPr>
                <w:rFonts w:ascii="Times New Roman" w:hAnsi="Times New Roman" w:cs="Times New Roman" w:eastAsia="Times New Roman" w:hint="default"/>
                <w:sz w:val="21"/>
                <w:szCs w:val="21"/>
              </w:rPr>
            </w:pPr>
            <w:r>
              <w:rPr>
                <w:rFonts w:ascii="Times New Roman"/>
                <w:sz w:val="21"/>
              </w:rPr>
              <w:t>ZL201410631050.X</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left="139" w:right="0"/>
              <w:jc w:val="left"/>
              <w:rPr>
                <w:rFonts w:ascii="宋体" w:hAnsi="宋体" w:cs="宋体" w:eastAsia="宋体" w:hint="default"/>
                <w:sz w:val="21"/>
                <w:szCs w:val="21"/>
              </w:rPr>
            </w:pPr>
            <w:r>
              <w:rPr>
                <w:rFonts w:ascii="宋体" w:hAnsi="宋体" w:cs="宋体" w:eastAsia="宋体" w:hint="default"/>
                <w:sz w:val="21"/>
                <w:szCs w:val="21"/>
              </w:rPr>
              <w:t>发明专利</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70" w:right="0"/>
              <w:jc w:val="left"/>
              <w:rPr>
                <w:rFonts w:ascii="Times New Roman" w:hAnsi="Times New Roman" w:cs="Times New Roman" w:eastAsia="Times New Roman" w:hint="default"/>
                <w:sz w:val="21"/>
                <w:szCs w:val="21"/>
              </w:rPr>
            </w:pPr>
            <w:r>
              <w:rPr>
                <w:rFonts w:ascii="Times New Roman"/>
                <w:sz w:val="21"/>
              </w:rPr>
              <w:t>2017/7/4</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left="31" w:right="0"/>
              <w:jc w:val="left"/>
              <w:rPr>
                <w:rFonts w:ascii="宋体" w:hAnsi="宋体" w:cs="宋体" w:eastAsia="宋体" w:hint="default"/>
                <w:sz w:val="21"/>
                <w:szCs w:val="21"/>
              </w:rPr>
            </w:pPr>
            <w:r>
              <w:rPr>
                <w:rFonts w:ascii="宋体" w:hAnsi="宋体" w:cs="宋体" w:eastAsia="宋体" w:hint="default"/>
                <w:sz w:val="21"/>
                <w:szCs w:val="21"/>
              </w:rPr>
              <w:t>天玑科技</w:t>
            </w:r>
          </w:p>
        </w:tc>
      </w:tr>
    </w:tbl>
    <w:p>
      <w:pPr>
        <w:spacing w:line="240" w:lineRule="auto" w:before="2"/>
        <w:rPr>
          <w:rFonts w:ascii="宋体" w:hAnsi="宋体" w:cs="宋体" w:eastAsia="宋体" w:hint="default"/>
          <w:sz w:val="20"/>
          <w:szCs w:val="20"/>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、著作权</w:t>
      </w:r>
      <w:r>
        <w:rPr>
          <w:b w:val="0"/>
          <w:bCs w:val="0"/>
        </w:rPr>
      </w:r>
    </w:p>
    <w:p>
      <w:pPr>
        <w:pStyle w:val="BodyText"/>
        <w:spacing w:line="240" w:lineRule="auto" w:before="21"/>
        <w:ind w:left="513" w:right="0"/>
        <w:jc w:val="left"/>
      </w:pPr>
      <w:r>
        <w:rPr/>
        <w:t>报告期内，公司及控股子公司新增取得软件著作权</w:t>
      </w:r>
      <w:r>
        <w:rPr>
          <w:rFonts w:ascii="Times New Roman" w:hAnsi="Times New Roman" w:cs="Times New Roman" w:eastAsia="Times New Roman" w:hint="default"/>
        </w:rPr>
        <w:t>12</w:t>
      </w:r>
      <w:r>
        <w:rPr/>
        <w:t>项；具体新增的软件著作权情况如下：</w:t>
      </w:r>
    </w:p>
    <w:p>
      <w:pPr>
        <w:spacing w:line="240" w:lineRule="auto" w:before="8"/>
        <w:rPr>
          <w:rFonts w:ascii="宋体" w:hAnsi="宋体" w:cs="宋体" w:eastAsia="宋体" w:hint="default"/>
          <w:sz w:val="2"/>
          <w:szCs w:val="2"/>
        </w:rPr>
      </w:pPr>
    </w:p>
    <w:tbl>
      <w:tblPr>
        <w:tblW w:w="0" w:type="auto"/>
        <w:jc w:val="left"/>
        <w:tblInd w:w="164" w:type="dxa"/>
        <w:tblLayout w:type="fixed"/>
        <w:tblCellMar>
          <w:top w:w="0" w:type="dxa"/>
          <w:left w:w="0" w:type="dxa"/>
          <w:bottom w:w="0" w:type="dxa"/>
          <w:right w:w="0" w:type="dxa"/>
        </w:tblCellMar>
        <w:tblLook w:val="01E0"/>
      </w:tblPr>
      <w:tblGrid>
        <w:gridCol w:w="636"/>
        <w:gridCol w:w="2931"/>
        <w:gridCol w:w="1553"/>
        <w:gridCol w:w="1200"/>
        <w:gridCol w:w="1426"/>
        <w:gridCol w:w="1116"/>
      </w:tblGrid>
      <w:tr>
        <w:trPr>
          <w:trHeight w:val="346" w:hRule="exact"/>
        </w:trPr>
        <w:tc>
          <w:tcPr>
            <w:tcW w:w="636" w:type="dxa"/>
            <w:tcBorders>
              <w:top w:val="single" w:sz="6" w:space="0" w:color="000000"/>
              <w:left w:val="single" w:sz="6" w:space="0" w:color="000000"/>
              <w:bottom w:val="single" w:sz="6" w:space="0" w:color="000000"/>
              <w:right w:val="single" w:sz="12"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2931" w:type="dxa"/>
            <w:tcBorders>
              <w:top w:val="single" w:sz="6" w:space="0" w:color="000000"/>
              <w:left w:val="single" w:sz="12" w:space="0" w:color="000000"/>
              <w:bottom w:val="single" w:sz="6" w:space="0" w:color="000000"/>
              <w:right w:val="single" w:sz="12" w:space="0" w:color="000000"/>
            </w:tcBorders>
          </w:tcPr>
          <w:p>
            <w:pPr>
              <w:pStyle w:val="TableParagraph"/>
              <w:spacing w:line="272" w:lineRule="exact"/>
              <w:ind w:right="5"/>
              <w:jc w:val="center"/>
              <w:rPr>
                <w:rFonts w:ascii="宋体" w:hAnsi="宋体" w:cs="宋体" w:eastAsia="宋体" w:hint="default"/>
                <w:sz w:val="21"/>
                <w:szCs w:val="21"/>
              </w:rPr>
            </w:pPr>
            <w:r>
              <w:rPr>
                <w:rFonts w:ascii="宋体" w:hAnsi="宋体" w:cs="宋体" w:eastAsia="宋体" w:hint="default"/>
                <w:b/>
                <w:bCs/>
                <w:sz w:val="21"/>
                <w:szCs w:val="21"/>
              </w:rPr>
              <w:t>软件名称</w:t>
            </w:r>
            <w:r>
              <w:rPr>
                <w:rFonts w:ascii="宋体" w:hAnsi="宋体" w:cs="宋体" w:eastAsia="宋体" w:hint="default"/>
                <w:sz w:val="21"/>
                <w:szCs w:val="21"/>
              </w:rPr>
            </w:r>
          </w:p>
        </w:tc>
        <w:tc>
          <w:tcPr>
            <w:tcW w:w="1553" w:type="dxa"/>
            <w:tcBorders>
              <w:top w:val="single" w:sz="6" w:space="0" w:color="000000"/>
              <w:left w:val="single" w:sz="12" w:space="0" w:color="000000"/>
              <w:bottom w:val="single" w:sz="6" w:space="0" w:color="000000"/>
              <w:right w:val="single" w:sz="12" w:space="0" w:color="000000"/>
            </w:tcBorders>
          </w:tcPr>
          <w:p>
            <w:pPr>
              <w:pStyle w:val="TableParagraph"/>
              <w:spacing w:line="272" w:lineRule="exact"/>
              <w:ind w:right="5"/>
              <w:jc w:val="center"/>
              <w:rPr>
                <w:rFonts w:ascii="宋体" w:hAnsi="宋体" w:cs="宋体" w:eastAsia="宋体" w:hint="default"/>
                <w:sz w:val="21"/>
                <w:szCs w:val="21"/>
              </w:rPr>
            </w:pPr>
            <w:r>
              <w:rPr>
                <w:rFonts w:ascii="宋体" w:hAnsi="宋体" w:cs="宋体" w:eastAsia="宋体" w:hint="default"/>
                <w:b/>
                <w:bCs/>
                <w:sz w:val="21"/>
                <w:szCs w:val="21"/>
              </w:rPr>
              <w:t>登记号</w:t>
            </w:r>
            <w:r>
              <w:rPr>
                <w:rFonts w:ascii="宋体" w:hAnsi="宋体" w:cs="宋体" w:eastAsia="宋体" w:hint="default"/>
                <w:sz w:val="21"/>
                <w:szCs w:val="21"/>
              </w:rPr>
            </w:r>
          </w:p>
        </w:tc>
        <w:tc>
          <w:tcPr>
            <w:tcW w:w="1200" w:type="dxa"/>
            <w:tcBorders>
              <w:top w:val="single" w:sz="6" w:space="0" w:color="000000"/>
              <w:left w:val="single" w:sz="12" w:space="0" w:color="000000"/>
              <w:bottom w:val="single" w:sz="6" w:space="0" w:color="000000"/>
              <w:right w:val="single" w:sz="12" w:space="0" w:color="000000"/>
            </w:tcBorders>
          </w:tcPr>
          <w:p>
            <w:pPr>
              <w:pStyle w:val="TableParagraph"/>
              <w:spacing w:line="272" w:lineRule="exact"/>
              <w:ind w:right="167"/>
              <w:jc w:val="right"/>
              <w:rPr>
                <w:rFonts w:ascii="宋体" w:hAnsi="宋体" w:cs="宋体" w:eastAsia="宋体" w:hint="default"/>
                <w:sz w:val="21"/>
                <w:szCs w:val="21"/>
              </w:rPr>
            </w:pPr>
            <w:r>
              <w:rPr>
                <w:rFonts w:ascii="宋体" w:hAnsi="宋体" w:cs="宋体" w:eastAsia="宋体" w:hint="default"/>
                <w:b/>
                <w:bCs/>
                <w:sz w:val="21"/>
                <w:szCs w:val="21"/>
              </w:rPr>
              <w:t>取得方式</w:t>
            </w:r>
            <w:r>
              <w:rPr>
                <w:rFonts w:ascii="宋体" w:hAnsi="宋体" w:cs="宋体" w:eastAsia="宋体" w:hint="default"/>
                <w:sz w:val="21"/>
                <w:szCs w:val="21"/>
              </w:rPr>
            </w:r>
          </w:p>
        </w:tc>
        <w:tc>
          <w:tcPr>
            <w:tcW w:w="1426" w:type="dxa"/>
            <w:tcBorders>
              <w:top w:val="single" w:sz="6" w:space="0" w:color="000000"/>
              <w:left w:val="single" w:sz="12" w:space="0" w:color="000000"/>
              <w:bottom w:val="single" w:sz="6" w:space="0" w:color="000000"/>
              <w:right w:val="single" w:sz="12" w:space="0" w:color="000000"/>
            </w:tcBorders>
          </w:tcPr>
          <w:p>
            <w:pPr>
              <w:pStyle w:val="TableParagraph"/>
              <w:spacing w:line="272" w:lineRule="exact"/>
              <w:ind w:right="279"/>
              <w:jc w:val="right"/>
              <w:rPr>
                <w:rFonts w:ascii="宋体" w:hAnsi="宋体" w:cs="宋体" w:eastAsia="宋体" w:hint="default"/>
                <w:sz w:val="21"/>
                <w:szCs w:val="21"/>
              </w:rPr>
            </w:pPr>
            <w:r>
              <w:rPr>
                <w:rFonts w:ascii="宋体" w:hAnsi="宋体" w:cs="宋体" w:eastAsia="宋体" w:hint="default"/>
                <w:b/>
                <w:bCs/>
                <w:sz w:val="21"/>
                <w:szCs w:val="21"/>
              </w:rPr>
              <w:t>发证日期</w:t>
            </w:r>
            <w:r>
              <w:rPr>
                <w:rFonts w:ascii="宋体" w:hAnsi="宋体" w:cs="宋体" w:eastAsia="宋体" w:hint="default"/>
                <w:sz w:val="21"/>
                <w:szCs w:val="21"/>
              </w:rPr>
            </w:r>
          </w:p>
        </w:tc>
        <w:tc>
          <w:tcPr>
            <w:tcW w:w="1116" w:type="dxa"/>
            <w:tcBorders>
              <w:top w:val="single" w:sz="6" w:space="0" w:color="000000"/>
              <w:left w:val="single" w:sz="12" w:space="0" w:color="000000"/>
              <w:bottom w:val="single" w:sz="6" w:space="0" w:color="000000"/>
              <w:right w:val="single" w:sz="12" w:space="0" w:color="000000"/>
            </w:tcBorders>
          </w:tcPr>
          <w:p>
            <w:pPr>
              <w:pStyle w:val="TableParagraph"/>
              <w:spacing w:line="272" w:lineRule="exact"/>
              <w:ind w:right="5"/>
              <w:jc w:val="center"/>
              <w:rPr>
                <w:rFonts w:ascii="宋体" w:hAnsi="宋体" w:cs="宋体" w:eastAsia="宋体" w:hint="default"/>
                <w:sz w:val="21"/>
                <w:szCs w:val="21"/>
              </w:rPr>
            </w:pPr>
            <w:r>
              <w:rPr>
                <w:rFonts w:ascii="宋体" w:hAnsi="宋体" w:cs="宋体" w:eastAsia="宋体" w:hint="default"/>
                <w:b/>
                <w:bCs/>
                <w:sz w:val="21"/>
                <w:szCs w:val="21"/>
              </w:rPr>
              <w:t>著作权人</w:t>
            </w:r>
            <w:r>
              <w:rPr>
                <w:rFonts w:ascii="宋体" w:hAnsi="宋体" w:cs="宋体" w:eastAsia="宋体" w:hint="default"/>
                <w:sz w:val="21"/>
                <w:szCs w:val="21"/>
              </w:rPr>
            </w:r>
          </w:p>
        </w:tc>
      </w:tr>
      <w:tr>
        <w:trPr>
          <w:trHeight w:val="739" w:hRule="exact"/>
        </w:trPr>
        <w:tc>
          <w:tcPr>
            <w:tcW w:w="63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6"/>
              <w:ind w:left="5" w:right="0"/>
              <w:jc w:val="center"/>
              <w:rPr>
                <w:rFonts w:ascii="Times New Roman" w:hAnsi="Times New Roman" w:cs="Times New Roman" w:eastAsia="Times New Roman" w:hint="default"/>
                <w:sz w:val="21"/>
                <w:szCs w:val="21"/>
              </w:rPr>
            </w:pPr>
            <w:r>
              <w:rPr>
                <w:rFonts w:ascii="Times New Roman"/>
                <w:w w:val="100"/>
                <w:sz w:val="21"/>
              </w:rPr>
              <w:t>1</w:t>
            </w:r>
          </w:p>
        </w:tc>
        <w:tc>
          <w:tcPr>
            <w:tcW w:w="2931"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40"/>
              <w:ind w:right="2"/>
              <w:jc w:val="center"/>
              <w:rPr>
                <w:rFonts w:ascii="宋体" w:hAnsi="宋体" w:cs="宋体" w:eastAsia="宋体" w:hint="default"/>
                <w:sz w:val="21"/>
                <w:szCs w:val="21"/>
              </w:rPr>
            </w:pPr>
            <w:r>
              <w:rPr>
                <w:rFonts w:ascii="宋体" w:hAnsi="宋体" w:cs="宋体" w:eastAsia="宋体" w:hint="default"/>
                <w:sz w:val="21"/>
                <w:szCs w:val="21"/>
              </w:rPr>
              <w:t>银行物理网点智能排队机系统</w:t>
            </w:r>
          </w:p>
          <w:p>
            <w:pPr>
              <w:pStyle w:val="TableParagraph"/>
              <w:spacing w:line="240" w:lineRule="auto" w:before="34"/>
              <w:ind w:right="5"/>
              <w:jc w:val="center"/>
              <w:rPr>
                <w:rFonts w:ascii="Times New Roman" w:hAnsi="Times New Roman" w:cs="Times New Roman" w:eastAsia="Times New Roman" w:hint="default"/>
                <w:sz w:val="21"/>
                <w:szCs w:val="21"/>
              </w:rPr>
            </w:pPr>
            <w:r>
              <w:rPr>
                <w:rFonts w:ascii="宋体" w:hAnsi="宋体" w:cs="宋体" w:eastAsia="宋体" w:hint="default"/>
                <w:sz w:val="21"/>
                <w:szCs w:val="21"/>
              </w:rPr>
              <w:t>【简称：智能排队机】</w:t>
            </w:r>
            <w:r>
              <w:rPr>
                <w:rFonts w:ascii="Times New Roman" w:hAnsi="Times New Roman" w:cs="Times New Roman" w:eastAsia="Times New Roman" w:hint="default"/>
                <w:sz w:val="21"/>
                <w:szCs w:val="21"/>
              </w:rPr>
              <w:t>V1.0</w:t>
            </w:r>
          </w:p>
        </w:tc>
        <w:tc>
          <w:tcPr>
            <w:tcW w:w="1553"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87"/>
              <w:ind w:right="5"/>
              <w:jc w:val="center"/>
              <w:rPr>
                <w:rFonts w:ascii="Times New Roman" w:hAnsi="Times New Roman" w:cs="Times New Roman" w:eastAsia="Times New Roman" w:hint="default"/>
                <w:sz w:val="21"/>
                <w:szCs w:val="21"/>
              </w:rPr>
            </w:pPr>
            <w:r>
              <w:rPr>
                <w:rFonts w:ascii="Times New Roman"/>
                <w:sz w:val="21"/>
              </w:rPr>
              <w:t>2017SR107979</w:t>
            </w:r>
          </w:p>
        </w:tc>
        <w:tc>
          <w:tcPr>
            <w:tcW w:w="1200"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40"/>
              <w:ind w:right="165"/>
              <w:jc w:val="right"/>
              <w:rPr>
                <w:rFonts w:ascii="宋体" w:hAnsi="宋体" w:cs="宋体" w:eastAsia="宋体" w:hint="default"/>
                <w:sz w:val="21"/>
                <w:szCs w:val="21"/>
              </w:rPr>
            </w:pPr>
            <w:r>
              <w:rPr>
                <w:rFonts w:ascii="宋体" w:hAnsi="宋体" w:cs="宋体" w:eastAsia="宋体" w:hint="default"/>
                <w:spacing w:val="-1"/>
                <w:sz w:val="21"/>
                <w:szCs w:val="21"/>
              </w:rPr>
              <w:t>直接取得</w:t>
            </w:r>
          </w:p>
        </w:tc>
        <w:tc>
          <w:tcPr>
            <w:tcW w:w="1426"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87"/>
              <w:ind w:right="274"/>
              <w:jc w:val="right"/>
              <w:rPr>
                <w:rFonts w:ascii="Times New Roman" w:hAnsi="Times New Roman" w:cs="Times New Roman" w:eastAsia="Times New Roman" w:hint="default"/>
                <w:sz w:val="21"/>
                <w:szCs w:val="21"/>
              </w:rPr>
            </w:pPr>
            <w:r>
              <w:rPr>
                <w:rFonts w:ascii="Times New Roman"/>
                <w:spacing w:val="-1"/>
                <w:sz w:val="21"/>
              </w:rPr>
              <w:t>2017/4/10</w:t>
            </w:r>
          </w:p>
        </w:tc>
        <w:tc>
          <w:tcPr>
            <w:tcW w:w="1116"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40"/>
              <w:ind w:right="7"/>
              <w:jc w:val="center"/>
              <w:rPr>
                <w:rFonts w:ascii="宋体" w:hAnsi="宋体" w:cs="宋体" w:eastAsia="宋体" w:hint="default"/>
                <w:sz w:val="21"/>
                <w:szCs w:val="21"/>
              </w:rPr>
            </w:pPr>
            <w:r>
              <w:rPr>
                <w:rFonts w:ascii="宋体" w:hAnsi="宋体" w:cs="宋体" w:eastAsia="宋体" w:hint="default"/>
                <w:sz w:val="21"/>
                <w:szCs w:val="21"/>
              </w:rPr>
              <w:t>天玑科技</w:t>
            </w:r>
          </w:p>
        </w:tc>
      </w:tr>
      <w:tr>
        <w:trPr>
          <w:trHeight w:val="739" w:hRule="exact"/>
        </w:trPr>
        <w:tc>
          <w:tcPr>
            <w:tcW w:w="63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6"/>
              <w:ind w:left="5" w:right="0"/>
              <w:jc w:val="center"/>
              <w:rPr>
                <w:rFonts w:ascii="Times New Roman" w:hAnsi="Times New Roman" w:cs="Times New Roman" w:eastAsia="Times New Roman" w:hint="default"/>
                <w:sz w:val="21"/>
                <w:szCs w:val="21"/>
              </w:rPr>
            </w:pPr>
            <w:r>
              <w:rPr>
                <w:rFonts w:ascii="Times New Roman"/>
                <w:w w:val="100"/>
                <w:sz w:val="21"/>
              </w:rPr>
              <w:t>2</w:t>
            </w:r>
          </w:p>
        </w:tc>
        <w:tc>
          <w:tcPr>
            <w:tcW w:w="2931" w:type="dxa"/>
            <w:tcBorders>
              <w:top w:val="single" w:sz="6" w:space="0" w:color="000000"/>
              <w:left w:val="single" w:sz="12" w:space="0" w:color="000000"/>
              <w:bottom w:val="single" w:sz="6" w:space="0" w:color="000000"/>
              <w:right w:val="single" w:sz="12" w:space="0" w:color="000000"/>
            </w:tcBorders>
          </w:tcPr>
          <w:p>
            <w:pPr>
              <w:pStyle w:val="TableParagraph"/>
              <w:spacing w:line="256" w:lineRule="auto" w:before="40"/>
              <w:ind w:left="479" w:right="0" w:hanging="483"/>
              <w:jc w:val="left"/>
              <w:rPr>
                <w:rFonts w:ascii="Times New Roman" w:hAnsi="Times New Roman" w:cs="Times New Roman" w:eastAsia="Times New Roman" w:hint="default"/>
                <w:sz w:val="21"/>
                <w:szCs w:val="21"/>
              </w:rPr>
            </w:pPr>
            <w:r>
              <w:rPr>
                <w:rFonts w:ascii="宋体" w:hAnsi="宋体" w:cs="宋体" w:eastAsia="宋体" w:hint="default"/>
                <w:spacing w:val="-8"/>
                <w:w w:val="100"/>
                <w:sz w:val="21"/>
                <w:szCs w:val="21"/>
              </w:rPr>
              <w:t>证券</w:t>
            </w:r>
            <w:r>
              <w:rPr>
                <w:rFonts w:ascii="Times New Roman" w:hAnsi="Times New Roman" w:cs="Times New Roman" w:eastAsia="Times New Roman" w:hint="default"/>
                <w:spacing w:val="-8"/>
                <w:w w:val="100"/>
                <w:sz w:val="21"/>
                <w:szCs w:val="21"/>
              </w:rPr>
              <w:t>MOT</w:t>
            </w:r>
            <w:r>
              <w:rPr>
                <w:rFonts w:ascii="宋体" w:hAnsi="宋体" w:cs="宋体" w:eastAsia="宋体" w:hint="default"/>
                <w:spacing w:val="-8"/>
                <w:w w:val="100"/>
                <w:sz w:val="21"/>
                <w:szCs w:val="21"/>
              </w:rPr>
              <w:t>关键时刻管理系统【简</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z w:val="21"/>
                <w:szCs w:val="21"/>
              </w:rPr>
              <w:t>称：</w:t>
            </w:r>
            <w:r>
              <w:rPr>
                <w:rFonts w:ascii="Times New Roman" w:hAnsi="Times New Roman" w:cs="Times New Roman" w:eastAsia="Times New Roman" w:hint="default"/>
                <w:sz w:val="21"/>
                <w:szCs w:val="21"/>
              </w:rPr>
              <w:t>MOT</w:t>
            </w:r>
            <w:r>
              <w:rPr>
                <w:rFonts w:ascii="宋体" w:hAnsi="宋体" w:cs="宋体" w:eastAsia="宋体" w:hint="default"/>
                <w:sz w:val="21"/>
                <w:szCs w:val="21"/>
              </w:rPr>
              <w:t>系统】</w:t>
            </w:r>
            <w:r>
              <w:rPr>
                <w:rFonts w:ascii="Times New Roman" w:hAnsi="Times New Roman" w:cs="Times New Roman" w:eastAsia="Times New Roman" w:hint="default"/>
                <w:sz w:val="21"/>
                <w:szCs w:val="21"/>
              </w:rPr>
              <w:t>V1.0</w:t>
            </w:r>
          </w:p>
        </w:tc>
        <w:tc>
          <w:tcPr>
            <w:tcW w:w="1553"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87"/>
              <w:ind w:right="5"/>
              <w:jc w:val="center"/>
              <w:rPr>
                <w:rFonts w:ascii="Times New Roman" w:hAnsi="Times New Roman" w:cs="Times New Roman" w:eastAsia="Times New Roman" w:hint="default"/>
                <w:sz w:val="21"/>
                <w:szCs w:val="21"/>
              </w:rPr>
            </w:pPr>
            <w:r>
              <w:rPr>
                <w:rFonts w:ascii="Times New Roman"/>
                <w:sz w:val="21"/>
              </w:rPr>
              <w:t>2017SR107985</w:t>
            </w:r>
          </w:p>
        </w:tc>
        <w:tc>
          <w:tcPr>
            <w:tcW w:w="1200"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40"/>
              <w:ind w:right="165"/>
              <w:jc w:val="right"/>
              <w:rPr>
                <w:rFonts w:ascii="宋体" w:hAnsi="宋体" w:cs="宋体" w:eastAsia="宋体" w:hint="default"/>
                <w:sz w:val="21"/>
                <w:szCs w:val="21"/>
              </w:rPr>
            </w:pPr>
            <w:r>
              <w:rPr>
                <w:rFonts w:ascii="宋体" w:hAnsi="宋体" w:cs="宋体" w:eastAsia="宋体" w:hint="default"/>
                <w:spacing w:val="-1"/>
                <w:sz w:val="21"/>
                <w:szCs w:val="21"/>
              </w:rPr>
              <w:t>直接取得</w:t>
            </w:r>
          </w:p>
        </w:tc>
        <w:tc>
          <w:tcPr>
            <w:tcW w:w="1426"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87"/>
              <w:ind w:right="274"/>
              <w:jc w:val="right"/>
              <w:rPr>
                <w:rFonts w:ascii="Times New Roman" w:hAnsi="Times New Roman" w:cs="Times New Roman" w:eastAsia="Times New Roman" w:hint="default"/>
                <w:sz w:val="21"/>
                <w:szCs w:val="21"/>
              </w:rPr>
            </w:pPr>
            <w:r>
              <w:rPr>
                <w:rFonts w:ascii="Times New Roman"/>
                <w:spacing w:val="-1"/>
                <w:sz w:val="21"/>
              </w:rPr>
              <w:t>2017/4/10</w:t>
            </w:r>
          </w:p>
        </w:tc>
        <w:tc>
          <w:tcPr>
            <w:tcW w:w="1116"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40"/>
              <w:ind w:right="7"/>
              <w:jc w:val="center"/>
              <w:rPr>
                <w:rFonts w:ascii="宋体" w:hAnsi="宋体" w:cs="宋体" w:eastAsia="宋体" w:hint="default"/>
                <w:sz w:val="21"/>
                <w:szCs w:val="21"/>
              </w:rPr>
            </w:pPr>
            <w:r>
              <w:rPr>
                <w:rFonts w:ascii="宋体" w:hAnsi="宋体" w:cs="宋体" w:eastAsia="宋体" w:hint="default"/>
                <w:sz w:val="21"/>
                <w:szCs w:val="21"/>
              </w:rPr>
              <w:t>天玑科技</w:t>
            </w:r>
          </w:p>
        </w:tc>
      </w:tr>
      <w:tr>
        <w:trPr>
          <w:trHeight w:val="740" w:hRule="exact"/>
        </w:trPr>
        <w:tc>
          <w:tcPr>
            <w:tcW w:w="63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4"/>
              <w:ind w:left="5" w:right="0"/>
              <w:jc w:val="center"/>
              <w:rPr>
                <w:rFonts w:ascii="Times New Roman" w:hAnsi="Times New Roman" w:cs="Times New Roman" w:eastAsia="Times New Roman" w:hint="default"/>
                <w:sz w:val="21"/>
                <w:szCs w:val="21"/>
              </w:rPr>
            </w:pPr>
            <w:r>
              <w:rPr>
                <w:rFonts w:ascii="Times New Roman"/>
                <w:w w:val="100"/>
                <w:sz w:val="21"/>
              </w:rPr>
              <w:t>3</w:t>
            </w:r>
          </w:p>
        </w:tc>
        <w:tc>
          <w:tcPr>
            <w:tcW w:w="2931" w:type="dxa"/>
            <w:tcBorders>
              <w:top w:val="single" w:sz="6" w:space="0" w:color="000000"/>
              <w:left w:val="single" w:sz="12" w:space="0" w:color="000000"/>
              <w:bottom w:val="single" w:sz="6" w:space="0" w:color="000000"/>
              <w:right w:val="single" w:sz="12" w:space="0" w:color="000000"/>
            </w:tcBorders>
          </w:tcPr>
          <w:p>
            <w:pPr>
              <w:pStyle w:val="TableParagraph"/>
              <w:spacing w:line="273" w:lineRule="auto" w:before="38"/>
              <w:ind w:left="1029" w:right="84" w:hanging="948"/>
              <w:jc w:val="left"/>
              <w:rPr>
                <w:rFonts w:ascii="Times New Roman" w:hAnsi="Times New Roman" w:cs="Times New Roman" w:eastAsia="Times New Roman" w:hint="default"/>
                <w:sz w:val="21"/>
                <w:szCs w:val="21"/>
              </w:rPr>
            </w:pPr>
            <w:r>
              <w:rPr>
                <w:rFonts w:ascii="宋体" w:hAnsi="宋体" w:cs="宋体" w:eastAsia="宋体" w:hint="default"/>
                <w:sz w:val="21"/>
                <w:szCs w:val="21"/>
              </w:rPr>
              <w:t>天玑科技数据化运营管理平台</w:t>
            </w:r>
            <w:r>
              <w:rPr>
                <w:rFonts w:ascii="宋体" w:hAnsi="宋体" w:cs="宋体" w:eastAsia="宋体" w:hint="default"/>
                <w:w w:val="100"/>
                <w:sz w:val="21"/>
                <w:szCs w:val="21"/>
              </w:rPr>
              <w:t> </w:t>
            </w:r>
            <w:r>
              <w:rPr>
                <w:rFonts w:ascii="宋体" w:hAnsi="宋体" w:cs="宋体" w:eastAsia="宋体" w:hint="default"/>
                <w:sz w:val="21"/>
                <w:szCs w:val="21"/>
              </w:rPr>
              <w:t>软件</w:t>
            </w:r>
            <w:r>
              <w:rPr>
                <w:rFonts w:ascii="Times New Roman" w:hAnsi="Times New Roman" w:cs="Times New Roman" w:eastAsia="Times New Roman" w:hint="default"/>
                <w:sz w:val="21"/>
                <w:szCs w:val="21"/>
              </w:rPr>
              <w:t>V1.2</w:t>
            </w:r>
          </w:p>
        </w:tc>
        <w:tc>
          <w:tcPr>
            <w:tcW w:w="1553"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84"/>
              <w:ind w:right="5"/>
              <w:jc w:val="center"/>
              <w:rPr>
                <w:rFonts w:ascii="Times New Roman" w:hAnsi="Times New Roman" w:cs="Times New Roman" w:eastAsia="Times New Roman" w:hint="default"/>
                <w:sz w:val="21"/>
                <w:szCs w:val="21"/>
              </w:rPr>
            </w:pPr>
            <w:r>
              <w:rPr>
                <w:rFonts w:ascii="Times New Roman"/>
                <w:sz w:val="21"/>
              </w:rPr>
              <w:t>2017SR205787</w:t>
            </w:r>
          </w:p>
        </w:tc>
        <w:tc>
          <w:tcPr>
            <w:tcW w:w="1200"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38"/>
              <w:ind w:right="165"/>
              <w:jc w:val="right"/>
              <w:rPr>
                <w:rFonts w:ascii="宋体" w:hAnsi="宋体" w:cs="宋体" w:eastAsia="宋体" w:hint="default"/>
                <w:sz w:val="21"/>
                <w:szCs w:val="21"/>
              </w:rPr>
            </w:pPr>
            <w:r>
              <w:rPr>
                <w:rFonts w:ascii="宋体" w:hAnsi="宋体" w:cs="宋体" w:eastAsia="宋体" w:hint="default"/>
                <w:spacing w:val="-1"/>
                <w:sz w:val="21"/>
                <w:szCs w:val="21"/>
              </w:rPr>
              <w:t>直接取得</w:t>
            </w:r>
          </w:p>
        </w:tc>
        <w:tc>
          <w:tcPr>
            <w:tcW w:w="1426"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84"/>
              <w:ind w:right="274"/>
              <w:jc w:val="right"/>
              <w:rPr>
                <w:rFonts w:ascii="Times New Roman" w:hAnsi="Times New Roman" w:cs="Times New Roman" w:eastAsia="Times New Roman" w:hint="default"/>
                <w:sz w:val="21"/>
                <w:szCs w:val="21"/>
              </w:rPr>
            </w:pPr>
            <w:r>
              <w:rPr>
                <w:rFonts w:ascii="Times New Roman"/>
                <w:spacing w:val="-1"/>
                <w:sz w:val="21"/>
              </w:rPr>
              <w:t>2017/5/25</w:t>
            </w:r>
          </w:p>
        </w:tc>
        <w:tc>
          <w:tcPr>
            <w:tcW w:w="1116"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38"/>
              <w:ind w:right="7"/>
              <w:jc w:val="center"/>
              <w:rPr>
                <w:rFonts w:ascii="宋体" w:hAnsi="宋体" w:cs="宋体" w:eastAsia="宋体" w:hint="default"/>
                <w:sz w:val="21"/>
                <w:szCs w:val="21"/>
              </w:rPr>
            </w:pPr>
            <w:r>
              <w:rPr>
                <w:rFonts w:ascii="宋体" w:hAnsi="宋体" w:cs="宋体" w:eastAsia="宋体" w:hint="default"/>
                <w:sz w:val="21"/>
                <w:szCs w:val="21"/>
              </w:rPr>
              <w:t>天玑科技</w:t>
            </w:r>
          </w:p>
        </w:tc>
      </w:tr>
    </w:tbl>
    <w:p>
      <w:pPr>
        <w:spacing w:after="0" w:line="240" w:lineRule="auto"/>
        <w:jc w:val="center"/>
        <w:rPr>
          <w:rFonts w:ascii="宋体" w:hAnsi="宋体" w:cs="宋体" w:eastAsia="宋体" w:hint="default"/>
          <w:sz w:val="21"/>
          <w:szCs w:val="21"/>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64" w:type="dxa"/>
        <w:tblLayout w:type="fixed"/>
        <w:tblCellMar>
          <w:top w:w="0" w:type="dxa"/>
          <w:left w:w="0" w:type="dxa"/>
          <w:bottom w:w="0" w:type="dxa"/>
          <w:right w:w="0" w:type="dxa"/>
        </w:tblCellMar>
        <w:tblLook w:val="01E0"/>
      </w:tblPr>
      <w:tblGrid>
        <w:gridCol w:w="636"/>
        <w:gridCol w:w="2931"/>
        <w:gridCol w:w="1553"/>
        <w:gridCol w:w="1200"/>
        <w:gridCol w:w="1426"/>
        <w:gridCol w:w="1116"/>
      </w:tblGrid>
      <w:tr>
        <w:trPr>
          <w:trHeight w:val="740" w:hRule="exact"/>
        </w:trPr>
        <w:tc>
          <w:tcPr>
            <w:tcW w:w="63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4"/>
              <w:ind w:left="5" w:right="0"/>
              <w:jc w:val="center"/>
              <w:rPr>
                <w:rFonts w:ascii="Times New Roman" w:hAnsi="Times New Roman" w:cs="Times New Roman" w:eastAsia="Times New Roman" w:hint="default"/>
                <w:sz w:val="21"/>
                <w:szCs w:val="21"/>
              </w:rPr>
            </w:pPr>
            <w:r>
              <w:rPr>
                <w:rFonts w:ascii="Times New Roman"/>
                <w:w w:val="100"/>
                <w:sz w:val="21"/>
              </w:rPr>
              <w:t>4</w:t>
            </w:r>
          </w:p>
        </w:tc>
        <w:tc>
          <w:tcPr>
            <w:tcW w:w="2931"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38"/>
              <w:ind w:left="81" w:right="0"/>
              <w:jc w:val="left"/>
              <w:rPr>
                <w:rFonts w:ascii="宋体" w:hAnsi="宋体" w:cs="宋体" w:eastAsia="宋体" w:hint="default"/>
                <w:sz w:val="21"/>
                <w:szCs w:val="21"/>
              </w:rPr>
            </w:pPr>
            <w:r>
              <w:rPr>
                <w:rFonts w:ascii="宋体" w:hAnsi="宋体" w:cs="宋体" w:eastAsia="宋体" w:hint="default"/>
                <w:sz w:val="21"/>
                <w:szCs w:val="21"/>
              </w:rPr>
              <w:t>天玑科技云数据中心操作系统</w:t>
            </w:r>
          </w:p>
          <w:p>
            <w:pPr>
              <w:pStyle w:val="TableParagraph"/>
              <w:spacing w:line="240" w:lineRule="auto" w:before="37"/>
              <w:ind w:left="12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【简称：</w:t>
            </w:r>
            <w:r>
              <w:rPr>
                <w:rFonts w:ascii="Times New Roman" w:hAnsi="Times New Roman" w:cs="Times New Roman" w:eastAsia="Times New Roman" w:hint="default"/>
                <w:sz w:val="21"/>
                <w:szCs w:val="21"/>
              </w:rPr>
              <w:t>DCOS</w:t>
            </w:r>
            <w:r>
              <w:rPr>
                <w:rFonts w:ascii="宋体" w:hAnsi="宋体" w:cs="宋体" w:eastAsia="宋体" w:hint="default"/>
                <w:sz w:val="21"/>
                <w:szCs w:val="21"/>
              </w:rPr>
              <w:t>云平台】</w:t>
            </w:r>
            <w:r>
              <w:rPr>
                <w:rFonts w:ascii="Times New Roman" w:hAnsi="Times New Roman" w:cs="Times New Roman" w:eastAsia="Times New Roman" w:hint="default"/>
                <w:sz w:val="21"/>
                <w:szCs w:val="21"/>
              </w:rPr>
              <w:t>V2.2</w:t>
            </w:r>
          </w:p>
        </w:tc>
        <w:tc>
          <w:tcPr>
            <w:tcW w:w="1553"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85"/>
              <w:ind w:right="5"/>
              <w:jc w:val="center"/>
              <w:rPr>
                <w:rFonts w:ascii="Times New Roman" w:hAnsi="Times New Roman" w:cs="Times New Roman" w:eastAsia="Times New Roman" w:hint="default"/>
                <w:sz w:val="21"/>
                <w:szCs w:val="21"/>
              </w:rPr>
            </w:pPr>
            <w:r>
              <w:rPr>
                <w:rFonts w:ascii="Times New Roman"/>
                <w:sz w:val="21"/>
              </w:rPr>
              <w:t>2017SR205642</w:t>
            </w:r>
          </w:p>
        </w:tc>
        <w:tc>
          <w:tcPr>
            <w:tcW w:w="1200"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38"/>
              <w:ind w:right="165"/>
              <w:jc w:val="right"/>
              <w:rPr>
                <w:rFonts w:ascii="宋体" w:hAnsi="宋体" w:cs="宋体" w:eastAsia="宋体" w:hint="default"/>
                <w:sz w:val="21"/>
                <w:szCs w:val="21"/>
              </w:rPr>
            </w:pPr>
            <w:r>
              <w:rPr>
                <w:rFonts w:ascii="宋体" w:hAnsi="宋体" w:cs="宋体" w:eastAsia="宋体" w:hint="default"/>
                <w:spacing w:val="-1"/>
                <w:sz w:val="21"/>
                <w:szCs w:val="21"/>
              </w:rPr>
              <w:t>直接取得</w:t>
            </w:r>
          </w:p>
        </w:tc>
        <w:tc>
          <w:tcPr>
            <w:tcW w:w="1426"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85"/>
              <w:ind w:right="8"/>
              <w:jc w:val="center"/>
              <w:rPr>
                <w:rFonts w:ascii="Times New Roman" w:hAnsi="Times New Roman" w:cs="Times New Roman" w:eastAsia="Times New Roman" w:hint="default"/>
                <w:sz w:val="21"/>
                <w:szCs w:val="21"/>
              </w:rPr>
            </w:pPr>
            <w:r>
              <w:rPr>
                <w:rFonts w:ascii="Times New Roman"/>
                <w:sz w:val="21"/>
              </w:rPr>
              <w:t>2017/5/25</w:t>
            </w:r>
          </w:p>
        </w:tc>
        <w:tc>
          <w:tcPr>
            <w:tcW w:w="1116"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38"/>
              <w:ind w:right="7"/>
              <w:jc w:val="center"/>
              <w:rPr>
                <w:rFonts w:ascii="宋体" w:hAnsi="宋体" w:cs="宋体" w:eastAsia="宋体" w:hint="default"/>
                <w:sz w:val="21"/>
                <w:szCs w:val="21"/>
              </w:rPr>
            </w:pPr>
            <w:r>
              <w:rPr>
                <w:rFonts w:ascii="宋体" w:hAnsi="宋体" w:cs="宋体" w:eastAsia="宋体" w:hint="default"/>
                <w:sz w:val="21"/>
                <w:szCs w:val="21"/>
              </w:rPr>
              <w:t>天玑科技</w:t>
            </w:r>
          </w:p>
        </w:tc>
      </w:tr>
      <w:tr>
        <w:trPr>
          <w:trHeight w:val="739" w:hRule="exact"/>
        </w:trPr>
        <w:tc>
          <w:tcPr>
            <w:tcW w:w="63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4"/>
              <w:ind w:left="5" w:right="0"/>
              <w:jc w:val="center"/>
              <w:rPr>
                <w:rFonts w:ascii="Times New Roman" w:hAnsi="Times New Roman" w:cs="Times New Roman" w:eastAsia="Times New Roman" w:hint="default"/>
                <w:sz w:val="21"/>
                <w:szCs w:val="21"/>
              </w:rPr>
            </w:pPr>
            <w:r>
              <w:rPr>
                <w:rFonts w:ascii="Times New Roman"/>
                <w:w w:val="100"/>
                <w:sz w:val="21"/>
              </w:rPr>
              <w:t>5</w:t>
            </w:r>
          </w:p>
        </w:tc>
        <w:tc>
          <w:tcPr>
            <w:tcW w:w="2931" w:type="dxa"/>
            <w:tcBorders>
              <w:top w:val="single" w:sz="6" w:space="0" w:color="000000"/>
              <w:left w:val="single" w:sz="12" w:space="0" w:color="000000"/>
              <w:bottom w:val="single" w:sz="6" w:space="0" w:color="000000"/>
              <w:right w:val="single" w:sz="12" w:space="0" w:color="000000"/>
            </w:tcBorders>
          </w:tcPr>
          <w:p>
            <w:pPr>
              <w:pStyle w:val="TableParagraph"/>
              <w:spacing w:line="273" w:lineRule="auto" w:before="38"/>
              <w:ind w:left="67" w:right="70" w:firstLine="14"/>
              <w:jc w:val="left"/>
              <w:rPr>
                <w:rFonts w:ascii="Times New Roman" w:hAnsi="Times New Roman" w:cs="Times New Roman" w:eastAsia="Times New Roman" w:hint="default"/>
                <w:sz w:val="21"/>
                <w:szCs w:val="21"/>
              </w:rPr>
            </w:pPr>
            <w:r>
              <w:rPr>
                <w:rFonts w:ascii="宋体" w:hAnsi="宋体" w:cs="宋体" w:eastAsia="宋体" w:hint="default"/>
                <w:sz w:val="21"/>
                <w:szCs w:val="21"/>
              </w:rPr>
              <w:t>天玑科技分布式集群文件存储</w:t>
            </w:r>
            <w:r>
              <w:rPr>
                <w:rFonts w:ascii="宋体" w:hAnsi="宋体" w:cs="宋体" w:eastAsia="宋体" w:hint="default"/>
                <w:w w:val="100"/>
                <w:sz w:val="21"/>
                <w:szCs w:val="21"/>
              </w:rPr>
              <w:t> </w:t>
            </w:r>
            <w:r>
              <w:rPr>
                <w:rFonts w:ascii="宋体" w:hAnsi="宋体" w:cs="宋体" w:eastAsia="宋体" w:hint="default"/>
                <w:sz w:val="21"/>
                <w:szCs w:val="21"/>
              </w:rPr>
              <w:t>软件（简称</w:t>
            </w:r>
            <w:r>
              <w:rPr>
                <w:rFonts w:ascii="Times New Roman" w:hAnsi="Times New Roman" w:cs="Times New Roman" w:eastAsia="Times New Roman" w:hint="default"/>
                <w:sz w:val="21"/>
                <w:szCs w:val="21"/>
              </w:rPr>
              <w:t>DNTScaleFs</w:t>
            </w:r>
            <w:r>
              <w:rPr>
                <w:rFonts w:ascii="宋体" w:hAnsi="宋体" w:cs="宋体" w:eastAsia="宋体" w:hint="default"/>
                <w:sz w:val="21"/>
                <w:szCs w:val="21"/>
              </w:rPr>
              <w:t>）</w:t>
            </w:r>
            <w:r>
              <w:rPr>
                <w:rFonts w:ascii="Times New Roman" w:hAnsi="Times New Roman" w:cs="Times New Roman" w:eastAsia="Times New Roman" w:hint="default"/>
                <w:sz w:val="21"/>
                <w:szCs w:val="21"/>
              </w:rPr>
              <w:t>V1.0</w:t>
            </w:r>
          </w:p>
        </w:tc>
        <w:tc>
          <w:tcPr>
            <w:tcW w:w="1553"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44"/>
              <w:ind w:right="5"/>
              <w:jc w:val="center"/>
              <w:rPr>
                <w:rFonts w:ascii="Times New Roman" w:hAnsi="Times New Roman" w:cs="Times New Roman" w:eastAsia="Times New Roman" w:hint="default"/>
                <w:sz w:val="21"/>
                <w:szCs w:val="21"/>
              </w:rPr>
            </w:pPr>
            <w:r>
              <w:rPr>
                <w:rFonts w:ascii="Times New Roman"/>
                <w:sz w:val="21"/>
              </w:rPr>
              <w:t>2017SR412853</w:t>
            </w:r>
          </w:p>
        </w:tc>
        <w:tc>
          <w:tcPr>
            <w:tcW w:w="1200"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38"/>
              <w:ind w:right="165"/>
              <w:jc w:val="right"/>
              <w:rPr>
                <w:rFonts w:ascii="宋体" w:hAnsi="宋体" w:cs="宋体" w:eastAsia="宋体" w:hint="default"/>
                <w:sz w:val="21"/>
                <w:szCs w:val="21"/>
              </w:rPr>
            </w:pPr>
            <w:r>
              <w:rPr>
                <w:rFonts w:ascii="宋体" w:hAnsi="宋体" w:cs="宋体" w:eastAsia="宋体" w:hint="default"/>
                <w:spacing w:val="-1"/>
                <w:sz w:val="21"/>
                <w:szCs w:val="21"/>
              </w:rPr>
              <w:t>直接取得</w:t>
            </w:r>
          </w:p>
        </w:tc>
        <w:tc>
          <w:tcPr>
            <w:tcW w:w="1426"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44"/>
              <w:ind w:right="8"/>
              <w:jc w:val="center"/>
              <w:rPr>
                <w:rFonts w:ascii="Times New Roman" w:hAnsi="Times New Roman" w:cs="Times New Roman" w:eastAsia="Times New Roman" w:hint="default"/>
                <w:sz w:val="21"/>
                <w:szCs w:val="21"/>
              </w:rPr>
            </w:pPr>
            <w:r>
              <w:rPr>
                <w:rFonts w:ascii="Times New Roman"/>
                <w:sz w:val="21"/>
              </w:rPr>
              <w:t>2017/7/31</w:t>
            </w:r>
          </w:p>
        </w:tc>
        <w:tc>
          <w:tcPr>
            <w:tcW w:w="1116"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38"/>
              <w:ind w:right="7"/>
              <w:jc w:val="center"/>
              <w:rPr>
                <w:rFonts w:ascii="宋体" w:hAnsi="宋体" w:cs="宋体" w:eastAsia="宋体" w:hint="default"/>
                <w:sz w:val="21"/>
                <w:szCs w:val="21"/>
              </w:rPr>
            </w:pPr>
            <w:r>
              <w:rPr>
                <w:rFonts w:ascii="宋体" w:hAnsi="宋体" w:cs="宋体" w:eastAsia="宋体" w:hint="default"/>
                <w:sz w:val="21"/>
                <w:szCs w:val="21"/>
              </w:rPr>
              <w:t>天玑科技</w:t>
            </w:r>
          </w:p>
        </w:tc>
      </w:tr>
      <w:tr>
        <w:trPr>
          <w:trHeight w:val="739" w:hRule="exact"/>
        </w:trPr>
        <w:tc>
          <w:tcPr>
            <w:tcW w:w="63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4"/>
              <w:ind w:left="5" w:right="0"/>
              <w:jc w:val="center"/>
              <w:rPr>
                <w:rFonts w:ascii="Times New Roman" w:hAnsi="Times New Roman" w:cs="Times New Roman" w:eastAsia="Times New Roman" w:hint="default"/>
                <w:sz w:val="21"/>
                <w:szCs w:val="21"/>
              </w:rPr>
            </w:pPr>
            <w:r>
              <w:rPr>
                <w:rFonts w:ascii="Times New Roman"/>
                <w:w w:val="100"/>
                <w:sz w:val="21"/>
              </w:rPr>
              <w:t>6</w:t>
            </w:r>
          </w:p>
        </w:tc>
        <w:tc>
          <w:tcPr>
            <w:tcW w:w="2931" w:type="dxa"/>
            <w:tcBorders>
              <w:top w:val="single" w:sz="6" w:space="0" w:color="000000"/>
              <w:left w:val="single" w:sz="12" w:space="0" w:color="000000"/>
              <w:bottom w:val="single" w:sz="6" w:space="0" w:color="000000"/>
              <w:right w:val="single" w:sz="12" w:space="0" w:color="000000"/>
            </w:tcBorders>
          </w:tcPr>
          <w:p>
            <w:pPr>
              <w:pStyle w:val="TableParagraph"/>
              <w:spacing w:line="273" w:lineRule="auto" w:before="38"/>
              <w:ind w:left="621" w:right="0" w:hanging="624"/>
              <w:jc w:val="left"/>
              <w:rPr>
                <w:rFonts w:ascii="Times New Roman" w:hAnsi="Times New Roman" w:cs="Times New Roman" w:eastAsia="Times New Roman" w:hint="default"/>
                <w:sz w:val="21"/>
                <w:szCs w:val="21"/>
              </w:rPr>
            </w:pPr>
            <w:r>
              <w:rPr>
                <w:rFonts w:ascii="宋体" w:hAnsi="宋体" w:cs="宋体" w:eastAsia="宋体" w:hint="default"/>
                <w:spacing w:val="-4"/>
                <w:sz w:val="21"/>
                <w:szCs w:val="21"/>
              </w:rPr>
              <w:t>天玑科技分布式块存储软件（简</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称</w:t>
            </w:r>
            <w:r>
              <w:rPr>
                <w:rFonts w:ascii="Times New Roman" w:hAnsi="Times New Roman" w:cs="Times New Roman" w:eastAsia="Times New Roman" w:hint="default"/>
                <w:sz w:val="21"/>
                <w:szCs w:val="21"/>
              </w:rPr>
              <w:t>PhegData</w:t>
            </w:r>
            <w:r>
              <w:rPr>
                <w:rFonts w:ascii="宋体" w:hAnsi="宋体" w:cs="宋体" w:eastAsia="宋体" w:hint="default"/>
                <w:sz w:val="21"/>
                <w:szCs w:val="21"/>
              </w:rPr>
              <w:t>）</w:t>
            </w:r>
            <w:r>
              <w:rPr>
                <w:rFonts w:ascii="Times New Roman" w:hAnsi="Times New Roman" w:cs="Times New Roman" w:eastAsia="Times New Roman" w:hint="default"/>
                <w:sz w:val="21"/>
                <w:szCs w:val="21"/>
              </w:rPr>
              <w:t>V2.1</w:t>
            </w:r>
          </w:p>
        </w:tc>
        <w:tc>
          <w:tcPr>
            <w:tcW w:w="1553"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84"/>
              <w:ind w:right="5"/>
              <w:jc w:val="center"/>
              <w:rPr>
                <w:rFonts w:ascii="Times New Roman" w:hAnsi="Times New Roman" w:cs="Times New Roman" w:eastAsia="Times New Roman" w:hint="default"/>
                <w:sz w:val="21"/>
                <w:szCs w:val="21"/>
              </w:rPr>
            </w:pPr>
            <w:r>
              <w:rPr>
                <w:rFonts w:ascii="Times New Roman"/>
                <w:sz w:val="21"/>
              </w:rPr>
              <w:t>2017SR470012</w:t>
            </w:r>
          </w:p>
        </w:tc>
        <w:tc>
          <w:tcPr>
            <w:tcW w:w="1200"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38"/>
              <w:ind w:right="165"/>
              <w:jc w:val="right"/>
              <w:rPr>
                <w:rFonts w:ascii="宋体" w:hAnsi="宋体" w:cs="宋体" w:eastAsia="宋体" w:hint="default"/>
                <w:sz w:val="21"/>
                <w:szCs w:val="21"/>
              </w:rPr>
            </w:pPr>
            <w:r>
              <w:rPr>
                <w:rFonts w:ascii="宋体" w:hAnsi="宋体" w:cs="宋体" w:eastAsia="宋体" w:hint="default"/>
                <w:spacing w:val="-1"/>
                <w:sz w:val="21"/>
                <w:szCs w:val="21"/>
              </w:rPr>
              <w:t>直接取得</w:t>
            </w:r>
          </w:p>
        </w:tc>
        <w:tc>
          <w:tcPr>
            <w:tcW w:w="1426"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84"/>
              <w:ind w:right="8"/>
              <w:jc w:val="center"/>
              <w:rPr>
                <w:rFonts w:ascii="Times New Roman" w:hAnsi="Times New Roman" w:cs="Times New Roman" w:eastAsia="Times New Roman" w:hint="default"/>
                <w:sz w:val="21"/>
                <w:szCs w:val="21"/>
              </w:rPr>
            </w:pPr>
            <w:r>
              <w:rPr>
                <w:rFonts w:ascii="Times New Roman"/>
                <w:sz w:val="21"/>
              </w:rPr>
              <w:t>2017/8/25</w:t>
            </w:r>
          </w:p>
        </w:tc>
        <w:tc>
          <w:tcPr>
            <w:tcW w:w="1116"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38"/>
              <w:ind w:right="7"/>
              <w:jc w:val="center"/>
              <w:rPr>
                <w:rFonts w:ascii="宋体" w:hAnsi="宋体" w:cs="宋体" w:eastAsia="宋体" w:hint="default"/>
                <w:sz w:val="21"/>
                <w:szCs w:val="21"/>
              </w:rPr>
            </w:pPr>
            <w:r>
              <w:rPr>
                <w:rFonts w:ascii="宋体" w:hAnsi="宋体" w:cs="宋体" w:eastAsia="宋体" w:hint="default"/>
                <w:sz w:val="21"/>
                <w:szCs w:val="21"/>
              </w:rPr>
              <w:t>天玑科技</w:t>
            </w:r>
          </w:p>
        </w:tc>
      </w:tr>
      <w:tr>
        <w:trPr>
          <w:trHeight w:val="739" w:hRule="exact"/>
        </w:trPr>
        <w:tc>
          <w:tcPr>
            <w:tcW w:w="63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4"/>
              <w:ind w:left="5" w:right="0"/>
              <w:jc w:val="center"/>
              <w:rPr>
                <w:rFonts w:ascii="Times New Roman" w:hAnsi="Times New Roman" w:cs="Times New Roman" w:eastAsia="Times New Roman" w:hint="default"/>
                <w:sz w:val="21"/>
                <w:szCs w:val="21"/>
              </w:rPr>
            </w:pPr>
            <w:r>
              <w:rPr>
                <w:rFonts w:ascii="Times New Roman"/>
                <w:w w:val="100"/>
                <w:sz w:val="21"/>
              </w:rPr>
              <w:t>7</w:t>
            </w:r>
          </w:p>
        </w:tc>
        <w:tc>
          <w:tcPr>
            <w:tcW w:w="2931"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38"/>
              <w:ind w:right="2"/>
              <w:jc w:val="center"/>
              <w:rPr>
                <w:rFonts w:ascii="宋体" w:hAnsi="宋体" w:cs="宋体" w:eastAsia="宋体" w:hint="default"/>
                <w:sz w:val="21"/>
                <w:szCs w:val="21"/>
              </w:rPr>
            </w:pPr>
            <w:r>
              <w:rPr>
                <w:rFonts w:ascii="宋体" w:hAnsi="宋体" w:cs="宋体" w:eastAsia="宋体" w:hint="default"/>
                <w:sz w:val="21"/>
                <w:szCs w:val="21"/>
              </w:rPr>
              <w:t>天玑科技全闪存存储管理软件</w:t>
            </w:r>
          </w:p>
          <w:p>
            <w:pPr>
              <w:pStyle w:val="TableParagraph"/>
              <w:spacing w:line="240" w:lineRule="auto" w:before="37"/>
              <w:ind w:right="2"/>
              <w:jc w:val="center"/>
              <w:rPr>
                <w:rFonts w:ascii="Times New Roman" w:hAnsi="Times New Roman" w:cs="Times New Roman" w:eastAsia="Times New Roman" w:hint="default"/>
                <w:sz w:val="21"/>
                <w:szCs w:val="21"/>
              </w:rPr>
            </w:pPr>
            <w:r>
              <w:rPr>
                <w:rFonts w:ascii="宋体" w:hAnsi="宋体" w:cs="宋体" w:eastAsia="宋体" w:hint="default"/>
                <w:sz w:val="21"/>
                <w:szCs w:val="21"/>
              </w:rPr>
              <w:t>【简称：</w:t>
            </w:r>
            <w:r>
              <w:rPr>
                <w:rFonts w:ascii="Times New Roman" w:hAnsi="Times New Roman" w:cs="Times New Roman" w:eastAsia="Times New Roman" w:hint="default"/>
                <w:sz w:val="21"/>
                <w:szCs w:val="21"/>
              </w:rPr>
              <w:t>PUMA</w:t>
            </w:r>
            <w:r>
              <w:rPr>
                <w:rFonts w:ascii="宋体" w:hAnsi="宋体" w:cs="宋体" w:eastAsia="宋体" w:hint="default"/>
                <w:sz w:val="21"/>
                <w:szCs w:val="21"/>
              </w:rPr>
              <w:t>】</w:t>
            </w:r>
            <w:r>
              <w:rPr>
                <w:rFonts w:ascii="宋体" w:hAnsi="宋体" w:cs="宋体" w:eastAsia="宋体" w:hint="default"/>
                <w:spacing w:val="-22"/>
                <w:sz w:val="21"/>
                <w:szCs w:val="21"/>
              </w:rPr>
              <w:t> </w:t>
            </w:r>
            <w:r>
              <w:rPr>
                <w:rFonts w:ascii="Times New Roman" w:hAnsi="Times New Roman" w:cs="Times New Roman" w:eastAsia="Times New Roman" w:hint="default"/>
                <w:sz w:val="21"/>
                <w:szCs w:val="21"/>
              </w:rPr>
              <w:t>V1.0</w:t>
            </w:r>
          </w:p>
        </w:tc>
        <w:tc>
          <w:tcPr>
            <w:tcW w:w="1553"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84"/>
              <w:ind w:right="5"/>
              <w:jc w:val="center"/>
              <w:rPr>
                <w:rFonts w:ascii="Times New Roman" w:hAnsi="Times New Roman" w:cs="Times New Roman" w:eastAsia="Times New Roman" w:hint="default"/>
                <w:sz w:val="21"/>
                <w:szCs w:val="21"/>
              </w:rPr>
            </w:pPr>
            <w:r>
              <w:rPr>
                <w:rFonts w:ascii="Times New Roman"/>
                <w:sz w:val="21"/>
              </w:rPr>
              <w:t>2017SR740033</w:t>
            </w:r>
          </w:p>
        </w:tc>
        <w:tc>
          <w:tcPr>
            <w:tcW w:w="1200"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38"/>
              <w:ind w:right="165"/>
              <w:jc w:val="right"/>
              <w:rPr>
                <w:rFonts w:ascii="宋体" w:hAnsi="宋体" w:cs="宋体" w:eastAsia="宋体" w:hint="default"/>
                <w:sz w:val="21"/>
                <w:szCs w:val="21"/>
              </w:rPr>
            </w:pPr>
            <w:r>
              <w:rPr>
                <w:rFonts w:ascii="宋体" w:hAnsi="宋体" w:cs="宋体" w:eastAsia="宋体" w:hint="default"/>
                <w:spacing w:val="-1"/>
                <w:sz w:val="21"/>
                <w:szCs w:val="21"/>
              </w:rPr>
              <w:t>直接取得</w:t>
            </w:r>
          </w:p>
        </w:tc>
        <w:tc>
          <w:tcPr>
            <w:tcW w:w="1426"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84"/>
              <w:ind w:right="8"/>
              <w:jc w:val="center"/>
              <w:rPr>
                <w:rFonts w:ascii="Times New Roman" w:hAnsi="Times New Roman" w:cs="Times New Roman" w:eastAsia="Times New Roman" w:hint="default"/>
                <w:sz w:val="21"/>
                <w:szCs w:val="21"/>
              </w:rPr>
            </w:pPr>
            <w:r>
              <w:rPr>
                <w:rFonts w:ascii="Times New Roman"/>
                <w:sz w:val="21"/>
              </w:rPr>
              <w:t>2017/12/28</w:t>
            </w:r>
          </w:p>
        </w:tc>
        <w:tc>
          <w:tcPr>
            <w:tcW w:w="1116"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38"/>
              <w:ind w:right="7"/>
              <w:jc w:val="center"/>
              <w:rPr>
                <w:rFonts w:ascii="宋体" w:hAnsi="宋体" w:cs="宋体" w:eastAsia="宋体" w:hint="default"/>
                <w:sz w:val="21"/>
                <w:szCs w:val="21"/>
              </w:rPr>
            </w:pPr>
            <w:r>
              <w:rPr>
                <w:rFonts w:ascii="宋体" w:hAnsi="宋体" w:cs="宋体" w:eastAsia="宋体" w:hint="default"/>
                <w:sz w:val="21"/>
                <w:szCs w:val="21"/>
              </w:rPr>
              <w:t>天玑科技</w:t>
            </w:r>
          </w:p>
        </w:tc>
      </w:tr>
      <w:tr>
        <w:trPr>
          <w:trHeight w:val="740" w:hRule="exact"/>
        </w:trPr>
        <w:tc>
          <w:tcPr>
            <w:tcW w:w="63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4"/>
              <w:ind w:left="5" w:right="0"/>
              <w:jc w:val="center"/>
              <w:rPr>
                <w:rFonts w:ascii="Times New Roman" w:hAnsi="Times New Roman" w:cs="Times New Roman" w:eastAsia="Times New Roman" w:hint="default"/>
                <w:sz w:val="21"/>
                <w:szCs w:val="21"/>
              </w:rPr>
            </w:pPr>
            <w:r>
              <w:rPr>
                <w:rFonts w:ascii="Times New Roman"/>
                <w:w w:val="100"/>
                <w:sz w:val="21"/>
              </w:rPr>
              <w:t>8</w:t>
            </w:r>
          </w:p>
        </w:tc>
        <w:tc>
          <w:tcPr>
            <w:tcW w:w="2931" w:type="dxa"/>
            <w:tcBorders>
              <w:top w:val="single" w:sz="6" w:space="0" w:color="000000"/>
              <w:left w:val="single" w:sz="12" w:space="0" w:color="000000"/>
              <w:bottom w:val="single" w:sz="6" w:space="0" w:color="000000"/>
              <w:right w:val="single" w:sz="12" w:space="0" w:color="000000"/>
            </w:tcBorders>
          </w:tcPr>
          <w:p>
            <w:pPr>
              <w:pStyle w:val="TableParagraph"/>
              <w:spacing w:line="273" w:lineRule="auto" w:before="38"/>
              <w:ind w:left="683" w:right="0" w:hanging="687"/>
              <w:jc w:val="left"/>
              <w:rPr>
                <w:rFonts w:ascii="Times New Roman" w:hAnsi="Times New Roman" w:cs="Times New Roman" w:eastAsia="Times New Roman" w:hint="default"/>
                <w:sz w:val="21"/>
                <w:szCs w:val="21"/>
              </w:rPr>
            </w:pPr>
            <w:r>
              <w:rPr>
                <w:rFonts w:ascii="宋体" w:hAnsi="宋体" w:cs="宋体" w:eastAsia="宋体" w:hint="default"/>
                <w:spacing w:val="-4"/>
                <w:sz w:val="21"/>
                <w:szCs w:val="21"/>
              </w:rPr>
              <w:t>天玑科技智能缓存加速软件【简</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称：</w:t>
            </w:r>
            <w:r>
              <w:rPr>
                <w:rFonts w:ascii="Times New Roman" w:hAnsi="Times New Roman" w:cs="Times New Roman" w:eastAsia="Times New Roman" w:hint="default"/>
                <w:sz w:val="21"/>
                <w:szCs w:val="21"/>
              </w:rPr>
              <w:t>PAL</w:t>
            </w:r>
            <w:r>
              <w:rPr>
                <w:rFonts w:ascii="宋体" w:hAnsi="宋体" w:cs="宋体" w:eastAsia="宋体" w:hint="default"/>
                <w:sz w:val="21"/>
                <w:szCs w:val="21"/>
              </w:rPr>
              <w:t>】</w:t>
            </w:r>
            <w:r>
              <w:rPr>
                <w:rFonts w:ascii="宋体" w:hAnsi="宋体" w:cs="宋体" w:eastAsia="宋体" w:hint="default"/>
                <w:spacing w:val="-22"/>
                <w:sz w:val="21"/>
                <w:szCs w:val="21"/>
              </w:rPr>
              <w:t> </w:t>
            </w:r>
            <w:r>
              <w:rPr>
                <w:rFonts w:ascii="Times New Roman" w:hAnsi="Times New Roman" w:cs="Times New Roman" w:eastAsia="Times New Roman" w:hint="default"/>
                <w:sz w:val="21"/>
                <w:szCs w:val="21"/>
              </w:rPr>
              <w:t>V1.0</w:t>
            </w:r>
          </w:p>
        </w:tc>
        <w:tc>
          <w:tcPr>
            <w:tcW w:w="1553"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84"/>
              <w:ind w:right="5"/>
              <w:jc w:val="center"/>
              <w:rPr>
                <w:rFonts w:ascii="Times New Roman" w:hAnsi="Times New Roman" w:cs="Times New Roman" w:eastAsia="Times New Roman" w:hint="default"/>
                <w:sz w:val="21"/>
                <w:szCs w:val="21"/>
              </w:rPr>
            </w:pPr>
            <w:r>
              <w:rPr>
                <w:rFonts w:ascii="Times New Roman"/>
                <w:sz w:val="21"/>
              </w:rPr>
              <w:t>2017SR740027</w:t>
            </w:r>
          </w:p>
        </w:tc>
        <w:tc>
          <w:tcPr>
            <w:tcW w:w="1200"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38"/>
              <w:ind w:right="165"/>
              <w:jc w:val="right"/>
              <w:rPr>
                <w:rFonts w:ascii="宋体" w:hAnsi="宋体" w:cs="宋体" w:eastAsia="宋体" w:hint="default"/>
                <w:sz w:val="21"/>
                <w:szCs w:val="21"/>
              </w:rPr>
            </w:pPr>
            <w:r>
              <w:rPr>
                <w:rFonts w:ascii="宋体" w:hAnsi="宋体" w:cs="宋体" w:eastAsia="宋体" w:hint="default"/>
                <w:spacing w:val="-1"/>
                <w:sz w:val="21"/>
                <w:szCs w:val="21"/>
              </w:rPr>
              <w:t>直接取得</w:t>
            </w:r>
          </w:p>
        </w:tc>
        <w:tc>
          <w:tcPr>
            <w:tcW w:w="1426"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84"/>
              <w:ind w:right="8"/>
              <w:jc w:val="center"/>
              <w:rPr>
                <w:rFonts w:ascii="Times New Roman" w:hAnsi="Times New Roman" w:cs="Times New Roman" w:eastAsia="Times New Roman" w:hint="default"/>
                <w:sz w:val="21"/>
                <w:szCs w:val="21"/>
              </w:rPr>
            </w:pPr>
            <w:r>
              <w:rPr>
                <w:rFonts w:ascii="Times New Roman"/>
                <w:sz w:val="21"/>
              </w:rPr>
              <w:t>2017/12/28</w:t>
            </w:r>
          </w:p>
        </w:tc>
        <w:tc>
          <w:tcPr>
            <w:tcW w:w="1116"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38"/>
              <w:ind w:right="7"/>
              <w:jc w:val="center"/>
              <w:rPr>
                <w:rFonts w:ascii="宋体" w:hAnsi="宋体" w:cs="宋体" w:eastAsia="宋体" w:hint="default"/>
                <w:sz w:val="21"/>
                <w:szCs w:val="21"/>
              </w:rPr>
            </w:pPr>
            <w:r>
              <w:rPr>
                <w:rFonts w:ascii="宋体" w:hAnsi="宋体" w:cs="宋体" w:eastAsia="宋体" w:hint="default"/>
                <w:sz w:val="21"/>
                <w:szCs w:val="21"/>
              </w:rPr>
              <w:t>天玑科技</w:t>
            </w:r>
          </w:p>
        </w:tc>
      </w:tr>
      <w:tr>
        <w:trPr>
          <w:trHeight w:val="1049" w:hRule="exact"/>
        </w:trPr>
        <w:tc>
          <w:tcPr>
            <w:tcW w:w="63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4"/>
              <w:ind w:left="5" w:right="0"/>
              <w:jc w:val="center"/>
              <w:rPr>
                <w:rFonts w:ascii="Times New Roman" w:hAnsi="Times New Roman" w:cs="Times New Roman" w:eastAsia="Times New Roman" w:hint="default"/>
                <w:sz w:val="21"/>
                <w:szCs w:val="21"/>
              </w:rPr>
            </w:pPr>
            <w:r>
              <w:rPr>
                <w:rFonts w:ascii="Times New Roman"/>
                <w:w w:val="100"/>
                <w:sz w:val="21"/>
              </w:rPr>
              <w:t>9</w:t>
            </w:r>
          </w:p>
        </w:tc>
        <w:tc>
          <w:tcPr>
            <w:tcW w:w="2931" w:type="dxa"/>
            <w:tcBorders>
              <w:top w:val="single" w:sz="6" w:space="0" w:color="000000"/>
              <w:left w:val="single" w:sz="12" w:space="0" w:color="000000"/>
              <w:bottom w:val="single" w:sz="6" w:space="0" w:color="000000"/>
              <w:right w:val="single" w:sz="12" w:space="0" w:color="000000"/>
            </w:tcBorders>
          </w:tcPr>
          <w:p>
            <w:pPr>
              <w:pStyle w:val="TableParagraph"/>
              <w:spacing w:line="283" w:lineRule="auto" w:before="38"/>
              <w:ind w:left="-3" w:right="84" w:firstLine="84"/>
              <w:jc w:val="center"/>
              <w:rPr>
                <w:rFonts w:ascii="Times New Roman" w:hAnsi="Times New Roman" w:cs="Times New Roman" w:eastAsia="Times New Roman" w:hint="default"/>
                <w:sz w:val="21"/>
                <w:szCs w:val="21"/>
              </w:rPr>
            </w:pPr>
            <w:r>
              <w:rPr>
                <w:rFonts w:ascii="宋体" w:hAnsi="宋体" w:cs="宋体" w:eastAsia="宋体" w:hint="default"/>
                <w:spacing w:val="-2"/>
                <w:sz w:val="21"/>
                <w:szCs w:val="21"/>
              </w:rPr>
              <w:t>天玑科技大数据一体机命令行</w:t>
            </w:r>
            <w:r>
              <w:rPr>
                <w:rFonts w:ascii="宋体" w:hAnsi="宋体" w:cs="宋体" w:eastAsia="宋体" w:hint="default"/>
                <w:w w:val="100"/>
                <w:sz w:val="21"/>
                <w:szCs w:val="21"/>
              </w:rPr>
              <w:t> </w:t>
            </w:r>
            <w:r>
              <w:rPr>
                <w:rFonts w:ascii="宋体" w:hAnsi="宋体" w:cs="宋体" w:eastAsia="宋体" w:hint="default"/>
                <w:spacing w:val="-11"/>
                <w:w w:val="100"/>
                <w:sz w:val="21"/>
                <w:szCs w:val="21"/>
              </w:rPr>
              <w:t>集中管理软件【简称：</w:t>
            </w:r>
            <w:r>
              <w:rPr>
                <w:rFonts w:ascii="Times New Roman" w:hAnsi="Times New Roman" w:cs="Times New Roman" w:eastAsia="Times New Roman" w:hint="default"/>
                <w:spacing w:val="-11"/>
                <w:w w:val="100"/>
                <w:sz w:val="21"/>
                <w:szCs w:val="21"/>
              </w:rPr>
              <w:t>SmartMgr</w:t>
            </w:r>
            <w:r>
              <w:rPr>
                <w:rFonts w:ascii="Times New Roman" w:hAnsi="Times New Roman" w:cs="Times New Roman" w:eastAsia="Times New Roman" w:hint="default"/>
                <w:w w:val="100"/>
                <w:sz w:val="21"/>
                <w:szCs w:val="21"/>
              </w:rPr>
              <w:t> </w:t>
            </w:r>
            <w:r>
              <w:rPr>
                <w:rFonts w:ascii="Times New Roman" w:hAnsi="Times New Roman" w:cs="Times New Roman" w:eastAsia="Times New Roman" w:hint="default"/>
                <w:sz w:val="21"/>
                <w:szCs w:val="21"/>
              </w:rPr>
              <w:t>V2.1</w:t>
            </w:r>
          </w:p>
        </w:tc>
        <w:tc>
          <w:tcPr>
            <w:tcW w:w="1553"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84"/>
              <w:ind w:right="5"/>
              <w:jc w:val="center"/>
              <w:rPr>
                <w:rFonts w:ascii="Times New Roman" w:hAnsi="Times New Roman" w:cs="Times New Roman" w:eastAsia="Times New Roman" w:hint="default"/>
                <w:sz w:val="21"/>
                <w:szCs w:val="21"/>
              </w:rPr>
            </w:pPr>
            <w:r>
              <w:rPr>
                <w:rFonts w:ascii="Times New Roman"/>
                <w:sz w:val="21"/>
              </w:rPr>
              <w:t>2017SR741696</w:t>
            </w:r>
          </w:p>
        </w:tc>
        <w:tc>
          <w:tcPr>
            <w:tcW w:w="1200"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38"/>
              <w:ind w:right="165"/>
              <w:jc w:val="right"/>
              <w:rPr>
                <w:rFonts w:ascii="宋体" w:hAnsi="宋体" w:cs="宋体" w:eastAsia="宋体" w:hint="default"/>
                <w:sz w:val="21"/>
                <w:szCs w:val="21"/>
              </w:rPr>
            </w:pPr>
            <w:r>
              <w:rPr>
                <w:rFonts w:ascii="宋体" w:hAnsi="宋体" w:cs="宋体" w:eastAsia="宋体" w:hint="default"/>
                <w:spacing w:val="-1"/>
                <w:sz w:val="21"/>
                <w:szCs w:val="21"/>
              </w:rPr>
              <w:t>直接取得</w:t>
            </w:r>
          </w:p>
        </w:tc>
        <w:tc>
          <w:tcPr>
            <w:tcW w:w="1426"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84"/>
              <w:ind w:right="8"/>
              <w:jc w:val="center"/>
              <w:rPr>
                <w:rFonts w:ascii="Times New Roman" w:hAnsi="Times New Roman" w:cs="Times New Roman" w:eastAsia="Times New Roman" w:hint="default"/>
                <w:sz w:val="21"/>
                <w:szCs w:val="21"/>
              </w:rPr>
            </w:pPr>
            <w:r>
              <w:rPr>
                <w:rFonts w:ascii="Times New Roman"/>
                <w:sz w:val="21"/>
              </w:rPr>
              <w:t>2017/12/28</w:t>
            </w:r>
          </w:p>
        </w:tc>
        <w:tc>
          <w:tcPr>
            <w:tcW w:w="1116"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38"/>
              <w:ind w:right="7"/>
              <w:jc w:val="center"/>
              <w:rPr>
                <w:rFonts w:ascii="宋体" w:hAnsi="宋体" w:cs="宋体" w:eastAsia="宋体" w:hint="default"/>
                <w:sz w:val="21"/>
                <w:szCs w:val="21"/>
              </w:rPr>
            </w:pPr>
            <w:r>
              <w:rPr>
                <w:rFonts w:ascii="宋体" w:hAnsi="宋体" w:cs="宋体" w:eastAsia="宋体" w:hint="default"/>
                <w:sz w:val="21"/>
                <w:szCs w:val="21"/>
              </w:rPr>
              <w:t>天玑科技</w:t>
            </w:r>
          </w:p>
        </w:tc>
      </w:tr>
      <w:tr>
        <w:trPr>
          <w:trHeight w:val="739" w:hRule="exact"/>
        </w:trPr>
        <w:tc>
          <w:tcPr>
            <w:tcW w:w="63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6"/>
              <w:ind w:left="5" w:right="0"/>
              <w:jc w:val="center"/>
              <w:rPr>
                <w:rFonts w:ascii="Times New Roman" w:hAnsi="Times New Roman" w:cs="Times New Roman" w:eastAsia="Times New Roman" w:hint="default"/>
                <w:sz w:val="21"/>
                <w:szCs w:val="21"/>
              </w:rPr>
            </w:pPr>
            <w:r>
              <w:rPr>
                <w:rFonts w:ascii="Times New Roman"/>
                <w:sz w:val="21"/>
              </w:rPr>
              <w:t>10</w:t>
            </w:r>
          </w:p>
        </w:tc>
        <w:tc>
          <w:tcPr>
            <w:tcW w:w="2931" w:type="dxa"/>
            <w:tcBorders>
              <w:top w:val="single" w:sz="6" w:space="0" w:color="000000"/>
              <w:left w:val="single" w:sz="12" w:space="0" w:color="000000"/>
              <w:bottom w:val="single" w:sz="6" w:space="0" w:color="000000"/>
              <w:right w:val="single" w:sz="12" w:space="0" w:color="000000"/>
            </w:tcBorders>
          </w:tcPr>
          <w:p>
            <w:pPr>
              <w:pStyle w:val="TableParagraph"/>
              <w:spacing w:line="273" w:lineRule="auto" w:before="40"/>
              <w:ind w:left="-3" w:right="0" w:firstLine="84"/>
              <w:jc w:val="left"/>
              <w:rPr>
                <w:rFonts w:ascii="Times New Roman" w:hAnsi="Times New Roman" w:cs="Times New Roman" w:eastAsia="Times New Roman" w:hint="default"/>
                <w:sz w:val="21"/>
                <w:szCs w:val="21"/>
              </w:rPr>
            </w:pPr>
            <w:r>
              <w:rPr>
                <w:rFonts w:ascii="宋体" w:hAnsi="宋体" w:cs="宋体" w:eastAsia="宋体" w:hint="default"/>
                <w:sz w:val="21"/>
                <w:szCs w:val="21"/>
              </w:rPr>
              <w:t>天玑科技大数据一体机智能管</w:t>
            </w:r>
            <w:r>
              <w:rPr>
                <w:rFonts w:ascii="宋体" w:hAnsi="宋体" w:cs="宋体" w:eastAsia="宋体" w:hint="default"/>
                <w:w w:val="100"/>
                <w:sz w:val="21"/>
                <w:szCs w:val="21"/>
              </w:rPr>
              <w:t> </w:t>
            </w:r>
            <w:r>
              <w:rPr>
                <w:rFonts w:ascii="宋体" w:hAnsi="宋体" w:cs="宋体" w:eastAsia="宋体" w:hint="default"/>
                <w:spacing w:val="-9"/>
                <w:sz w:val="21"/>
                <w:szCs w:val="21"/>
              </w:rPr>
              <w:t>理软件【简称：</w:t>
            </w:r>
            <w:r>
              <w:rPr>
                <w:rFonts w:ascii="Times New Roman" w:hAnsi="Times New Roman" w:cs="Times New Roman" w:eastAsia="Times New Roman" w:hint="default"/>
                <w:spacing w:val="-9"/>
                <w:sz w:val="21"/>
                <w:szCs w:val="21"/>
              </w:rPr>
              <w:t>SmartMon</w:t>
            </w:r>
            <w:r>
              <w:rPr>
                <w:rFonts w:ascii="宋体" w:hAnsi="宋体" w:cs="宋体" w:eastAsia="宋体" w:hint="default"/>
                <w:spacing w:val="-9"/>
                <w:sz w:val="21"/>
                <w:szCs w:val="21"/>
              </w:rPr>
              <w:t>】</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V2.1</w:t>
            </w:r>
          </w:p>
        </w:tc>
        <w:tc>
          <w:tcPr>
            <w:tcW w:w="1553"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87"/>
              <w:ind w:right="5"/>
              <w:jc w:val="center"/>
              <w:rPr>
                <w:rFonts w:ascii="Times New Roman" w:hAnsi="Times New Roman" w:cs="Times New Roman" w:eastAsia="Times New Roman" w:hint="default"/>
                <w:sz w:val="21"/>
                <w:szCs w:val="21"/>
              </w:rPr>
            </w:pPr>
            <w:r>
              <w:rPr>
                <w:rFonts w:ascii="Times New Roman"/>
                <w:sz w:val="21"/>
              </w:rPr>
              <w:t>2017SR743798</w:t>
            </w:r>
          </w:p>
        </w:tc>
        <w:tc>
          <w:tcPr>
            <w:tcW w:w="1200"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40"/>
              <w:ind w:right="165"/>
              <w:jc w:val="right"/>
              <w:rPr>
                <w:rFonts w:ascii="宋体" w:hAnsi="宋体" w:cs="宋体" w:eastAsia="宋体" w:hint="default"/>
                <w:sz w:val="21"/>
                <w:szCs w:val="21"/>
              </w:rPr>
            </w:pPr>
            <w:r>
              <w:rPr>
                <w:rFonts w:ascii="宋体" w:hAnsi="宋体" w:cs="宋体" w:eastAsia="宋体" w:hint="default"/>
                <w:spacing w:val="-1"/>
                <w:sz w:val="21"/>
                <w:szCs w:val="21"/>
              </w:rPr>
              <w:t>直接取得</w:t>
            </w:r>
          </w:p>
        </w:tc>
        <w:tc>
          <w:tcPr>
            <w:tcW w:w="1426"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87"/>
              <w:ind w:right="8"/>
              <w:jc w:val="center"/>
              <w:rPr>
                <w:rFonts w:ascii="Times New Roman" w:hAnsi="Times New Roman" w:cs="Times New Roman" w:eastAsia="Times New Roman" w:hint="default"/>
                <w:sz w:val="21"/>
                <w:szCs w:val="21"/>
              </w:rPr>
            </w:pPr>
            <w:r>
              <w:rPr>
                <w:rFonts w:ascii="Times New Roman"/>
                <w:sz w:val="21"/>
              </w:rPr>
              <w:t>2017/12/29</w:t>
            </w:r>
          </w:p>
        </w:tc>
        <w:tc>
          <w:tcPr>
            <w:tcW w:w="1116"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40"/>
              <w:ind w:right="7"/>
              <w:jc w:val="center"/>
              <w:rPr>
                <w:rFonts w:ascii="宋体" w:hAnsi="宋体" w:cs="宋体" w:eastAsia="宋体" w:hint="default"/>
                <w:sz w:val="21"/>
                <w:szCs w:val="21"/>
              </w:rPr>
            </w:pPr>
            <w:r>
              <w:rPr>
                <w:rFonts w:ascii="宋体" w:hAnsi="宋体" w:cs="宋体" w:eastAsia="宋体" w:hint="default"/>
                <w:sz w:val="21"/>
                <w:szCs w:val="21"/>
              </w:rPr>
              <w:t>天玑科技</w:t>
            </w:r>
          </w:p>
        </w:tc>
      </w:tr>
      <w:tr>
        <w:trPr>
          <w:trHeight w:val="739" w:hRule="exact"/>
        </w:trPr>
        <w:tc>
          <w:tcPr>
            <w:tcW w:w="63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6"/>
              <w:ind w:left="5" w:right="0"/>
              <w:jc w:val="center"/>
              <w:rPr>
                <w:rFonts w:ascii="Times New Roman" w:hAnsi="Times New Roman" w:cs="Times New Roman" w:eastAsia="Times New Roman" w:hint="default"/>
                <w:sz w:val="21"/>
                <w:szCs w:val="21"/>
              </w:rPr>
            </w:pPr>
            <w:r>
              <w:rPr>
                <w:rFonts w:ascii="Times New Roman"/>
                <w:sz w:val="21"/>
              </w:rPr>
              <w:t>11</w:t>
            </w:r>
          </w:p>
        </w:tc>
        <w:tc>
          <w:tcPr>
            <w:tcW w:w="2931" w:type="dxa"/>
            <w:tcBorders>
              <w:top w:val="single" w:sz="6" w:space="0" w:color="000000"/>
              <w:left w:val="single" w:sz="12" w:space="0" w:color="000000"/>
              <w:bottom w:val="single" w:sz="6" w:space="0" w:color="000000"/>
              <w:right w:val="single" w:sz="12" w:space="0" w:color="000000"/>
            </w:tcBorders>
          </w:tcPr>
          <w:p>
            <w:pPr>
              <w:pStyle w:val="TableParagraph"/>
              <w:spacing w:line="271" w:lineRule="auto" w:before="40"/>
              <w:ind w:left="-3" w:right="0" w:firstLine="84"/>
              <w:jc w:val="left"/>
              <w:rPr>
                <w:rFonts w:ascii="Times New Roman" w:hAnsi="Times New Roman" w:cs="Times New Roman" w:eastAsia="Times New Roman" w:hint="default"/>
                <w:sz w:val="21"/>
                <w:szCs w:val="21"/>
              </w:rPr>
            </w:pPr>
            <w:r>
              <w:rPr>
                <w:rFonts w:ascii="宋体" w:hAnsi="宋体" w:cs="宋体" w:eastAsia="宋体" w:hint="default"/>
                <w:sz w:val="21"/>
                <w:szCs w:val="21"/>
              </w:rPr>
              <w:t>天玑数据超融合存储一体化平</w:t>
            </w:r>
            <w:r>
              <w:rPr>
                <w:rFonts w:ascii="宋体" w:hAnsi="宋体" w:cs="宋体" w:eastAsia="宋体" w:hint="default"/>
                <w:w w:val="100"/>
                <w:sz w:val="21"/>
                <w:szCs w:val="21"/>
              </w:rPr>
              <w:t> </w:t>
            </w:r>
            <w:r>
              <w:rPr>
                <w:rFonts w:ascii="宋体" w:hAnsi="宋体" w:cs="宋体" w:eastAsia="宋体" w:hint="default"/>
                <w:spacing w:val="-4"/>
                <w:sz w:val="21"/>
                <w:szCs w:val="21"/>
              </w:rPr>
              <w:t>台软件【简称：</w:t>
            </w:r>
            <w:r>
              <w:rPr>
                <w:rFonts w:ascii="Times New Roman" w:hAnsi="Times New Roman" w:cs="Times New Roman" w:eastAsia="Times New Roman" w:hint="default"/>
                <w:spacing w:val="-4"/>
                <w:sz w:val="21"/>
                <w:szCs w:val="21"/>
              </w:rPr>
              <w:t>SmartStor</w:t>
            </w: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V1.0</w:t>
            </w:r>
          </w:p>
        </w:tc>
        <w:tc>
          <w:tcPr>
            <w:tcW w:w="1553"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87"/>
              <w:ind w:right="5"/>
              <w:jc w:val="center"/>
              <w:rPr>
                <w:rFonts w:ascii="Times New Roman" w:hAnsi="Times New Roman" w:cs="Times New Roman" w:eastAsia="Times New Roman" w:hint="default"/>
                <w:sz w:val="21"/>
                <w:szCs w:val="21"/>
              </w:rPr>
            </w:pPr>
            <w:r>
              <w:rPr>
                <w:rFonts w:ascii="Times New Roman"/>
                <w:sz w:val="21"/>
              </w:rPr>
              <w:t>2017SR205783</w:t>
            </w:r>
          </w:p>
        </w:tc>
        <w:tc>
          <w:tcPr>
            <w:tcW w:w="1200"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40"/>
              <w:ind w:right="165"/>
              <w:jc w:val="right"/>
              <w:rPr>
                <w:rFonts w:ascii="宋体" w:hAnsi="宋体" w:cs="宋体" w:eastAsia="宋体" w:hint="default"/>
                <w:sz w:val="21"/>
                <w:szCs w:val="21"/>
              </w:rPr>
            </w:pPr>
            <w:r>
              <w:rPr>
                <w:rFonts w:ascii="宋体" w:hAnsi="宋体" w:cs="宋体" w:eastAsia="宋体" w:hint="default"/>
                <w:spacing w:val="-1"/>
                <w:sz w:val="21"/>
                <w:szCs w:val="21"/>
              </w:rPr>
              <w:t>直接取得</w:t>
            </w:r>
          </w:p>
        </w:tc>
        <w:tc>
          <w:tcPr>
            <w:tcW w:w="1426"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87"/>
              <w:ind w:right="8"/>
              <w:jc w:val="center"/>
              <w:rPr>
                <w:rFonts w:ascii="Times New Roman" w:hAnsi="Times New Roman" w:cs="Times New Roman" w:eastAsia="Times New Roman" w:hint="default"/>
                <w:sz w:val="21"/>
                <w:szCs w:val="21"/>
              </w:rPr>
            </w:pPr>
            <w:r>
              <w:rPr>
                <w:rFonts w:ascii="Times New Roman"/>
                <w:sz w:val="21"/>
              </w:rPr>
              <w:t>2017/5/25</w:t>
            </w:r>
          </w:p>
        </w:tc>
        <w:tc>
          <w:tcPr>
            <w:tcW w:w="1116"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40"/>
              <w:ind w:right="7"/>
              <w:jc w:val="center"/>
              <w:rPr>
                <w:rFonts w:ascii="宋体" w:hAnsi="宋体" w:cs="宋体" w:eastAsia="宋体" w:hint="default"/>
                <w:sz w:val="21"/>
                <w:szCs w:val="21"/>
              </w:rPr>
            </w:pPr>
            <w:r>
              <w:rPr>
                <w:rFonts w:ascii="宋体" w:hAnsi="宋体" w:cs="宋体" w:eastAsia="宋体" w:hint="default"/>
                <w:sz w:val="21"/>
                <w:szCs w:val="21"/>
              </w:rPr>
              <w:t>天玑数据</w:t>
            </w:r>
          </w:p>
        </w:tc>
      </w:tr>
      <w:tr>
        <w:trPr>
          <w:trHeight w:val="1052" w:hRule="exact"/>
        </w:trPr>
        <w:tc>
          <w:tcPr>
            <w:tcW w:w="63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6"/>
              <w:ind w:left="5" w:right="0"/>
              <w:jc w:val="center"/>
              <w:rPr>
                <w:rFonts w:ascii="Times New Roman" w:hAnsi="Times New Roman" w:cs="Times New Roman" w:eastAsia="Times New Roman" w:hint="default"/>
                <w:sz w:val="21"/>
                <w:szCs w:val="21"/>
              </w:rPr>
            </w:pPr>
            <w:r>
              <w:rPr>
                <w:rFonts w:ascii="Times New Roman"/>
                <w:sz w:val="21"/>
              </w:rPr>
              <w:t>12</w:t>
            </w:r>
          </w:p>
        </w:tc>
        <w:tc>
          <w:tcPr>
            <w:tcW w:w="2931" w:type="dxa"/>
            <w:tcBorders>
              <w:top w:val="single" w:sz="6" w:space="0" w:color="000000"/>
              <w:left w:val="single" w:sz="12" w:space="0" w:color="000000"/>
              <w:bottom w:val="single" w:sz="6" w:space="0" w:color="000000"/>
              <w:right w:val="single" w:sz="12" w:space="0" w:color="000000"/>
            </w:tcBorders>
          </w:tcPr>
          <w:p>
            <w:pPr>
              <w:pStyle w:val="TableParagraph"/>
              <w:spacing w:line="283" w:lineRule="auto" w:before="40"/>
              <w:ind w:left="28" w:right="36" w:firstLine="4"/>
              <w:jc w:val="center"/>
              <w:rPr>
                <w:rFonts w:ascii="Times New Roman" w:hAnsi="Times New Roman" w:cs="Times New Roman" w:eastAsia="Times New Roman" w:hint="default"/>
                <w:sz w:val="21"/>
                <w:szCs w:val="21"/>
              </w:rPr>
            </w:pPr>
            <w:r>
              <w:rPr>
                <w:rFonts w:ascii="宋体" w:hAnsi="宋体" w:cs="宋体" w:eastAsia="宋体" w:hint="default"/>
                <w:sz w:val="21"/>
                <w:szCs w:val="21"/>
              </w:rPr>
              <w:t>基于集群共享的分布式文件存</w:t>
            </w:r>
            <w:r>
              <w:rPr>
                <w:rFonts w:ascii="宋体" w:hAnsi="宋体" w:cs="宋体" w:eastAsia="宋体" w:hint="default"/>
                <w:w w:val="100"/>
                <w:sz w:val="21"/>
                <w:szCs w:val="21"/>
              </w:rPr>
              <w:t> </w:t>
            </w:r>
            <w:r>
              <w:rPr>
                <w:rFonts w:ascii="宋体" w:hAnsi="宋体" w:cs="宋体" w:eastAsia="宋体" w:hint="default"/>
                <w:spacing w:val="-2"/>
                <w:sz w:val="21"/>
                <w:szCs w:val="21"/>
              </w:rPr>
              <w:t>储系统【简称：</w:t>
            </w:r>
            <w:r>
              <w:rPr>
                <w:rFonts w:ascii="Times New Roman" w:hAnsi="Times New Roman" w:cs="Times New Roman" w:eastAsia="Times New Roman" w:hint="default"/>
                <w:spacing w:val="-2"/>
                <w:sz w:val="21"/>
                <w:szCs w:val="21"/>
              </w:rPr>
              <w:t>SmartScaleFs</w:t>
            </w:r>
            <w:r>
              <w:rPr>
                <w:rFonts w:ascii="宋体" w:hAnsi="宋体" w:cs="宋体" w:eastAsia="宋体" w:hint="default"/>
                <w:spacing w:val="-2"/>
                <w:sz w:val="21"/>
                <w:szCs w:val="21"/>
              </w:rPr>
              <w:t>】</w:t>
            </w:r>
            <w:r>
              <w:rPr>
                <w:rFonts w:ascii="宋体" w:hAnsi="宋体" w:cs="宋体" w:eastAsia="宋体" w:hint="default"/>
                <w:spacing w:val="-90"/>
                <w:sz w:val="21"/>
                <w:szCs w:val="21"/>
              </w:rPr>
              <w:t> </w:t>
            </w:r>
            <w:r>
              <w:rPr>
                <w:rFonts w:ascii="Times New Roman" w:hAnsi="Times New Roman" w:cs="Times New Roman" w:eastAsia="Times New Roman" w:hint="default"/>
                <w:sz w:val="21"/>
                <w:szCs w:val="21"/>
              </w:rPr>
              <w:t>V1.0</w:t>
            </w:r>
          </w:p>
        </w:tc>
        <w:tc>
          <w:tcPr>
            <w:tcW w:w="1553"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87"/>
              <w:ind w:right="5"/>
              <w:jc w:val="center"/>
              <w:rPr>
                <w:rFonts w:ascii="Times New Roman" w:hAnsi="Times New Roman" w:cs="Times New Roman" w:eastAsia="Times New Roman" w:hint="default"/>
                <w:sz w:val="21"/>
                <w:szCs w:val="21"/>
              </w:rPr>
            </w:pPr>
            <w:r>
              <w:rPr>
                <w:rFonts w:ascii="Times New Roman"/>
                <w:sz w:val="21"/>
              </w:rPr>
              <w:t>2017SR537520</w:t>
            </w:r>
          </w:p>
        </w:tc>
        <w:tc>
          <w:tcPr>
            <w:tcW w:w="1200"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40"/>
              <w:ind w:right="165"/>
              <w:jc w:val="right"/>
              <w:rPr>
                <w:rFonts w:ascii="宋体" w:hAnsi="宋体" w:cs="宋体" w:eastAsia="宋体" w:hint="default"/>
                <w:sz w:val="21"/>
                <w:szCs w:val="21"/>
              </w:rPr>
            </w:pPr>
            <w:r>
              <w:rPr>
                <w:rFonts w:ascii="宋体" w:hAnsi="宋体" w:cs="宋体" w:eastAsia="宋体" w:hint="default"/>
                <w:spacing w:val="-1"/>
                <w:sz w:val="21"/>
                <w:szCs w:val="21"/>
              </w:rPr>
              <w:t>直接取得</w:t>
            </w:r>
          </w:p>
        </w:tc>
        <w:tc>
          <w:tcPr>
            <w:tcW w:w="1426"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87"/>
              <w:ind w:right="8"/>
              <w:jc w:val="center"/>
              <w:rPr>
                <w:rFonts w:ascii="Times New Roman" w:hAnsi="Times New Roman" w:cs="Times New Roman" w:eastAsia="Times New Roman" w:hint="default"/>
                <w:sz w:val="21"/>
                <w:szCs w:val="21"/>
              </w:rPr>
            </w:pPr>
            <w:r>
              <w:rPr>
                <w:rFonts w:ascii="Times New Roman"/>
                <w:sz w:val="21"/>
              </w:rPr>
              <w:t>2017/9/22</w:t>
            </w:r>
          </w:p>
        </w:tc>
        <w:tc>
          <w:tcPr>
            <w:tcW w:w="1116"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40"/>
              <w:ind w:right="7"/>
              <w:jc w:val="center"/>
              <w:rPr>
                <w:rFonts w:ascii="宋体" w:hAnsi="宋体" w:cs="宋体" w:eastAsia="宋体" w:hint="default"/>
                <w:sz w:val="21"/>
                <w:szCs w:val="21"/>
              </w:rPr>
            </w:pPr>
            <w:r>
              <w:rPr>
                <w:rFonts w:ascii="宋体" w:hAnsi="宋体" w:cs="宋体" w:eastAsia="宋体" w:hint="default"/>
                <w:sz w:val="21"/>
                <w:szCs w:val="21"/>
              </w:rPr>
              <w:t>天玑数据</w:t>
            </w:r>
          </w:p>
        </w:tc>
      </w:tr>
    </w:tbl>
    <w:p>
      <w:pPr>
        <w:spacing w:line="240" w:lineRule="auto" w:before="2"/>
        <w:rPr>
          <w:rFonts w:ascii="宋体" w:hAnsi="宋体" w:cs="宋体" w:eastAsia="宋体" w:hint="default"/>
          <w:sz w:val="20"/>
          <w:szCs w:val="20"/>
        </w:rPr>
      </w:pPr>
    </w:p>
    <w:p>
      <w:pPr>
        <w:pStyle w:val="Heading3"/>
        <w:spacing w:line="240" w:lineRule="auto" w:before="36"/>
        <w:ind w:right="0"/>
        <w:jc w:val="left"/>
        <w:rPr>
          <w:b w:val="0"/>
          <w:bCs w:val="0"/>
        </w:rPr>
      </w:pPr>
      <w:r>
        <w:rPr>
          <w:rFonts w:ascii="Times New Roman" w:hAnsi="Times New Roman" w:cs="Times New Roman" w:eastAsia="Times New Roman" w:hint="default"/>
        </w:rPr>
        <w:t>3</w:t>
      </w:r>
      <w:r>
        <w:rPr/>
        <w:t>、商标</w:t>
      </w:r>
      <w:r>
        <w:rPr>
          <w:b w:val="0"/>
          <w:bCs w:val="0"/>
        </w:rPr>
      </w:r>
    </w:p>
    <w:p>
      <w:pPr>
        <w:pStyle w:val="BodyText"/>
        <w:spacing w:line="240" w:lineRule="auto" w:before="21"/>
        <w:ind w:left="513" w:right="0"/>
        <w:jc w:val="left"/>
        <w:rPr>
          <w:rFonts w:ascii="Times New Roman" w:hAnsi="Times New Roman" w:cs="Times New Roman" w:eastAsia="Times New Roman" w:hint="default"/>
        </w:rPr>
      </w:pPr>
      <w:r>
        <w:rPr/>
        <w:t>（</w:t>
      </w:r>
      <w:r>
        <w:rPr>
          <w:rFonts w:ascii="Times New Roman" w:hAnsi="Times New Roman" w:cs="Times New Roman" w:eastAsia="Times New Roman" w:hint="default"/>
        </w:rPr>
        <w:t>1</w:t>
      </w:r>
      <w:r>
        <w:rPr/>
        <w:t>）报告期内，公司新增</w:t>
      </w:r>
      <w:r>
        <w:rPr>
          <w:rFonts w:ascii="Times New Roman" w:hAnsi="Times New Roman" w:cs="Times New Roman" w:eastAsia="Times New Roman" w:hint="default"/>
        </w:rPr>
        <w:t>10</w:t>
      </w:r>
      <w:r>
        <w:rPr/>
        <w:t>项商标。具体如下</w:t>
      </w:r>
      <w:r>
        <w:rPr>
          <w:rFonts w:ascii="Times New Roman" w:hAnsi="Times New Roman" w:cs="Times New Roman" w:eastAsia="Times New Roman" w:hint="default"/>
        </w:rPr>
        <w:t>:</w:t>
      </w:r>
    </w:p>
    <w:p>
      <w:pPr>
        <w:spacing w:line="240" w:lineRule="auto" w:before="11"/>
        <w:rPr>
          <w:rFonts w:ascii="Times New Roman" w:hAnsi="Times New Roman" w:cs="Times New Roman" w:eastAsia="Times New Roman" w:hint="default"/>
          <w:sz w:val="2"/>
          <w:szCs w:val="2"/>
        </w:rPr>
      </w:pPr>
    </w:p>
    <w:tbl>
      <w:tblPr>
        <w:tblW w:w="0" w:type="auto"/>
        <w:jc w:val="left"/>
        <w:tblInd w:w="164" w:type="dxa"/>
        <w:tblLayout w:type="fixed"/>
        <w:tblCellMar>
          <w:top w:w="0" w:type="dxa"/>
          <w:left w:w="0" w:type="dxa"/>
          <w:bottom w:w="0" w:type="dxa"/>
          <w:right w:w="0" w:type="dxa"/>
        </w:tblCellMar>
        <w:tblLook w:val="01E0"/>
      </w:tblPr>
      <w:tblGrid>
        <w:gridCol w:w="989"/>
        <w:gridCol w:w="1610"/>
        <w:gridCol w:w="1229"/>
        <w:gridCol w:w="1558"/>
        <w:gridCol w:w="1418"/>
        <w:gridCol w:w="1841"/>
      </w:tblGrid>
      <w:tr>
        <w:trPr>
          <w:trHeight w:val="744" w:hRule="exact"/>
        </w:trPr>
        <w:tc>
          <w:tcPr>
            <w:tcW w:w="989"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40"/>
              <w:ind w:left="2"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16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left="7" w:right="0"/>
              <w:jc w:val="center"/>
              <w:rPr>
                <w:rFonts w:ascii="宋体" w:hAnsi="宋体" w:cs="宋体" w:eastAsia="宋体" w:hint="default"/>
                <w:sz w:val="21"/>
                <w:szCs w:val="21"/>
              </w:rPr>
            </w:pPr>
            <w:r>
              <w:rPr>
                <w:rFonts w:ascii="宋体" w:hAnsi="宋体" w:cs="宋体" w:eastAsia="宋体" w:hint="default"/>
                <w:sz w:val="21"/>
                <w:szCs w:val="21"/>
              </w:rPr>
              <w:t>申请号</w:t>
            </w:r>
          </w:p>
        </w:tc>
        <w:tc>
          <w:tcPr>
            <w:tcW w:w="12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left="5" w:right="0"/>
              <w:jc w:val="center"/>
              <w:rPr>
                <w:rFonts w:ascii="宋体" w:hAnsi="宋体" w:cs="宋体" w:eastAsia="宋体" w:hint="default"/>
                <w:sz w:val="21"/>
                <w:szCs w:val="21"/>
              </w:rPr>
            </w:pPr>
            <w:r>
              <w:rPr>
                <w:rFonts w:ascii="宋体" w:hAnsi="宋体" w:cs="宋体" w:eastAsia="宋体" w:hint="default"/>
                <w:sz w:val="21"/>
                <w:szCs w:val="21"/>
              </w:rPr>
              <w:t>商标</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56" w:lineRule="auto" w:before="40"/>
              <w:ind w:left="242" w:right="0" w:hanging="238"/>
              <w:jc w:val="left"/>
              <w:rPr>
                <w:rFonts w:ascii="宋体" w:hAnsi="宋体" w:cs="宋体" w:eastAsia="宋体" w:hint="default"/>
                <w:sz w:val="21"/>
                <w:szCs w:val="21"/>
              </w:rPr>
            </w:pPr>
            <w:r>
              <w:rPr>
                <w:rFonts w:ascii="宋体" w:hAnsi="宋体" w:cs="宋体" w:eastAsia="宋体" w:hint="default"/>
                <w:sz w:val="21"/>
                <w:szCs w:val="21"/>
              </w:rPr>
              <w:t>核定服务项目</w:t>
            </w:r>
            <w:r>
              <w:rPr>
                <w:rFonts w:ascii="Times New Roman" w:hAnsi="Times New Roman" w:cs="Times New Roman" w:eastAsia="Times New Roman" w:hint="default"/>
                <w:sz w:val="21"/>
                <w:szCs w:val="21"/>
              </w:rPr>
              <w:t>/</w:t>
            </w:r>
            <w:r>
              <w:rPr>
                <w:rFonts w:ascii="宋体" w:hAnsi="宋体" w:cs="宋体" w:eastAsia="宋体" w:hint="default"/>
                <w:sz w:val="21"/>
                <w:szCs w:val="21"/>
              </w:rPr>
              <w:t>核</w:t>
            </w:r>
            <w:r>
              <w:rPr>
                <w:rFonts w:ascii="宋体" w:hAnsi="宋体" w:cs="宋体" w:eastAsia="宋体" w:hint="default"/>
                <w:w w:val="100"/>
                <w:sz w:val="21"/>
                <w:szCs w:val="21"/>
              </w:rPr>
              <w:t> </w:t>
            </w:r>
            <w:r>
              <w:rPr>
                <w:rFonts w:ascii="宋体" w:hAnsi="宋体" w:cs="宋体" w:eastAsia="宋体" w:hint="default"/>
                <w:sz w:val="21"/>
                <w:szCs w:val="21"/>
              </w:rPr>
              <w:t>定使用商品</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273"/>
              <w:jc w:val="right"/>
              <w:rPr>
                <w:rFonts w:ascii="宋体" w:hAnsi="宋体" w:cs="宋体" w:eastAsia="宋体" w:hint="default"/>
                <w:sz w:val="21"/>
                <w:szCs w:val="21"/>
              </w:rPr>
            </w:pPr>
            <w:r>
              <w:rPr>
                <w:rFonts w:ascii="宋体" w:hAnsi="宋体" w:cs="宋体" w:eastAsia="宋体" w:hint="default"/>
                <w:spacing w:val="-1"/>
                <w:sz w:val="21"/>
                <w:szCs w:val="21"/>
              </w:rPr>
              <w:t>颁发日期</w:t>
            </w:r>
          </w:p>
        </w:tc>
        <w:tc>
          <w:tcPr>
            <w:tcW w:w="18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left="1" w:right="0"/>
              <w:jc w:val="center"/>
              <w:rPr>
                <w:rFonts w:ascii="宋体" w:hAnsi="宋体" w:cs="宋体" w:eastAsia="宋体" w:hint="default"/>
                <w:sz w:val="21"/>
                <w:szCs w:val="21"/>
              </w:rPr>
            </w:pPr>
            <w:r>
              <w:rPr>
                <w:rFonts w:ascii="宋体" w:hAnsi="宋体" w:cs="宋体" w:eastAsia="宋体" w:hint="default"/>
                <w:sz w:val="21"/>
                <w:szCs w:val="21"/>
              </w:rPr>
              <w:t>申请人</w:t>
            </w:r>
          </w:p>
        </w:tc>
      </w:tr>
      <w:tr>
        <w:trPr>
          <w:trHeight w:val="432" w:hRule="exact"/>
        </w:trPr>
        <w:tc>
          <w:tcPr>
            <w:tcW w:w="989"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87"/>
              <w:ind w:left="2" w:right="0"/>
              <w:jc w:val="center"/>
              <w:rPr>
                <w:rFonts w:ascii="Times New Roman" w:hAnsi="Times New Roman" w:cs="Times New Roman" w:eastAsia="Times New Roman" w:hint="default"/>
                <w:sz w:val="21"/>
                <w:szCs w:val="21"/>
              </w:rPr>
            </w:pPr>
            <w:r>
              <w:rPr>
                <w:rFonts w:ascii="Times New Roman"/>
                <w:w w:val="100"/>
                <w:sz w:val="21"/>
              </w:rPr>
              <w:t>1</w:t>
            </w:r>
          </w:p>
        </w:tc>
        <w:tc>
          <w:tcPr>
            <w:tcW w:w="16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4" w:right="0"/>
              <w:jc w:val="center"/>
              <w:rPr>
                <w:rFonts w:ascii="Times New Roman" w:hAnsi="Times New Roman" w:cs="Times New Roman" w:eastAsia="Times New Roman" w:hint="default"/>
                <w:sz w:val="21"/>
                <w:szCs w:val="21"/>
              </w:rPr>
            </w:pPr>
            <w:r>
              <w:rPr>
                <w:rFonts w:ascii="Times New Roman"/>
                <w:sz w:val="21"/>
              </w:rPr>
              <w:t>19071091</w:t>
            </w:r>
          </w:p>
        </w:tc>
        <w:tc>
          <w:tcPr>
            <w:tcW w:w="1229"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left="3" w:right="0"/>
              <w:jc w:val="center"/>
              <w:rPr>
                <w:rFonts w:ascii="宋体" w:hAnsi="宋体" w:cs="宋体" w:eastAsia="宋体" w:hint="default"/>
                <w:sz w:val="21"/>
                <w:szCs w:val="21"/>
              </w:rPr>
            </w:pPr>
            <w:r>
              <w:rPr>
                <w:rFonts w:ascii="宋体" w:hAnsi="宋体" w:cs="宋体" w:eastAsia="宋体" w:hint="default"/>
                <w:sz w:val="21"/>
                <w:szCs w:val="21"/>
              </w:rPr>
              <w:t>天玑云锦</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left="2" w:right="0"/>
              <w:jc w:val="center"/>
              <w:rPr>
                <w:rFonts w:ascii="宋体" w:hAnsi="宋体" w:cs="宋体" w:eastAsia="宋体" w:hint="default"/>
                <w:sz w:val="21"/>
                <w:szCs w:val="21"/>
              </w:rPr>
            </w:pPr>
            <w:r>
              <w:rPr>
                <w:rFonts w:ascii="宋体" w:hAnsi="宋体" w:cs="宋体" w:eastAsia="宋体" w:hint="default"/>
                <w:sz w:val="21"/>
                <w:szCs w:val="21"/>
              </w:rPr>
              <w:t>第</w:t>
            </w:r>
            <w:r>
              <w:rPr>
                <w:rFonts w:ascii="Times New Roman" w:hAnsi="Times New Roman" w:cs="Times New Roman" w:eastAsia="Times New Roman" w:hint="default"/>
                <w:sz w:val="21"/>
                <w:szCs w:val="21"/>
              </w:rPr>
              <w:t>42</w:t>
            </w:r>
            <w:r>
              <w:rPr>
                <w:rFonts w:ascii="宋体" w:hAnsi="宋体" w:cs="宋体" w:eastAsia="宋体" w:hint="default"/>
                <w:sz w:val="21"/>
                <w:szCs w:val="21"/>
              </w:rPr>
              <w:t>类</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221"/>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2017</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3</w:t>
            </w:r>
            <w:r>
              <w:rPr>
                <w:rFonts w:ascii="宋体" w:hAnsi="宋体" w:cs="宋体" w:eastAsia="宋体" w:hint="default"/>
                <w:spacing w:val="-1"/>
                <w:sz w:val="21"/>
                <w:szCs w:val="21"/>
              </w:rPr>
              <w:t>月</w:t>
            </w:r>
          </w:p>
        </w:tc>
        <w:tc>
          <w:tcPr>
            <w:tcW w:w="18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left="4" w:right="0"/>
              <w:jc w:val="center"/>
              <w:rPr>
                <w:rFonts w:ascii="宋体" w:hAnsi="宋体" w:cs="宋体" w:eastAsia="宋体" w:hint="default"/>
                <w:sz w:val="21"/>
                <w:szCs w:val="21"/>
              </w:rPr>
            </w:pPr>
            <w:r>
              <w:rPr>
                <w:rFonts w:ascii="宋体" w:hAnsi="宋体" w:cs="宋体" w:eastAsia="宋体" w:hint="default"/>
                <w:sz w:val="21"/>
                <w:szCs w:val="21"/>
              </w:rPr>
              <w:t>天玑科技</w:t>
            </w:r>
          </w:p>
        </w:tc>
      </w:tr>
      <w:tr>
        <w:trPr>
          <w:trHeight w:val="432" w:hRule="exact"/>
        </w:trPr>
        <w:tc>
          <w:tcPr>
            <w:tcW w:w="989"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87"/>
              <w:ind w:left="2" w:right="0"/>
              <w:jc w:val="center"/>
              <w:rPr>
                <w:rFonts w:ascii="Times New Roman" w:hAnsi="Times New Roman" w:cs="Times New Roman" w:eastAsia="Times New Roman" w:hint="default"/>
                <w:sz w:val="21"/>
                <w:szCs w:val="21"/>
              </w:rPr>
            </w:pPr>
            <w:r>
              <w:rPr>
                <w:rFonts w:ascii="Times New Roman"/>
                <w:w w:val="100"/>
                <w:sz w:val="21"/>
              </w:rPr>
              <w:t>2</w:t>
            </w:r>
          </w:p>
        </w:tc>
        <w:tc>
          <w:tcPr>
            <w:tcW w:w="16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4" w:right="0"/>
              <w:jc w:val="center"/>
              <w:rPr>
                <w:rFonts w:ascii="Times New Roman" w:hAnsi="Times New Roman" w:cs="Times New Roman" w:eastAsia="Times New Roman" w:hint="default"/>
                <w:sz w:val="21"/>
                <w:szCs w:val="21"/>
              </w:rPr>
            </w:pPr>
            <w:r>
              <w:rPr>
                <w:rFonts w:ascii="Times New Roman"/>
                <w:sz w:val="21"/>
              </w:rPr>
              <w:t>19071091</w:t>
            </w:r>
          </w:p>
        </w:tc>
        <w:tc>
          <w:tcPr>
            <w:tcW w:w="12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left="3" w:right="0"/>
              <w:jc w:val="center"/>
              <w:rPr>
                <w:rFonts w:ascii="宋体" w:hAnsi="宋体" w:cs="宋体" w:eastAsia="宋体" w:hint="default"/>
                <w:sz w:val="21"/>
                <w:szCs w:val="21"/>
              </w:rPr>
            </w:pPr>
            <w:r>
              <w:rPr>
                <w:rFonts w:ascii="宋体" w:hAnsi="宋体" w:cs="宋体" w:eastAsia="宋体" w:hint="default"/>
                <w:sz w:val="21"/>
                <w:szCs w:val="21"/>
              </w:rPr>
              <w:t>天玑云锦</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left="2" w:right="0"/>
              <w:jc w:val="center"/>
              <w:rPr>
                <w:rFonts w:ascii="宋体" w:hAnsi="宋体" w:cs="宋体" w:eastAsia="宋体" w:hint="default"/>
                <w:sz w:val="21"/>
                <w:szCs w:val="21"/>
              </w:rPr>
            </w:pPr>
            <w:r>
              <w:rPr>
                <w:rFonts w:ascii="宋体" w:hAnsi="宋体" w:cs="宋体" w:eastAsia="宋体" w:hint="default"/>
                <w:sz w:val="21"/>
                <w:szCs w:val="21"/>
              </w:rPr>
              <w:t>第</w:t>
            </w:r>
            <w:r>
              <w:rPr>
                <w:rFonts w:ascii="Times New Roman" w:hAnsi="Times New Roman" w:cs="Times New Roman" w:eastAsia="Times New Roman" w:hint="default"/>
                <w:sz w:val="21"/>
                <w:szCs w:val="21"/>
              </w:rPr>
              <w:t>45</w:t>
            </w:r>
            <w:r>
              <w:rPr>
                <w:rFonts w:ascii="宋体" w:hAnsi="宋体" w:cs="宋体" w:eastAsia="宋体" w:hint="default"/>
                <w:sz w:val="21"/>
                <w:szCs w:val="21"/>
              </w:rPr>
              <w:t>类</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221"/>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2017</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3</w:t>
            </w:r>
            <w:r>
              <w:rPr>
                <w:rFonts w:ascii="宋体" w:hAnsi="宋体" w:cs="宋体" w:eastAsia="宋体" w:hint="default"/>
                <w:spacing w:val="-1"/>
                <w:sz w:val="21"/>
                <w:szCs w:val="21"/>
              </w:rPr>
              <w:t>月</w:t>
            </w:r>
          </w:p>
        </w:tc>
        <w:tc>
          <w:tcPr>
            <w:tcW w:w="18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left="4" w:right="0"/>
              <w:jc w:val="center"/>
              <w:rPr>
                <w:rFonts w:ascii="宋体" w:hAnsi="宋体" w:cs="宋体" w:eastAsia="宋体" w:hint="default"/>
                <w:sz w:val="21"/>
                <w:szCs w:val="21"/>
              </w:rPr>
            </w:pPr>
            <w:r>
              <w:rPr>
                <w:rFonts w:ascii="宋体" w:hAnsi="宋体" w:cs="宋体" w:eastAsia="宋体" w:hint="default"/>
                <w:sz w:val="21"/>
                <w:szCs w:val="21"/>
              </w:rPr>
              <w:t>天玑科技</w:t>
            </w:r>
          </w:p>
        </w:tc>
      </w:tr>
      <w:tr>
        <w:trPr>
          <w:trHeight w:val="433" w:hRule="exact"/>
        </w:trPr>
        <w:tc>
          <w:tcPr>
            <w:tcW w:w="989"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87"/>
              <w:ind w:left="2" w:right="0"/>
              <w:jc w:val="center"/>
              <w:rPr>
                <w:rFonts w:ascii="Times New Roman" w:hAnsi="Times New Roman" w:cs="Times New Roman" w:eastAsia="Times New Roman" w:hint="default"/>
                <w:sz w:val="21"/>
                <w:szCs w:val="21"/>
              </w:rPr>
            </w:pPr>
            <w:r>
              <w:rPr>
                <w:rFonts w:ascii="Times New Roman"/>
                <w:w w:val="100"/>
                <w:sz w:val="21"/>
              </w:rPr>
              <w:t>3</w:t>
            </w:r>
          </w:p>
        </w:tc>
        <w:tc>
          <w:tcPr>
            <w:tcW w:w="16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4" w:right="0"/>
              <w:jc w:val="center"/>
              <w:rPr>
                <w:rFonts w:ascii="Times New Roman" w:hAnsi="Times New Roman" w:cs="Times New Roman" w:eastAsia="Times New Roman" w:hint="default"/>
                <w:sz w:val="21"/>
                <w:szCs w:val="21"/>
              </w:rPr>
            </w:pPr>
            <w:r>
              <w:rPr>
                <w:rFonts w:ascii="Times New Roman"/>
                <w:sz w:val="21"/>
              </w:rPr>
              <w:t>19071091</w:t>
            </w:r>
          </w:p>
        </w:tc>
        <w:tc>
          <w:tcPr>
            <w:tcW w:w="12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left="3" w:right="0"/>
              <w:jc w:val="center"/>
              <w:rPr>
                <w:rFonts w:ascii="宋体" w:hAnsi="宋体" w:cs="宋体" w:eastAsia="宋体" w:hint="default"/>
                <w:sz w:val="21"/>
                <w:szCs w:val="21"/>
              </w:rPr>
            </w:pPr>
            <w:r>
              <w:rPr>
                <w:rFonts w:ascii="宋体" w:hAnsi="宋体" w:cs="宋体" w:eastAsia="宋体" w:hint="default"/>
                <w:sz w:val="21"/>
                <w:szCs w:val="21"/>
              </w:rPr>
              <w:t>天玑云锦</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第</w:t>
            </w:r>
            <w:r>
              <w:rPr>
                <w:rFonts w:ascii="Times New Roman" w:hAnsi="Times New Roman" w:cs="Times New Roman" w:eastAsia="Times New Roman" w:hint="default"/>
                <w:sz w:val="21"/>
                <w:szCs w:val="21"/>
              </w:rPr>
              <w:t>41</w:t>
            </w:r>
            <w:r>
              <w:rPr>
                <w:rFonts w:ascii="宋体" w:hAnsi="宋体" w:cs="宋体" w:eastAsia="宋体" w:hint="default"/>
                <w:sz w:val="21"/>
                <w:szCs w:val="21"/>
              </w:rPr>
              <w:t>类</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221"/>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2017</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3</w:t>
            </w:r>
            <w:r>
              <w:rPr>
                <w:rFonts w:ascii="宋体" w:hAnsi="宋体" w:cs="宋体" w:eastAsia="宋体" w:hint="default"/>
                <w:spacing w:val="-1"/>
                <w:sz w:val="21"/>
                <w:szCs w:val="21"/>
              </w:rPr>
              <w:t>月</w:t>
            </w:r>
          </w:p>
        </w:tc>
        <w:tc>
          <w:tcPr>
            <w:tcW w:w="18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left="4" w:right="0"/>
              <w:jc w:val="center"/>
              <w:rPr>
                <w:rFonts w:ascii="宋体" w:hAnsi="宋体" w:cs="宋体" w:eastAsia="宋体" w:hint="default"/>
                <w:sz w:val="21"/>
                <w:szCs w:val="21"/>
              </w:rPr>
            </w:pPr>
            <w:r>
              <w:rPr>
                <w:rFonts w:ascii="宋体" w:hAnsi="宋体" w:cs="宋体" w:eastAsia="宋体" w:hint="default"/>
                <w:sz w:val="21"/>
                <w:szCs w:val="21"/>
              </w:rPr>
              <w:t>天玑科技</w:t>
            </w:r>
          </w:p>
        </w:tc>
      </w:tr>
      <w:tr>
        <w:trPr>
          <w:trHeight w:val="432" w:hRule="exact"/>
        </w:trPr>
        <w:tc>
          <w:tcPr>
            <w:tcW w:w="989"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87"/>
              <w:ind w:left="2" w:right="0"/>
              <w:jc w:val="center"/>
              <w:rPr>
                <w:rFonts w:ascii="Times New Roman" w:hAnsi="Times New Roman" w:cs="Times New Roman" w:eastAsia="Times New Roman" w:hint="default"/>
                <w:sz w:val="21"/>
                <w:szCs w:val="21"/>
              </w:rPr>
            </w:pPr>
            <w:r>
              <w:rPr>
                <w:rFonts w:ascii="Times New Roman"/>
                <w:w w:val="100"/>
                <w:sz w:val="21"/>
              </w:rPr>
              <w:t>4</w:t>
            </w:r>
          </w:p>
        </w:tc>
        <w:tc>
          <w:tcPr>
            <w:tcW w:w="16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4" w:right="0"/>
              <w:jc w:val="center"/>
              <w:rPr>
                <w:rFonts w:ascii="Times New Roman" w:hAnsi="Times New Roman" w:cs="Times New Roman" w:eastAsia="Times New Roman" w:hint="default"/>
                <w:sz w:val="21"/>
                <w:szCs w:val="21"/>
              </w:rPr>
            </w:pPr>
            <w:r>
              <w:rPr>
                <w:rFonts w:ascii="Times New Roman"/>
                <w:sz w:val="21"/>
              </w:rPr>
              <w:t>19071091</w:t>
            </w:r>
          </w:p>
        </w:tc>
        <w:tc>
          <w:tcPr>
            <w:tcW w:w="12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left="3" w:right="0"/>
              <w:jc w:val="center"/>
              <w:rPr>
                <w:rFonts w:ascii="宋体" w:hAnsi="宋体" w:cs="宋体" w:eastAsia="宋体" w:hint="default"/>
                <w:sz w:val="21"/>
                <w:szCs w:val="21"/>
              </w:rPr>
            </w:pPr>
            <w:r>
              <w:rPr>
                <w:rFonts w:ascii="宋体" w:hAnsi="宋体" w:cs="宋体" w:eastAsia="宋体" w:hint="default"/>
                <w:sz w:val="21"/>
                <w:szCs w:val="21"/>
              </w:rPr>
              <w:t>天玑云锦</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90" w:lineRule="exact"/>
              <w:ind w:left="2" w:right="0"/>
              <w:jc w:val="center"/>
              <w:rPr>
                <w:rFonts w:ascii="宋体" w:hAnsi="宋体" w:cs="宋体" w:eastAsia="宋体" w:hint="default"/>
                <w:sz w:val="21"/>
                <w:szCs w:val="21"/>
              </w:rPr>
            </w:pPr>
            <w:r>
              <w:rPr>
                <w:rFonts w:ascii="宋体" w:hAnsi="宋体" w:cs="宋体" w:eastAsia="宋体" w:hint="default"/>
                <w:sz w:val="21"/>
                <w:szCs w:val="21"/>
              </w:rPr>
              <w:t>第</w:t>
            </w:r>
            <w:r>
              <w:rPr>
                <w:rFonts w:ascii="Times New Roman" w:hAnsi="Times New Roman" w:cs="Times New Roman" w:eastAsia="Times New Roman" w:hint="default"/>
                <w:sz w:val="21"/>
                <w:szCs w:val="21"/>
              </w:rPr>
              <w:t>38</w:t>
            </w:r>
            <w:r>
              <w:rPr>
                <w:rFonts w:ascii="宋体" w:hAnsi="宋体" w:cs="宋体" w:eastAsia="宋体" w:hint="default"/>
                <w:sz w:val="21"/>
                <w:szCs w:val="21"/>
              </w:rPr>
              <w:t>类</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221"/>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2017</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3</w:t>
            </w:r>
            <w:r>
              <w:rPr>
                <w:rFonts w:ascii="宋体" w:hAnsi="宋体" w:cs="宋体" w:eastAsia="宋体" w:hint="default"/>
                <w:spacing w:val="-1"/>
                <w:sz w:val="21"/>
                <w:szCs w:val="21"/>
              </w:rPr>
              <w:t>月</w:t>
            </w:r>
          </w:p>
        </w:tc>
        <w:tc>
          <w:tcPr>
            <w:tcW w:w="18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left="4" w:right="0"/>
              <w:jc w:val="center"/>
              <w:rPr>
                <w:rFonts w:ascii="宋体" w:hAnsi="宋体" w:cs="宋体" w:eastAsia="宋体" w:hint="default"/>
                <w:sz w:val="21"/>
                <w:szCs w:val="21"/>
              </w:rPr>
            </w:pPr>
            <w:r>
              <w:rPr>
                <w:rFonts w:ascii="宋体" w:hAnsi="宋体" w:cs="宋体" w:eastAsia="宋体" w:hint="default"/>
                <w:sz w:val="21"/>
                <w:szCs w:val="21"/>
              </w:rPr>
              <w:t>天玑科技</w:t>
            </w:r>
          </w:p>
        </w:tc>
      </w:tr>
      <w:tr>
        <w:trPr>
          <w:trHeight w:val="432" w:hRule="exact"/>
        </w:trPr>
        <w:tc>
          <w:tcPr>
            <w:tcW w:w="989"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87"/>
              <w:ind w:left="2" w:right="0"/>
              <w:jc w:val="center"/>
              <w:rPr>
                <w:rFonts w:ascii="Times New Roman" w:hAnsi="Times New Roman" w:cs="Times New Roman" w:eastAsia="Times New Roman" w:hint="default"/>
                <w:sz w:val="21"/>
                <w:szCs w:val="21"/>
              </w:rPr>
            </w:pPr>
            <w:r>
              <w:rPr>
                <w:rFonts w:ascii="Times New Roman"/>
                <w:w w:val="100"/>
                <w:sz w:val="21"/>
              </w:rPr>
              <w:t>5</w:t>
            </w:r>
          </w:p>
        </w:tc>
        <w:tc>
          <w:tcPr>
            <w:tcW w:w="16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4" w:right="0"/>
              <w:jc w:val="center"/>
              <w:rPr>
                <w:rFonts w:ascii="Times New Roman" w:hAnsi="Times New Roman" w:cs="Times New Roman" w:eastAsia="Times New Roman" w:hint="default"/>
                <w:sz w:val="21"/>
                <w:szCs w:val="21"/>
              </w:rPr>
            </w:pPr>
            <w:r>
              <w:rPr>
                <w:rFonts w:ascii="Times New Roman"/>
                <w:sz w:val="21"/>
              </w:rPr>
              <w:t>19071091</w:t>
            </w:r>
          </w:p>
        </w:tc>
        <w:tc>
          <w:tcPr>
            <w:tcW w:w="12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left="3" w:right="0"/>
              <w:jc w:val="center"/>
              <w:rPr>
                <w:rFonts w:ascii="宋体" w:hAnsi="宋体" w:cs="宋体" w:eastAsia="宋体" w:hint="default"/>
                <w:sz w:val="21"/>
                <w:szCs w:val="21"/>
              </w:rPr>
            </w:pPr>
            <w:r>
              <w:rPr>
                <w:rFonts w:ascii="宋体" w:hAnsi="宋体" w:cs="宋体" w:eastAsia="宋体" w:hint="default"/>
                <w:sz w:val="21"/>
                <w:szCs w:val="21"/>
              </w:rPr>
              <w:t>天玑云锦</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90" w:lineRule="exact"/>
              <w:ind w:left="2" w:right="0"/>
              <w:jc w:val="center"/>
              <w:rPr>
                <w:rFonts w:ascii="宋体" w:hAnsi="宋体" w:cs="宋体" w:eastAsia="宋体" w:hint="default"/>
                <w:sz w:val="21"/>
                <w:szCs w:val="21"/>
              </w:rPr>
            </w:pPr>
            <w:r>
              <w:rPr>
                <w:rFonts w:ascii="宋体" w:hAnsi="宋体" w:cs="宋体" w:eastAsia="宋体" w:hint="default"/>
                <w:sz w:val="21"/>
                <w:szCs w:val="21"/>
              </w:rPr>
              <w:t>第</w:t>
            </w:r>
            <w:r>
              <w:rPr>
                <w:rFonts w:ascii="Times New Roman" w:hAnsi="Times New Roman" w:cs="Times New Roman" w:eastAsia="Times New Roman" w:hint="default"/>
                <w:sz w:val="21"/>
                <w:szCs w:val="21"/>
              </w:rPr>
              <w:t>37</w:t>
            </w:r>
            <w:r>
              <w:rPr>
                <w:rFonts w:ascii="宋体" w:hAnsi="宋体" w:cs="宋体" w:eastAsia="宋体" w:hint="default"/>
                <w:sz w:val="21"/>
                <w:szCs w:val="21"/>
              </w:rPr>
              <w:t>类</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221"/>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2017</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3</w:t>
            </w:r>
            <w:r>
              <w:rPr>
                <w:rFonts w:ascii="宋体" w:hAnsi="宋体" w:cs="宋体" w:eastAsia="宋体" w:hint="default"/>
                <w:spacing w:val="-1"/>
                <w:sz w:val="21"/>
                <w:szCs w:val="21"/>
              </w:rPr>
              <w:t>月</w:t>
            </w:r>
          </w:p>
        </w:tc>
        <w:tc>
          <w:tcPr>
            <w:tcW w:w="18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left="4" w:right="0"/>
              <w:jc w:val="center"/>
              <w:rPr>
                <w:rFonts w:ascii="宋体" w:hAnsi="宋体" w:cs="宋体" w:eastAsia="宋体" w:hint="default"/>
                <w:sz w:val="21"/>
                <w:szCs w:val="21"/>
              </w:rPr>
            </w:pPr>
            <w:r>
              <w:rPr>
                <w:rFonts w:ascii="宋体" w:hAnsi="宋体" w:cs="宋体" w:eastAsia="宋体" w:hint="default"/>
                <w:sz w:val="21"/>
                <w:szCs w:val="21"/>
              </w:rPr>
              <w:t>天玑科技</w:t>
            </w:r>
          </w:p>
        </w:tc>
      </w:tr>
      <w:tr>
        <w:trPr>
          <w:trHeight w:val="432" w:hRule="exact"/>
        </w:trPr>
        <w:tc>
          <w:tcPr>
            <w:tcW w:w="989"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87"/>
              <w:ind w:left="2" w:right="0"/>
              <w:jc w:val="center"/>
              <w:rPr>
                <w:rFonts w:ascii="Times New Roman" w:hAnsi="Times New Roman" w:cs="Times New Roman" w:eastAsia="Times New Roman" w:hint="default"/>
                <w:sz w:val="21"/>
                <w:szCs w:val="21"/>
              </w:rPr>
            </w:pPr>
            <w:r>
              <w:rPr>
                <w:rFonts w:ascii="Times New Roman"/>
                <w:w w:val="100"/>
                <w:sz w:val="21"/>
              </w:rPr>
              <w:t>6</w:t>
            </w:r>
          </w:p>
        </w:tc>
        <w:tc>
          <w:tcPr>
            <w:tcW w:w="16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4" w:right="0"/>
              <w:jc w:val="center"/>
              <w:rPr>
                <w:rFonts w:ascii="Times New Roman" w:hAnsi="Times New Roman" w:cs="Times New Roman" w:eastAsia="Times New Roman" w:hint="default"/>
                <w:sz w:val="21"/>
                <w:szCs w:val="21"/>
              </w:rPr>
            </w:pPr>
            <w:r>
              <w:rPr>
                <w:rFonts w:ascii="Times New Roman"/>
                <w:sz w:val="21"/>
              </w:rPr>
              <w:t>19071091</w:t>
            </w:r>
          </w:p>
        </w:tc>
        <w:tc>
          <w:tcPr>
            <w:tcW w:w="12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left="3" w:right="0"/>
              <w:jc w:val="center"/>
              <w:rPr>
                <w:rFonts w:ascii="宋体" w:hAnsi="宋体" w:cs="宋体" w:eastAsia="宋体" w:hint="default"/>
                <w:sz w:val="21"/>
                <w:szCs w:val="21"/>
              </w:rPr>
            </w:pPr>
            <w:r>
              <w:rPr>
                <w:rFonts w:ascii="宋体" w:hAnsi="宋体" w:cs="宋体" w:eastAsia="宋体" w:hint="default"/>
                <w:sz w:val="21"/>
                <w:szCs w:val="21"/>
              </w:rPr>
              <w:t>天玑云锦</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90" w:lineRule="exact"/>
              <w:ind w:left="2" w:right="0"/>
              <w:jc w:val="center"/>
              <w:rPr>
                <w:rFonts w:ascii="宋体" w:hAnsi="宋体" w:cs="宋体" w:eastAsia="宋体" w:hint="default"/>
                <w:sz w:val="21"/>
                <w:szCs w:val="21"/>
              </w:rPr>
            </w:pPr>
            <w:r>
              <w:rPr>
                <w:rFonts w:ascii="宋体" w:hAnsi="宋体" w:cs="宋体" w:eastAsia="宋体" w:hint="default"/>
                <w:sz w:val="21"/>
                <w:szCs w:val="21"/>
              </w:rPr>
              <w:t>第</w:t>
            </w:r>
            <w:r>
              <w:rPr>
                <w:rFonts w:ascii="Times New Roman" w:hAnsi="Times New Roman" w:cs="Times New Roman" w:eastAsia="Times New Roman" w:hint="default"/>
                <w:sz w:val="21"/>
                <w:szCs w:val="21"/>
              </w:rPr>
              <w:t>36</w:t>
            </w:r>
            <w:r>
              <w:rPr>
                <w:rFonts w:ascii="宋体" w:hAnsi="宋体" w:cs="宋体" w:eastAsia="宋体" w:hint="default"/>
                <w:sz w:val="21"/>
                <w:szCs w:val="21"/>
              </w:rPr>
              <w:t>类</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221"/>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2017</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3</w:t>
            </w:r>
            <w:r>
              <w:rPr>
                <w:rFonts w:ascii="宋体" w:hAnsi="宋体" w:cs="宋体" w:eastAsia="宋体" w:hint="default"/>
                <w:spacing w:val="-1"/>
                <w:sz w:val="21"/>
                <w:szCs w:val="21"/>
              </w:rPr>
              <w:t>月</w:t>
            </w:r>
          </w:p>
        </w:tc>
        <w:tc>
          <w:tcPr>
            <w:tcW w:w="18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left="4" w:right="0"/>
              <w:jc w:val="center"/>
              <w:rPr>
                <w:rFonts w:ascii="宋体" w:hAnsi="宋体" w:cs="宋体" w:eastAsia="宋体" w:hint="default"/>
                <w:sz w:val="21"/>
                <w:szCs w:val="21"/>
              </w:rPr>
            </w:pPr>
            <w:r>
              <w:rPr>
                <w:rFonts w:ascii="宋体" w:hAnsi="宋体" w:cs="宋体" w:eastAsia="宋体" w:hint="default"/>
                <w:sz w:val="21"/>
                <w:szCs w:val="21"/>
              </w:rPr>
              <w:t>天玑科技</w:t>
            </w:r>
          </w:p>
        </w:tc>
      </w:tr>
      <w:tr>
        <w:trPr>
          <w:trHeight w:val="432" w:hRule="exact"/>
        </w:trPr>
        <w:tc>
          <w:tcPr>
            <w:tcW w:w="989"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87"/>
              <w:ind w:left="2" w:right="0"/>
              <w:jc w:val="center"/>
              <w:rPr>
                <w:rFonts w:ascii="Times New Roman" w:hAnsi="Times New Roman" w:cs="Times New Roman" w:eastAsia="Times New Roman" w:hint="default"/>
                <w:sz w:val="21"/>
                <w:szCs w:val="21"/>
              </w:rPr>
            </w:pPr>
            <w:r>
              <w:rPr>
                <w:rFonts w:ascii="Times New Roman"/>
                <w:w w:val="100"/>
                <w:sz w:val="21"/>
              </w:rPr>
              <w:t>7</w:t>
            </w:r>
          </w:p>
        </w:tc>
        <w:tc>
          <w:tcPr>
            <w:tcW w:w="16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4" w:right="0"/>
              <w:jc w:val="center"/>
              <w:rPr>
                <w:rFonts w:ascii="Times New Roman" w:hAnsi="Times New Roman" w:cs="Times New Roman" w:eastAsia="Times New Roman" w:hint="default"/>
                <w:sz w:val="21"/>
                <w:szCs w:val="21"/>
              </w:rPr>
            </w:pPr>
            <w:r>
              <w:rPr>
                <w:rFonts w:ascii="Times New Roman"/>
                <w:sz w:val="21"/>
              </w:rPr>
              <w:t>19071091</w:t>
            </w:r>
          </w:p>
        </w:tc>
        <w:tc>
          <w:tcPr>
            <w:tcW w:w="12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left="3" w:right="0"/>
              <w:jc w:val="center"/>
              <w:rPr>
                <w:rFonts w:ascii="宋体" w:hAnsi="宋体" w:cs="宋体" w:eastAsia="宋体" w:hint="default"/>
                <w:sz w:val="21"/>
                <w:szCs w:val="21"/>
              </w:rPr>
            </w:pPr>
            <w:r>
              <w:rPr>
                <w:rFonts w:ascii="宋体" w:hAnsi="宋体" w:cs="宋体" w:eastAsia="宋体" w:hint="default"/>
                <w:sz w:val="21"/>
                <w:szCs w:val="21"/>
              </w:rPr>
              <w:t>天玑云锦</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90" w:lineRule="exact"/>
              <w:ind w:left="2" w:right="0"/>
              <w:jc w:val="center"/>
              <w:rPr>
                <w:rFonts w:ascii="宋体" w:hAnsi="宋体" w:cs="宋体" w:eastAsia="宋体" w:hint="default"/>
                <w:sz w:val="21"/>
                <w:szCs w:val="21"/>
              </w:rPr>
            </w:pPr>
            <w:r>
              <w:rPr>
                <w:rFonts w:ascii="宋体" w:hAnsi="宋体" w:cs="宋体" w:eastAsia="宋体" w:hint="default"/>
                <w:sz w:val="21"/>
                <w:szCs w:val="21"/>
              </w:rPr>
              <w:t>第</w:t>
            </w:r>
            <w:r>
              <w:rPr>
                <w:rFonts w:ascii="Times New Roman" w:hAnsi="Times New Roman" w:cs="Times New Roman" w:eastAsia="Times New Roman" w:hint="default"/>
                <w:sz w:val="21"/>
                <w:szCs w:val="21"/>
              </w:rPr>
              <w:t>35</w:t>
            </w:r>
            <w:r>
              <w:rPr>
                <w:rFonts w:ascii="宋体" w:hAnsi="宋体" w:cs="宋体" w:eastAsia="宋体" w:hint="default"/>
                <w:sz w:val="21"/>
                <w:szCs w:val="21"/>
              </w:rPr>
              <w:t>类</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221"/>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2017</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3</w:t>
            </w:r>
            <w:r>
              <w:rPr>
                <w:rFonts w:ascii="宋体" w:hAnsi="宋体" w:cs="宋体" w:eastAsia="宋体" w:hint="default"/>
                <w:spacing w:val="-1"/>
                <w:sz w:val="21"/>
                <w:szCs w:val="21"/>
              </w:rPr>
              <w:t>月</w:t>
            </w:r>
          </w:p>
        </w:tc>
        <w:tc>
          <w:tcPr>
            <w:tcW w:w="18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left="4" w:right="0"/>
              <w:jc w:val="center"/>
              <w:rPr>
                <w:rFonts w:ascii="宋体" w:hAnsi="宋体" w:cs="宋体" w:eastAsia="宋体" w:hint="default"/>
                <w:sz w:val="21"/>
                <w:szCs w:val="21"/>
              </w:rPr>
            </w:pPr>
            <w:r>
              <w:rPr>
                <w:rFonts w:ascii="宋体" w:hAnsi="宋体" w:cs="宋体" w:eastAsia="宋体" w:hint="default"/>
                <w:sz w:val="21"/>
                <w:szCs w:val="21"/>
              </w:rPr>
              <w:t>天玑科技</w:t>
            </w:r>
          </w:p>
        </w:tc>
      </w:tr>
      <w:tr>
        <w:trPr>
          <w:trHeight w:val="432" w:hRule="exact"/>
        </w:trPr>
        <w:tc>
          <w:tcPr>
            <w:tcW w:w="989"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87"/>
              <w:ind w:left="2" w:right="0"/>
              <w:jc w:val="center"/>
              <w:rPr>
                <w:rFonts w:ascii="Times New Roman" w:hAnsi="Times New Roman" w:cs="Times New Roman" w:eastAsia="Times New Roman" w:hint="default"/>
                <w:sz w:val="21"/>
                <w:szCs w:val="21"/>
              </w:rPr>
            </w:pPr>
            <w:r>
              <w:rPr>
                <w:rFonts w:ascii="Times New Roman"/>
                <w:w w:val="100"/>
                <w:sz w:val="21"/>
              </w:rPr>
              <w:t>8</w:t>
            </w:r>
          </w:p>
        </w:tc>
        <w:tc>
          <w:tcPr>
            <w:tcW w:w="16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4" w:right="0"/>
              <w:jc w:val="center"/>
              <w:rPr>
                <w:rFonts w:ascii="Times New Roman" w:hAnsi="Times New Roman" w:cs="Times New Roman" w:eastAsia="Times New Roman" w:hint="default"/>
                <w:sz w:val="21"/>
                <w:szCs w:val="21"/>
              </w:rPr>
            </w:pPr>
            <w:r>
              <w:rPr>
                <w:rFonts w:ascii="Times New Roman"/>
                <w:sz w:val="21"/>
              </w:rPr>
              <w:t>19071091</w:t>
            </w:r>
          </w:p>
        </w:tc>
        <w:tc>
          <w:tcPr>
            <w:tcW w:w="12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left="3" w:right="0"/>
              <w:jc w:val="center"/>
              <w:rPr>
                <w:rFonts w:ascii="宋体" w:hAnsi="宋体" w:cs="宋体" w:eastAsia="宋体" w:hint="default"/>
                <w:sz w:val="21"/>
                <w:szCs w:val="21"/>
              </w:rPr>
            </w:pPr>
            <w:r>
              <w:rPr>
                <w:rFonts w:ascii="宋体" w:hAnsi="宋体" w:cs="宋体" w:eastAsia="宋体" w:hint="default"/>
                <w:sz w:val="21"/>
                <w:szCs w:val="21"/>
              </w:rPr>
              <w:t>天玑云锦</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90" w:lineRule="exact"/>
              <w:ind w:left="2" w:right="0"/>
              <w:jc w:val="center"/>
              <w:rPr>
                <w:rFonts w:ascii="宋体" w:hAnsi="宋体" w:cs="宋体" w:eastAsia="宋体" w:hint="default"/>
                <w:sz w:val="21"/>
                <w:szCs w:val="21"/>
              </w:rPr>
            </w:pPr>
            <w:r>
              <w:rPr>
                <w:rFonts w:ascii="宋体" w:hAnsi="宋体" w:cs="宋体" w:eastAsia="宋体" w:hint="default"/>
                <w:sz w:val="21"/>
                <w:szCs w:val="21"/>
              </w:rPr>
              <w:t>第</w:t>
            </w:r>
            <w:r>
              <w:rPr>
                <w:rFonts w:ascii="Times New Roman" w:hAnsi="Times New Roman" w:cs="Times New Roman" w:eastAsia="Times New Roman" w:hint="default"/>
                <w:sz w:val="21"/>
                <w:szCs w:val="21"/>
              </w:rPr>
              <w:t>9</w:t>
            </w:r>
            <w:r>
              <w:rPr>
                <w:rFonts w:ascii="宋体" w:hAnsi="宋体" w:cs="宋体" w:eastAsia="宋体" w:hint="default"/>
                <w:sz w:val="21"/>
                <w:szCs w:val="21"/>
              </w:rPr>
              <w:t>类</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90" w:lineRule="exact"/>
              <w:ind w:right="247"/>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2017</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3</w:t>
            </w:r>
            <w:r>
              <w:rPr>
                <w:rFonts w:ascii="宋体" w:hAnsi="宋体" w:cs="宋体" w:eastAsia="宋体" w:hint="default"/>
                <w:spacing w:val="-1"/>
                <w:sz w:val="21"/>
                <w:szCs w:val="21"/>
              </w:rPr>
              <w:t>月</w:t>
            </w:r>
          </w:p>
        </w:tc>
        <w:tc>
          <w:tcPr>
            <w:tcW w:w="18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left="4" w:right="0"/>
              <w:jc w:val="center"/>
              <w:rPr>
                <w:rFonts w:ascii="宋体" w:hAnsi="宋体" w:cs="宋体" w:eastAsia="宋体" w:hint="default"/>
                <w:sz w:val="21"/>
                <w:szCs w:val="21"/>
              </w:rPr>
            </w:pPr>
            <w:r>
              <w:rPr>
                <w:rFonts w:ascii="宋体" w:hAnsi="宋体" w:cs="宋体" w:eastAsia="宋体" w:hint="default"/>
                <w:sz w:val="21"/>
                <w:szCs w:val="21"/>
              </w:rPr>
              <w:t>天玑科技</w:t>
            </w:r>
          </w:p>
        </w:tc>
      </w:tr>
      <w:tr>
        <w:trPr>
          <w:trHeight w:val="665" w:hRule="exact"/>
        </w:trPr>
        <w:tc>
          <w:tcPr>
            <w:tcW w:w="989"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87"/>
              <w:ind w:left="2" w:right="0"/>
              <w:jc w:val="center"/>
              <w:rPr>
                <w:rFonts w:ascii="Times New Roman" w:hAnsi="Times New Roman" w:cs="Times New Roman" w:eastAsia="Times New Roman" w:hint="default"/>
                <w:sz w:val="21"/>
                <w:szCs w:val="21"/>
              </w:rPr>
            </w:pPr>
            <w:r>
              <w:rPr>
                <w:rFonts w:ascii="Times New Roman"/>
                <w:w w:val="100"/>
                <w:sz w:val="21"/>
              </w:rPr>
              <w:t>9</w:t>
            </w:r>
          </w:p>
        </w:tc>
        <w:tc>
          <w:tcPr>
            <w:tcW w:w="16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4" w:right="0"/>
              <w:jc w:val="center"/>
              <w:rPr>
                <w:rFonts w:ascii="Times New Roman" w:hAnsi="Times New Roman" w:cs="Times New Roman" w:eastAsia="Times New Roman" w:hint="default"/>
                <w:sz w:val="21"/>
                <w:szCs w:val="21"/>
              </w:rPr>
            </w:pPr>
            <w:r>
              <w:rPr>
                <w:rFonts w:ascii="Times New Roman"/>
                <w:sz w:val="21"/>
              </w:rPr>
              <w:t>19283923</w:t>
            </w:r>
          </w:p>
        </w:tc>
        <w:tc>
          <w:tcPr>
            <w:tcW w:w="12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left="3" w:right="0"/>
              <w:jc w:val="center"/>
              <w:rPr>
                <w:rFonts w:ascii="宋体" w:hAnsi="宋体" w:cs="宋体" w:eastAsia="宋体" w:hint="default"/>
                <w:sz w:val="21"/>
                <w:szCs w:val="21"/>
              </w:rPr>
            </w:pPr>
            <w:r>
              <w:rPr>
                <w:rFonts w:ascii="宋体" w:hAnsi="宋体" w:cs="宋体" w:eastAsia="宋体" w:hint="default"/>
                <w:sz w:val="21"/>
                <w:szCs w:val="21"/>
              </w:rPr>
              <w:t>天玑长云</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56" w:lineRule="auto"/>
              <w:ind w:left="662" w:right="0" w:hanging="663"/>
              <w:jc w:val="left"/>
              <w:rPr>
                <w:rFonts w:ascii="宋体" w:hAnsi="宋体" w:cs="宋体" w:eastAsia="宋体" w:hint="default"/>
                <w:sz w:val="21"/>
                <w:szCs w:val="21"/>
              </w:rPr>
            </w:pPr>
            <w:r>
              <w:rPr>
                <w:rFonts w:ascii="宋体" w:hAnsi="宋体" w:cs="宋体" w:eastAsia="宋体" w:hint="default"/>
                <w:spacing w:val="-5"/>
                <w:sz w:val="21"/>
                <w:szCs w:val="21"/>
              </w:rPr>
              <w:t>第</w:t>
            </w:r>
            <w:r>
              <w:rPr>
                <w:rFonts w:ascii="Times New Roman" w:hAnsi="Times New Roman" w:cs="Times New Roman" w:eastAsia="Times New Roman" w:hint="default"/>
                <w:spacing w:val="-5"/>
                <w:sz w:val="21"/>
                <w:szCs w:val="21"/>
              </w:rPr>
              <w:t>9</w:t>
            </w: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38</w:t>
            </w: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42</w:t>
            </w: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45</w:t>
            </w:r>
            <w:r>
              <w:rPr>
                <w:rFonts w:ascii="Times New Roman" w:hAnsi="Times New Roman" w:cs="Times New Roman" w:eastAsia="Times New Roman" w:hint="default"/>
                <w:spacing w:val="-37"/>
                <w:sz w:val="21"/>
                <w:szCs w:val="21"/>
              </w:rPr>
              <w:t> </w:t>
            </w:r>
            <w:r>
              <w:rPr>
                <w:rFonts w:ascii="宋体" w:hAnsi="宋体" w:cs="宋体" w:eastAsia="宋体" w:hint="default"/>
                <w:sz w:val="21"/>
                <w:szCs w:val="21"/>
              </w:rPr>
              <w:t>类</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90" w:lineRule="exact"/>
              <w:ind w:right="247"/>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2017</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4</w:t>
            </w:r>
            <w:r>
              <w:rPr>
                <w:rFonts w:ascii="宋体" w:hAnsi="宋体" w:cs="宋体" w:eastAsia="宋体" w:hint="default"/>
                <w:spacing w:val="-1"/>
                <w:sz w:val="21"/>
                <w:szCs w:val="21"/>
              </w:rPr>
              <w:t>月</w:t>
            </w:r>
          </w:p>
        </w:tc>
        <w:tc>
          <w:tcPr>
            <w:tcW w:w="18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left="4" w:right="0"/>
              <w:jc w:val="center"/>
              <w:rPr>
                <w:rFonts w:ascii="宋体" w:hAnsi="宋体" w:cs="宋体" w:eastAsia="宋体" w:hint="default"/>
                <w:sz w:val="21"/>
                <w:szCs w:val="21"/>
              </w:rPr>
            </w:pPr>
            <w:r>
              <w:rPr>
                <w:rFonts w:ascii="宋体" w:hAnsi="宋体" w:cs="宋体" w:eastAsia="宋体" w:hint="default"/>
                <w:sz w:val="21"/>
                <w:szCs w:val="21"/>
              </w:rPr>
              <w:t>天玑科技</w:t>
            </w:r>
          </w:p>
        </w:tc>
      </w:tr>
      <w:tr>
        <w:trPr>
          <w:trHeight w:val="432" w:hRule="exact"/>
        </w:trPr>
        <w:tc>
          <w:tcPr>
            <w:tcW w:w="989"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87"/>
              <w:ind w:left="2" w:right="0"/>
              <w:jc w:val="center"/>
              <w:rPr>
                <w:rFonts w:ascii="Times New Roman" w:hAnsi="Times New Roman" w:cs="Times New Roman" w:eastAsia="Times New Roman" w:hint="default"/>
                <w:sz w:val="21"/>
                <w:szCs w:val="21"/>
              </w:rPr>
            </w:pPr>
            <w:r>
              <w:rPr>
                <w:rFonts w:ascii="Times New Roman"/>
                <w:sz w:val="21"/>
              </w:rPr>
              <w:t>10</w:t>
            </w:r>
          </w:p>
        </w:tc>
        <w:tc>
          <w:tcPr>
            <w:tcW w:w="16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4" w:right="0"/>
              <w:jc w:val="center"/>
              <w:rPr>
                <w:rFonts w:ascii="Times New Roman" w:hAnsi="Times New Roman" w:cs="Times New Roman" w:eastAsia="Times New Roman" w:hint="default"/>
                <w:sz w:val="21"/>
                <w:szCs w:val="21"/>
              </w:rPr>
            </w:pPr>
            <w:r>
              <w:rPr>
                <w:rFonts w:ascii="Times New Roman"/>
                <w:sz w:val="21"/>
              </w:rPr>
              <w:t>19284048</w:t>
            </w:r>
          </w:p>
        </w:tc>
        <w:tc>
          <w:tcPr>
            <w:tcW w:w="12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4" w:right="0"/>
              <w:jc w:val="center"/>
              <w:rPr>
                <w:rFonts w:ascii="Times New Roman" w:hAnsi="Times New Roman" w:cs="Times New Roman" w:eastAsia="Times New Roman" w:hint="default"/>
                <w:sz w:val="21"/>
                <w:szCs w:val="21"/>
              </w:rPr>
            </w:pPr>
            <w:r>
              <w:rPr>
                <w:rFonts w:ascii="Times New Roman"/>
                <w:sz w:val="21"/>
              </w:rPr>
              <w:t>DNTDCOS</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第</w:t>
            </w:r>
            <w:r>
              <w:rPr>
                <w:rFonts w:ascii="Times New Roman" w:hAnsi="Times New Roman" w:cs="Times New Roman" w:eastAsia="Times New Roman" w:hint="default"/>
                <w:sz w:val="21"/>
                <w:szCs w:val="21"/>
              </w:rPr>
              <w:t>9</w:t>
            </w:r>
            <w:r>
              <w:rPr>
                <w:rFonts w:ascii="宋体" w:hAnsi="宋体" w:cs="宋体" w:eastAsia="宋体" w:hint="default"/>
                <w:sz w:val="21"/>
                <w:szCs w:val="21"/>
              </w:rPr>
              <w:t>、</w:t>
            </w:r>
            <w:r>
              <w:rPr>
                <w:rFonts w:ascii="Times New Roman" w:hAnsi="Times New Roman" w:cs="Times New Roman" w:eastAsia="Times New Roman" w:hint="default"/>
                <w:sz w:val="21"/>
                <w:szCs w:val="21"/>
              </w:rPr>
              <w:t>42</w:t>
            </w:r>
            <w:r>
              <w:rPr>
                <w:rFonts w:ascii="宋体" w:hAnsi="宋体" w:cs="宋体" w:eastAsia="宋体" w:hint="default"/>
                <w:sz w:val="21"/>
                <w:szCs w:val="21"/>
              </w:rPr>
              <w:t>、</w:t>
            </w:r>
            <w:r>
              <w:rPr>
                <w:rFonts w:ascii="Times New Roman" w:hAnsi="Times New Roman" w:cs="Times New Roman" w:eastAsia="Times New Roman" w:hint="default"/>
                <w:sz w:val="21"/>
                <w:szCs w:val="21"/>
              </w:rPr>
              <w:t>45</w:t>
            </w:r>
            <w:r>
              <w:rPr>
                <w:rFonts w:ascii="宋体" w:hAnsi="宋体" w:cs="宋体" w:eastAsia="宋体" w:hint="default"/>
                <w:sz w:val="21"/>
                <w:szCs w:val="21"/>
              </w:rPr>
              <w:t>类</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247"/>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2017</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4</w:t>
            </w:r>
            <w:r>
              <w:rPr>
                <w:rFonts w:ascii="宋体" w:hAnsi="宋体" w:cs="宋体" w:eastAsia="宋体" w:hint="default"/>
                <w:spacing w:val="-1"/>
                <w:sz w:val="21"/>
                <w:szCs w:val="21"/>
              </w:rPr>
              <w:t>月</w:t>
            </w:r>
          </w:p>
        </w:tc>
        <w:tc>
          <w:tcPr>
            <w:tcW w:w="18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left="4" w:right="0"/>
              <w:jc w:val="center"/>
              <w:rPr>
                <w:rFonts w:ascii="宋体" w:hAnsi="宋体" w:cs="宋体" w:eastAsia="宋体" w:hint="default"/>
                <w:sz w:val="21"/>
                <w:szCs w:val="21"/>
              </w:rPr>
            </w:pPr>
            <w:r>
              <w:rPr>
                <w:rFonts w:ascii="宋体" w:hAnsi="宋体" w:cs="宋体" w:eastAsia="宋体" w:hint="default"/>
                <w:sz w:val="21"/>
                <w:szCs w:val="21"/>
              </w:rPr>
              <w:t>天玑科技</w:t>
            </w:r>
          </w:p>
        </w:tc>
      </w:tr>
    </w:tbl>
    <w:p>
      <w:pPr>
        <w:spacing w:after="0" w:line="240" w:lineRule="auto"/>
        <w:jc w:val="center"/>
        <w:rPr>
          <w:rFonts w:ascii="宋体" w:hAnsi="宋体" w:cs="宋体" w:eastAsia="宋体" w:hint="default"/>
          <w:sz w:val="21"/>
          <w:szCs w:val="21"/>
        </w:rPr>
        <w:sectPr>
          <w:pgSz w:w="11910" w:h="16840"/>
          <w:pgMar w:header="745" w:footer="979" w:top="1060" w:bottom="1160" w:left="980" w:right="980"/>
        </w:sectPr>
      </w:pPr>
    </w:p>
    <w:p>
      <w:pPr>
        <w:spacing w:line="240" w:lineRule="auto" w:before="3"/>
        <w:rPr>
          <w:rFonts w:ascii="Times New Roman" w:hAnsi="Times New Roman" w:cs="Times New Roman" w:eastAsia="Times New Roman" w:hint="default"/>
          <w:sz w:val="28"/>
          <w:szCs w:val="28"/>
        </w:rPr>
      </w:pPr>
    </w:p>
    <w:p>
      <w:pPr>
        <w:pStyle w:val="Heading3"/>
        <w:spacing w:line="240" w:lineRule="auto" w:before="36"/>
        <w:ind w:right="101"/>
        <w:jc w:val="left"/>
        <w:rPr>
          <w:b w:val="0"/>
          <w:bCs w:val="0"/>
        </w:rPr>
      </w:pPr>
      <w:r>
        <w:rPr/>
        <w:t>二、报告期内不断斩获荣誉，提升行业地位</w:t>
      </w:r>
      <w:r>
        <w:rPr>
          <w:b w:val="0"/>
          <w:bCs w:val="0"/>
        </w:rPr>
      </w:r>
    </w:p>
    <w:p>
      <w:pPr>
        <w:spacing w:line="240" w:lineRule="auto" w:before="8"/>
        <w:rPr>
          <w:rFonts w:ascii="宋体" w:hAnsi="宋体" w:cs="宋体" w:eastAsia="宋体" w:hint="default"/>
          <w:b/>
          <w:bCs/>
          <w:sz w:val="27"/>
          <w:szCs w:val="27"/>
        </w:rPr>
      </w:pPr>
    </w:p>
    <w:tbl>
      <w:tblPr>
        <w:tblW w:w="0" w:type="auto"/>
        <w:jc w:val="left"/>
        <w:tblInd w:w="164" w:type="dxa"/>
        <w:tblLayout w:type="fixed"/>
        <w:tblCellMar>
          <w:top w:w="0" w:type="dxa"/>
          <w:left w:w="0" w:type="dxa"/>
          <w:bottom w:w="0" w:type="dxa"/>
          <w:right w:w="0" w:type="dxa"/>
        </w:tblCellMar>
        <w:tblLook w:val="01E0"/>
      </w:tblPr>
      <w:tblGrid>
        <w:gridCol w:w="629"/>
        <w:gridCol w:w="5341"/>
        <w:gridCol w:w="1983"/>
        <w:gridCol w:w="1277"/>
      </w:tblGrid>
      <w:tr>
        <w:trPr>
          <w:trHeight w:val="348" w:hRule="exact"/>
        </w:trPr>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534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3" w:right="0"/>
              <w:jc w:val="center"/>
              <w:rPr>
                <w:rFonts w:ascii="宋体" w:hAnsi="宋体" w:cs="宋体" w:eastAsia="宋体" w:hint="default"/>
                <w:sz w:val="21"/>
                <w:szCs w:val="21"/>
              </w:rPr>
            </w:pPr>
            <w:r>
              <w:rPr>
                <w:rFonts w:ascii="宋体" w:hAnsi="宋体" w:cs="宋体" w:eastAsia="宋体" w:hint="default"/>
                <w:sz w:val="21"/>
                <w:szCs w:val="21"/>
              </w:rPr>
              <w:t>所获荣誉、资质名称</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 w:right="0"/>
              <w:jc w:val="center"/>
              <w:rPr>
                <w:rFonts w:ascii="宋体" w:hAnsi="宋体" w:cs="宋体" w:eastAsia="宋体" w:hint="default"/>
                <w:sz w:val="21"/>
                <w:szCs w:val="21"/>
              </w:rPr>
            </w:pPr>
            <w:r>
              <w:rPr>
                <w:rFonts w:ascii="宋体" w:hAnsi="宋体" w:cs="宋体" w:eastAsia="宋体" w:hint="default"/>
                <w:sz w:val="21"/>
                <w:szCs w:val="21"/>
              </w:rPr>
              <w:t>颁发日期</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取得单位</w:t>
            </w:r>
          </w:p>
        </w:tc>
      </w:tr>
      <w:tr>
        <w:trPr>
          <w:trHeight w:val="425" w:hRule="exact"/>
        </w:trPr>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w w:val="100"/>
                <w:sz w:val="21"/>
              </w:rPr>
              <w:t>1</w:t>
            </w:r>
          </w:p>
        </w:tc>
        <w:tc>
          <w:tcPr>
            <w:tcW w:w="5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1" w:right="0"/>
              <w:jc w:val="center"/>
              <w:rPr>
                <w:rFonts w:ascii="宋体" w:hAnsi="宋体" w:cs="宋体" w:eastAsia="宋体" w:hint="default"/>
                <w:sz w:val="21"/>
                <w:szCs w:val="21"/>
              </w:rPr>
            </w:pPr>
            <w:r>
              <w:rPr>
                <w:rFonts w:ascii="宋体" w:hAnsi="宋体" w:cs="宋体" w:eastAsia="宋体" w:hint="default"/>
                <w:sz w:val="21"/>
                <w:szCs w:val="21"/>
              </w:rPr>
              <w:t>上海市著名商标</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2" w:right="0"/>
              <w:jc w:val="center"/>
              <w:rPr>
                <w:rFonts w:ascii="宋体" w:hAnsi="宋体" w:cs="宋体" w:eastAsia="宋体" w:hint="default"/>
                <w:sz w:val="21"/>
                <w:szCs w:val="21"/>
              </w:rPr>
            </w:pPr>
            <w:r>
              <w:rPr>
                <w:rFonts w:ascii="宋体" w:hAnsi="宋体" w:cs="宋体" w:eastAsia="宋体" w:hint="default"/>
                <w:sz w:val="21"/>
                <w:szCs w:val="21"/>
              </w:rPr>
              <w:t>天玑科技</w:t>
            </w:r>
          </w:p>
        </w:tc>
      </w:tr>
      <w:tr>
        <w:trPr>
          <w:trHeight w:val="427" w:hRule="exact"/>
        </w:trPr>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w w:val="100"/>
                <w:sz w:val="21"/>
              </w:rPr>
              <w:t>2</w:t>
            </w:r>
          </w:p>
        </w:tc>
        <w:tc>
          <w:tcPr>
            <w:tcW w:w="5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left="1" w:right="0"/>
              <w:jc w:val="center"/>
              <w:rPr>
                <w:rFonts w:ascii="宋体" w:hAnsi="宋体" w:cs="宋体" w:eastAsia="宋体" w:hint="default"/>
                <w:sz w:val="21"/>
                <w:szCs w:val="21"/>
              </w:rPr>
            </w:pPr>
            <w:r>
              <w:rPr>
                <w:rFonts w:ascii="宋体" w:hAnsi="宋体" w:cs="宋体" w:eastAsia="宋体" w:hint="default"/>
                <w:sz w:val="21"/>
                <w:szCs w:val="21"/>
              </w:rPr>
              <w:t>信息安全管理体系认证证书（四）</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天玑科技</w:t>
            </w:r>
          </w:p>
        </w:tc>
      </w:tr>
      <w:tr>
        <w:trPr>
          <w:trHeight w:val="427" w:hRule="exact"/>
        </w:trPr>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w w:val="100"/>
                <w:sz w:val="21"/>
              </w:rPr>
              <w:t>3</w:t>
            </w:r>
          </w:p>
        </w:tc>
        <w:tc>
          <w:tcPr>
            <w:tcW w:w="5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left="4" w:right="0"/>
              <w:jc w:val="center"/>
              <w:rPr>
                <w:rFonts w:ascii="宋体" w:hAnsi="宋体" w:cs="宋体" w:eastAsia="宋体" w:hint="default"/>
                <w:sz w:val="21"/>
                <w:szCs w:val="21"/>
              </w:rPr>
            </w:pPr>
            <w:r>
              <w:rPr>
                <w:rFonts w:ascii="宋体" w:hAnsi="宋体" w:cs="宋体" w:eastAsia="宋体" w:hint="default"/>
                <w:sz w:val="21"/>
                <w:szCs w:val="21"/>
              </w:rPr>
              <w:t>信息安全风险评估服务二级资质</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r>
              <w:rPr>
                <w:rFonts w:ascii="宋体" w:hAnsi="宋体" w:cs="宋体" w:eastAsia="宋体" w:hint="default"/>
                <w:sz w:val="21"/>
                <w:szCs w:val="21"/>
              </w:rPr>
              <w:t>月</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left="2" w:right="0"/>
              <w:jc w:val="center"/>
              <w:rPr>
                <w:rFonts w:ascii="宋体" w:hAnsi="宋体" w:cs="宋体" w:eastAsia="宋体" w:hint="default"/>
                <w:sz w:val="21"/>
                <w:szCs w:val="21"/>
              </w:rPr>
            </w:pPr>
            <w:r>
              <w:rPr>
                <w:rFonts w:ascii="宋体" w:hAnsi="宋体" w:cs="宋体" w:eastAsia="宋体" w:hint="default"/>
                <w:sz w:val="21"/>
                <w:szCs w:val="21"/>
              </w:rPr>
              <w:t>天玑科技</w:t>
            </w:r>
          </w:p>
        </w:tc>
      </w:tr>
      <w:tr>
        <w:trPr>
          <w:trHeight w:val="427" w:hRule="exact"/>
        </w:trPr>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w w:val="100"/>
                <w:sz w:val="21"/>
              </w:rPr>
              <w:t>4</w:t>
            </w:r>
          </w:p>
        </w:tc>
        <w:tc>
          <w:tcPr>
            <w:tcW w:w="5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left="4" w:right="0"/>
              <w:jc w:val="center"/>
              <w:rPr>
                <w:rFonts w:ascii="宋体" w:hAnsi="宋体" w:cs="宋体" w:eastAsia="宋体" w:hint="default"/>
                <w:sz w:val="21"/>
                <w:szCs w:val="21"/>
              </w:rPr>
            </w:pPr>
            <w:r>
              <w:rPr>
                <w:rFonts w:ascii="宋体" w:hAnsi="宋体" w:cs="宋体" w:eastAsia="宋体" w:hint="default"/>
                <w:sz w:val="21"/>
                <w:szCs w:val="21"/>
              </w:rPr>
              <w:t>信息系统安全集成服务二级资质</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r>
              <w:rPr>
                <w:rFonts w:ascii="宋体" w:hAnsi="宋体" w:cs="宋体" w:eastAsia="宋体" w:hint="default"/>
                <w:sz w:val="21"/>
                <w:szCs w:val="21"/>
              </w:rPr>
              <w:t>月</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left="2" w:right="0"/>
              <w:jc w:val="center"/>
              <w:rPr>
                <w:rFonts w:ascii="宋体" w:hAnsi="宋体" w:cs="宋体" w:eastAsia="宋体" w:hint="default"/>
                <w:sz w:val="21"/>
                <w:szCs w:val="21"/>
              </w:rPr>
            </w:pPr>
            <w:r>
              <w:rPr>
                <w:rFonts w:ascii="宋体" w:hAnsi="宋体" w:cs="宋体" w:eastAsia="宋体" w:hint="default"/>
                <w:sz w:val="21"/>
                <w:szCs w:val="21"/>
              </w:rPr>
              <w:t>天玑科技</w:t>
            </w:r>
          </w:p>
        </w:tc>
      </w:tr>
      <w:tr>
        <w:trPr>
          <w:trHeight w:val="427" w:hRule="exact"/>
        </w:trPr>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w w:val="100"/>
                <w:sz w:val="21"/>
              </w:rPr>
              <w:t>5</w:t>
            </w:r>
          </w:p>
        </w:tc>
        <w:tc>
          <w:tcPr>
            <w:tcW w:w="5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2016-2017</w:t>
            </w:r>
            <w:r>
              <w:rPr>
                <w:rFonts w:ascii="宋体" w:hAnsi="宋体" w:cs="宋体" w:eastAsia="宋体" w:hint="default"/>
                <w:sz w:val="21"/>
                <w:szCs w:val="21"/>
              </w:rPr>
              <w:t>年度通信网络维护服务管理创新先进单位</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left="2" w:right="0"/>
              <w:jc w:val="center"/>
              <w:rPr>
                <w:rFonts w:ascii="宋体" w:hAnsi="宋体" w:cs="宋体" w:eastAsia="宋体" w:hint="default"/>
                <w:sz w:val="21"/>
                <w:szCs w:val="21"/>
              </w:rPr>
            </w:pPr>
            <w:r>
              <w:rPr>
                <w:rFonts w:ascii="宋体" w:hAnsi="宋体" w:cs="宋体" w:eastAsia="宋体" w:hint="default"/>
                <w:sz w:val="21"/>
                <w:szCs w:val="21"/>
              </w:rPr>
              <w:t>天玑科技</w:t>
            </w:r>
          </w:p>
        </w:tc>
      </w:tr>
      <w:tr>
        <w:trPr>
          <w:trHeight w:val="428" w:hRule="exact"/>
        </w:trPr>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w w:val="100"/>
                <w:sz w:val="21"/>
              </w:rPr>
              <w:t>6</w:t>
            </w:r>
          </w:p>
        </w:tc>
        <w:tc>
          <w:tcPr>
            <w:tcW w:w="5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中国区域方案商百强</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7</w:t>
            </w:r>
            <w:r>
              <w:rPr>
                <w:rFonts w:ascii="宋体" w:hAnsi="宋体" w:cs="宋体" w:eastAsia="宋体" w:hint="default"/>
                <w:sz w:val="21"/>
                <w:szCs w:val="21"/>
              </w:rPr>
              <w:t>月</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left="2" w:right="0"/>
              <w:jc w:val="center"/>
              <w:rPr>
                <w:rFonts w:ascii="宋体" w:hAnsi="宋体" w:cs="宋体" w:eastAsia="宋体" w:hint="default"/>
                <w:sz w:val="21"/>
                <w:szCs w:val="21"/>
              </w:rPr>
            </w:pPr>
            <w:r>
              <w:rPr>
                <w:rFonts w:ascii="宋体" w:hAnsi="宋体" w:cs="宋体" w:eastAsia="宋体" w:hint="default"/>
                <w:sz w:val="21"/>
                <w:szCs w:val="21"/>
              </w:rPr>
              <w:t>天玑科技</w:t>
            </w:r>
          </w:p>
        </w:tc>
      </w:tr>
      <w:tr>
        <w:trPr>
          <w:trHeight w:val="427" w:hRule="exact"/>
        </w:trPr>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w w:val="100"/>
                <w:sz w:val="21"/>
              </w:rPr>
              <w:t>7</w:t>
            </w:r>
          </w:p>
        </w:tc>
        <w:tc>
          <w:tcPr>
            <w:tcW w:w="5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2016-2017</w:t>
            </w:r>
            <w:r>
              <w:rPr>
                <w:rFonts w:ascii="宋体" w:hAnsi="宋体" w:cs="宋体" w:eastAsia="宋体" w:hint="default"/>
                <w:sz w:val="21"/>
                <w:szCs w:val="21"/>
              </w:rPr>
              <w:t>年度通信网络维护服务管理创新先进单位</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2" w:right="0"/>
              <w:jc w:val="center"/>
              <w:rPr>
                <w:rFonts w:ascii="宋体" w:hAnsi="宋体" w:cs="宋体" w:eastAsia="宋体" w:hint="default"/>
                <w:sz w:val="21"/>
                <w:szCs w:val="21"/>
              </w:rPr>
            </w:pPr>
            <w:r>
              <w:rPr>
                <w:rFonts w:ascii="宋体" w:hAnsi="宋体" w:cs="宋体" w:eastAsia="宋体" w:hint="default"/>
                <w:sz w:val="21"/>
                <w:szCs w:val="21"/>
              </w:rPr>
              <w:t>天玑科技</w:t>
            </w:r>
          </w:p>
        </w:tc>
      </w:tr>
      <w:tr>
        <w:trPr>
          <w:trHeight w:val="427" w:hRule="exact"/>
        </w:trPr>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w w:val="100"/>
                <w:sz w:val="21"/>
              </w:rPr>
              <w:t>8</w:t>
            </w:r>
          </w:p>
        </w:tc>
        <w:tc>
          <w:tcPr>
            <w:tcW w:w="5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中国最具投资价值方案商</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7</w:t>
            </w:r>
            <w:r>
              <w:rPr>
                <w:rFonts w:ascii="宋体" w:hAnsi="宋体" w:cs="宋体" w:eastAsia="宋体" w:hint="default"/>
                <w:sz w:val="21"/>
                <w:szCs w:val="21"/>
              </w:rPr>
              <w:t>月</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2" w:right="0"/>
              <w:jc w:val="center"/>
              <w:rPr>
                <w:rFonts w:ascii="宋体" w:hAnsi="宋体" w:cs="宋体" w:eastAsia="宋体" w:hint="default"/>
                <w:sz w:val="21"/>
                <w:szCs w:val="21"/>
              </w:rPr>
            </w:pPr>
            <w:r>
              <w:rPr>
                <w:rFonts w:ascii="宋体" w:hAnsi="宋体" w:cs="宋体" w:eastAsia="宋体" w:hint="default"/>
                <w:sz w:val="21"/>
                <w:szCs w:val="21"/>
              </w:rPr>
              <w:t>天玑数据</w:t>
            </w:r>
          </w:p>
        </w:tc>
      </w:tr>
      <w:tr>
        <w:trPr>
          <w:trHeight w:val="427" w:hRule="exact"/>
        </w:trPr>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w w:val="100"/>
                <w:sz w:val="21"/>
              </w:rPr>
              <w:t>9</w:t>
            </w:r>
          </w:p>
        </w:tc>
        <w:tc>
          <w:tcPr>
            <w:tcW w:w="5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中国大数据产业最具创新力企业</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9</w:t>
            </w:r>
            <w:r>
              <w:rPr>
                <w:rFonts w:ascii="宋体" w:hAnsi="宋体" w:cs="宋体" w:eastAsia="宋体" w:hint="default"/>
                <w:sz w:val="21"/>
                <w:szCs w:val="21"/>
              </w:rPr>
              <w:t>月</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2" w:right="0"/>
              <w:jc w:val="center"/>
              <w:rPr>
                <w:rFonts w:ascii="宋体" w:hAnsi="宋体" w:cs="宋体" w:eastAsia="宋体" w:hint="default"/>
                <w:sz w:val="21"/>
                <w:szCs w:val="21"/>
              </w:rPr>
            </w:pPr>
            <w:r>
              <w:rPr>
                <w:rFonts w:ascii="宋体" w:hAnsi="宋体" w:cs="宋体" w:eastAsia="宋体" w:hint="default"/>
                <w:sz w:val="21"/>
                <w:szCs w:val="21"/>
              </w:rPr>
              <w:t>天玑科技</w:t>
            </w:r>
          </w:p>
        </w:tc>
      </w:tr>
      <w:tr>
        <w:trPr>
          <w:trHeight w:val="739" w:hRule="exact"/>
        </w:trPr>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10</w:t>
            </w:r>
          </w:p>
        </w:tc>
        <w:tc>
          <w:tcPr>
            <w:tcW w:w="5341"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before="38"/>
              <w:ind w:left="2558" w:right="101" w:hanging="2451"/>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2017</w:t>
            </w:r>
            <w:r>
              <w:rPr>
                <w:rFonts w:ascii="宋体" w:hAnsi="宋体" w:cs="宋体" w:eastAsia="宋体" w:hint="default"/>
                <w:spacing w:val="-2"/>
                <w:sz w:val="21"/>
                <w:szCs w:val="21"/>
              </w:rPr>
              <w:t>年度上海软件行业创优争先</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四名</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竞赛活动</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优胜产</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品</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11</w:t>
            </w:r>
            <w:r>
              <w:rPr>
                <w:rFonts w:ascii="宋体" w:hAnsi="宋体" w:cs="宋体" w:eastAsia="宋体" w:hint="default"/>
                <w:sz w:val="21"/>
                <w:szCs w:val="21"/>
              </w:rPr>
              <w:t>月</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2" w:right="0"/>
              <w:jc w:val="center"/>
              <w:rPr>
                <w:rFonts w:ascii="宋体" w:hAnsi="宋体" w:cs="宋体" w:eastAsia="宋体" w:hint="default"/>
                <w:sz w:val="21"/>
                <w:szCs w:val="21"/>
              </w:rPr>
            </w:pPr>
            <w:r>
              <w:rPr>
                <w:rFonts w:ascii="宋体" w:hAnsi="宋体" w:cs="宋体" w:eastAsia="宋体" w:hint="default"/>
                <w:sz w:val="21"/>
                <w:szCs w:val="21"/>
              </w:rPr>
              <w:t>天玑科技</w:t>
            </w:r>
          </w:p>
        </w:tc>
      </w:tr>
      <w:tr>
        <w:trPr>
          <w:trHeight w:val="739" w:hRule="exact"/>
        </w:trPr>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11</w:t>
            </w:r>
          </w:p>
        </w:tc>
        <w:tc>
          <w:tcPr>
            <w:tcW w:w="5341"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before="38"/>
              <w:ind w:left="2558" w:right="101" w:hanging="2451"/>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2017</w:t>
            </w:r>
            <w:r>
              <w:rPr>
                <w:rFonts w:ascii="宋体" w:hAnsi="宋体" w:cs="宋体" w:eastAsia="宋体" w:hint="default"/>
                <w:spacing w:val="-2"/>
                <w:sz w:val="21"/>
                <w:szCs w:val="21"/>
              </w:rPr>
              <w:t>年度上海软件行业创优争先</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四名</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竞赛活动</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优胜企</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业</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11</w:t>
            </w:r>
            <w:r>
              <w:rPr>
                <w:rFonts w:ascii="宋体" w:hAnsi="宋体" w:cs="宋体" w:eastAsia="宋体" w:hint="default"/>
                <w:sz w:val="21"/>
                <w:szCs w:val="21"/>
              </w:rPr>
              <w:t>月</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2" w:right="0"/>
              <w:jc w:val="center"/>
              <w:rPr>
                <w:rFonts w:ascii="宋体" w:hAnsi="宋体" w:cs="宋体" w:eastAsia="宋体" w:hint="default"/>
                <w:sz w:val="21"/>
                <w:szCs w:val="21"/>
              </w:rPr>
            </w:pPr>
            <w:r>
              <w:rPr>
                <w:rFonts w:ascii="宋体" w:hAnsi="宋体" w:cs="宋体" w:eastAsia="宋体" w:hint="default"/>
                <w:sz w:val="21"/>
                <w:szCs w:val="21"/>
              </w:rPr>
              <w:t>天玑科技</w:t>
            </w:r>
          </w:p>
        </w:tc>
      </w:tr>
    </w:tbl>
    <w:p>
      <w:pPr>
        <w:spacing w:line="240" w:lineRule="auto" w:before="2"/>
        <w:rPr>
          <w:rFonts w:ascii="宋体" w:hAnsi="宋体" w:cs="宋体" w:eastAsia="宋体" w:hint="default"/>
          <w:b/>
          <w:bCs/>
          <w:sz w:val="20"/>
          <w:szCs w:val="20"/>
        </w:rPr>
      </w:pPr>
    </w:p>
    <w:p>
      <w:pPr>
        <w:spacing w:line="307" w:lineRule="auto" w:before="36"/>
        <w:ind w:left="573" w:right="101" w:hanging="421"/>
        <w:jc w:val="left"/>
        <w:rPr>
          <w:rFonts w:ascii="宋体" w:hAnsi="宋体" w:cs="宋体" w:eastAsia="宋体" w:hint="default"/>
          <w:sz w:val="21"/>
          <w:szCs w:val="21"/>
        </w:rPr>
      </w:pPr>
      <w:r>
        <w:rPr>
          <w:rFonts w:ascii="宋体" w:hAnsi="宋体" w:cs="宋体" w:eastAsia="宋体" w:hint="default"/>
          <w:b/>
          <w:bCs/>
          <w:sz w:val="21"/>
          <w:szCs w:val="21"/>
        </w:rPr>
        <w:t>三、持续的研发投入和合作创新</w:t>
      </w:r>
      <w:r>
        <w:rPr>
          <w:rFonts w:ascii="宋体" w:hAnsi="宋体" w:cs="宋体" w:eastAsia="宋体" w:hint="default"/>
          <w:b/>
          <w:bCs/>
          <w:w w:val="100"/>
          <w:sz w:val="21"/>
          <w:szCs w:val="21"/>
        </w:rPr>
        <w:t> </w:t>
      </w:r>
      <w:r>
        <w:rPr>
          <w:rFonts w:ascii="宋体" w:hAnsi="宋体" w:cs="宋体" w:eastAsia="宋体" w:hint="default"/>
          <w:spacing w:val="-2"/>
          <w:sz w:val="21"/>
          <w:szCs w:val="21"/>
        </w:rPr>
        <w:t>报告期内公司持续投入研发，开发新产品，公司控股子公司天玑数据发布了新一代的全系列产品，包</w:t>
      </w:r>
    </w:p>
    <w:p>
      <w:pPr>
        <w:pStyle w:val="BodyText"/>
        <w:spacing w:line="269" w:lineRule="exact"/>
        <w:ind w:right="101"/>
        <w:jc w:val="left"/>
      </w:pPr>
      <w:r>
        <w:rPr/>
        <w:t>括数据云平台</w:t>
      </w:r>
      <w:r>
        <w:rPr>
          <w:rFonts w:ascii="Times New Roman" w:hAnsi="Times New Roman" w:cs="Times New Roman" w:eastAsia="Times New Roman" w:hint="default"/>
        </w:rPr>
        <w:t>PBData V2</w:t>
      </w:r>
      <w:r>
        <w:rPr/>
        <w:t>、海量分布式存储平台</w:t>
      </w:r>
      <w:r>
        <w:rPr>
          <w:rFonts w:ascii="Times New Roman" w:hAnsi="Times New Roman" w:cs="Times New Roman" w:eastAsia="Times New Roman" w:hint="default"/>
        </w:rPr>
        <w:t>PhegData X</w:t>
      </w:r>
      <w:r>
        <w:rPr>
          <w:rFonts w:ascii="Times New Roman" w:hAnsi="Times New Roman" w:cs="Times New Roman" w:eastAsia="Times New Roman" w:hint="default"/>
          <w:spacing w:val="12"/>
        </w:rPr>
        <w:t> </w:t>
      </w:r>
      <w:r>
        <w:rPr/>
        <w:t>系列和超融合私有云平台</w:t>
      </w:r>
      <w:r>
        <w:rPr>
          <w:rFonts w:ascii="Times New Roman" w:hAnsi="Times New Roman" w:cs="Times New Roman" w:eastAsia="Times New Roman" w:hint="default"/>
        </w:rPr>
        <w:t>PriData</w:t>
      </w:r>
      <w:r>
        <w:rPr/>
        <w:t>三大产品。同</w:t>
      </w:r>
    </w:p>
    <w:p>
      <w:pPr>
        <w:pStyle w:val="BodyText"/>
        <w:spacing w:line="266" w:lineRule="auto" w:before="21"/>
        <w:ind w:right="101"/>
        <w:jc w:val="left"/>
      </w:pPr>
      <w:r>
        <w:rPr>
          <w:spacing w:val="-2"/>
        </w:rPr>
        <w:t>时不断积极寻求合作创新，报告期内公司与核心的运营商客户合作，密切关注前沿技术的发展，采用源于</w:t>
      </w:r>
      <w:r>
        <w:rPr>
          <w:spacing w:val="-44"/>
        </w:rPr>
        <w:t> </w:t>
      </w:r>
      <w:r>
        <w:rPr>
          <w:spacing w:val="-44"/>
        </w:rPr>
      </w:r>
      <w:r>
        <w:rPr>
          <w:spacing w:val="-2"/>
        </w:rPr>
        <w:t>谷歌的</w:t>
      </w:r>
      <w:r>
        <w:rPr>
          <w:rFonts w:ascii="Times New Roman" w:hAnsi="Times New Roman" w:cs="Times New Roman" w:eastAsia="Times New Roman" w:hint="default"/>
          <w:spacing w:val="-2"/>
        </w:rPr>
        <w:t>Kubernetes</w:t>
      </w:r>
      <w:r>
        <w:rPr>
          <w:spacing w:val="-2"/>
        </w:rPr>
        <w:t>技术，提升了云操作系统产品</w:t>
      </w:r>
      <w:r>
        <w:rPr>
          <w:rFonts w:ascii="Times New Roman" w:hAnsi="Times New Roman" w:cs="Times New Roman" w:eastAsia="Times New Roman" w:hint="default"/>
          <w:spacing w:val="-2"/>
        </w:rPr>
        <w:t>DCOS</w:t>
      </w:r>
      <w:r>
        <w:rPr>
          <w:spacing w:val="-2"/>
        </w:rPr>
        <w:t>的性能与可伸缩性，同时加强了系统的</w:t>
      </w:r>
      <w:r>
        <w:rPr>
          <w:rFonts w:ascii="Times New Roman" w:hAnsi="Times New Roman" w:cs="Times New Roman" w:eastAsia="Times New Roman" w:hint="default"/>
          <w:spacing w:val="-2"/>
        </w:rPr>
        <w:t>DevOps</w:t>
      </w:r>
      <w:r>
        <w:rPr>
          <w:spacing w:val="-2"/>
        </w:rPr>
        <w:t>能力，</w:t>
      </w:r>
      <w:r>
        <w:rPr>
          <w:spacing w:val="-28"/>
        </w:rPr>
        <w:t> </w:t>
      </w:r>
      <w:r>
        <w:rPr>
          <w:spacing w:val="-28"/>
        </w:rPr>
      </w:r>
      <w:r>
        <w:rPr>
          <w:spacing w:val="-2"/>
        </w:rPr>
        <w:t>为该省级运营商提供了持续集成与分钟级部署回退的应用管控能力，打造了该运营商集团级的云计算管控</w:t>
      </w:r>
      <w:r>
        <w:rPr>
          <w:spacing w:val="-43"/>
        </w:rPr>
        <w:t> </w:t>
      </w:r>
      <w:r>
        <w:rPr>
          <w:spacing w:val="-43"/>
        </w:rPr>
      </w:r>
      <w:r>
        <w:rPr>
          <w:spacing w:val="-2"/>
        </w:rPr>
        <w:t>平台标杆。公司旗下子公司天玑数据与知名国产数据库厂商达梦数据库签署了战略合作协议，双方作为生</w:t>
      </w:r>
      <w:r>
        <w:rPr>
          <w:spacing w:val="-43"/>
        </w:rPr>
        <w:t> </w:t>
      </w:r>
      <w:r>
        <w:rPr>
          <w:spacing w:val="-43"/>
        </w:rPr>
      </w:r>
      <w:r>
        <w:rPr/>
        <w:t>态应用合作伙伴，将共同不断为客户推出计算、存储、网络、软件融合的一站服务和产品，加强</w:t>
      </w:r>
      <w:r>
        <w:rPr>
          <w:rFonts w:ascii="Times New Roman" w:hAnsi="Times New Roman" w:cs="Times New Roman" w:eastAsia="Times New Roman" w:hint="default"/>
        </w:rPr>
        <w:t>IT</w:t>
      </w:r>
      <w:r>
        <w:rPr/>
        <w:t>国产化</w:t>
      </w:r>
      <w:r>
        <w:rPr>
          <w:w w:val="100"/>
        </w:rPr>
        <w:t> </w:t>
      </w:r>
      <w:r>
        <w:rPr/>
        <w:t>合作。</w:t>
      </w:r>
    </w:p>
    <w:p>
      <w:pPr>
        <w:spacing w:after="0" w:line="266" w:lineRule="auto"/>
        <w:jc w:val="left"/>
        <w:sectPr>
          <w:pgSz w:w="11910" w:h="16840"/>
          <w:pgMar w:header="745" w:footer="979" w:top="1060" w:bottom="1160" w:left="98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4" w:right="0"/>
        <w:jc w:val="left"/>
        <w:rPr>
          <w:b w:val="0"/>
          <w:bCs w:val="0"/>
        </w:rPr>
      </w:pPr>
      <w:bookmarkStart w:name="_bookmark2" w:id="3"/>
      <w:bookmarkEnd w:id="3"/>
      <w:r>
        <w:rPr>
          <w:b w:val="0"/>
          <w:bCs w:val="0"/>
        </w:rPr>
      </w:r>
      <w:r>
        <w:rPr/>
        <w:t>第四节</w:t>
      </w:r>
      <w:r>
        <w:rPr>
          <w:spacing w:val="-6"/>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0"/>
        <w:jc w:val="left"/>
        <w:rPr>
          <w:b w:val="0"/>
          <w:bCs w:val="0"/>
        </w:rPr>
      </w:pPr>
      <w:r>
        <w:rPr/>
        <w:t>一、概述</w:t>
      </w:r>
      <w:r>
        <w:rPr>
          <w:b w:val="0"/>
          <w:bCs w:val="0"/>
        </w:rPr>
      </w:r>
    </w:p>
    <w:p>
      <w:pPr>
        <w:spacing w:line="240" w:lineRule="auto" w:before="10"/>
        <w:rPr>
          <w:rFonts w:ascii="宋体" w:hAnsi="宋体" w:cs="宋体" w:eastAsia="宋体" w:hint="default"/>
          <w:b/>
          <w:bCs/>
          <w:sz w:val="30"/>
          <w:szCs w:val="30"/>
        </w:rPr>
      </w:pPr>
    </w:p>
    <w:p>
      <w:pPr>
        <w:pStyle w:val="BodyText"/>
        <w:spacing w:line="386" w:lineRule="auto"/>
        <w:ind w:right="146" w:firstLine="480"/>
        <w:jc w:val="both"/>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2</w:t>
      </w:r>
      <w:r>
        <w:rPr>
          <w:spacing w:val="-2"/>
        </w:rPr>
        <w:t>月，国家发改委发布了《战略性新兴产业重点产品和服务指导目录（</w:t>
      </w:r>
      <w:r>
        <w:rPr>
          <w:rFonts w:ascii="Times New Roman" w:hAnsi="Times New Roman" w:cs="Times New Roman" w:eastAsia="Times New Roman" w:hint="default"/>
          <w:spacing w:val="-2"/>
        </w:rPr>
        <w:t>2016</w:t>
      </w:r>
      <w:r>
        <w:rPr>
          <w:spacing w:val="-2"/>
        </w:rPr>
        <w:t>年版）》，将新一</w:t>
      </w:r>
      <w:r>
        <w:rPr>
          <w:w w:val="100"/>
        </w:rPr>
        <w:t> </w:t>
      </w:r>
      <w:r>
        <w:rPr>
          <w:spacing w:val="-2"/>
        </w:rPr>
        <w:t>代信息技术产业列为战略新兴产业，并列了出互联网</w:t>
      </w:r>
      <w:r>
        <w:rPr>
          <w:rFonts w:ascii="Times New Roman" w:hAnsi="Times New Roman" w:cs="Times New Roman" w:eastAsia="Times New Roman" w:hint="default"/>
          <w:spacing w:val="-2"/>
        </w:rPr>
        <w:t>+</w:t>
      </w:r>
      <w:r>
        <w:rPr>
          <w:spacing w:val="-2"/>
        </w:rPr>
        <w:t>、大数据和人工智能等细分领域。公司在国家政策</w:t>
      </w:r>
      <w:r>
        <w:rPr>
          <w:spacing w:val="-21"/>
        </w:rPr>
        <w:t> </w:t>
      </w:r>
      <w:r>
        <w:rPr>
          <w:spacing w:val="-21"/>
        </w:rPr>
      </w:r>
      <w:r>
        <w:rPr>
          <w:spacing w:val="-3"/>
        </w:rPr>
        <w:t>的指引和董事会的领导下，进一步明确了</w:t>
      </w:r>
      <w:r>
        <w:rPr>
          <w:rFonts w:ascii="Times New Roman" w:hAnsi="Times New Roman" w:cs="Times New Roman" w:eastAsia="Times New Roman" w:hint="default"/>
          <w:spacing w:val="-3"/>
        </w:rPr>
        <w:t>“</w:t>
      </w:r>
      <w:r>
        <w:rPr>
          <w:spacing w:val="-3"/>
        </w:rPr>
        <w:t>天玑</w:t>
      </w:r>
      <w:r>
        <w:rPr>
          <w:rFonts w:ascii="Times New Roman" w:hAnsi="Times New Roman" w:cs="Times New Roman" w:eastAsia="Times New Roman" w:hint="default"/>
          <w:spacing w:val="-3"/>
        </w:rPr>
        <w:t>2.0”</w:t>
      </w:r>
      <w:r>
        <w:rPr>
          <w:spacing w:val="-3"/>
        </w:rPr>
        <w:t>战略落地途径，认真开展各项经营管理工作，扎实推动</w:t>
      </w:r>
      <w:r>
        <w:rPr>
          <w:spacing w:val="-18"/>
        </w:rPr>
        <w:t> </w:t>
      </w:r>
      <w:r>
        <w:rPr>
          <w:spacing w:val="-18"/>
        </w:rPr>
      </w:r>
      <w:r>
        <w:rPr/>
        <w:t>经营计划的贯彻落实，在产品开发、市场开拓、技术积累、行业合作等方面取得了一系列积极的进展。</w:t>
      </w:r>
    </w:p>
    <w:p>
      <w:pPr>
        <w:pStyle w:val="BodyText"/>
        <w:spacing w:line="393" w:lineRule="auto" w:before="65"/>
        <w:ind w:right="146" w:firstLine="420"/>
        <w:jc w:val="both"/>
      </w:pPr>
      <w:r>
        <w:rPr>
          <w:spacing w:val="-2"/>
        </w:rPr>
        <w:t>由于市场竞争加剧，同时鉴于报告期内公司出售参股公司上海复深蓝软件股份有限公司部分股权造成</w:t>
      </w:r>
      <w:r>
        <w:rPr>
          <w:w w:val="100"/>
        </w:rPr>
        <w:t> </w:t>
      </w:r>
      <w:r>
        <w:rPr>
          <w:spacing w:val="-3"/>
        </w:rPr>
        <w:t>合并范围调整等原因，故而导致公司营业收入有所下降。</w:t>
      </w:r>
      <w:r>
        <w:rPr>
          <w:rFonts w:ascii="Times New Roman" w:hAnsi="Times New Roman" w:cs="Times New Roman" w:eastAsia="Times New Roman" w:hint="default"/>
          <w:spacing w:val="-3"/>
        </w:rPr>
        <w:t>2017</w:t>
      </w:r>
      <w:r>
        <w:rPr>
          <w:spacing w:val="-3"/>
        </w:rPr>
        <w:t>年度，公司实现营业收</w:t>
      </w:r>
      <w:r>
        <w:rPr>
          <w:rFonts w:ascii="Times New Roman" w:hAnsi="Times New Roman" w:cs="Times New Roman" w:eastAsia="Times New Roman" w:hint="default"/>
          <w:spacing w:val="-3"/>
        </w:rPr>
        <w:t>359,535,979.29</w:t>
      </w:r>
      <w:r>
        <w:rPr>
          <w:spacing w:val="-3"/>
        </w:rPr>
        <w:t>元，比</w:t>
      </w:r>
      <w:r>
        <w:rPr>
          <w:spacing w:val="-24"/>
        </w:rPr>
        <w:t> </w:t>
      </w:r>
      <w:r>
        <w:rPr>
          <w:spacing w:val="-24"/>
        </w:rPr>
      </w:r>
      <w:r>
        <w:rPr>
          <w:spacing w:val="-2"/>
        </w:rPr>
        <w:t>上一年同期下降</w:t>
      </w:r>
      <w:r>
        <w:rPr>
          <w:rFonts w:ascii="Times New Roman" w:hAnsi="Times New Roman" w:cs="Times New Roman" w:eastAsia="Times New Roman" w:hint="default"/>
          <w:spacing w:val="-2"/>
        </w:rPr>
        <w:t>13.83%</w:t>
      </w:r>
      <w:r>
        <w:rPr>
          <w:spacing w:val="-2"/>
        </w:rPr>
        <w:t>；营业利润</w:t>
      </w:r>
      <w:r>
        <w:rPr>
          <w:rFonts w:ascii="Times New Roman" w:hAnsi="Times New Roman" w:cs="Times New Roman" w:eastAsia="Times New Roman" w:hint="default"/>
          <w:spacing w:val="-2"/>
        </w:rPr>
        <w:t>47,992,097.01</w:t>
      </w:r>
      <w:r>
        <w:rPr>
          <w:spacing w:val="-2"/>
        </w:rPr>
        <w:t>元，比上一年同期下降</w:t>
      </w:r>
      <w:r>
        <w:rPr>
          <w:rFonts w:ascii="Times New Roman" w:hAnsi="Times New Roman" w:cs="Times New Roman" w:eastAsia="Times New Roman" w:hint="default"/>
          <w:spacing w:val="-2"/>
        </w:rPr>
        <w:t>6.81%</w:t>
      </w:r>
      <w:r>
        <w:rPr>
          <w:spacing w:val="-2"/>
        </w:rPr>
        <w:t>；实现利润总额</w:t>
      </w:r>
      <w:r>
        <w:rPr>
          <w:rFonts w:ascii="Times New Roman" w:hAnsi="Times New Roman" w:cs="Times New Roman" w:eastAsia="Times New Roman" w:hint="default"/>
          <w:spacing w:val="-2"/>
        </w:rPr>
        <w:t>39,515,021.63</w:t>
      </w:r>
      <w:r>
        <w:rPr>
          <w:rFonts w:ascii="Times New Roman" w:hAnsi="Times New Roman" w:cs="Times New Roman" w:eastAsia="Times New Roman" w:hint="default"/>
          <w:spacing w:val="10"/>
        </w:rPr>
        <w:t> </w:t>
      </w:r>
      <w:r>
        <w:rPr>
          <w:rFonts w:ascii="Times New Roman" w:hAnsi="Times New Roman" w:cs="Times New Roman" w:eastAsia="Times New Roman" w:hint="default"/>
          <w:spacing w:val="10"/>
        </w:rPr>
      </w:r>
      <w:r>
        <w:rPr/>
        <w:t>元，同比下降</w:t>
      </w:r>
      <w:r>
        <w:rPr>
          <w:rFonts w:ascii="Times New Roman" w:hAnsi="Times New Roman" w:cs="Times New Roman" w:eastAsia="Times New Roman" w:hint="default"/>
        </w:rPr>
        <w:t>32.96%</w:t>
      </w:r>
      <w:r>
        <w:rPr/>
        <w:t>，归属于上市公司股东净利润</w:t>
      </w:r>
      <w:r>
        <w:rPr>
          <w:rFonts w:ascii="Times New Roman" w:hAnsi="Times New Roman" w:cs="Times New Roman" w:eastAsia="Times New Roman" w:hint="default"/>
        </w:rPr>
        <w:t>54,954,319.42</w:t>
      </w:r>
      <w:r>
        <w:rPr/>
        <w:t>元，比上一年同期下降</w:t>
      </w:r>
      <w:r>
        <w:rPr>
          <w:rFonts w:ascii="Times New Roman" w:hAnsi="Times New Roman" w:cs="Times New Roman" w:eastAsia="Times New Roman" w:hint="default"/>
        </w:rPr>
        <w:t>4.88%</w:t>
      </w:r>
      <w:r>
        <w:rPr/>
        <w:t>。</w:t>
      </w:r>
    </w:p>
    <w:p>
      <w:pPr>
        <w:pStyle w:val="BodyText"/>
        <w:spacing w:line="240" w:lineRule="auto" w:before="28"/>
        <w:ind w:right="0"/>
        <w:jc w:val="left"/>
      </w:pPr>
      <w:r>
        <w:rPr/>
        <w:t>（一）报告期内，公司主要经营情况概述如下：</w:t>
      </w:r>
    </w:p>
    <w:p>
      <w:pPr>
        <w:spacing w:line="240" w:lineRule="auto" w:before="10"/>
        <w:rPr>
          <w:rFonts w:ascii="宋体" w:hAnsi="宋体" w:cs="宋体" w:eastAsia="宋体" w:hint="default"/>
          <w:sz w:val="14"/>
          <w:szCs w:val="14"/>
        </w:rPr>
      </w:pPr>
    </w:p>
    <w:p>
      <w:pPr>
        <w:pStyle w:val="BodyText"/>
        <w:spacing w:line="386" w:lineRule="auto"/>
        <w:ind w:left="633" w:right="0" w:hanging="481"/>
        <w:jc w:val="left"/>
        <w:rPr>
          <w:rFonts w:ascii="Times New Roman" w:hAnsi="Times New Roman" w:cs="Times New Roman" w:eastAsia="Times New Roman" w:hint="default"/>
        </w:rPr>
      </w:pPr>
      <w:r>
        <w:rPr>
          <w:rFonts w:ascii="Times New Roman" w:hAnsi="Times New Roman" w:cs="Times New Roman" w:eastAsia="Times New Roman" w:hint="default"/>
        </w:rPr>
        <w:t>1</w:t>
      </w:r>
      <w:r>
        <w:rPr/>
        <w:t>、聚焦战略方向，完成非公开发行。</w:t>
      </w:r>
      <w:r>
        <w:rPr>
          <w:w w:val="100"/>
        </w:rPr>
        <w:t> </w:t>
      </w:r>
      <w:r>
        <w:rPr>
          <w:spacing w:val="-2"/>
        </w:rPr>
        <w:t>为了充实资金实力，推动新业务的发展，巩固和提升公司的行业地位和核心竞争力，公司于</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4</w:t>
      </w:r>
    </w:p>
    <w:p>
      <w:pPr>
        <w:pStyle w:val="BodyText"/>
        <w:spacing w:line="398" w:lineRule="auto" w:before="35"/>
        <w:ind w:right="0"/>
        <w:jc w:val="left"/>
      </w:pPr>
      <w:r>
        <w:rPr>
          <w:spacing w:val="-2"/>
        </w:rPr>
        <w:t>月启动非公开发行相关的事项拟实施智慧数据中心项目、智慧通讯云项目及研发中心及总部办公大楼三个</w:t>
      </w:r>
      <w:r>
        <w:rPr>
          <w:spacing w:val="-43"/>
        </w:rPr>
        <w:t> </w:t>
      </w:r>
      <w:r>
        <w:rPr>
          <w:spacing w:val="-43"/>
        </w:rPr>
      </w:r>
      <w:r>
        <w:rPr/>
        <w:t>募投项目。</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月，非公开发行股票方案获得证监会批准。</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月成功完成非公开发行工作，引</w:t>
      </w:r>
      <w:r>
        <w:rPr>
          <w:w w:val="100"/>
        </w:rPr>
        <w:t> </w:t>
      </w:r>
      <w:r>
        <w:rPr>
          <w:spacing w:val="-2"/>
        </w:rPr>
        <w:t>入鹏华资产管理有限公司、新华基金管理股份有限公司、苏博、邹月普共四家机构与个人股东，发行价格</w:t>
      </w:r>
      <w:r>
        <w:rPr>
          <w:spacing w:val="-47"/>
        </w:rPr>
        <w:t> </w:t>
      </w:r>
      <w:r>
        <w:rPr>
          <w:spacing w:val="-47"/>
        </w:rPr>
      </w:r>
      <w:r>
        <w:rPr>
          <w:spacing w:val="-3"/>
        </w:rPr>
        <w:t>为</w:t>
      </w:r>
      <w:r>
        <w:rPr>
          <w:rFonts w:ascii="Times New Roman" w:hAnsi="Times New Roman" w:cs="Times New Roman" w:eastAsia="Times New Roman" w:hint="default"/>
          <w:spacing w:val="-3"/>
        </w:rPr>
        <w:t>13.25</w:t>
      </w:r>
      <w:r>
        <w:rPr>
          <w:spacing w:val="-3"/>
        </w:rPr>
        <w:t>元</w:t>
      </w:r>
      <w:r>
        <w:rPr>
          <w:rFonts w:ascii="Times New Roman" w:hAnsi="Times New Roman" w:cs="Times New Roman" w:eastAsia="Times New Roman" w:hint="default"/>
          <w:spacing w:val="-3"/>
        </w:rPr>
        <w:t>/</w:t>
      </w:r>
      <w:r>
        <w:rPr>
          <w:spacing w:val="-3"/>
        </w:rPr>
        <w:t>股，发行数量为</w:t>
      </w:r>
      <w:r>
        <w:rPr>
          <w:rFonts w:ascii="Times New Roman" w:hAnsi="Times New Roman" w:cs="Times New Roman" w:eastAsia="Times New Roman" w:hint="default"/>
          <w:spacing w:val="-3"/>
        </w:rPr>
        <w:t>45,511,698</w:t>
      </w:r>
      <w:r>
        <w:rPr>
          <w:spacing w:val="-3"/>
        </w:rPr>
        <w:t>股，募集资金总额为</w:t>
      </w:r>
      <w:r>
        <w:rPr>
          <w:rFonts w:ascii="Times New Roman" w:hAnsi="Times New Roman" w:cs="Times New Roman" w:eastAsia="Times New Roman" w:hint="default"/>
          <w:spacing w:val="-3"/>
        </w:rPr>
        <w:t>603,029,998.50</w:t>
      </w:r>
      <w:r>
        <w:rPr>
          <w:spacing w:val="-3"/>
        </w:rPr>
        <w:t>元。资金到位后，公司有了更强的</w:t>
      </w:r>
      <w:r>
        <w:rPr>
          <w:spacing w:val="-14"/>
        </w:rPr>
        <w:t> </w:t>
      </w:r>
      <w:r>
        <w:rPr>
          <w:spacing w:val="-14"/>
        </w:rPr>
      </w:r>
      <w:r>
        <w:rPr/>
        <w:t>资金实力，将持续推进一横一纵的战略方向。</w:t>
      </w:r>
    </w:p>
    <w:p>
      <w:pPr>
        <w:pStyle w:val="BodyText"/>
        <w:spacing w:line="417" w:lineRule="auto" w:before="95"/>
        <w:ind w:left="633" w:right="0" w:hanging="481"/>
        <w:jc w:val="left"/>
      </w:pPr>
      <w:r>
        <w:rPr>
          <w:rFonts w:ascii="Times New Roman" w:hAnsi="Times New Roman" w:cs="Times New Roman" w:eastAsia="Times New Roman" w:hint="default"/>
        </w:rPr>
        <w:t>2</w:t>
      </w:r>
      <w:r>
        <w:rPr/>
        <w:t>、软件定义存储拓宽产品线，加强行业覆盖。</w:t>
      </w:r>
      <w:r>
        <w:rPr>
          <w:w w:val="100"/>
        </w:rPr>
        <w:t> </w:t>
      </w:r>
      <w:r>
        <w:rPr>
          <w:spacing w:val="-2"/>
        </w:rPr>
        <w:t>数据库云平台</w:t>
      </w:r>
      <w:r>
        <w:rPr>
          <w:rFonts w:ascii="Times New Roman" w:hAnsi="Times New Roman" w:cs="Times New Roman" w:eastAsia="Times New Roman" w:hint="default"/>
          <w:spacing w:val="-2"/>
        </w:rPr>
        <w:t>PBData</w:t>
      </w:r>
      <w:r>
        <w:rPr>
          <w:spacing w:val="-2"/>
        </w:rPr>
        <w:t>产品自</w:t>
      </w:r>
      <w:r>
        <w:rPr>
          <w:rFonts w:ascii="Times New Roman" w:hAnsi="Times New Roman" w:cs="Times New Roman" w:eastAsia="Times New Roman" w:hint="default"/>
          <w:spacing w:val="-2"/>
        </w:rPr>
        <w:t>2014</w:t>
      </w:r>
      <w:r>
        <w:rPr>
          <w:spacing w:val="-2"/>
        </w:rPr>
        <w:t>年面世后，收入累计过亿，得到了电信、金融、政府等行业的标杆</w:t>
      </w:r>
    </w:p>
    <w:p>
      <w:pPr>
        <w:pStyle w:val="BodyText"/>
        <w:spacing w:line="408" w:lineRule="auto" w:before="5"/>
        <w:ind w:right="0"/>
        <w:jc w:val="left"/>
      </w:pPr>
      <w:r>
        <w:rPr>
          <w:spacing w:val="-2"/>
        </w:rPr>
        <w:t>客户的认可，获得了细分领域内前三的市场地位。以数据库云平台的分布式存储核心技术以及市场影响力</w:t>
      </w:r>
      <w:r>
        <w:rPr>
          <w:spacing w:val="-43"/>
        </w:rPr>
        <w:t> </w:t>
      </w:r>
      <w:r>
        <w:rPr>
          <w:spacing w:val="-43"/>
        </w:rPr>
      </w:r>
      <w:r>
        <w:rPr>
          <w:spacing w:val="-2"/>
        </w:rPr>
        <w:t>为突破点公司着重进行了产品与行业两个维度的拓展。从产品维度看，</w:t>
      </w:r>
      <w:r>
        <w:rPr>
          <w:rFonts w:ascii="宋体" w:hAnsi="宋体" w:cs="宋体" w:eastAsia="宋体" w:hint="default"/>
          <w:spacing w:val="-2"/>
        </w:rPr>
        <w:t>2017</w:t>
      </w:r>
      <w:r>
        <w:rPr>
          <w:spacing w:val="-2"/>
        </w:rPr>
        <w:t>年，控股子公司天玑数据发布</w:t>
      </w:r>
      <w:r>
        <w:rPr>
          <w:spacing w:val="-38"/>
        </w:rPr>
        <w:t> </w:t>
      </w:r>
      <w:r>
        <w:rPr>
          <w:spacing w:val="-38"/>
        </w:rPr>
      </w:r>
      <w:r>
        <w:rPr/>
        <w:t>了新一代的全系列产品，包括数据云平台</w:t>
      </w:r>
      <w:r>
        <w:rPr>
          <w:rFonts w:ascii="宋体" w:hAnsi="宋体" w:cs="宋体" w:eastAsia="宋体" w:hint="default"/>
        </w:rPr>
        <w:t>PBData V2</w:t>
      </w:r>
      <w:r>
        <w:rPr/>
        <w:t>、海量分布式存储平台</w:t>
      </w:r>
      <w:r>
        <w:rPr>
          <w:rFonts w:ascii="宋体" w:hAnsi="宋体" w:cs="宋体" w:eastAsia="宋体" w:hint="default"/>
        </w:rPr>
        <w:t>PhegData </w:t>
      </w:r>
      <w:r>
        <w:rPr>
          <w:rFonts w:ascii="宋体" w:hAnsi="宋体" w:cs="宋体" w:eastAsia="宋体" w:hint="default"/>
          <w:spacing w:val="-3"/>
        </w:rPr>
        <w:t>X</w:t>
      </w:r>
      <w:r>
        <w:rPr>
          <w:rFonts w:ascii="宋体" w:hAnsi="宋体" w:cs="宋体" w:eastAsia="宋体" w:hint="default"/>
          <w:spacing w:val="-30"/>
        </w:rPr>
        <w:t> </w:t>
      </w:r>
      <w:r>
        <w:rPr/>
        <w:t>系列和超融合私有</w:t>
      </w:r>
      <w:r>
        <w:rPr>
          <w:w w:val="100"/>
        </w:rPr>
        <w:t> </w:t>
      </w:r>
      <w:r>
        <w:rPr/>
        <w:t>云平台</w:t>
      </w:r>
      <w:r>
        <w:rPr>
          <w:rFonts w:ascii="宋体" w:hAnsi="宋体" w:cs="宋体" w:eastAsia="宋体" w:hint="default"/>
        </w:rPr>
        <w:t>PriData</w:t>
      </w:r>
      <w:r>
        <w:rPr/>
        <w:t>三大产品，分别对应于核心数据库、音视频等大数据存储、私有云计算平台三大企业存储</w:t>
      </w:r>
      <w:r>
        <w:rPr>
          <w:w w:val="100"/>
        </w:rPr>
        <w:t> </w:t>
      </w:r>
      <w:r>
        <w:rPr>
          <w:spacing w:val="-2"/>
        </w:rPr>
        <w:t>应用方向，进行技术优化和产品包装。从行业维度看，天玑的软件定义存储产品已经承载了浙江移动的核</w:t>
      </w:r>
      <w:r>
        <w:rPr>
          <w:spacing w:val="-43"/>
        </w:rPr>
        <w:t> </w:t>
      </w:r>
      <w:r>
        <w:rPr>
          <w:spacing w:val="-43"/>
        </w:rPr>
      </w:r>
      <w:r>
        <w:rPr>
          <w:spacing w:val="-2"/>
        </w:rPr>
        <w:t>心数据库，顺利运行一周年以上，验证了其在高负载核心应用场景下的可靠性，并进入两家全国性股份制</w:t>
      </w:r>
      <w:r>
        <w:rPr>
          <w:spacing w:val="-43"/>
        </w:rPr>
        <w:t> </w:t>
      </w:r>
      <w:r>
        <w:rPr>
          <w:spacing w:val="-43"/>
        </w:rPr>
      </w:r>
      <w:r>
        <w:rPr/>
        <w:t>商行的总行级应用。</w:t>
      </w:r>
    </w:p>
    <w:p>
      <w:pPr>
        <w:spacing w:after="0" w:line="408"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pStyle w:val="BodyText"/>
        <w:spacing w:line="386" w:lineRule="auto" w:before="176"/>
        <w:ind w:left="633" w:right="101" w:hanging="481"/>
        <w:jc w:val="left"/>
      </w:pPr>
      <w:r>
        <w:rPr>
          <w:rFonts w:ascii="Times New Roman" w:hAnsi="Times New Roman" w:cs="Times New Roman" w:eastAsia="Times New Roman" w:hint="default"/>
        </w:rPr>
        <w:t>3</w:t>
      </w:r>
      <w:r>
        <w:rPr/>
        <w:t>、与核心客户合作，持续创新。</w:t>
      </w:r>
      <w:r>
        <w:rPr>
          <w:w w:val="100"/>
        </w:rPr>
        <w:t> </w:t>
      </w:r>
      <w:r>
        <w:rPr>
          <w:spacing w:val="-2"/>
        </w:rPr>
        <w:t>报告期内，公司与核心的运营商客户合作，密切关注前沿技术的发展，采用源于谷歌的</w:t>
      </w:r>
      <w:r>
        <w:rPr>
          <w:rFonts w:ascii="Times New Roman" w:hAnsi="Times New Roman" w:cs="Times New Roman" w:eastAsia="Times New Roman" w:hint="default"/>
          <w:spacing w:val="-2"/>
        </w:rPr>
        <w:t>Kubernetes</w:t>
      </w:r>
      <w:r>
        <w:rPr>
          <w:spacing w:val="-2"/>
        </w:rPr>
        <w:t>技</w:t>
      </w:r>
    </w:p>
    <w:p>
      <w:pPr>
        <w:pStyle w:val="BodyText"/>
        <w:spacing w:line="391" w:lineRule="auto" w:before="35"/>
        <w:ind w:right="185"/>
        <w:jc w:val="both"/>
      </w:pPr>
      <w:r>
        <w:rPr>
          <w:spacing w:val="-2"/>
        </w:rPr>
        <w:t>术，提升了云操作系统产品</w:t>
      </w:r>
      <w:r>
        <w:rPr>
          <w:rFonts w:ascii="Times New Roman" w:hAnsi="Times New Roman" w:cs="Times New Roman" w:eastAsia="Times New Roman" w:hint="default"/>
          <w:spacing w:val="-2"/>
        </w:rPr>
        <w:t>DCOS</w:t>
      </w:r>
      <w:r>
        <w:rPr>
          <w:spacing w:val="-2"/>
        </w:rPr>
        <w:t>的性能与可伸缩性，同时加强了系统的</w:t>
      </w:r>
      <w:r>
        <w:rPr>
          <w:rFonts w:ascii="Times New Roman" w:hAnsi="Times New Roman" w:cs="Times New Roman" w:eastAsia="Times New Roman" w:hint="default"/>
          <w:spacing w:val="-2"/>
        </w:rPr>
        <w:t>DevOps</w:t>
      </w:r>
      <w:r>
        <w:rPr>
          <w:spacing w:val="-2"/>
        </w:rPr>
        <w:t>能力，为该省级运营商提</w:t>
      </w:r>
      <w:r>
        <w:rPr>
          <w:spacing w:val="-32"/>
        </w:rPr>
        <w:t> </w:t>
      </w:r>
      <w:r>
        <w:rPr>
          <w:spacing w:val="-32"/>
        </w:rPr>
      </w:r>
      <w:r>
        <w:rPr>
          <w:spacing w:val="-2"/>
        </w:rPr>
        <w:t>供了持续集成与分钟级部署回退的应用管控能力，打造了该运营商集团级的云计算管控平台标杆。同时，</w:t>
      </w:r>
      <w:r>
        <w:rPr>
          <w:spacing w:val="-21"/>
        </w:rPr>
        <w:t> </w:t>
      </w:r>
      <w:r>
        <w:rPr>
          <w:spacing w:val="-21"/>
        </w:rPr>
      </w:r>
      <w:r>
        <w:rPr>
          <w:spacing w:val="-3"/>
        </w:rPr>
        <w:t>现场服务的大数据及</w:t>
      </w:r>
      <w:r>
        <w:rPr>
          <w:rFonts w:ascii="Times New Roman" w:hAnsi="Times New Roman" w:cs="Times New Roman" w:eastAsia="Times New Roman" w:hint="default"/>
          <w:spacing w:val="-3"/>
        </w:rPr>
        <w:t>AI</w:t>
      </w:r>
      <w:r>
        <w:rPr>
          <w:spacing w:val="-3"/>
        </w:rPr>
        <w:t>创新团队，成功为客户搭建了其</w:t>
      </w:r>
      <w:r>
        <w:rPr>
          <w:rFonts w:ascii="Times New Roman" w:hAnsi="Times New Roman" w:cs="Times New Roman" w:eastAsia="Times New Roman" w:hint="default"/>
          <w:spacing w:val="-3"/>
        </w:rPr>
        <w:t>AI</w:t>
      </w:r>
      <w:r>
        <w:rPr>
          <w:spacing w:val="-3"/>
        </w:rPr>
        <w:t>机器学习平台，获得客户信息技术部授予的</w:t>
      </w:r>
      <w:r>
        <w:rPr>
          <w:rFonts w:ascii="Times New Roman" w:hAnsi="Times New Roman" w:cs="Times New Roman" w:eastAsia="Times New Roman" w:hint="default"/>
          <w:spacing w:val="-3"/>
        </w:rPr>
        <w:t>2017</w:t>
      </w:r>
      <w:r>
        <w:rPr>
          <w:rFonts w:ascii="Times New Roman" w:hAnsi="Times New Roman" w:cs="Times New Roman" w:eastAsia="Times New Roman" w:hint="default"/>
          <w:spacing w:val="38"/>
        </w:rPr>
        <w:t> </w:t>
      </w:r>
      <w:r>
        <w:rPr>
          <w:rFonts w:ascii="Times New Roman" w:hAnsi="Times New Roman" w:cs="Times New Roman" w:eastAsia="Times New Roman" w:hint="default"/>
          <w:spacing w:val="38"/>
        </w:rPr>
      </w:r>
      <w:r>
        <w:rPr>
          <w:spacing w:val="-3"/>
        </w:rPr>
        <w:t>年度技术创新突出贡献奖。公司还与国内领先的保险客户联合创新，使用</w:t>
      </w:r>
      <w:r>
        <w:rPr>
          <w:rFonts w:ascii="Times New Roman" w:hAnsi="Times New Roman" w:cs="Times New Roman" w:eastAsia="Times New Roman" w:hint="default"/>
          <w:spacing w:val="-3"/>
        </w:rPr>
        <w:t>AI</w:t>
      </w:r>
      <w:r>
        <w:rPr>
          <w:spacing w:val="-3"/>
        </w:rPr>
        <w:t>技术进行高危数据库查询的发</w:t>
      </w:r>
      <w:r>
        <w:rPr>
          <w:spacing w:val="-5"/>
        </w:rPr>
        <w:t> </w:t>
      </w:r>
      <w:r>
        <w:rPr>
          <w:spacing w:val="-5"/>
        </w:rPr>
      </w:r>
      <w:r>
        <w:rPr/>
        <w:t>现与排查，目前已达到</w:t>
      </w:r>
      <w:r>
        <w:rPr>
          <w:rFonts w:ascii="Times New Roman" w:hAnsi="Times New Roman" w:cs="Times New Roman" w:eastAsia="Times New Roman" w:hint="default"/>
        </w:rPr>
        <w:t>98%</w:t>
      </w:r>
      <w:r>
        <w:rPr/>
        <w:t>的准确率，取得了初步成果。</w:t>
      </w:r>
    </w:p>
    <w:p>
      <w:pPr>
        <w:pStyle w:val="BodyText"/>
        <w:spacing w:line="386" w:lineRule="auto" w:before="31"/>
        <w:ind w:left="633" w:right="101" w:hanging="481"/>
        <w:jc w:val="left"/>
      </w:pPr>
      <w:r>
        <w:rPr>
          <w:rFonts w:ascii="Times New Roman" w:hAnsi="Times New Roman" w:cs="Times New Roman" w:eastAsia="Times New Roman" w:hint="default"/>
        </w:rPr>
        <w:t>4</w:t>
      </w:r>
      <w:r>
        <w:rPr/>
        <w:t>、优化服务流程，提高服务效率。</w:t>
      </w:r>
      <w:r>
        <w:rPr>
          <w:w w:val="100"/>
        </w:rPr>
        <w:t> </w:t>
      </w:r>
      <w:r>
        <w:rPr>
          <w:spacing w:val="-4"/>
        </w:rPr>
        <w:t>为有效支持大客户集团采购的数据中心服务交付，公司在报告期内优化了服务流程，升级了基于移动</w:t>
      </w:r>
    </w:p>
    <w:p>
      <w:pPr>
        <w:pStyle w:val="BodyText"/>
        <w:spacing w:line="408" w:lineRule="auto" w:before="65"/>
        <w:ind w:right="206"/>
        <w:jc w:val="both"/>
      </w:pPr>
      <w:r>
        <w:rPr>
          <w:spacing w:val="-2"/>
        </w:rPr>
        <w:t>手机终端的业务支撑系统，在公司范围内推广了更优的考核激励机制和更强的质量保障体系，并强化了本</w:t>
      </w:r>
      <w:r>
        <w:rPr>
          <w:spacing w:val="-44"/>
        </w:rPr>
        <w:t> </w:t>
      </w:r>
      <w:r>
        <w:rPr>
          <w:spacing w:val="-44"/>
        </w:rPr>
      </w:r>
      <w:r>
        <w:rPr>
          <w:spacing w:val="-2"/>
        </w:rPr>
        <w:t>地化团队与企业客户沟通的职能，在保证服务质量的前提下，以同等人力，有效覆盖了更多在保设备和工</w:t>
      </w:r>
      <w:r>
        <w:rPr>
          <w:spacing w:val="-43"/>
        </w:rPr>
        <w:t> </w:t>
      </w:r>
      <w:r>
        <w:rPr>
          <w:spacing w:val="-43"/>
        </w:rPr>
      </w:r>
      <w:r>
        <w:rPr/>
        <w:t>作量。</w:t>
      </w:r>
    </w:p>
    <w:p>
      <w:pPr>
        <w:pStyle w:val="BodyText"/>
        <w:spacing w:line="417" w:lineRule="auto" w:before="87"/>
        <w:ind w:left="573" w:right="101" w:hanging="421"/>
        <w:jc w:val="left"/>
      </w:pPr>
      <w:r>
        <w:rPr>
          <w:rFonts w:ascii="Times New Roman" w:hAnsi="Times New Roman" w:cs="Times New Roman" w:eastAsia="Times New Roman" w:hint="default"/>
        </w:rPr>
        <w:t>5</w:t>
      </w:r>
      <w:r>
        <w:rPr/>
        <w:t>、参与行业标准研制，丰富知识产权。</w:t>
      </w:r>
      <w:r>
        <w:rPr>
          <w:w w:val="100"/>
        </w:rPr>
        <w:t> </w:t>
      </w:r>
      <w:r>
        <w:rPr>
          <w:spacing w:val="-2"/>
        </w:rPr>
        <w:t>本报告期内，公司新增取得</w:t>
      </w:r>
      <w:r>
        <w:rPr>
          <w:rFonts w:ascii="宋体" w:hAnsi="宋体" w:cs="宋体" w:eastAsia="宋体" w:hint="default"/>
          <w:spacing w:val="-2"/>
        </w:rPr>
        <w:t>12</w:t>
      </w:r>
      <w:r>
        <w:rPr>
          <w:spacing w:val="-2"/>
        </w:rPr>
        <w:t>项软件著作权，</w:t>
      </w:r>
      <w:r>
        <w:rPr>
          <w:rFonts w:ascii="Times New Roman" w:hAnsi="Times New Roman" w:cs="Times New Roman" w:eastAsia="Times New Roman" w:hint="default"/>
          <w:spacing w:val="-2"/>
        </w:rPr>
        <w:t>10</w:t>
      </w:r>
      <w:r>
        <w:rPr>
          <w:spacing w:val="-2"/>
        </w:rPr>
        <w:t>项商标，</w:t>
      </w:r>
      <w:r>
        <w:rPr>
          <w:rFonts w:ascii="Times New Roman" w:hAnsi="Times New Roman" w:cs="Times New Roman" w:eastAsia="Times New Roman" w:hint="default"/>
          <w:spacing w:val="-2"/>
        </w:rPr>
        <w:t>1</w:t>
      </w:r>
      <w:r>
        <w:rPr>
          <w:spacing w:val="-2"/>
        </w:rPr>
        <w:t>项发明专利，同时另有</w:t>
      </w:r>
      <w:r>
        <w:rPr>
          <w:rFonts w:ascii="Times New Roman" w:hAnsi="Times New Roman" w:cs="Times New Roman" w:eastAsia="Times New Roman" w:hint="default"/>
          <w:spacing w:val="-2"/>
        </w:rPr>
        <w:t>6</w:t>
      </w:r>
      <w:r>
        <w:rPr>
          <w:spacing w:val="-2"/>
        </w:rPr>
        <w:t>项发明专利已进入</w:t>
      </w:r>
    </w:p>
    <w:p>
      <w:pPr>
        <w:pStyle w:val="BodyText"/>
        <w:spacing w:line="391" w:lineRule="auto" w:before="5"/>
        <w:ind w:right="206"/>
        <w:jc w:val="both"/>
        <w:rPr>
          <w:rFonts w:ascii="宋体" w:hAnsi="宋体" w:cs="宋体" w:eastAsia="宋体" w:hint="default"/>
        </w:rPr>
      </w:pPr>
      <w:r>
        <w:rPr>
          <w:spacing w:val="-3"/>
        </w:rPr>
        <w:t>实质性审查。公司积极参加相关行业国家标准的制定工作，自国家成立</w:t>
      </w:r>
      <w:r>
        <w:rPr>
          <w:rFonts w:ascii="Times New Roman" w:hAnsi="Times New Roman" w:cs="Times New Roman" w:eastAsia="Times New Roman" w:hint="default"/>
          <w:spacing w:val="-3"/>
        </w:rPr>
        <w:t>ITSS</w:t>
      </w:r>
      <w:r>
        <w:rPr>
          <w:spacing w:val="-3"/>
        </w:rPr>
        <w:t>工作组以来，持续的参与</w:t>
      </w:r>
      <w:r>
        <w:rPr>
          <w:rFonts w:ascii="Times New Roman" w:hAnsi="Times New Roman" w:cs="Times New Roman" w:eastAsia="Times New Roman" w:hint="default"/>
          <w:spacing w:val="-3"/>
        </w:rPr>
        <w:t>ITSS</w:t>
      </w:r>
      <w:r>
        <w:rPr>
          <w:rFonts w:ascii="Times New Roman" w:hAnsi="Times New Roman" w:cs="Times New Roman" w:eastAsia="Times New Roman" w:hint="default"/>
          <w:spacing w:val="40"/>
        </w:rPr>
        <w:t> </w:t>
      </w:r>
      <w:r>
        <w:rPr>
          <w:rFonts w:ascii="Times New Roman" w:hAnsi="Times New Roman" w:cs="Times New Roman" w:eastAsia="Times New Roman" w:hint="default"/>
          <w:spacing w:val="40"/>
        </w:rPr>
      </w:r>
      <w:r>
        <w:rPr>
          <w:spacing w:val="-3"/>
        </w:rPr>
        <w:t>各相关标准的研制，并成为国家信息技术标准</w:t>
      </w:r>
      <w:r>
        <w:rPr>
          <w:rFonts w:ascii="Times New Roman" w:hAnsi="Times New Roman" w:cs="Times New Roman" w:eastAsia="Times New Roman" w:hint="default"/>
          <w:spacing w:val="-3"/>
        </w:rPr>
        <w:t>ITSS</w:t>
      </w:r>
      <w:r>
        <w:rPr>
          <w:spacing w:val="-3"/>
        </w:rPr>
        <w:t>研制和应用单位。报告期内公司获得了中国电子信息行 </w:t>
      </w:r>
      <w:r>
        <w:rPr>
          <w:spacing w:val="-2"/>
        </w:rPr>
        <w:t>业联合会信息系统运行维护分项资质（贰级），中国电子工业标准化技术协会信息技术服务运行维护标准</w:t>
      </w:r>
      <w:r>
        <w:rPr>
          <w:spacing w:val="-43"/>
        </w:rPr>
        <w:t> </w:t>
      </w:r>
      <w:r>
        <w:rPr>
          <w:spacing w:val="-43"/>
        </w:rPr>
      </w:r>
      <w:r>
        <w:rPr>
          <w:spacing w:val="-2"/>
        </w:rPr>
        <w:t>符合性证书（贰级），中国信息安全认证中心（</w:t>
      </w:r>
      <w:r>
        <w:rPr>
          <w:rFonts w:ascii="Times New Roman" w:hAnsi="Times New Roman" w:cs="Times New Roman" w:eastAsia="Times New Roman" w:hint="default"/>
          <w:spacing w:val="-2"/>
        </w:rPr>
        <w:t>ISCCC</w:t>
      </w:r>
      <w:r>
        <w:rPr>
          <w:spacing w:val="-2"/>
        </w:rPr>
        <w:t>）信息安全服务安全集成（二级）和风险评估（二</w:t>
      </w:r>
      <w:r>
        <w:rPr>
          <w:spacing w:val="-19"/>
        </w:rPr>
        <w:t> </w:t>
      </w:r>
      <w:r>
        <w:rPr>
          <w:spacing w:val="-19"/>
        </w:rPr>
      </w:r>
      <w:r>
        <w:rPr/>
        <w:t>级）资质，有利于深度发掘</w:t>
      </w:r>
      <w:r>
        <w:rPr>
          <w:rFonts w:ascii="Times New Roman" w:hAnsi="Times New Roman" w:cs="Times New Roman" w:eastAsia="Times New Roman" w:hint="default"/>
        </w:rPr>
        <w:t>IT</w:t>
      </w:r>
      <w:r>
        <w:rPr/>
        <w:t>基础架构国产化的需求。</w:t>
      </w:r>
      <w:r>
        <w:rPr>
          <w:rFonts w:ascii="宋体" w:hAnsi="宋体" w:cs="宋体" w:eastAsia="宋体" w:hint="default"/>
        </w:rPr>
        <w:t> </w:t>
      </w:r>
    </w:p>
    <w:p>
      <w:pPr>
        <w:pStyle w:val="BodyText"/>
        <w:spacing w:line="386" w:lineRule="auto" w:before="30"/>
        <w:ind w:left="635" w:right="101" w:hanging="483"/>
        <w:jc w:val="left"/>
      </w:pPr>
      <w:r>
        <w:rPr>
          <w:rFonts w:ascii="Times New Roman" w:hAnsi="Times New Roman" w:cs="Times New Roman" w:eastAsia="Times New Roman" w:hint="default"/>
        </w:rPr>
        <w:t>6</w:t>
      </w:r>
      <w:r>
        <w:rPr/>
        <w:t>、加强业内合作，提升行业影响力</w:t>
      </w:r>
      <w:r>
        <w:rPr>
          <w:w w:val="100"/>
        </w:rPr>
        <w:t> </w:t>
      </w:r>
      <w:r>
        <w:rPr>
          <w:spacing w:val="-4"/>
          <w:w w:val="100"/>
        </w:rPr>
        <w:t>报告期内公司旗下子公司天玑数据与知名国产数据库厂商达梦数据库达成了战略合作，双方作为生态</w:t>
      </w:r>
    </w:p>
    <w:p>
      <w:pPr>
        <w:pStyle w:val="BodyText"/>
        <w:spacing w:line="408" w:lineRule="auto" w:before="65"/>
        <w:ind w:right="101"/>
        <w:jc w:val="left"/>
      </w:pPr>
      <w:r>
        <w:rPr>
          <w:spacing w:val="-2"/>
        </w:rPr>
        <w:t>应用合作伙伴，将共同不断为客户推出计算、存储、网络、软件融合的一站服务和产品，加强</w:t>
      </w:r>
      <w:r>
        <w:rPr>
          <w:rFonts w:ascii="宋体" w:hAnsi="宋体" w:cs="宋体" w:eastAsia="宋体" w:hint="default"/>
          <w:spacing w:val="-2"/>
        </w:rPr>
        <w:t>IT</w:t>
      </w:r>
      <w:r>
        <w:rPr>
          <w:spacing w:val="-2"/>
        </w:rPr>
        <w:t>国产化合</w:t>
      </w:r>
      <w:r>
        <w:rPr>
          <w:spacing w:val="-41"/>
        </w:rPr>
        <w:t> </w:t>
      </w:r>
      <w:r>
        <w:rPr>
          <w:spacing w:val="-41"/>
        </w:rPr>
      </w:r>
      <w:r>
        <w:rPr>
          <w:spacing w:val="-2"/>
        </w:rPr>
        <w:t>作。此外，公司积极参与工信部下属的中国电子信息产业发展研究院联合多家机构发起的中国大数据产业</w:t>
      </w:r>
      <w:r>
        <w:rPr>
          <w:spacing w:val="-44"/>
        </w:rPr>
        <w:t> </w:t>
      </w:r>
      <w:r>
        <w:rPr>
          <w:spacing w:val="-44"/>
        </w:rPr>
      </w:r>
      <w:r>
        <w:rPr>
          <w:spacing w:val="-2"/>
        </w:rPr>
        <w:t>生态联盟，并于</w:t>
      </w:r>
      <w:r>
        <w:rPr>
          <w:rFonts w:ascii="宋体" w:hAnsi="宋体" w:cs="宋体" w:eastAsia="宋体" w:hint="default"/>
          <w:spacing w:val="-2"/>
        </w:rPr>
        <w:t>2017</w:t>
      </w:r>
      <w:r>
        <w:rPr>
          <w:spacing w:val="-2"/>
        </w:rPr>
        <w:t>年再度入选“中国大数据</w:t>
      </w:r>
      <w:r>
        <w:rPr>
          <w:rFonts w:ascii="宋体" w:hAnsi="宋体" w:cs="宋体" w:eastAsia="宋体" w:hint="default"/>
          <w:spacing w:val="-2"/>
        </w:rPr>
        <w:t>50</w:t>
      </w:r>
      <w:r>
        <w:rPr>
          <w:spacing w:val="-2"/>
        </w:rPr>
        <w:t>强企业”，提升了在大数据领域的行业影响力。同期获得</w:t>
      </w:r>
      <w:r>
        <w:rPr>
          <w:spacing w:val="-36"/>
        </w:rPr>
        <w:t> </w:t>
      </w:r>
      <w:r>
        <w:rPr>
          <w:spacing w:val="-36"/>
        </w:rPr>
      </w:r>
      <w:r>
        <w:rPr>
          <w:spacing w:val="-4"/>
        </w:rPr>
        <w:t>“中国大数据企业</w:t>
      </w:r>
      <w:r>
        <w:rPr>
          <w:rFonts w:ascii="宋体" w:hAnsi="宋体" w:cs="宋体" w:eastAsia="宋体" w:hint="default"/>
          <w:spacing w:val="-4"/>
        </w:rPr>
        <w:t>50</w:t>
      </w:r>
      <w:r>
        <w:rPr>
          <w:spacing w:val="-4"/>
        </w:rPr>
        <w:t>强”的还有腾讯互联网加</w:t>
      </w:r>
      <w:r>
        <w:rPr>
          <w:rFonts w:ascii="宋体" w:hAnsi="宋体" w:cs="宋体" w:eastAsia="宋体" w:hint="default"/>
          <w:spacing w:val="-4"/>
        </w:rPr>
        <w:t>(</w:t>
      </w:r>
      <w:r>
        <w:rPr>
          <w:spacing w:val="-4"/>
        </w:rPr>
        <w:t>深圳</w:t>
      </w:r>
      <w:r>
        <w:rPr>
          <w:rFonts w:ascii="宋体" w:hAnsi="宋体" w:cs="宋体" w:eastAsia="宋体" w:hint="default"/>
          <w:spacing w:val="-4"/>
        </w:rPr>
        <w:t>)</w:t>
      </w:r>
      <w:r>
        <w:rPr>
          <w:spacing w:val="-4"/>
        </w:rPr>
        <w:t>有限公司、华为技术有限公司、联想</w:t>
      </w:r>
      <w:r>
        <w:rPr>
          <w:rFonts w:ascii="宋体" w:hAnsi="宋体" w:cs="宋体" w:eastAsia="宋体" w:hint="default"/>
          <w:spacing w:val="-4"/>
        </w:rPr>
        <w:t>(</w:t>
      </w:r>
      <w:r>
        <w:rPr>
          <w:spacing w:val="-4"/>
        </w:rPr>
        <w:t>北京</w:t>
      </w:r>
      <w:r>
        <w:rPr>
          <w:rFonts w:ascii="宋体" w:hAnsi="宋体" w:cs="宋体" w:eastAsia="宋体" w:hint="default"/>
          <w:spacing w:val="-4"/>
        </w:rPr>
        <w:t>)</w:t>
      </w:r>
      <w:r>
        <w:rPr>
          <w:spacing w:val="-4"/>
        </w:rPr>
        <w:t>有限公司、</w:t>
      </w:r>
      <w:r>
        <w:rPr>
          <w:spacing w:val="-42"/>
        </w:rPr>
        <w:t> </w:t>
      </w:r>
      <w:r>
        <w:rPr>
          <w:spacing w:val="-42"/>
        </w:rPr>
      </w:r>
      <w:r>
        <w:rPr/>
        <w:t>阿里云计算有限公司、百度公司、滴滴出行等。</w:t>
      </w:r>
    </w:p>
    <w:p>
      <w:pPr>
        <w:spacing w:after="0" w:line="408" w:lineRule="auto"/>
        <w:jc w:val="left"/>
        <w:sectPr>
          <w:pgSz w:w="11910" w:h="16840"/>
          <w:pgMar w:header="745" w:footer="979" w:top="1060" w:bottom="1160" w:left="980" w:right="92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二、主营业务分析</w:t>
      </w:r>
      <w:r>
        <w:rPr>
          <w:b w:val="0"/>
          <w:bCs w:val="0"/>
        </w:rPr>
      </w:r>
    </w:p>
    <w:p>
      <w:pPr>
        <w:spacing w:line="240" w:lineRule="auto" w:before="12"/>
        <w:rPr>
          <w:rFonts w:ascii="宋体" w:hAnsi="宋体" w:cs="宋体" w:eastAsia="宋体" w:hint="default"/>
          <w:b/>
          <w:bCs/>
          <w:sz w:val="24"/>
          <w:szCs w:val="24"/>
        </w:rPr>
      </w:pPr>
    </w:p>
    <w:p>
      <w:pPr>
        <w:spacing w:line="544" w:lineRule="auto" w:before="0"/>
        <w:ind w:left="152" w:right="549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w w:val="100"/>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3"/>
        <w:spacing w:line="240" w:lineRule="auto" w:before="28"/>
        <w:ind w:right="0"/>
        <w:jc w:val="left"/>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2"/>
        <w:rPr>
          <w:rFonts w:ascii="宋体" w:hAnsi="宋体" w:cs="宋体" w:eastAsia="宋体" w:hint="default"/>
          <w:b/>
          <w:bCs/>
          <w:sz w:val="26"/>
          <w:szCs w:val="26"/>
        </w:rPr>
      </w:pPr>
    </w:p>
    <w:p>
      <w:pPr>
        <w:spacing w:line="360" w:lineRule="auto" w:before="0"/>
        <w:ind w:left="152" w:right="5994" w:firstLine="0"/>
        <w:jc w:val="left"/>
        <w:rPr>
          <w:rFonts w:ascii="宋体" w:hAnsi="宋体" w:cs="宋体" w:eastAsia="宋体" w:hint="default"/>
          <w:sz w:val="18"/>
          <w:szCs w:val="18"/>
        </w:rPr>
      </w:pPr>
      <w:r>
        <w:rPr>
          <w:rFonts w:ascii="宋体" w:hAnsi="宋体" w:cs="宋体" w:eastAsia="宋体" w:hint="default"/>
          <w:sz w:val="18"/>
          <w:szCs w:val="18"/>
        </w:rPr>
        <w:t>公司是否需要遵守光伏产业链相关业的披露要求 否</w:t>
      </w:r>
    </w:p>
    <w:p>
      <w:pPr>
        <w:spacing w:line="340" w:lineRule="auto" w:before="25"/>
        <w:ind w:left="152" w:right="416"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上市公司从事广播电影电视业务》的披露要求： 否</w:t>
      </w:r>
    </w:p>
    <w:p>
      <w:pPr>
        <w:spacing w:line="338" w:lineRule="auto" w:before="41"/>
        <w:ind w:left="152" w:right="596"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上市公司从事互联网游戏业务》的披露要求： 否</w:t>
      </w:r>
    </w:p>
    <w:p>
      <w:pPr>
        <w:spacing w:line="340" w:lineRule="auto" w:before="43"/>
        <w:ind w:left="152" w:right="158"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产业链相关业务》的披露要求： 否</w:t>
      </w:r>
    </w:p>
    <w:p>
      <w:pPr>
        <w:spacing w:line="340" w:lineRule="auto" w:before="39"/>
        <w:ind w:left="152" w:right="684"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上市公司从事医疗器械业务》的披露要求： 否</w:t>
      </w:r>
    </w:p>
    <w:p>
      <w:pPr>
        <w:spacing w:before="42"/>
        <w:ind w:left="152" w:right="0" w:firstLine="0"/>
        <w:jc w:val="left"/>
        <w:rPr>
          <w:rFonts w:ascii="宋体" w:hAnsi="宋体" w:cs="宋体" w:eastAsia="宋体" w:hint="default"/>
          <w:sz w:val="18"/>
          <w:szCs w:val="18"/>
        </w:rPr>
      </w:pPr>
      <w:r>
        <w:rPr>
          <w:rFonts w:ascii="宋体" w:hAnsi="宋体" w:cs="宋体" w:eastAsia="宋体" w:hint="default"/>
          <w:sz w:val="18"/>
          <w:szCs w:val="18"/>
        </w:rPr>
        <w:t>营业收入整体情况</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00"/>
        <w:gridCol w:w="1594"/>
        <w:gridCol w:w="1590"/>
        <w:gridCol w:w="1600"/>
        <w:gridCol w:w="1586"/>
        <w:gridCol w:w="1598"/>
      </w:tblGrid>
      <w:tr>
        <w:trPr>
          <w:trHeight w:val="206" w:hRule="exact"/>
        </w:trPr>
        <w:tc>
          <w:tcPr>
            <w:tcW w:w="160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8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600" w:type="dxa"/>
            <w:vMerge w:val="restart"/>
            <w:tcBorders>
              <w:top w:val="nil" w:sz="6" w:space="0" w:color="auto"/>
              <w:left w:val="single" w:sz="4" w:space="0" w:color="000000"/>
              <w:right w:val="single" w:sz="4" w:space="0" w:color="000000"/>
            </w:tcBorders>
            <w:shd w:val="clear" w:color="auto" w:fill="D2D2D2"/>
          </w:tcPr>
          <w:p>
            <w:pPr/>
          </w:p>
        </w:tc>
        <w:tc>
          <w:tcPr>
            <w:tcW w:w="3184" w:type="dxa"/>
            <w:gridSpan w:val="2"/>
            <w:vMerge/>
            <w:tcBorders>
              <w:left w:val="single" w:sz="4" w:space="0" w:color="000000"/>
              <w:bottom w:val="single" w:sz="4" w:space="0" w:color="000000"/>
              <w:right w:val="single" w:sz="4" w:space="0" w:color="000000"/>
            </w:tcBorders>
            <w:shd w:val="clear" w:color="auto" w:fill="D2D2D2"/>
          </w:tcPr>
          <w:p>
            <w:pPr/>
          </w:p>
        </w:tc>
        <w:tc>
          <w:tcPr>
            <w:tcW w:w="3186" w:type="dxa"/>
            <w:gridSpan w:val="2"/>
            <w:vMerge/>
            <w:tcBorders>
              <w:left w:val="single" w:sz="4" w:space="0" w:color="000000"/>
              <w:bottom w:val="single" w:sz="4" w:space="0" w:color="000000"/>
              <w:right w:val="single" w:sz="4" w:space="0" w:color="000000"/>
            </w:tcBorders>
            <w:shd w:val="clear" w:color="auto" w:fill="D2D2D2"/>
          </w:tcPr>
          <w:p>
            <w:pPr/>
          </w:p>
        </w:tc>
        <w:tc>
          <w:tcPr>
            <w:tcW w:w="15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3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199" w:hRule="exact"/>
        </w:trPr>
        <w:tc>
          <w:tcPr>
            <w:tcW w:w="1600"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6"/>
              <w:jc w:val="center"/>
              <w:rPr>
                <w:rFonts w:ascii="宋体" w:hAnsi="宋体" w:cs="宋体" w:eastAsia="宋体" w:hint="default"/>
                <w:sz w:val="18"/>
                <w:szCs w:val="18"/>
              </w:rPr>
            </w:pPr>
            <w:r>
              <w:rPr>
                <w:rFonts w:ascii="宋体" w:hAnsi="宋体" w:cs="宋体" w:eastAsia="宋体" w:hint="default"/>
                <w:sz w:val="18"/>
                <w:szCs w:val="18"/>
              </w:rPr>
              <w:t>金额</w:t>
            </w:r>
          </w:p>
        </w:tc>
        <w:tc>
          <w:tcPr>
            <w:tcW w:w="15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4"/>
              <w:jc w:val="center"/>
              <w:rPr>
                <w:rFonts w:ascii="宋体" w:hAnsi="宋体" w:cs="宋体" w:eastAsia="宋体" w:hint="default"/>
                <w:sz w:val="18"/>
                <w:szCs w:val="18"/>
              </w:rPr>
            </w:pPr>
            <w:r>
              <w:rPr>
                <w:rFonts w:ascii="宋体" w:hAnsi="宋体" w:cs="宋体" w:eastAsia="宋体" w:hint="default"/>
                <w:sz w:val="18"/>
                <w:szCs w:val="18"/>
              </w:rPr>
              <w:t>金额</w:t>
            </w:r>
          </w:p>
        </w:tc>
        <w:tc>
          <w:tcPr>
            <w:tcW w:w="15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6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0" w:type="dxa"/>
            <w:vMerge/>
            <w:tcBorders>
              <w:left w:val="single" w:sz="4" w:space="0" w:color="000000"/>
              <w:bottom w:val="single" w:sz="4" w:space="0" w:color="000000"/>
              <w:right w:val="single" w:sz="4" w:space="0" w:color="000000"/>
            </w:tcBorders>
            <w:shd w:val="clear" w:color="auto" w:fill="D2D2D2"/>
          </w:tcPr>
          <w:p>
            <w:pPr/>
          </w:p>
        </w:tc>
        <w:tc>
          <w:tcPr>
            <w:tcW w:w="1600" w:type="dxa"/>
            <w:vMerge/>
            <w:tcBorders>
              <w:left w:val="single" w:sz="4" w:space="0" w:color="000000"/>
              <w:bottom w:val="single" w:sz="4" w:space="0" w:color="000000"/>
              <w:right w:val="single" w:sz="4" w:space="0" w:color="000000"/>
            </w:tcBorders>
            <w:shd w:val="clear" w:color="auto" w:fill="D2D2D2"/>
          </w:tcPr>
          <w:p>
            <w:pPr/>
          </w:p>
        </w:tc>
        <w:tc>
          <w:tcPr>
            <w:tcW w:w="1586" w:type="dxa"/>
            <w:vMerge/>
            <w:tcBorders>
              <w:left w:val="single" w:sz="4" w:space="0" w:color="000000"/>
              <w:bottom w:val="single" w:sz="4" w:space="0" w:color="000000"/>
              <w:right w:val="single" w:sz="4" w:space="0" w:color="000000"/>
            </w:tcBorders>
            <w:shd w:val="clear" w:color="auto" w:fill="D2D2D2"/>
          </w:tcPr>
          <w:p>
            <w:pPr/>
          </w:p>
        </w:tc>
        <w:tc>
          <w:tcPr>
            <w:tcW w:w="159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8" w:hRule="exact"/>
        </w:trPr>
        <w:tc>
          <w:tcPr>
            <w:tcW w:w="1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359,535,979.29</w:t>
            </w:r>
          </w:p>
        </w:tc>
        <w:tc>
          <w:tcPr>
            <w:tcW w:w="1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100%</w:t>
            </w:r>
          </w:p>
        </w:tc>
        <w:tc>
          <w:tcPr>
            <w:tcW w:w="1600"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417,224,083.22</w:t>
            </w:r>
          </w:p>
        </w:tc>
        <w:tc>
          <w:tcPr>
            <w:tcW w:w="1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100%</w:t>
            </w:r>
          </w:p>
        </w:tc>
        <w:tc>
          <w:tcPr>
            <w:tcW w:w="1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-13.83%</w:t>
            </w:r>
          </w:p>
        </w:tc>
      </w:tr>
      <w:tr>
        <w:trPr>
          <w:trHeight w:val="396"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166,255,880.50</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46.24%</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120,726,884.24</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28.94%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37.71%</w:t>
            </w:r>
          </w:p>
        </w:tc>
      </w:tr>
      <w:tr>
        <w:trPr>
          <w:trHeight w:val="401"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75,692,780.09</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21.05%</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119,276,524.01</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28.59%</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-36.54%</w:t>
            </w:r>
          </w:p>
        </w:tc>
      </w:tr>
      <w:tr>
        <w:trPr>
          <w:trHeight w:val="404"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14,920,519.47</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4.15%</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23,449,523.78</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5.62%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-36.37%</w:t>
            </w:r>
          </w:p>
        </w:tc>
      </w:tr>
      <w:tr>
        <w:trPr>
          <w:trHeight w:val="401"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能源交通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21,760,061.00</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6.05%</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31,171,446.12</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7.47%</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-30.19%</w:t>
            </w:r>
          </w:p>
        </w:tc>
      </w:tr>
      <w:tr>
        <w:trPr>
          <w:trHeight w:val="403"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79,105,711.57</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22.00%</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120,879,104.07</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28.97%</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-34.56%</w:t>
            </w:r>
          </w:p>
        </w:tc>
      </w:tr>
      <w:tr>
        <w:trPr>
          <w:trHeight w:val="401"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1,801,026.66</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0.50%</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1,720,601.00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0.41%</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4.67%</w:t>
            </w:r>
          </w:p>
        </w:tc>
      </w:tr>
      <w:tr>
        <w:trPr>
          <w:trHeight w:val="403"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支持与维护服务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146,910,423.70</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40.86%</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146,084,089.10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35.01%</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0.57%</w:t>
            </w:r>
          </w:p>
        </w:tc>
      </w:tr>
      <w:tr>
        <w:trPr>
          <w:trHeight w:val="403"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外包服务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97,004,902.93</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26.98%</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71,350,346.65</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17.10%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35.96%</w:t>
            </w:r>
          </w:p>
        </w:tc>
      </w:tr>
      <w:tr>
        <w:trPr>
          <w:trHeight w:val="401"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专业服务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22,454,317.26</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6.25%</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36,426,755.89</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8.73%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-38.36%</w:t>
            </w:r>
          </w:p>
        </w:tc>
      </w:tr>
      <w:tr>
        <w:trPr>
          <w:trHeight w:val="404"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软件服务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19,364,913.63</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5.39%</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53,568,282.68</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12.84%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-63.85%</w:t>
            </w:r>
          </w:p>
        </w:tc>
      </w:tr>
      <w:tr>
        <w:trPr>
          <w:trHeight w:val="401"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软、硬件销售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27,227,690.46</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7.57%</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56,504,076.98</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13.54%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-51.81%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自有产品销售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44,772,704.65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12.45%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51,569,930.92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-13.18%</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1,801,026.66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0.50%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1,720,601.00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4.67%</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263,556,063.76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73.30%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321,119,848.32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76.97%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-17.93%</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22,121,690.02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21,815,121.21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1.41%</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33,997,513.01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9.46%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29,463,972.75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15.39%</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9,202,074.03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6,121,681.21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50.32%</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19,514,301.06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5.43%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25,677,878.38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-24.00%</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9,343,310.75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11,304,980.35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-17.35%</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1,801,026.66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0.50%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1,720,601.00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4.67%</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）占公司营业收入或营业利润</w:t>
      </w:r>
      <w:r>
        <w:rPr>
          <w:spacing w:val="-53"/>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79" w:top="1060" w:bottom="1160" w:left="980" w:right="980"/>
        </w:sectPr>
      </w:pPr>
    </w:p>
    <w:p>
      <w:pPr>
        <w:spacing w:line="348" w:lineRule="auto" w:before="44"/>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公司是否需要遵守特殊行业的披露要求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8"/>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3213" w:space="5707"/>
            <w:col w:w="1030"/>
          </w:cols>
        </w:sectPr>
      </w:pP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19" w:right="47"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19" w:right="50"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10"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166,255,880.50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105,686,553.80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36.43%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37.71%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40.25%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-3.06%</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金融</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75,692,780.09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60,641,818.67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19.88%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-36.54%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-28.19%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-31.92%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79,105,711.57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42,855,320.56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45.83%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-34.56%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-38.09%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7.23%</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38"/>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支持与维护服</w:t>
            </w:r>
            <w:r>
              <w:rPr>
                <w:rFonts w:ascii="宋体" w:hAnsi="宋体" w:cs="宋体" w:eastAsia="宋体" w:hint="default"/>
                <w:w w:val="99"/>
                <w:sz w:val="18"/>
                <w:szCs w:val="18"/>
              </w:rPr>
              <w:t> </w:t>
            </w:r>
            <w:r>
              <w:rPr>
                <w:rFonts w:ascii="宋体" w:hAnsi="宋体" w:cs="宋体" w:eastAsia="宋体" w:hint="default"/>
                <w:sz w:val="18"/>
                <w:szCs w:val="18"/>
              </w:rPr>
              <w:t>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146,910,423.70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84,590,796.81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42.42%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0.57%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8.07%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-8.62%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外包服务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97,004,902.93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58,218,929.72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39.98%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35.96%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35.91%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自有产品销售</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44,772,704.65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33,513,595.65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25.15%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-13.18%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-7.15%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-16.19%</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263,556,063.80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178,495,981.60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32.27%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-17.93%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-9.48%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-16.40%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年按报告期末口径调整后的主营业务数据</w:t>
      </w:r>
    </w:p>
    <w:p>
      <w:pPr>
        <w:spacing w:before="101"/>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01"/>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4"/>
        <w:rPr>
          <w:rFonts w:ascii="宋体" w:hAnsi="宋体" w:cs="宋体" w:eastAsia="宋体" w:hint="default"/>
          <w:b/>
          <w:bCs/>
          <w:sz w:val="26"/>
          <w:szCs w:val="26"/>
        </w:rPr>
      </w:pPr>
    </w:p>
    <w:p>
      <w:pPr>
        <w:spacing w:before="0"/>
        <w:ind w:left="152" w:right="10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3"/>
        <w:spacing w:line="240" w:lineRule="auto"/>
        <w:ind w:right="101"/>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79" w:top="1060" w:bottom="1160" w:left="980" w:right="920"/>
        </w:sectPr>
      </w:pPr>
    </w:p>
    <w:p>
      <w:pPr>
        <w:spacing w:line="360" w:lineRule="auto"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产品分类 产品分类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920"/>
          <w:cols w:num="2" w:equalWidth="0">
            <w:col w:w="873" w:space="8047"/>
            <w:col w:w="109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软硬件销售成本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软硬件采购成本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22,765,666.74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8"/>
              <w:jc w:val="right"/>
              <w:rPr>
                <w:rFonts w:ascii="Times New Roman" w:hAnsi="Times New Roman" w:cs="Times New Roman" w:eastAsia="Times New Roman" w:hint="default"/>
                <w:sz w:val="20"/>
                <w:szCs w:val="20"/>
              </w:rPr>
            </w:pPr>
            <w:r>
              <w:rPr>
                <w:rFonts w:ascii="Times New Roman"/>
                <w:sz w:val="20"/>
              </w:rPr>
              <w:t>9.71%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44,617,013.02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17.14%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-48.98%</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服务成本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服务成本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211,718,167.93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8"/>
              <w:jc w:val="right"/>
              <w:rPr>
                <w:rFonts w:ascii="Times New Roman" w:hAnsi="Times New Roman" w:cs="Times New Roman" w:eastAsia="Times New Roman" w:hint="default"/>
                <w:sz w:val="20"/>
                <w:szCs w:val="20"/>
              </w:rPr>
            </w:pPr>
            <w:r>
              <w:rPr>
                <w:rFonts w:ascii="Times New Roman"/>
                <w:sz w:val="20"/>
              </w:rPr>
              <w:t>89.70%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214,851,871.82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82.52%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-2.11%</w:t>
            </w:r>
          </w:p>
        </w:tc>
      </w:tr>
    </w:tbl>
    <w:p>
      <w:pPr>
        <w:spacing w:line="360" w:lineRule="auto" w:before="49"/>
        <w:ind w:left="152" w:right="4794" w:firstLine="0"/>
        <w:jc w:val="left"/>
        <w:rPr>
          <w:rFonts w:ascii="宋体" w:hAnsi="宋体" w:cs="宋体" w:eastAsia="宋体" w:hint="default"/>
          <w:sz w:val="18"/>
          <w:szCs w:val="18"/>
        </w:rPr>
      </w:pPr>
      <w:r>
        <w:rPr>
          <w:rFonts w:ascii="宋体" w:hAnsi="宋体" w:cs="宋体" w:eastAsia="宋体" w:hint="default"/>
          <w:sz w:val="18"/>
          <w:szCs w:val="18"/>
        </w:rPr>
        <w:t>说明 公司业务结构调整，软硬件销售收入下降，其对应的成本减少。</w:t>
      </w:r>
    </w:p>
    <w:p>
      <w:pPr>
        <w:spacing w:line="240" w:lineRule="auto" w:before="4"/>
        <w:rPr>
          <w:rFonts w:ascii="宋体" w:hAnsi="宋体" w:cs="宋体" w:eastAsia="宋体" w:hint="default"/>
          <w:sz w:val="20"/>
          <w:szCs w:val="20"/>
        </w:rPr>
      </w:pPr>
    </w:p>
    <w:p>
      <w:pPr>
        <w:pStyle w:val="Heading3"/>
        <w:spacing w:line="240" w:lineRule="auto"/>
        <w:ind w:right="101"/>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2"/>
        <w:rPr>
          <w:rFonts w:ascii="宋体" w:hAnsi="宋体" w:cs="宋体" w:eastAsia="宋体" w:hint="default"/>
          <w:b/>
          <w:bCs/>
          <w:sz w:val="26"/>
          <w:szCs w:val="26"/>
        </w:rPr>
      </w:pPr>
    </w:p>
    <w:p>
      <w:pPr>
        <w:pStyle w:val="BodyText"/>
        <w:spacing w:line="388" w:lineRule="auto"/>
        <w:ind w:right="101"/>
        <w:jc w:val="left"/>
      </w:pPr>
      <w:r>
        <w:rPr>
          <w:rFonts w:ascii="Times New Roman" w:hAnsi="Times New Roman" w:cs="Times New Roman" w:eastAsia="Times New Roman" w:hint="default"/>
          <w:sz w:val="18"/>
          <w:szCs w:val="18"/>
        </w:rPr>
        <w:t>√ </w:t>
      </w:r>
      <w:r>
        <w:rPr>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sz w:val="18"/>
          <w:szCs w:val="18"/>
        </w:rPr>
        <w:t>否 </w:t>
      </w:r>
      <w:r>
        <w:rPr>
          <w:rFonts w:ascii="Times New Roman" w:hAnsi="Times New Roman" w:cs="Times New Roman" w:eastAsia="Times New Roman" w:hint="default"/>
        </w:rPr>
        <w:t>1</w:t>
      </w:r>
      <w:r>
        <w:rPr/>
        <w:t>、公司</w:t>
      </w:r>
      <w:r>
        <w:rPr>
          <w:rFonts w:ascii="Times New Roman" w:hAnsi="Times New Roman" w:cs="Times New Roman" w:eastAsia="Times New Roman" w:hint="default"/>
        </w:rPr>
        <w:t>2017</w:t>
      </w:r>
      <w:r>
        <w:rPr/>
        <w:t>年第二次总经理会议决议同意对子公司上海缔塔科技有限公司减资及出售</w:t>
      </w:r>
      <w:r>
        <w:rPr>
          <w:rFonts w:ascii="Times New Roman" w:hAnsi="Times New Roman" w:cs="Times New Roman" w:eastAsia="Times New Roman" w:hint="default"/>
        </w:rPr>
        <w:t>60%</w:t>
      </w:r>
      <w:r>
        <w:rPr/>
        <w:t>股权。</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rFonts w:ascii="Times New Roman" w:hAnsi="Times New Roman" w:cs="Times New Roman" w:eastAsia="Times New Roman" w:hint="default"/>
          <w:w w:val="100"/>
        </w:rPr>
        <w:t> </w:t>
      </w:r>
      <w:r>
        <w:rPr/>
        <w:t>月公司与缔塔科技持股</w:t>
      </w:r>
      <w:r>
        <w:rPr>
          <w:rFonts w:ascii="Times New Roman" w:hAnsi="Times New Roman" w:cs="Times New Roman" w:eastAsia="Times New Roman" w:hint="default"/>
        </w:rPr>
        <w:t>40%</w:t>
      </w:r>
      <w:r>
        <w:rPr/>
        <w:t>的股东上海嗣承投资管理中心（有限合伙）签署《关于上海缔塔科技有限公司</w:t>
      </w:r>
      <w:r>
        <w:rPr>
          <w:w w:val="100"/>
        </w:rPr>
        <w:t> </w:t>
      </w:r>
      <w:r>
        <w:rPr/>
        <w:t>减资及出售部分股权之意向协议书》，公司以</w:t>
      </w:r>
      <w:r>
        <w:rPr>
          <w:rFonts w:ascii="Times New Roman" w:hAnsi="Times New Roman" w:cs="Times New Roman" w:eastAsia="Times New Roman" w:hint="default"/>
        </w:rPr>
        <w:t>1</w:t>
      </w:r>
      <w:r>
        <w:rPr/>
        <w:t>元人民币出售缔塔科技</w:t>
      </w:r>
      <w:r>
        <w:rPr>
          <w:rFonts w:ascii="Times New Roman" w:hAnsi="Times New Roman" w:cs="Times New Roman" w:eastAsia="Times New Roman" w:hint="default"/>
        </w:rPr>
        <w:t>60%</w:t>
      </w:r>
      <w:r>
        <w:rPr/>
        <w:t>的股权，并已于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31</w:t>
      </w:r>
      <w:r>
        <w:rPr/>
        <w:t>日</w:t>
      </w:r>
      <w:r>
        <w:rPr>
          <w:w w:val="100"/>
        </w:rPr>
        <w:t> </w:t>
      </w:r>
      <w:r>
        <w:rPr/>
        <w:t>股权交割完成。故本次交割完成后缔塔科技不再为公司的子公司，公司不持有缔塔科技任何股份。</w:t>
      </w:r>
      <w:r>
        <w:rPr>
          <w:w w:val="100"/>
        </w:rPr>
        <w:t> </w:t>
      </w:r>
      <w:r>
        <w:rPr>
          <w:rFonts w:ascii="Times New Roman" w:hAnsi="Times New Roman" w:cs="Times New Roman" w:eastAsia="Times New Roman" w:hint="default"/>
        </w:rPr>
        <w:t>2</w:t>
      </w:r>
      <w:r>
        <w:rPr/>
        <w:t>、上海天玑科技股份有限公司</w:t>
      </w:r>
      <w:r>
        <w:rPr>
          <w:rFonts w:ascii="Times New Roman" w:hAnsi="Times New Roman" w:cs="Times New Roman" w:eastAsia="Times New Roman" w:hint="default"/>
        </w:rPr>
        <w:t>2017</w:t>
      </w:r>
      <w:r>
        <w:rPr/>
        <w:t>年第三次总经理会议同意，公司与董涛共同投资设立西安天玑力拓信</w:t>
      </w:r>
      <w:r>
        <w:rPr>
          <w:w w:val="100"/>
        </w:rPr>
        <w:t> </w:t>
      </w:r>
      <w:r>
        <w:rPr>
          <w:spacing w:val="-2"/>
        </w:rPr>
        <w:t>息技术有限公司，合资公司注册资本</w:t>
      </w:r>
      <w:r>
        <w:rPr>
          <w:rFonts w:ascii="Times New Roman" w:hAnsi="Times New Roman" w:cs="Times New Roman" w:eastAsia="Times New Roman" w:hint="default"/>
          <w:spacing w:val="-2"/>
        </w:rPr>
        <w:t>100</w:t>
      </w:r>
      <w:r>
        <w:rPr>
          <w:spacing w:val="-2"/>
        </w:rPr>
        <w:t>万元，天玑科技以自有资金出资</w:t>
      </w:r>
      <w:r>
        <w:rPr>
          <w:rFonts w:ascii="Times New Roman" w:hAnsi="Times New Roman" w:cs="Times New Roman" w:eastAsia="Times New Roman" w:hint="default"/>
          <w:spacing w:val="-2"/>
        </w:rPr>
        <w:t>60</w:t>
      </w:r>
      <w:r>
        <w:rPr>
          <w:spacing w:val="-2"/>
        </w:rPr>
        <w:t>万元，占公司出资比例的</w:t>
      </w:r>
      <w:r>
        <w:rPr>
          <w:rFonts w:ascii="Times New Roman" w:hAnsi="Times New Roman" w:cs="Times New Roman" w:eastAsia="Times New Roman" w:hint="default"/>
          <w:spacing w:val="-2"/>
        </w:rPr>
        <w:t>60%</w:t>
      </w:r>
      <w:r>
        <w:rPr>
          <w:spacing w:val="-2"/>
        </w:rPr>
        <w:t>。</w:t>
      </w:r>
      <w:r>
        <w:rPr>
          <w:spacing w:val="-13"/>
        </w:rPr>
        <w:t> </w:t>
      </w:r>
      <w:r>
        <w:rPr/>
        <w:t>并于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12</w:t>
      </w:r>
      <w:r>
        <w:rPr/>
        <w:t>日完成工商注册，为天玑科技控股子公司。</w:t>
      </w:r>
      <w:r>
        <w:rPr>
          <w:w w:val="100"/>
        </w:rPr>
        <w:t> </w:t>
      </w:r>
      <w:r>
        <w:rPr>
          <w:rFonts w:ascii="Times New Roman" w:hAnsi="Times New Roman" w:cs="Times New Roman" w:eastAsia="Times New Roman" w:hint="default"/>
        </w:rPr>
        <w:t>3</w:t>
      </w:r>
      <w:r>
        <w:rPr/>
        <w:t>、公司第三届董事会第二十四次临时会议审议通过《关于注销控股子公司上海卓之联信息科技有限公司</w:t>
      </w:r>
      <w:r>
        <w:rPr>
          <w:w w:val="100"/>
        </w:rPr>
        <w:t> </w:t>
      </w:r>
      <w:r>
        <w:rPr/>
        <w:t>的议案》，决定注销上海卓之联信息科技有限公司。</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5"/>
          <w:szCs w:val="25"/>
        </w:rPr>
      </w:pPr>
    </w:p>
    <w:p>
      <w:pPr>
        <w:pStyle w:val="Heading3"/>
        <w:spacing w:line="240" w:lineRule="auto"/>
        <w:ind w:right="101"/>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2"/>
        <w:rPr>
          <w:rFonts w:ascii="宋体" w:hAnsi="宋体" w:cs="宋体" w:eastAsia="宋体" w:hint="default"/>
          <w:b/>
          <w:bCs/>
          <w:sz w:val="26"/>
          <w:szCs w:val="26"/>
        </w:rPr>
      </w:pPr>
    </w:p>
    <w:p>
      <w:pPr>
        <w:spacing w:before="0"/>
        <w:ind w:left="152" w:right="10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3"/>
        <w:spacing w:line="240" w:lineRule="auto"/>
        <w:ind w:right="101"/>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5"/>
        <w:rPr>
          <w:rFonts w:ascii="宋体" w:hAnsi="宋体" w:cs="宋体" w:eastAsia="宋体" w:hint="default"/>
          <w:b/>
          <w:bCs/>
          <w:sz w:val="26"/>
          <w:szCs w:val="26"/>
        </w:rPr>
      </w:pPr>
    </w:p>
    <w:p>
      <w:pPr>
        <w:spacing w:before="0"/>
        <w:ind w:left="152" w:right="101" w:firstLine="0"/>
        <w:jc w:val="left"/>
        <w:rPr>
          <w:rFonts w:ascii="宋体" w:hAnsi="宋体" w:cs="宋体" w:eastAsia="宋体" w:hint="default"/>
          <w:sz w:val="18"/>
          <w:szCs w:val="18"/>
        </w:rPr>
      </w:pPr>
      <w:r>
        <w:rPr>
          <w:rFonts w:ascii="宋体" w:hAnsi="宋体" w:cs="宋体" w:eastAsia="宋体" w:hint="default"/>
          <w:sz w:val="18"/>
          <w:szCs w:val="18"/>
        </w:rPr>
        <w:t>公司主要销售客户情况</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115,723,553.98</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2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32.19%</w:t>
            </w:r>
          </w:p>
        </w:tc>
      </w:tr>
      <w:tr>
        <w:trPr>
          <w:trHeight w:val="714"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2" w:right="84"/>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大客户资料</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779"/>
        <w:gridCol w:w="3314"/>
        <w:gridCol w:w="2321"/>
        <w:gridCol w:w="3145"/>
      </w:tblGrid>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1</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中国移动通信集团浙江有限公司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56,589,858.01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15.74%</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2" w:right="0"/>
              <w:jc w:val="left"/>
              <w:rPr>
                <w:rFonts w:ascii="Times New Roman" w:hAnsi="Times New Roman" w:cs="Times New Roman" w:eastAsia="Times New Roman" w:hint="default"/>
                <w:sz w:val="18"/>
                <w:szCs w:val="18"/>
              </w:rPr>
            </w:pPr>
            <w:r>
              <w:rPr>
                <w:rFonts w:ascii="Times New Roman"/>
                <w:sz w:val="18"/>
              </w:rPr>
              <w:t>2</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上海浦东发展银行股份有限公司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17,857,586.89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4.97%</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3</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中国移动通信集团安徽有限公司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16,326,500.58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4.54%</w:t>
            </w:r>
          </w:p>
        </w:tc>
      </w:tr>
      <w:tr>
        <w:trPr>
          <w:trHeight w:val="404"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2" w:right="0"/>
              <w:jc w:val="left"/>
              <w:rPr>
                <w:rFonts w:ascii="Times New Roman" w:hAnsi="Times New Roman" w:cs="Times New Roman" w:eastAsia="Times New Roman" w:hint="default"/>
                <w:sz w:val="18"/>
                <w:szCs w:val="18"/>
              </w:rPr>
            </w:pPr>
            <w:r>
              <w:rPr>
                <w:rFonts w:ascii="Times New Roman"/>
                <w:sz w:val="18"/>
              </w:rPr>
              <w:t>4</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中国银联股份有限公司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13,019,784.48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3.62%</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5</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中国电信股份有限公司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11,929,824.02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3.32%</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0"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115,723,553.98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32.19%</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主要客户其他情况说明</w:t>
      </w:r>
    </w:p>
    <w:p>
      <w:pPr>
        <w:spacing w:line="340" w:lineRule="auto" w:before="115"/>
        <w:ind w:left="152" w:right="81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公司主要供应商情况</w:t>
      </w:r>
    </w:p>
    <w:p>
      <w:pPr>
        <w:spacing w:line="240" w:lineRule="auto" w:before="7"/>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48,283,098.09</w:t>
            </w:r>
          </w:p>
        </w:tc>
      </w:tr>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37.68%</w:t>
            </w:r>
          </w:p>
        </w:tc>
      </w:tr>
      <w:tr>
        <w:trPr>
          <w:trHeight w:val="71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84"/>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18.66%</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1"/>
        <w:gridCol w:w="2321"/>
        <w:gridCol w:w="3145"/>
      </w:tblGrid>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1</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上海复深蓝信息技术有限公司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17,530,930.03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13.68%</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2</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上海超伺服信息科技有限公司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12,875,194.43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10.05%</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3</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上海艺赛旗软件股份有限公司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7,768,853.59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6.06%</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4</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上海缔塔科技有限公司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6,386,012.19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4.98%</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5</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上海翰声信息技术有限公司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3,722,107.85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2.90%</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48,283,098.09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37.68%</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主要供应商其他情况说明</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93"/>
        <w:gridCol w:w="1648"/>
        <w:gridCol w:w="1637"/>
        <w:gridCol w:w="1462"/>
        <w:gridCol w:w="2919"/>
      </w:tblGrid>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5"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1"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4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571" w:right="0"/>
              <w:jc w:val="left"/>
              <w:rPr>
                <w:rFonts w:ascii="Times New Roman" w:hAnsi="Times New Roman" w:cs="Times New Roman" w:eastAsia="Times New Roman" w:hint="default"/>
                <w:sz w:val="18"/>
                <w:szCs w:val="18"/>
              </w:rPr>
            </w:pPr>
            <w:r>
              <w:rPr>
                <w:rFonts w:ascii="Times New Roman"/>
                <w:sz w:val="18"/>
              </w:rPr>
              <w:t>20,781,131.63</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26,991,473.49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-23.01%</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4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571" w:right="0"/>
              <w:jc w:val="left"/>
              <w:rPr>
                <w:rFonts w:ascii="Times New Roman" w:hAnsi="Times New Roman" w:cs="Times New Roman" w:eastAsia="Times New Roman" w:hint="default"/>
                <w:sz w:val="18"/>
                <w:szCs w:val="18"/>
              </w:rPr>
            </w:pPr>
            <w:r>
              <w:rPr>
                <w:rFonts w:ascii="Times New Roman"/>
                <w:sz w:val="18"/>
              </w:rPr>
              <w:t>77,499,687.10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84,256,459.95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-8.02%</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4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599" w:right="0"/>
              <w:jc w:val="left"/>
              <w:rPr>
                <w:rFonts w:ascii="Times New Roman" w:hAnsi="Times New Roman" w:cs="Times New Roman" w:eastAsia="Times New Roman" w:hint="default"/>
                <w:sz w:val="18"/>
                <w:szCs w:val="18"/>
              </w:rPr>
            </w:pPr>
            <w:r>
              <w:rPr>
                <w:rFonts w:ascii="Times New Roman"/>
                <w:sz w:val="18"/>
              </w:rPr>
              <w:t>-3,613,476.48</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-6,563,128.14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-44.94%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主要系货币资金加权平均数减少所</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4"/>
        <w:gridCol w:w="1637"/>
        <w:gridCol w:w="1637"/>
        <w:gridCol w:w="1462"/>
        <w:gridCol w:w="2919"/>
      </w:tblGrid>
      <w:tr>
        <w:trPr>
          <w:trHeight w:val="36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致</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33" w:type="dxa"/>
        <w:tblLayout w:type="fixed"/>
        <w:tblCellMar>
          <w:top w:w="0" w:type="dxa"/>
          <w:left w:w="0" w:type="dxa"/>
          <w:bottom w:w="0" w:type="dxa"/>
          <w:right w:w="0" w:type="dxa"/>
        </w:tblCellMar>
        <w:tblLook w:val="01E0"/>
      </w:tblPr>
      <w:tblGrid>
        <w:gridCol w:w="723"/>
        <w:gridCol w:w="4676"/>
        <w:gridCol w:w="1596"/>
        <w:gridCol w:w="2381"/>
      </w:tblGrid>
      <w:tr>
        <w:trPr>
          <w:trHeight w:val="634" w:hRule="exact"/>
        </w:trPr>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序号</w:t>
            </w:r>
            <w:r>
              <w:rPr>
                <w:rFonts w:ascii="宋体" w:hAnsi="宋体" w:cs="宋体" w:eastAsia="宋体" w:hint="default"/>
                <w:sz w:val="20"/>
                <w:szCs w:val="20"/>
              </w:rPr>
              <w:t> </w:t>
            </w:r>
          </w:p>
        </w:tc>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105" w:right="0"/>
              <w:jc w:val="left"/>
              <w:rPr>
                <w:rFonts w:ascii="宋体" w:hAnsi="宋体" w:cs="宋体" w:eastAsia="宋体" w:hint="default"/>
                <w:sz w:val="20"/>
                <w:szCs w:val="20"/>
              </w:rPr>
            </w:pPr>
            <w:r>
              <w:rPr>
                <w:rFonts w:ascii="宋体" w:hAnsi="宋体" w:cs="宋体" w:eastAsia="宋体" w:hint="default"/>
                <w:sz w:val="20"/>
                <w:szCs w:val="20"/>
              </w:rPr>
              <w:t>研发项目</w:t>
            </w:r>
            <w:r>
              <w:rPr>
                <w:rFonts w:ascii="宋体" w:hAnsi="宋体" w:cs="宋体" w:eastAsia="宋体" w:hint="default"/>
                <w:sz w:val="20"/>
                <w:szCs w:val="20"/>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83"/>
              <w:jc w:val="left"/>
              <w:rPr>
                <w:rFonts w:ascii="宋体" w:hAnsi="宋体" w:cs="宋体" w:eastAsia="宋体" w:hint="default"/>
                <w:sz w:val="20"/>
                <w:szCs w:val="20"/>
              </w:rPr>
            </w:pPr>
            <w:r>
              <w:rPr>
                <w:rFonts w:ascii="宋体" w:hAnsi="宋体" w:cs="宋体" w:eastAsia="宋体" w:hint="default"/>
                <w:sz w:val="20"/>
                <w:szCs w:val="20"/>
              </w:rPr>
              <w:t>研究成果分配</w:t>
            </w:r>
            <w:r>
              <w:rPr>
                <w:rFonts w:ascii="宋体" w:hAnsi="宋体" w:cs="宋体" w:eastAsia="宋体" w:hint="default"/>
                <w:w w:val="99"/>
                <w:sz w:val="20"/>
                <w:szCs w:val="20"/>
              </w:rPr>
              <w:t> </w:t>
            </w:r>
            <w:r>
              <w:rPr>
                <w:rFonts w:ascii="宋体" w:hAnsi="宋体" w:cs="宋体" w:eastAsia="宋体" w:hint="default"/>
                <w:sz w:val="20"/>
                <w:szCs w:val="20"/>
              </w:rPr>
              <w:t>方案</w:t>
            </w:r>
            <w:r>
              <w:rPr>
                <w:rFonts w:ascii="宋体" w:hAnsi="宋体" w:cs="宋体" w:eastAsia="宋体" w:hint="default"/>
                <w:sz w:val="20"/>
                <w:szCs w:val="20"/>
              </w:rPr>
              <w:t> </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5" w:right="267"/>
              <w:jc w:val="left"/>
              <w:rPr>
                <w:rFonts w:ascii="宋体" w:hAnsi="宋体" w:cs="宋体" w:eastAsia="宋体" w:hint="default"/>
                <w:sz w:val="20"/>
                <w:szCs w:val="20"/>
              </w:rPr>
            </w:pPr>
            <w:r>
              <w:rPr>
                <w:rFonts w:ascii="宋体" w:hAnsi="宋体" w:cs="宋体" w:eastAsia="宋体" w:hint="default"/>
                <w:sz w:val="20"/>
                <w:szCs w:val="20"/>
              </w:rPr>
              <w:t>报告期内达到的目标或</w:t>
            </w:r>
            <w:r>
              <w:rPr>
                <w:rFonts w:ascii="宋体" w:hAnsi="宋体" w:cs="宋体" w:eastAsia="宋体" w:hint="default"/>
                <w:w w:val="99"/>
                <w:sz w:val="20"/>
                <w:szCs w:val="20"/>
              </w:rPr>
              <w:t> </w:t>
            </w:r>
            <w:r>
              <w:rPr>
                <w:rFonts w:ascii="宋体" w:hAnsi="宋体" w:cs="宋体" w:eastAsia="宋体" w:hint="default"/>
                <w:sz w:val="20"/>
                <w:szCs w:val="20"/>
              </w:rPr>
              <w:t>状态</w:t>
            </w:r>
            <w:r>
              <w:rPr>
                <w:rFonts w:ascii="宋体" w:hAnsi="宋体" w:cs="宋体" w:eastAsia="宋体" w:hint="default"/>
                <w:sz w:val="20"/>
                <w:szCs w:val="20"/>
              </w:rPr>
              <w:t> </w:t>
            </w:r>
          </w:p>
        </w:tc>
      </w:tr>
      <w:tr>
        <w:trPr>
          <w:trHeight w:val="324" w:hRule="exact"/>
        </w:trPr>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right"/>
              <w:rPr>
                <w:rFonts w:ascii="宋体" w:hAnsi="宋体" w:cs="宋体" w:eastAsia="宋体" w:hint="default"/>
                <w:sz w:val="20"/>
                <w:szCs w:val="20"/>
              </w:rPr>
            </w:pPr>
            <w:r>
              <w:rPr>
                <w:rFonts w:ascii="宋体"/>
                <w:sz w:val="20"/>
              </w:rPr>
              <w:t>1 </w:t>
            </w:r>
          </w:p>
        </w:tc>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5" w:right="0"/>
              <w:jc w:val="left"/>
              <w:rPr>
                <w:rFonts w:ascii="宋体" w:hAnsi="宋体" w:cs="宋体" w:eastAsia="宋体" w:hint="default"/>
                <w:sz w:val="20"/>
                <w:szCs w:val="20"/>
              </w:rPr>
            </w:pPr>
            <w:r>
              <w:rPr>
                <w:rFonts w:ascii="宋体" w:hAnsi="宋体" w:cs="宋体" w:eastAsia="宋体" w:hint="default"/>
                <w:sz w:val="20"/>
                <w:szCs w:val="20"/>
              </w:rPr>
              <w:t>互联网数据驱动的第三方</w:t>
            </w:r>
            <w:r>
              <w:rPr>
                <w:rFonts w:ascii="宋体" w:hAnsi="宋体" w:cs="宋体" w:eastAsia="宋体" w:hint="default"/>
                <w:spacing w:val="-51"/>
                <w:sz w:val="20"/>
                <w:szCs w:val="20"/>
              </w:rPr>
              <w:t> </w:t>
            </w:r>
            <w:r>
              <w:rPr>
                <w:rFonts w:ascii="宋体" w:hAnsi="宋体" w:cs="宋体" w:eastAsia="宋体" w:hint="default"/>
                <w:sz w:val="20"/>
                <w:szCs w:val="20"/>
              </w:rPr>
              <w:t>IT</w:t>
            </w:r>
            <w:r>
              <w:rPr>
                <w:rFonts w:ascii="宋体" w:hAnsi="宋体" w:cs="宋体" w:eastAsia="宋体" w:hint="default"/>
                <w:spacing w:val="-51"/>
                <w:sz w:val="20"/>
                <w:szCs w:val="20"/>
              </w:rPr>
              <w:t> </w:t>
            </w:r>
            <w:r>
              <w:rPr>
                <w:rFonts w:ascii="宋体" w:hAnsi="宋体" w:cs="宋体" w:eastAsia="宋体" w:hint="default"/>
                <w:sz w:val="20"/>
                <w:szCs w:val="20"/>
              </w:rPr>
              <w:t>服务供应链管理平台</w:t>
            </w:r>
            <w:r>
              <w:rPr>
                <w:rFonts w:ascii="宋体" w:hAnsi="宋体" w:cs="宋体" w:eastAsia="宋体" w:hint="default"/>
                <w:sz w:val="20"/>
                <w:szCs w:val="20"/>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自主研发</w:t>
            </w:r>
            <w:r>
              <w:rPr>
                <w:rFonts w:ascii="宋体" w:hAnsi="宋体" w:cs="宋体" w:eastAsia="宋体" w:hint="default"/>
                <w:sz w:val="20"/>
                <w:szCs w:val="20"/>
              </w:rPr>
              <w:t> </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5" w:right="0"/>
              <w:jc w:val="left"/>
              <w:rPr>
                <w:rFonts w:ascii="宋体" w:hAnsi="宋体" w:cs="宋体" w:eastAsia="宋体" w:hint="default"/>
                <w:sz w:val="20"/>
                <w:szCs w:val="20"/>
              </w:rPr>
            </w:pPr>
            <w:r>
              <w:rPr>
                <w:rFonts w:ascii="宋体" w:hAnsi="宋体" w:cs="宋体" w:eastAsia="宋体" w:hint="default"/>
                <w:sz w:val="20"/>
                <w:szCs w:val="20"/>
              </w:rPr>
              <w:t>目前按计划已经完成</w:t>
            </w:r>
            <w:r>
              <w:rPr>
                <w:rFonts w:ascii="宋体" w:hAnsi="宋体" w:cs="宋体" w:eastAsia="宋体" w:hint="default"/>
                <w:sz w:val="20"/>
                <w:szCs w:val="20"/>
              </w:rPr>
              <w:t> </w:t>
            </w:r>
          </w:p>
        </w:tc>
      </w:tr>
      <w:tr>
        <w:trPr>
          <w:trHeight w:val="322" w:hRule="exact"/>
        </w:trPr>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
              <w:jc w:val="right"/>
              <w:rPr>
                <w:rFonts w:ascii="宋体" w:hAnsi="宋体" w:cs="宋体" w:eastAsia="宋体" w:hint="default"/>
                <w:sz w:val="20"/>
                <w:szCs w:val="20"/>
              </w:rPr>
            </w:pPr>
            <w:r>
              <w:rPr>
                <w:rFonts w:ascii="宋体"/>
                <w:sz w:val="20"/>
              </w:rPr>
              <w:t>2 </w:t>
            </w:r>
          </w:p>
        </w:tc>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5" w:right="0"/>
              <w:jc w:val="left"/>
              <w:rPr>
                <w:rFonts w:ascii="宋体" w:hAnsi="宋体" w:cs="宋体" w:eastAsia="宋体" w:hint="default"/>
                <w:sz w:val="20"/>
                <w:szCs w:val="20"/>
              </w:rPr>
            </w:pPr>
            <w:r>
              <w:rPr>
                <w:rFonts w:ascii="宋体" w:hAnsi="宋体" w:cs="宋体" w:eastAsia="宋体" w:hint="default"/>
                <w:sz w:val="20"/>
                <w:szCs w:val="20"/>
              </w:rPr>
              <w:t>天玑科技数据化运营管理平台软件</w:t>
            </w:r>
            <w:r>
              <w:rPr>
                <w:rFonts w:ascii="宋体" w:hAnsi="宋体" w:cs="宋体" w:eastAsia="宋体" w:hint="default"/>
                <w:spacing w:val="-51"/>
                <w:sz w:val="20"/>
                <w:szCs w:val="20"/>
              </w:rPr>
              <w:t> </w:t>
            </w:r>
            <w:r>
              <w:rPr>
                <w:rFonts w:ascii="宋体" w:hAnsi="宋体" w:cs="宋体" w:eastAsia="宋体" w:hint="default"/>
                <w:sz w:val="20"/>
                <w:szCs w:val="20"/>
              </w:rPr>
              <w:t>V1.2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0"/>
                <w:szCs w:val="20"/>
              </w:rPr>
            </w:pPr>
            <w:r>
              <w:rPr>
                <w:rFonts w:ascii="宋体" w:hAnsi="宋体" w:cs="宋体" w:eastAsia="宋体" w:hint="default"/>
                <w:sz w:val="20"/>
                <w:szCs w:val="20"/>
              </w:rPr>
              <w:t>自主研发</w:t>
            </w:r>
            <w:r>
              <w:rPr>
                <w:rFonts w:ascii="宋体" w:hAnsi="宋体" w:cs="宋体" w:eastAsia="宋体" w:hint="default"/>
                <w:sz w:val="20"/>
                <w:szCs w:val="20"/>
              </w:rPr>
              <w:t> </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5" w:right="0"/>
              <w:jc w:val="left"/>
              <w:rPr>
                <w:rFonts w:ascii="宋体" w:hAnsi="宋体" w:cs="宋体" w:eastAsia="宋体" w:hint="default"/>
                <w:sz w:val="20"/>
                <w:szCs w:val="20"/>
              </w:rPr>
            </w:pPr>
            <w:r>
              <w:rPr>
                <w:rFonts w:ascii="宋体" w:hAnsi="宋体" w:cs="宋体" w:eastAsia="宋体" w:hint="default"/>
                <w:sz w:val="20"/>
                <w:szCs w:val="20"/>
              </w:rPr>
              <w:t>目前按计划已经完成</w:t>
            </w:r>
            <w:r>
              <w:rPr>
                <w:rFonts w:ascii="宋体" w:hAnsi="宋体" w:cs="宋体" w:eastAsia="宋体" w:hint="default"/>
                <w:sz w:val="20"/>
                <w:szCs w:val="20"/>
              </w:rPr>
              <w:t> </w:t>
            </w:r>
          </w:p>
        </w:tc>
      </w:tr>
      <w:tr>
        <w:trPr>
          <w:trHeight w:val="322" w:hRule="exact"/>
        </w:trPr>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
              <w:jc w:val="right"/>
              <w:rPr>
                <w:rFonts w:ascii="宋体" w:hAnsi="宋体" w:cs="宋体" w:eastAsia="宋体" w:hint="default"/>
                <w:sz w:val="20"/>
                <w:szCs w:val="20"/>
              </w:rPr>
            </w:pPr>
            <w:r>
              <w:rPr>
                <w:rFonts w:ascii="宋体"/>
                <w:sz w:val="20"/>
              </w:rPr>
              <w:t>3 </w:t>
            </w:r>
          </w:p>
        </w:tc>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5" w:right="0"/>
              <w:jc w:val="left"/>
              <w:rPr>
                <w:rFonts w:ascii="宋体" w:hAnsi="宋体" w:cs="宋体" w:eastAsia="宋体" w:hint="default"/>
                <w:sz w:val="20"/>
                <w:szCs w:val="20"/>
              </w:rPr>
            </w:pPr>
            <w:r>
              <w:rPr>
                <w:rFonts w:ascii="宋体" w:hAnsi="宋体" w:cs="宋体" w:eastAsia="宋体" w:hint="default"/>
                <w:sz w:val="20"/>
                <w:szCs w:val="20"/>
              </w:rPr>
              <w:t>天玑科技云数据中心操作系统</w:t>
            </w:r>
            <w:r>
              <w:rPr>
                <w:rFonts w:ascii="宋体" w:hAnsi="宋体" w:cs="宋体" w:eastAsia="宋体" w:hint="default"/>
                <w:spacing w:val="-53"/>
                <w:sz w:val="20"/>
                <w:szCs w:val="20"/>
              </w:rPr>
              <w:t> </w:t>
            </w:r>
            <w:r>
              <w:rPr>
                <w:rFonts w:ascii="宋体" w:hAnsi="宋体" w:cs="宋体" w:eastAsia="宋体" w:hint="default"/>
                <w:sz w:val="20"/>
                <w:szCs w:val="20"/>
              </w:rPr>
              <w:t>V2.2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0"/>
                <w:szCs w:val="20"/>
              </w:rPr>
            </w:pPr>
            <w:r>
              <w:rPr>
                <w:rFonts w:ascii="宋体" w:hAnsi="宋体" w:cs="宋体" w:eastAsia="宋体" w:hint="default"/>
                <w:sz w:val="20"/>
                <w:szCs w:val="20"/>
              </w:rPr>
              <w:t>自主研发</w:t>
            </w:r>
            <w:r>
              <w:rPr>
                <w:rFonts w:ascii="宋体" w:hAnsi="宋体" w:cs="宋体" w:eastAsia="宋体" w:hint="default"/>
                <w:sz w:val="20"/>
                <w:szCs w:val="20"/>
              </w:rPr>
              <w:t> </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5" w:right="0"/>
              <w:jc w:val="left"/>
              <w:rPr>
                <w:rFonts w:ascii="宋体" w:hAnsi="宋体" w:cs="宋体" w:eastAsia="宋体" w:hint="default"/>
                <w:sz w:val="20"/>
                <w:szCs w:val="20"/>
              </w:rPr>
            </w:pPr>
            <w:r>
              <w:rPr>
                <w:rFonts w:ascii="宋体" w:hAnsi="宋体" w:cs="宋体" w:eastAsia="宋体" w:hint="default"/>
                <w:sz w:val="20"/>
                <w:szCs w:val="20"/>
              </w:rPr>
              <w:t>目前按计划已经完成</w:t>
            </w:r>
            <w:r>
              <w:rPr>
                <w:rFonts w:ascii="宋体" w:hAnsi="宋体" w:cs="宋体" w:eastAsia="宋体" w:hint="default"/>
                <w:sz w:val="20"/>
                <w:szCs w:val="20"/>
              </w:rPr>
              <w:t> </w:t>
            </w:r>
          </w:p>
        </w:tc>
      </w:tr>
      <w:tr>
        <w:trPr>
          <w:trHeight w:val="322" w:hRule="exact"/>
        </w:trPr>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
              <w:jc w:val="right"/>
              <w:rPr>
                <w:rFonts w:ascii="宋体" w:hAnsi="宋体" w:cs="宋体" w:eastAsia="宋体" w:hint="default"/>
                <w:sz w:val="20"/>
                <w:szCs w:val="20"/>
              </w:rPr>
            </w:pPr>
            <w:r>
              <w:rPr>
                <w:rFonts w:ascii="宋体"/>
                <w:sz w:val="20"/>
              </w:rPr>
              <w:t>4 </w:t>
            </w:r>
          </w:p>
        </w:tc>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5" w:right="0"/>
              <w:jc w:val="left"/>
              <w:rPr>
                <w:rFonts w:ascii="宋体" w:hAnsi="宋体" w:cs="宋体" w:eastAsia="宋体" w:hint="default"/>
                <w:sz w:val="20"/>
                <w:szCs w:val="20"/>
              </w:rPr>
            </w:pPr>
            <w:r>
              <w:rPr>
                <w:rFonts w:ascii="宋体" w:hAnsi="宋体" w:cs="宋体" w:eastAsia="宋体" w:hint="default"/>
                <w:sz w:val="20"/>
                <w:szCs w:val="20"/>
              </w:rPr>
              <w:t>DevOps</w:t>
            </w:r>
            <w:r>
              <w:rPr>
                <w:rFonts w:ascii="宋体" w:hAnsi="宋体" w:cs="宋体" w:eastAsia="宋体" w:hint="default"/>
                <w:spacing w:val="-52"/>
                <w:sz w:val="20"/>
                <w:szCs w:val="20"/>
              </w:rPr>
              <w:t> </w:t>
            </w:r>
            <w:r>
              <w:rPr>
                <w:rFonts w:ascii="宋体" w:hAnsi="宋体" w:cs="宋体" w:eastAsia="宋体" w:hint="default"/>
                <w:sz w:val="20"/>
                <w:szCs w:val="20"/>
              </w:rPr>
              <w:t>环境中的持续集成平台</w:t>
            </w:r>
            <w:r>
              <w:rPr>
                <w:rFonts w:ascii="宋体" w:hAnsi="宋体" w:cs="宋体" w:eastAsia="宋体" w:hint="default"/>
                <w:sz w:val="20"/>
                <w:szCs w:val="20"/>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0"/>
                <w:szCs w:val="20"/>
              </w:rPr>
            </w:pPr>
            <w:r>
              <w:rPr>
                <w:rFonts w:ascii="宋体" w:hAnsi="宋体" w:cs="宋体" w:eastAsia="宋体" w:hint="default"/>
                <w:sz w:val="20"/>
                <w:szCs w:val="20"/>
              </w:rPr>
              <w:t>自主研发</w:t>
            </w:r>
            <w:r>
              <w:rPr>
                <w:rFonts w:ascii="宋体" w:hAnsi="宋体" w:cs="宋体" w:eastAsia="宋体" w:hint="default"/>
                <w:sz w:val="20"/>
                <w:szCs w:val="20"/>
              </w:rPr>
              <w:t> </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5" w:right="0"/>
              <w:jc w:val="left"/>
              <w:rPr>
                <w:rFonts w:ascii="宋体" w:hAnsi="宋体" w:cs="宋体" w:eastAsia="宋体" w:hint="default"/>
                <w:sz w:val="20"/>
                <w:szCs w:val="20"/>
              </w:rPr>
            </w:pPr>
            <w:r>
              <w:rPr>
                <w:rFonts w:ascii="宋体" w:hAnsi="宋体" w:cs="宋体" w:eastAsia="宋体" w:hint="default"/>
                <w:sz w:val="20"/>
                <w:szCs w:val="20"/>
              </w:rPr>
              <w:t>目前按计划正常推进中</w:t>
            </w:r>
            <w:r>
              <w:rPr>
                <w:rFonts w:ascii="宋体" w:hAnsi="宋体" w:cs="宋体" w:eastAsia="宋体" w:hint="default"/>
                <w:sz w:val="20"/>
                <w:szCs w:val="20"/>
              </w:rPr>
              <w:t> </w:t>
            </w:r>
          </w:p>
        </w:tc>
      </w:tr>
      <w:tr>
        <w:trPr>
          <w:trHeight w:val="322" w:hRule="exact"/>
        </w:trPr>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
              <w:jc w:val="right"/>
              <w:rPr>
                <w:rFonts w:ascii="宋体" w:hAnsi="宋体" w:cs="宋体" w:eastAsia="宋体" w:hint="default"/>
                <w:sz w:val="20"/>
                <w:szCs w:val="20"/>
              </w:rPr>
            </w:pPr>
            <w:r>
              <w:rPr>
                <w:rFonts w:ascii="宋体"/>
                <w:sz w:val="20"/>
              </w:rPr>
              <w:t>5 </w:t>
            </w:r>
          </w:p>
        </w:tc>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5" w:right="0"/>
              <w:jc w:val="left"/>
              <w:rPr>
                <w:rFonts w:ascii="宋体" w:hAnsi="宋体" w:cs="宋体" w:eastAsia="宋体" w:hint="default"/>
                <w:sz w:val="20"/>
                <w:szCs w:val="20"/>
              </w:rPr>
            </w:pPr>
            <w:r>
              <w:rPr>
                <w:rFonts w:ascii="宋体" w:hAnsi="宋体" w:cs="宋体" w:eastAsia="宋体" w:hint="default"/>
                <w:sz w:val="20"/>
                <w:szCs w:val="20"/>
              </w:rPr>
              <w:t>基于开源技术的容器存储开发</w:t>
            </w:r>
            <w:r>
              <w:rPr>
                <w:rFonts w:ascii="宋体" w:hAnsi="宋体" w:cs="宋体" w:eastAsia="宋体" w:hint="default"/>
                <w:sz w:val="20"/>
                <w:szCs w:val="20"/>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0"/>
                <w:szCs w:val="20"/>
              </w:rPr>
            </w:pPr>
            <w:r>
              <w:rPr>
                <w:rFonts w:ascii="宋体" w:hAnsi="宋体" w:cs="宋体" w:eastAsia="宋体" w:hint="default"/>
                <w:sz w:val="20"/>
                <w:szCs w:val="20"/>
              </w:rPr>
              <w:t>自主研发</w:t>
            </w:r>
            <w:r>
              <w:rPr>
                <w:rFonts w:ascii="宋体" w:hAnsi="宋体" w:cs="宋体" w:eastAsia="宋体" w:hint="default"/>
                <w:sz w:val="20"/>
                <w:szCs w:val="20"/>
              </w:rPr>
              <w:t> </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5" w:right="0"/>
              <w:jc w:val="left"/>
              <w:rPr>
                <w:rFonts w:ascii="宋体" w:hAnsi="宋体" w:cs="宋体" w:eastAsia="宋体" w:hint="default"/>
                <w:sz w:val="20"/>
                <w:szCs w:val="20"/>
              </w:rPr>
            </w:pPr>
            <w:r>
              <w:rPr>
                <w:rFonts w:ascii="宋体" w:hAnsi="宋体" w:cs="宋体" w:eastAsia="宋体" w:hint="default"/>
                <w:sz w:val="20"/>
                <w:szCs w:val="20"/>
              </w:rPr>
              <w:t>目前按计划正常推进中</w:t>
            </w:r>
            <w:r>
              <w:rPr>
                <w:rFonts w:ascii="宋体" w:hAnsi="宋体" w:cs="宋体" w:eastAsia="宋体" w:hint="default"/>
                <w:sz w:val="20"/>
                <w:szCs w:val="20"/>
              </w:rPr>
              <w:t> </w:t>
            </w:r>
          </w:p>
        </w:tc>
      </w:tr>
      <w:tr>
        <w:trPr>
          <w:trHeight w:val="322" w:hRule="exact"/>
        </w:trPr>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
              <w:jc w:val="right"/>
              <w:rPr>
                <w:rFonts w:ascii="宋体" w:hAnsi="宋体" w:cs="宋体" w:eastAsia="宋体" w:hint="default"/>
                <w:sz w:val="20"/>
                <w:szCs w:val="20"/>
              </w:rPr>
            </w:pPr>
            <w:r>
              <w:rPr>
                <w:rFonts w:ascii="宋体"/>
                <w:sz w:val="20"/>
              </w:rPr>
              <w:t>6 </w:t>
            </w:r>
          </w:p>
        </w:tc>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5" w:right="0"/>
              <w:jc w:val="left"/>
              <w:rPr>
                <w:rFonts w:ascii="宋体" w:hAnsi="宋体" w:cs="宋体" w:eastAsia="宋体" w:hint="default"/>
                <w:sz w:val="20"/>
                <w:szCs w:val="20"/>
              </w:rPr>
            </w:pPr>
            <w:r>
              <w:rPr>
                <w:rFonts w:ascii="宋体" w:hAnsi="宋体" w:cs="宋体" w:eastAsia="宋体" w:hint="default"/>
                <w:sz w:val="20"/>
                <w:szCs w:val="20"/>
              </w:rPr>
              <w:t>远程电子合同签署管理系统</w:t>
            </w:r>
            <w:r>
              <w:rPr>
                <w:rFonts w:ascii="宋体" w:hAnsi="宋体" w:cs="宋体" w:eastAsia="宋体" w:hint="default"/>
                <w:spacing w:val="-52"/>
                <w:sz w:val="20"/>
                <w:szCs w:val="20"/>
              </w:rPr>
              <w:t> </w:t>
            </w:r>
            <w:r>
              <w:rPr>
                <w:rFonts w:ascii="宋体" w:hAnsi="宋体" w:cs="宋体" w:eastAsia="宋体" w:hint="default"/>
                <w:sz w:val="20"/>
                <w:szCs w:val="20"/>
              </w:rPr>
              <w:t>V2.0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0"/>
                <w:szCs w:val="20"/>
              </w:rPr>
            </w:pPr>
            <w:r>
              <w:rPr>
                <w:rFonts w:ascii="宋体" w:hAnsi="宋体" w:cs="宋体" w:eastAsia="宋体" w:hint="default"/>
                <w:sz w:val="20"/>
                <w:szCs w:val="20"/>
              </w:rPr>
              <w:t>自主研发</w:t>
            </w:r>
            <w:r>
              <w:rPr>
                <w:rFonts w:ascii="宋体" w:hAnsi="宋体" w:cs="宋体" w:eastAsia="宋体" w:hint="default"/>
                <w:sz w:val="20"/>
                <w:szCs w:val="20"/>
              </w:rPr>
              <w:t> </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5" w:right="0"/>
              <w:jc w:val="left"/>
              <w:rPr>
                <w:rFonts w:ascii="宋体" w:hAnsi="宋体" w:cs="宋体" w:eastAsia="宋体" w:hint="default"/>
                <w:sz w:val="20"/>
                <w:szCs w:val="20"/>
              </w:rPr>
            </w:pPr>
            <w:r>
              <w:rPr>
                <w:rFonts w:ascii="宋体" w:hAnsi="宋体" w:cs="宋体" w:eastAsia="宋体" w:hint="default"/>
                <w:sz w:val="20"/>
                <w:szCs w:val="20"/>
              </w:rPr>
              <w:t>目前按计划已经完成</w:t>
            </w:r>
            <w:r>
              <w:rPr>
                <w:rFonts w:ascii="宋体" w:hAnsi="宋体" w:cs="宋体" w:eastAsia="宋体" w:hint="default"/>
                <w:sz w:val="20"/>
                <w:szCs w:val="20"/>
              </w:rPr>
              <w:t> </w:t>
            </w:r>
          </w:p>
        </w:tc>
      </w:tr>
      <w:tr>
        <w:trPr>
          <w:trHeight w:val="324" w:hRule="exact"/>
        </w:trPr>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right"/>
              <w:rPr>
                <w:rFonts w:ascii="宋体" w:hAnsi="宋体" w:cs="宋体" w:eastAsia="宋体" w:hint="default"/>
                <w:sz w:val="20"/>
                <w:szCs w:val="20"/>
              </w:rPr>
            </w:pPr>
            <w:r>
              <w:rPr>
                <w:rFonts w:ascii="宋体"/>
                <w:sz w:val="20"/>
              </w:rPr>
              <w:t>7 </w:t>
            </w:r>
          </w:p>
        </w:tc>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5" w:right="0"/>
              <w:jc w:val="left"/>
              <w:rPr>
                <w:rFonts w:ascii="宋体" w:hAnsi="宋体" w:cs="宋体" w:eastAsia="宋体" w:hint="default"/>
                <w:sz w:val="20"/>
                <w:szCs w:val="20"/>
              </w:rPr>
            </w:pPr>
            <w:r>
              <w:rPr>
                <w:rFonts w:ascii="宋体" w:hAnsi="宋体" w:cs="宋体" w:eastAsia="宋体" w:hint="default"/>
                <w:sz w:val="20"/>
                <w:szCs w:val="20"/>
              </w:rPr>
              <w:t>天玑个性化信息推荐产品</w:t>
            </w:r>
            <w:r>
              <w:rPr>
                <w:rFonts w:ascii="宋体" w:hAnsi="宋体" w:cs="宋体" w:eastAsia="宋体" w:hint="default"/>
                <w:sz w:val="20"/>
                <w:szCs w:val="20"/>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自主研发</w:t>
            </w:r>
            <w:r>
              <w:rPr>
                <w:rFonts w:ascii="宋体" w:hAnsi="宋体" w:cs="宋体" w:eastAsia="宋体" w:hint="default"/>
                <w:sz w:val="20"/>
                <w:szCs w:val="20"/>
              </w:rPr>
              <w:t> </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5" w:right="0"/>
              <w:jc w:val="left"/>
              <w:rPr>
                <w:rFonts w:ascii="宋体" w:hAnsi="宋体" w:cs="宋体" w:eastAsia="宋体" w:hint="default"/>
                <w:sz w:val="20"/>
                <w:szCs w:val="20"/>
              </w:rPr>
            </w:pPr>
            <w:r>
              <w:rPr>
                <w:rFonts w:ascii="宋体" w:hAnsi="宋体" w:cs="宋体" w:eastAsia="宋体" w:hint="default"/>
                <w:sz w:val="20"/>
                <w:szCs w:val="20"/>
              </w:rPr>
              <w:t>目前按计划已经完成</w:t>
            </w:r>
            <w:r>
              <w:rPr>
                <w:rFonts w:ascii="宋体" w:hAnsi="宋体" w:cs="宋体" w:eastAsia="宋体" w:hint="default"/>
                <w:sz w:val="20"/>
                <w:szCs w:val="20"/>
              </w:rPr>
              <w:t> </w:t>
            </w:r>
          </w:p>
        </w:tc>
      </w:tr>
      <w:tr>
        <w:trPr>
          <w:trHeight w:val="322" w:hRule="exact"/>
        </w:trPr>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
              <w:jc w:val="right"/>
              <w:rPr>
                <w:rFonts w:ascii="宋体" w:hAnsi="宋体" w:cs="宋体" w:eastAsia="宋体" w:hint="default"/>
                <w:sz w:val="20"/>
                <w:szCs w:val="20"/>
              </w:rPr>
            </w:pPr>
            <w:r>
              <w:rPr>
                <w:rFonts w:ascii="宋体"/>
                <w:sz w:val="20"/>
              </w:rPr>
              <w:t>8 </w:t>
            </w:r>
          </w:p>
        </w:tc>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5" w:right="0"/>
              <w:jc w:val="left"/>
              <w:rPr>
                <w:rFonts w:ascii="宋体" w:hAnsi="宋体" w:cs="宋体" w:eastAsia="宋体" w:hint="default"/>
                <w:sz w:val="20"/>
                <w:szCs w:val="20"/>
              </w:rPr>
            </w:pPr>
            <w:r>
              <w:rPr>
                <w:rFonts w:ascii="宋体" w:hAnsi="宋体" w:cs="宋体" w:eastAsia="宋体" w:hint="default"/>
                <w:sz w:val="20"/>
                <w:szCs w:val="20"/>
              </w:rPr>
              <w:t>天玑高性能、高可用全冗余存储软件系统</w:t>
            </w:r>
            <w:r>
              <w:rPr>
                <w:rFonts w:ascii="宋体" w:hAnsi="宋体" w:cs="宋体" w:eastAsia="宋体" w:hint="default"/>
                <w:spacing w:val="-52"/>
                <w:sz w:val="20"/>
                <w:szCs w:val="20"/>
              </w:rPr>
              <w:t> </w:t>
            </w:r>
            <w:r>
              <w:rPr>
                <w:rFonts w:ascii="宋体" w:hAnsi="宋体" w:cs="宋体" w:eastAsia="宋体" w:hint="default"/>
                <w:sz w:val="20"/>
                <w:szCs w:val="20"/>
              </w:rPr>
              <w:t>V3.1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0"/>
                <w:szCs w:val="20"/>
              </w:rPr>
            </w:pPr>
            <w:r>
              <w:rPr>
                <w:rFonts w:ascii="宋体" w:hAnsi="宋体" w:cs="宋体" w:eastAsia="宋体" w:hint="default"/>
                <w:sz w:val="20"/>
                <w:szCs w:val="20"/>
              </w:rPr>
              <w:t>自主研发</w:t>
            </w:r>
            <w:r>
              <w:rPr>
                <w:rFonts w:ascii="宋体" w:hAnsi="宋体" w:cs="宋体" w:eastAsia="宋体" w:hint="default"/>
                <w:sz w:val="20"/>
                <w:szCs w:val="20"/>
              </w:rPr>
              <w:t> </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5" w:right="0"/>
              <w:jc w:val="left"/>
              <w:rPr>
                <w:rFonts w:ascii="宋体" w:hAnsi="宋体" w:cs="宋体" w:eastAsia="宋体" w:hint="default"/>
                <w:sz w:val="20"/>
                <w:szCs w:val="20"/>
              </w:rPr>
            </w:pPr>
            <w:r>
              <w:rPr>
                <w:rFonts w:ascii="宋体" w:hAnsi="宋体" w:cs="宋体" w:eastAsia="宋体" w:hint="default"/>
                <w:sz w:val="20"/>
                <w:szCs w:val="20"/>
              </w:rPr>
              <w:t>目前按计划已经完成</w:t>
            </w:r>
            <w:r>
              <w:rPr>
                <w:rFonts w:ascii="宋体" w:hAnsi="宋体" w:cs="宋体" w:eastAsia="宋体" w:hint="default"/>
                <w:sz w:val="20"/>
                <w:szCs w:val="20"/>
              </w:rPr>
              <w:t> </w:t>
            </w:r>
          </w:p>
        </w:tc>
      </w:tr>
      <w:tr>
        <w:trPr>
          <w:trHeight w:val="322" w:hRule="exact"/>
        </w:trPr>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
              <w:jc w:val="right"/>
              <w:rPr>
                <w:rFonts w:ascii="宋体" w:hAnsi="宋体" w:cs="宋体" w:eastAsia="宋体" w:hint="default"/>
                <w:sz w:val="20"/>
                <w:szCs w:val="20"/>
              </w:rPr>
            </w:pPr>
            <w:r>
              <w:rPr>
                <w:rFonts w:ascii="宋体"/>
                <w:sz w:val="20"/>
              </w:rPr>
              <w:t>9 </w:t>
            </w:r>
          </w:p>
        </w:tc>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5" w:right="0"/>
              <w:jc w:val="left"/>
              <w:rPr>
                <w:rFonts w:ascii="宋体" w:hAnsi="宋体" w:cs="宋体" w:eastAsia="宋体" w:hint="default"/>
                <w:sz w:val="20"/>
                <w:szCs w:val="20"/>
              </w:rPr>
            </w:pPr>
            <w:r>
              <w:rPr>
                <w:rFonts w:ascii="宋体" w:hAnsi="宋体" w:cs="宋体" w:eastAsia="宋体" w:hint="default"/>
                <w:sz w:val="20"/>
                <w:szCs w:val="20"/>
              </w:rPr>
              <w:t>天玑基于许可证的授权管理软件</w:t>
            </w:r>
            <w:r>
              <w:rPr>
                <w:rFonts w:ascii="宋体" w:hAnsi="宋体" w:cs="宋体" w:eastAsia="宋体" w:hint="default"/>
                <w:spacing w:val="-3"/>
                <w:sz w:val="20"/>
                <w:szCs w:val="20"/>
              </w:rPr>
              <w:t> </w:t>
            </w:r>
            <w:r>
              <w:rPr>
                <w:rFonts w:ascii="宋体" w:hAnsi="宋体" w:cs="宋体" w:eastAsia="宋体" w:hint="default"/>
                <w:spacing w:val="-3"/>
                <w:sz w:val="20"/>
                <w:szCs w:val="20"/>
              </w:rPr>
            </w:r>
            <w:r>
              <w:rPr>
                <w:rFonts w:ascii="宋体" w:hAnsi="宋体" w:cs="宋体" w:eastAsia="宋体" w:hint="default"/>
                <w:sz w:val="20"/>
                <w:szCs w:val="20"/>
              </w:rPr>
              <w:t>V1.1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0"/>
                <w:szCs w:val="20"/>
              </w:rPr>
            </w:pPr>
            <w:r>
              <w:rPr>
                <w:rFonts w:ascii="宋体" w:hAnsi="宋体" w:cs="宋体" w:eastAsia="宋体" w:hint="default"/>
                <w:sz w:val="20"/>
                <w:szCs w:val="20"/>
              </w:rPr>
              <w:t>自主研发</w:t>
            </w:r>
            <w:r>
              <w:rPr>
                <w:rFonts w:ascii="宋体" w:hAnsi="宋体" w:cs="宋体" w:eastAsia="宋体" w:hint="default"/>
                <w:sz w:val="20"/>
                <w:szCs w:val="20"/>
              </w:rPr>
              <w:t> </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5" w:right="0"/>
              <w:jc w:val="left"/>
              <w:rPr>
                <w:rFonts w:ascii="宋体" w:hAnsi="宋体" w:cs="宋体" w:eastAsia="宋体" w:hint="default"/>
                <w:sz w:val="20"/>
                <w:szCs w:val="20"/>
              </w:rPr>
            </w:pPr>
            <w:r>
              <w:rPr>
                <w:rFonts w:ascii="宋体" w:hAnsi="宋体" w:cs="宋体" w:eastAsia="宋体" w:hint="default"/>
                <w:sz w:val="20"/>
                <w:szCs w:val="20"/>
              </w:rPr>
              <w:t>目前按计划已经完成</w:t>
            </w:r>
            <w:r>
              <w:rPr>
                <w:rFonts w:ascii="宋体" w:hAnsi="宋体" w:cs="宋体" w:eastAsia="宋体" w:hint="default"/>
                <w:sz w:val="20"/>
                <w:szCs w:val="20"/>
              </w:rPr>
              <w:t> </w:t>
            </w:r>
          </w:p>
        </w:tc>
      </w:tr>
      <w:tr>
        <w:trPr>
          <w:trHeight w:val="634" w:hRule="exact"/>
        </w:trPr>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
              <w:jc w:val="right"/>
              <w:rPr>
                <w:rFonts w:ascii="宋体" w:hAnsi="宋体" w:cs="宋体" w:eastAsia="宋体" w:hint="default"/>
                <w:sz w:val="20"/>
                <w:szCs w:val="20"/>
              </w:rPr>
            </w:pPr>
            <w:r>
              <w:rPr>
                <w:rFonts w:ascii="宋体"/>
                <w:spacing w:val="-1"/>
                <w:sz w:val="20"/>
              </w:rPr>
              <w:t>10</w:t>
            </w:r>
            <w:r>
              <w:rPr>
                <w:rFonts w:ascii="宋体"/>
                <w:sz w:val="20"/>
              </w:rPr>
              <w:t> </w:t>
            </w:r>
          </w:p>
        </w:tc>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5" w:right="159"/>
              <w:jc w:val="left"/>
              <w:rPr>
                <w:rFonts w:ascii="宋体" w:hAnsi="宋体" w:cs="宋体" w:eastAsia="宋体" w:hint="default"/>
                <w:sz w:val="20"/>
                <w:szCs w:val="20"/>
              </w:rPr>
            </w:pPr>
            <w:r>
              <w:rPr>
                <w:rFonts w:ascii="宋体" w:hAnsi="宋体" w:cs="宋体" w:eastAsia="宋体" w:hint="default"/>
                <w:sz w:val="20"/>
                <w:szCs w:val="20"/>
              </w:rPr>
              <w:t>基于</w:t>
            </w:r>
            <w:r>
              <w:rPr>
                <w:rFonts w:ascii="宋体" w:hAnsi="宋体" w:cs="宋体" w:eastAsia="宋体" w:hint="default"/>
                <w:spacing w:val="-53"/>
                <w:sz w:val="20"/>
                <w:szCs w:val="20"/>
              </w:rPr>
              <w:t> </w:t>
            </w:r>
            <w:r>
              <w:rPr>
                <w:rFonts w:ascii="宋体" w:hAnsi="宋体" w:cs="宋体" w:eastAsia="宋体" w:hint="default"/>
                <w:sz w:val="20"/>
                <w:szCs w:val="20"/>
              </w:rPr>
              <w:t>Kubernets</w:t>
            </w:r>
            <w:r>
              <w:rPr>
                <w:rFonts w:ascii="宋体" w:hAnsi="宋体" w:cs="宋体" w:eastAsia="宋体" w:hint="default"/>
                <w:spacing w:val="-51"/>
                <w:sz w:val="20"/>
                <w:szCs w:val="20"/>
              </w:rPr>
              <w:t> </w:t>
            </w:r>
            <w:r>
              <w:rPr>
                <w:rFonts w:ascii="宋体" w:hAnsi="宋体" w:cs="宋体" w:eastAsia="宋体" w:hint="default"/>
                <w:sz w:val="20"/>
                <w:szCs w:val="20"/>
              </w:rPr>
              <w:t>的云数据中心操作系统（</w:t>
            </w:r>
            <w:r>
              <w:rPr>
                <w:rFonts w:ascii="宋体" w:hAnsi="宋体" w:cs="宋体" w:eastAsia="宋体" w:hint="default"/>
                <w:sz w:val="20"/>
                <w:szCs w:val="20"/>
              </w:rPr>
              <w:t>DCOS</w:t>
            </w:r>
            <w:r>
              <w:rPr>
                <w:rFonts w:ascii="宋体" w:hAnsi="宋体" w:cs="宋体" w:eastAsia="宋体" w:hint="default"/>
                <w:sz w:val="20"/>
                <w:szCs w:val="20"/>
              </w:rPr>
              <w:t>）软</w:t>
            </w:r>
            <w:r>
              <w:rPr>
                <w:rFonts w:ascii="宋体" w:hAnsi="宋体" w:cs="宋体" w:eastAsia="宋体" w:hint="default"/>
                <w:w w:val="99"/>
                <w:sz w:val="20"/>
                <w:szCs w:val="20"/>
              </w:rPr>
              <w:t> </w:t>
            </w:r>
            <w:r>
              <w:rPr>
                <w:rFonts w:ascii="宋体" w:hAnsi="宋体" w:cs="宋体" w:eastAsia="宋体" w:hint="default"/>
                <w:sz w:val="20"/>
                <w:szCs w:val="20"/>
              </w:rPr>
              <w:t>件</w:t>
            </w:r>
            <w:r>
              <w:rPr>
                <w:rFonts w:ascii="宋体" w:hAnsi="宋体" w:cs="宋体" w:eastAsia="宋体" w:hint="default"/>
                <w:spacing w:val="-52"/>
                <w:sz w:val="20"/>
                <w:szCs w:val="20"/>
              </w:rPr>
              <w:t> </w:t>
            </w:r>
            <w:r>
              <w:rPr>
                <w:rFonts w:ascii="宋体" w:hAnsi="宋体" w:cs="宋体" w:eastAsia="宋体" w:hint="default"/>
                <w:sz w:val="20"/>
                <w:szCs w:val="20"/>
              </w:rPr>
              <w:t>V1.0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自主研发</w:t>
            </w:r>
            <w:r>
              <w:rPr>
                <w:rFonts w:ascii="宋体" w:hAnsi="宋体" w:cs="宋体" w:eastAsia="宋体" w:hint="default"/>
                <w:sz w:val="20"/>
                <w:szCs w:val="20"/>
              </w:rPr>
              <w:t> </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105" w:right="0"/>
              <w:jc w:val="left"/>
              <w:rPr>
                <w:rFonts w:ascii="宋体" w:hAnsi="宋体" w:cs="宋体" w:eastAsia="宋体" w:hint="default"/>
                <w:sz w:val="20"/>
                <w:szCs w:val="20"/>
              </w:rPr>
            </w:pPr>
            <w:r>
              <w:rPr>
                <w:rFonts w:ascii="宋体" w:hAnsi="宋体" w:cs="宋体" w:eastAsia="宋体" w:hint="default"/>
                <w:sz w:val="20"/>
                <w:szCs w:val="20"/>
              </w:rPr>
              <w:t>目前按计划已经完成</w:t>
            </w:r>
            <w:r>
              <w:rPr>
                <w:rFonts w:ascii="宋体" w:hAnsi="宋体" w:cs="宋体" w:eastAsia="宋体" w:hint="default"/>
                <w:sz w:val="20"/>
                <w:szCs w:val="20"/>
              </w:rPr>
              <w:t> </w:t>
            </w:r>
          </w:p>
        </w:tc>
      </w:tr>
      <w:tr>
        <w:trPr>
          <w:trHeight w:val="322" w:hRule="exact"/>
        </w:trPr>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
              <w:jc w:val="right"/>
              <w:rPr>
                <w:rFonts w:ascii="宋体" w:hAnsi="宋体" w:cs="宋体" w:eastAsia="宋体" w:hint="default"/>
                <w:sz w:val="20"/>
                <w:szCs w:val="20"/>
              </w:rPr>
            </w:pPr>
            <w:r>
              <w:rPr>
                <w:rFonts w:ascii="宋体"/>
                <w:spacing w:val="-1"/>
                <w:sz w:val="20"/>
              </w:rPr>
              <w:t>11</w:t>
            </w:r>
            <w:r>
              <w:rPr>
                <w:rFonts w:ascii="宋体"/>
                <w:sz w:val="20"/>
              </w:rPr>
              <w:t> </w:t>
            </w:r>
          </w:p>
        </w:tc>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5" w:right="0"/>
              <w:jc w:val="left"/>
              <w:rPr>
                <w:rFonts w:ascii="宋体" w:hAnsi="宋体" w:cs="宋体" w:eastAsia="宋体" w:hint="default"/>
                <w:sz w:val="20"/>
                <w:szCs w:val="20"/>
              </w:rPr>
            </w:pPr>
            <w:r>
              <w:rPr>
                <w:rFonts w:ascii="宋体" w:hAnsi="宋体" w:cs="宋体" w:eastAsia="宋体" w:hint="default"/>
                <w:sz w:val="20"/>
                <w:szCs w:val="20"/>
              </w:rPr>
              <w:t>分布式块存储系统软件</w:t>
            </w:r>
            <w:r>
              <w:rPr>
                <w:rFonts w:ascii="宋体" w:hAnsi="宋体" w:cs="宋体" w:eastAsia="宋体" w:hint="default"/>
                <w:spacing w:val="-51"/>
                <w:sz w:val="20"/>
                <w:szCs w:val="20"/>
              </w:rPr>
              <w:t> </w:t>
            </w:r>
            <w:r>
              <w:rPr>
                <w:rFonts w:ascii="宋体" w:hAnsi="宋体" w:cs="宋体" w:eastAsia="宋体" w:hint="default"/>
                <w:sz w:val="20"/>
                <w:szCs w:val="20"/>
              </w:rPr>
              <w:t>V3.0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0"/>
                <w:szCs w:val="20"/>
              </w:rPr>
            </w:pPr>
            <w:r>
              <w:rPr>
                <w:rFonts w:ascii="宋体" w:hAnsi="宋体" w:cs="宋体" w:eastAsia="宋体" w:hint="default"/>
                <w:sz w:val="20"/>
                <w:szCs w:val="20"/>
              </w:rPr>
              <w:t>自主研发</w:t>
            </w:r>
            <w:r>
              <w:rPr>
                <w:rFonts w:ascii="宋体" w:hAnsi="宋体" w:cs="宋体" w:eastAsia="宋体" w:hint="default"/>
                <w:sz w:val="20"/>
                <w:szCs w:val="20"/>
              </w:rPr>
              <w:t> </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5" w:right="0"/>
              <w:jc w:val="left"/>
              <w:rPr>
                <w:rFonts w:ascii="宋体" w:hAnsi="宋体" w:cs="宋体" w:eastAsia="宋体" w:hint="default"/>
                <w:sz w:val="20"/>
                <w:szCs w:val="20"/>
              </w:rPr>
            </w:pPr>
            <w:r>
              <w:rPr>
                <w:rFonts w:ascii="宋体" w:hAnsi="宋体" w:cs="宋体" w:eastAsia="宋体" w:hint="default"/>
                <w:sz w:val="20"/>
                <w:szCs w:val="20"/>
              </w:rPr>
              <w:t>目前按计划正常推进中</w:t>
            </w:r>
            <w:r>
              <w:rPr>
                <w:rFonts w:ascii="宋体" w:hAnsi="宋体" w:cs="宋体" w:eastAsia="宋体" w:hint="default"/>
                <w:sz w:val="20"/>
                <w:szCs w:val="20"/>
              </w:rPr>
              <w:t> </w:t>
            </w:r>
          </w:p>
        </w:tc>
      </w:tr>
      <w:tr>
        <w:trPr>
          <w:trHeight w:val="322" w:hRule="exact"/>
        </w:trPr>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
              <w:jc w:val="right"/>
              <w:rPr>
                <w:rFonts w:ascii="宋体" w:hAnsi="宋体" w:cs="宋体" w:eastAsia="宋体" w:hint="default"/>
                <w:sz w:val="20"/>
                <w:szCs w:val="20"/>
              </w:rPr>
            </w:pPr>
            <w:r>
              <w:rPr>
                <w:rFonts w:ascii="宋体"/>
                <w:spacing w:val="-1"/>
                <w:sz w:val="20"/>
              </w:rPr>
              <w:t>12</w:t>
            </w:r>
            <w:r>
              <w:rPr>
                <w:rFonts w:ascii="宋体"/>
                <w:sz w:val="20"/>
              </w:rPr>
              <w:t> </w:t>
            </w:r>
          </w:p>
        </w:tc>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5" w:right="0"/>
              <w:jc w:val="left"/>
              <w:rPr>
                <w:rFonts w:ascii="宋体" w:hAnsi="宋体" w:cs="宋体" w:eastAsia="宋体" w:hint="default"/>
                <w:sz w:val="20"/>
                <w:szCs w:val="20"/>
              </w:rPr>
            </w:pPr>
            <w:r>
              <w:rPr>
                <w:rFonts w:ascii="宋体" w:hAnsi="宋体" w:cs="宋体" w:eastAsia="宋体" w:hint="default"/>
                <w:sz w:val="20"/>
                <w:szCs w:val="20"/>
              </w:rPr>
              <w:t>面向行业私有云的</w:t>
            </w:r>
            <w:r>
              <w:rPr>
                <w:rFonts w:ascii="宋体" w:hAnsi="宋体" w:cs="宋体" w:eastAsia="宋体" w:hint="default"/>
                <w:spacing w:val="-52"/>
                <w:sz w:val="20"/>
                <w:szCs w:val="20"/>
              </w:rPr>
              <w:t> </w:t>
            </w:r>
            <w:r>
              <w:rPr>
                <w:rFonts w:ascii="宋体" w:hAnsi="宋体" w:cs="宋体" w:eastAsia="宋体" w:hint="default"/>
                <w:sz w:val="20"/>
                <w:szCs w:val="20"/>
              </w:rPr>
              <w:t>PaaS</w:t>
            </w:r>
            <w:r>
              <w:rPr>
                <w:rFonts w:ascii="宋体" w:hAnsi="宋体" w:cs="宋体" w:eastAsia="宋体" w:hint="default"/>
                <w:spacing w:val="-50"/>
                <w:sz w:val="20"/>
                <w:szCs w:val="20"/>
              </w:rPr>
              <w:t> </w:t>
            </w:r>
            <w:r>
              <w:rPr>
                <w:rFonts w:ascii="宋体" w:hAnsi="宋体" w:cs="宋体" w:eastAsia="宋体" w:hint="default"/>
                <w:sz w:val="20"/>
                <w:szCs w:val="20"/>
              </w:rPr>
              <w:t>平台软件</w:t>
            </w:r>
            <w:r>
              <w:rPr>
                <w:rFonts w:ascii="宋体" w:hAnsi="宋体" w:cs="宋体" w:eastAsia="宋体" w:hint="default"/>
                <w:spacing w:val="-52"/>
                <w:sz w:val="20"/>
                <w:szCs w:val="20"/>
              </w:rPr>
              <w:t> </w:t>
            </w:r>
            <w:r>
              <w:rPr>
                <w:rFonts w:ascii="宋体" w:hAnsi="宋体" w:cs="宋体" w:eastAsia="宋体" w:hint="default"/>
                <w:sz w:val="20"/>
                <w:szCs w:val="20"/>
              </w:rPr>
              <w:t>V1.0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0"/>
                <w:szCs w:val="20"/>
              </w:rPr>
            </w:pPr>
            <w:r>
              <w:rPr>
                <w:rFonts w:ascii="宋体" w:hAnsi="宋体" w:cs="宋体" w:eastAsia="宋体" w:hint="default"/>
                <w:sz w:val="20"/>
                <w:szCs w:val="20"/>
              </w:rPr>
              <w:t>自主研发</w:t>
            </w:r>
            <w:r>
              <w:rPr>
                <w:rFonts w:ascii="宋体" w:hAnsi="宋体" w:cs="宋体" w:eastAsia="宋体" w:hint="default"/>
                <w:sz w:val="20"/>
                <w:szCs w:val="20"/>
              </w:rPr>
              <w:t> </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5" w:right="0"/>
              <w:jc w:val="left"/>
              <w:rPr>
                <w:rFonts w:ascii="宋体" w:hAnsi="宋体" w:cs="宋体" w:eastAsia="宋体" w:hint="default"/>
                <w:sz w:val="20"/>
                <w:szCs w:val="20"/>
              </w:rPr>
            </w:pPr>
            <w:r>
              <w:rPr>
                <w:rFonts w:ascii="宋体" w:hAnsi="宋体" w:cs="宋体" w:eastAsia="宋体" w:hint="default"/>
                <w:sz w:val="20"/>
                <w:szCs w:val="20"/>
              </w:rPr>
              <w:t>目前按计划正常推进中</w:t>
            </w:r>
            <w:r>
              <w:rPr>
                <w:rFonts w:ascii="宋体" w:hAnsi="宋体" w:cs="宋体" w:eastAsia="宋体" w:hint="default"/>
                <w:sz w:val="20"/>
                <w:szCs w:val="20"/>
              </w:rPr>
              <w:t> </w:t>
            </w:r>
          </w:p>
        </w:tc>
      </w:tr>
      <w:tr>
        <w:trPr>
          <w:trHeight w:val="324" w:hRule="exact"/>
        </w:trPr>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right"/>
              <w:rPr>
                <w:rFonts w:ascii="宋体" w:hAnsi="宋体" w:cs="宋体" w:eastAsia="宋体" w:hint="default"/>
                <w:sz w:val="20"/>
                <w:szCs w:val="20"/>
              </w:rPr>
            </w:pPr>
            <w:r>
              <w:rPr>
                <w:rFonts w:ascii="宋体"/>
                <w:spacing w:val="-1"/>
                <w:sz w:val="20"/>
              </w:rPr>
              <w:t>13</w:t>
            </w:r>
            <w:r>
              <w:rPr>
                <w:rFonts w:ascii="宋体"/>
                <w:sz w:val="20"/>
              </w:rPr>
              <w:t> </w:t>
            </w:r>
          </w:p>
        </w:tc>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5" w:right="0"/>
              <w:jc w:val="left"/>
              <w:rPr>
                <w:rFonts w:ascii="宋体" w:hAnsi="宋体" w:cs="宋体" w:eastAsia="宋体" w:hint="default"/>
                <w:sz w:val="20"/>
                <w:szCs w:val="20"/>
              </w:rPr>
            </w:pPr>
            <w:r>
              <w:rPr>
                <w:rFonts w:ascii="宋体" w:hAnsi="宋体" w:cs="宋体" w:eastAsia="宋体" w:hint="default"/>
                <w:sz w:val="20"/>
                <w:szCs w:val="20"/>
              </w:rPr>
              <w:t>融合架构下</w:t>
            </w:r>
            <w:r>
              <w:rPr>
                <w:rFonts w:ascii="宋体" w:hAnsi="宋体" w:cs="宋体" w:eastAsia="宋体" w:hint="default"/>
                <w:spacing w:val="-53"/>
                <w:sz w:val="20"/>
                <w:szCs w:val="20"/>
              </w:rPr>
              <w:t> </w:t>
            </w:r>
            <w:r>
              <w:rPr>
                <w:rFonts w:ascii="宋体" w:hAnsi="宋体" w:cs="宋体" w:eastAsia="宋体" w:hint="default"/>
                <w:sz w:val="20"/>
                <w:szCs w:val="20"/>
              </w:rPr>
              <w:t>IO</w:t>
            </w:r>
            <w:r>
              <w:rPr>
                <w:rFonts w:ascii="宋体" w:hAnsi="宋体" w:cs="宋体" w:eastAsia="宋体" w:hint="default"/>
                <w:spacing w:val="-52"/>
                <w:sz w:val="20"/>
                <w:szCs w:val="20"/>
              </w:rPr>
              <w:t> </w:t>
            </w:r>
            <w:r>
              <w:rPr>
                <w:rFonts w:ascii="宋体" w:hAnsi="宋体" w:cs="宋体" w:eastAsia="宋体" w:hint="default"/>
                <w:sz w:val="20"/>
                <w:szCs w:val="20"/>
              </w:rPr>
              <w:t>存储（私有）协议软件</w:t>
            </w:r>
            <w:r>
              <w:rPr>
                <w:rFonts w:ascii="宋体" w:hAnsi="宋体" w:cs="宋体" w:eastAsia="宋体" w:hint="default"/>
                <w:spacing w:val="-52"/>
                <w:sz w:val="20"/>
                <w:szCs w:val="20"/>
              </w:rPr>
              <w:t> </w:t>
            </w:r>
            <w:r>
              <w:rPr>
                <w:rFonts w:ascii="宋体" w:hAnsi="宋体" w:cs="宋体" w:eastAsia="宋体" w:hint="default"/>
                <w:sz w:val="20"/>
                <w:szCs w:val="20"/>
              </w:rPr>
              <w:t>V1.0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自主研发</w:t>
            </w:r>
            <w:r>
              <w:rPr>
                <w:rFonts w:ascii="宋体" w:hAnsi="宋体" w:cs="宋体" w:eastAsia="宋体" w:hint="default"/>
                <w:sz w:val="20"/>
                <w:szCs w:val="20"/>
              </w:rPr>
              <w:t> </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5" w:right="0"/>
              <w:jc w:val="left"/>
              <w:rPr>
                <w:rFonts w:ascii="宋体" w:hAnsi="宋体" w:cs="宋体" w:eastAsia="宋体" w:hint="default"/>
                <w:sz w:val="20"/>
                <w:szCs w:val="20"/>
              </w:rPr>
            </w:pPr>
            <w:r>
              <w:rPr>
                <w:rFonts w:ascii="宋体" w:hAnsi="宋体" w:cs="宋体" w:eastAsia="宋体" w:hint="default"/>
                <w:sz w:val="20"/>
                <w:szCs w:val="20"/>
              </w:rPr>
              <w:t>目前按计划已经完成</w:t>
            </w:r>
            <w:r>
              <w:rPr>
                <w:rFonts w:ascii="宋体" w:hAnsi="宋体" w:cs="宋体" w:eastAsia="宋体" w:hint="default"/>
                <w:sz w:val="20"/>
                <w:szCs w:val="20"/>
              </w:rPr>
              <w:t> </w:t>
            </w:r>
          </w:p>
        </w:tc>
      </w:tr>
      <w:tr>
        <w:trPr>
          <w:trHeight w:val="322" w:hRule="exact"/>
        </w:trPr>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
              <w:jc w:val="right"/>
              <w:rPr>
                <w:rFonts w:ascii="宋体" w:hAnsi="宋体" w:cs="宋体" w:eastAsia="宋体" w:hint="default"/>
                <w:sz w:val="20"/>
                <w:szCs w:val="20"/>
              </w:rPr>
            </w:pPr>
            <w:r>
              <w:rPr>
                <w:rFonts w:ascii="宋体"/>
                <w:spacing w:val="-1"/>
                <w:sz w:val="20"/>
              </w:rPr>
              <w:t>14</w:t>
            </w:r>
            <w:r>
              <w:rPr>
                <w:rFonts w:ascii="宋体"/>
                <w:sz w:val="20"/>
              </w:rPr>
              <w:t> </w:t>
            </w:r>
          </w:p>
        </w:tc>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5" w:right="0"/>
              <w:jc w:val="left"/>
              <w:rPr>
                <w:rFonts w:ascii="宋体" w:hAnsi="宋体" w:cs="宋体" w:eastAsia="宋体" w:hint="default"/>
                <w:sz w:val="20"/>
                <w:szCs w:val="20"/>
              </w:rPr>
            </w:pPr>
            <w:r>
              <w:rPr>
                <w:rFonts w:ascii="宋体" w:hAnsi="宋体" w:cs="宋体" w:eastAsia="宋体" w:hint="default"/>
                <w:sz w:val="20"/>
                <w:szCs w:val="20"/>
              </w:rPr>
              <w:t>分布式文件存储系统软件</w:t>
            </w:r>
            <w:r>
              <w:rPr>
                <w:rFonts w:ascii="宋体" w:hAnsi="宋体" w:cs="宋体" w:eastAsia="宋体" w:hint="default"/>
                <w:spacing w:val="-53"/>
                <w:sz w:val="20"/>
                <w:szCs w:val="20"/>
              </w:rPr>
              <w:t> </w:t>
            </w:r>
            <w:r>
              <w:rPr>
                <w:rFonts w:ascii="宋体" w:hAnsi="宋体" w:cs="宋体" w:eastAsia="宋体" w:hint="default"/>
                <w:sz w:val="20"/>
                <w:szCs w:val="20"/>
              </w:rPr>
              <w:t>V1.0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0"/>
                <w:szCs w:val="20"/>
              </w:rPr>
            </w:pPr>
            <w:r>
              <w:rPr>
                <w:rFonts w:ascii="宋体" w:hAnsi="宋体" w:cs="宋体" w:eastAsia="宋体" w:hint="default"/>
                <w:sz w:val="20"/>
                <w:szCs w:val="20"/>
              </w:rPr>
              <w:t>自主研发</w:t>
            </w:r>
            <w:r>
              <w:rPr>
                <w:rFonts w:ascii="宋体" w:hAnsi="宋体" w:cs="宋体" w:eastAsia="宋体" w:hint="default"/>
                <w:sz w:val="20"/>
                <w:szCs w:val="20"/>
              </w:rPr>
              <w:t> </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5" w:right="0"/>
              <w:jc w:val="left"/>
              <w:rPr>
                <w:rFonts w:ascii="宋体" w:hAnsi="宋体" w:cs="宋体" w:eastAsia="宋体" w:hint="default"/>
                <w:sz w:val="20"/>
                <w:szCs w:val="20"/>
              </w:rPr>
            </w:pPr>
            <w:r>
              <w:rPr>
                <w:rFonts w:ascii="宋体" w:hAnsi="宋体" w:cs="宋体" w:eastAsia="宋体" w:hint="default"/>
                <w:sz w:val="20"/>
                <w:szCs w:val="20"/>
              </w:rPr>
              <w:t>目前按计划正常推进中</w:t>
            </w:r>
            <w:r>
              <w:rPr>
                <w:rFonts w:ascii="宋体" w:hAnsi="宋体" w:cs="宋体" w:eastAsia="宋体" w:hint="default"/>
                <w:sz w:val="20"/>
                <w:szCs w:val="20"/>
              </w:rPr>
              <w:t> </w:t>
            </w:r>
          </w:p>
        </w:tc>
      </w:tr>
      <w:tr>
        <w:trPr>
          <w:trHeight w:val="322" w:hRule="exact"/>
        </w:trPr>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
              <w:jc w:val="right"/>
              <w:rPr>
                <w:rFonts w:ascii="宋体" w:hAnsi="宋体" w:cs="宋体" w:eastAsia="宋体" w:hint="default"/>
                <w:sz w:val="20"/>
                <w:szCs w:val="20"/>
              </w:rPr>
            </w:pPr>
            <w:r>
              <w:rPr>
                <w:rFonts w:ascii="宋体"/>
                <w:spacing w:val="-1"/>
                <w:sz w:val="20"/>
              </w:rPr>
              <w:t>15</w:t>
            </w:r>
            <w:r>
              <w:rPr>
                <w:rFonts w:ascii="宋体"/>
                <w:sz w:val="20"/>
              </w:rPr>
              <w:t> </w:t>
            </w:r>
          </w:p>
        </w:tc>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5" w:right="0"/>
              <w:jc w:val="left"/>
              <w:rPr>
                <w:rFonts w:ascii="宋体" w:hAnsi="宋体" w:cs="宋体" w:eastAsia="宋体" w:hint="default"/>
                <w:sz w:val="20"/>
                <w:szCs w:val="20"/>
              </w:rPr>
            </w:pPr>
            <w:r>
              <w:rPr>
                <w:rFonts w:ascii="宋体" w:hAnsi="宋体" w:cs="宋体" w:eastAsia="宋体" w:hint="default"/>
                <w:sz w:val="20"/>
                <w:szCs w:val="20"/>
              </w:rPr>
              <w:t>容器云环境下网络通信及控制软件</w:t>
            </w:r>
            <w:r>
              <w:rPr>
                <w:rFonts w:ascii="宋体" w:hAnsi="宋体" w:cs="宋体" w:eastAsia="宋体" w:hint="default"/>
                <w:spacing w:val="-51"/>
                <w:sz w:val="20"/>
                <w:szCs w:val="20"/>
              </w:rPr>
              <w:t> </w:t>
            </w:r>
            <w:r>
              <w:rPr>
                <w:rFonts w:ascii="宋体" w:hAnsi="宋体" w:cs="宋体" w:eastAsia="宋体" w:hint="default"/>
                <w:sz w:val="20"/>
                <w:szCs w:val="20"/>
              </w:rPr>
              <w:t>V1.0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0"/>
                <w:szCs w:val="20"/>
              </w:rPr>
            </w:pPr>
            <w:r>
              <w:rPr>
                <w:rFonts w:ascii="宋体" w:hAnsi="宋体" w:cs="宋体" w:eastAsia="宋体" w:hint="default"/>
                <w:sz w:val="20"/>
                <w:szCs w:val="20"/>
              </w:rPr>
              <w:t>自主研发</w:t>
            </w:r>
            <w:r>
              <w:rPr>
                <w:rFonts w:ascii="宋体" w:hAnsi="宋体" w:cs="宋体" w:eastAsia="宋体" w:hint="default"/>
                <w:sz w:val="20"/>
                <w:szCs w:val="20"/>
              </w:rPr>
              <w:t> </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5" w:right="0"/>
              <w:jc w:val="left"/>
              <w:rPr>
                <w:rFonts w:ascii="宋体" w:hAnsi="宋体" w:cs="宋体" w:eastAsia="宋体" w:hint="default"/>
                <w:sz w:val="20"/>
                <w:szCs w:val="20"/>
              </w:rPr>
            </w:pPr>
            <w:r>
              <w:rPr>
                <w:rFonts w:ascii="宋体" w:hAnsi="宋体" w:cs="宋体" w:eastAsia="宋体" w:hint="default"/>
                <w:sz w:val="20"/>
                <w:szCs w:val="20"/>
              </w:rPr>
              <w:t>目前按计划已经完成</w:t>
            </w:r>
            <w:r>
              <w:rPr>
                <w:rFonts w:ascii="宋体" w:hAnsi="宋体" w:cs="宋体" w:eastAsia="宋体" w:hint="default"/>
                <w:sz w:val="20"/>
                <w:szCs w:val="20"/>
              </w:rPr>
              <w:t> </w:t>
            </w:r>
          </w:p>
        </w:tc>
      </w:tr>
      <w:tr>
        <w:trPr>
          <w:trHeight w:val="322" w:hRule="exact"/>
        </w:trPr>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
              <w:jc w:val="right"/>
              <w:rPr>
                <w:rFonts w:ascii="宋体" w:hAnsi="宋体" w:cs="宋体" w:eastAsia="宋体" w:hint="default"/>
                <w:sz w:val="20"/>
                <w:szCs w:val="20"/>
              </w:rPr>
            </w:pPr>
            <w:r>
              <w:rPr>
                <w:rFonts w:ascii="宋体"/>
                <w:spacing w:val="-1"/>
                <w:sz w:val="20"/>
              </w:rPr>
              <w:t>16</w:t>
            </w:r>
            <w:r>
              <w:rPr>
                <w:rFonts w:ascii="宋体"/>
                <w:sz w:val="20"/>
              </w:rPr>
              <w:t> </w:t>
            </w:r>
          </w:p>
        </w:tc>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5" w:right="0"/>
              <w:jc w:val="left"/>
              <w:rPr>
                <w:rFonts w:ascii="宋体" w:hAnsi="宋体" w:cs="宋体" w:eastAsia="宋体" w:hint="default"/>
                <w:sz w:val="20"/>
                <w:szCs w:val="20"/>
              </w:rPr>
            </w:pPr>
            <w:r>
              <w:rPr>
                <w:rFonts w:ascii="宋体" w:hAnsi="宋体" w:cs="宋体" w:eastAsia="宋体" w:hint="default"/>
                <w:sz w:val="20"/>
                <w:szCs w:val="20"/>
              </w:rPr>
              <w:t>云管理平台中运营中心软件</w:t>
            </w:r>
            <w:r>
              <w:rPr>
                <w:rFonts w:ascii="宋体" w:hAnsi="宋体" w:cs="宋体" w:eastAsia="宋体" w:hint="default"/>
                <w:spacing w:val="-52"/>
                <w:sz w:val="20"/>
                <w:szCs w:val="20"/>
              </w:rPr>
              <w:t> </w:t>
            </w:r>
            <w:r>
              <w:rPr>
                <w:rFonts w:ascii="宋体" w:hAnsi="宋体" w:cs="宋体" w:eastAsia="宋体" w:hint="default"/>
                <w:sz w:val="20"/>
                <w:szCs w:val="20"/>
              </w:rPr>
              <w:t>V1.0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0"/>
                <w:szCs w:val="20"/>
              </w:rPr>
            </w:pPr>
            <w:r>
              <w:rPr>
                <w:rFonts w:ascii="宋体" w:hAnsi="宋体" w:cs="宋体" w:eastAsia="宋体" w:hint="default"/>
                <w:sz w:val="20"/>
                <w:szCs w:val="20"/>
              </w:rPr>
              <w:t>自主研发</w:t>
            </w:r>
            <w:r>
              <w:rPr>
                <w:rFonts w:ascii="宋体" w:hAnsi="宋体" w:cs="宋体" w:eastAsia="宋体" w:hint="default"/>
                <w:sz w:val="20"/>
                <w:szCs w:val="20"/>
              </w:rPr>
              <w:t> </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5" w:right="0"/>
              <w:jc w:val="left"/>
              <w:rPr>
                <w:rFonts w:ascii="宋体" w:hAnsi="宋体" w:cs="宋体" w:eastAsia="宋体" w:hint="default"/>
                <w:sz w:val="20"/>
                <w:szCs w:val="20"/>
              </w:rPr>
            </w:pPr>
            <w:r>
              <w:rPr>
                <w:rFonts w:ascii="宋体" w:hAnsi="宋体" w:cs="宋体" w:eastAsia="宋体" w:hint="default"/>
                <w:sz w:val="20"/>
                <w:szCs w:val="20"/>
              </w:rPr>
              <w:t>目前按计划已经完成</w:t>
            </w:r>
            <w:r>
              <w:rPr>
                <w:rFonts w:ascii="宋体" w:hAnsi="宋体" w:cs="宋体" w:eastAsia="宋体" w:hint="default"/>
                <w:sz w:val="20"/>
                <w:szCs w:val="20"/>
              </w:rPr>
              <w:t> </w:t>
            </w:r>
          </w:p>
        </w:tc>
      </w:tr>
      <w:tr>
        <w:trPr>
          <w:trHeight w:val="322" w:hRule="exact"/>
        </w:trPr>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
              <w:jc w:val="right"/>
              <w:rPr>
                <w:rFonts w:ascii="宋体" w:hAnsi="宋体" w:cs="宋体" w:eastAsia="宋体" w:hint="default"/>
                <w:sz w:val="20"/>
                <w:szCs w:val="20"/>
              </w:rPr>
            </w:pPr>
            <w:r>
              <w:rPr>
                <w:rFonts w:ascii="宋体"/>
                <w:spacing w:val="-1"/>
                <w:sz w:val="20"/>
              </w:rPr>
              <w:t>17</w:t>
            </w:r>
            <w:r>
              <w:rPr>
                <w:rFonts w:ascii="宋体"/>
                <w:sz w:val="20"/>
              </w:rPr>
              <w:t> </w:t>
            </w:r>
          </w:p>
        </w:tc>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5" w:right="0"/>
              <w:jc w:val="left"/>
              <w:rPr>
                <w:rFonts w:ascii="宋体" w:hAnsi="宋体" w:cs="宋体" w:eastAsia="宋体" w:hint="default"/>
                <w:sz w:val="20"/>
                <w:szCs w:val="20"/>
              </w:rPr>
            </w:pPr>
            <w:r>
              <w:rPr>
                <w:rFonts w:ascii="宋体" w:hAnsi="宋体" w:cs="宋体" w:eastAsia="宋体" w:hint="default"/>
                <w:sz w:val="20"/>
                <w:szCs w:val="20"/>
              </w:rPr>
              <w:t>天玑数据超融合存储一体化平台软件</w:t>
            </w:r>
            <w:r>
              <w:rPr>
                <w:rFonts w:ascii="宋体" w:hAnsi="宋体" w:cs="宋体" w:eastAsia="宋体" w:hint="default"/>
                <w:spacing w:val="-52"/>
                <w:sz w:val="20"/>
                <w:szCs w:val="20"/>
              </w:rPr>
              <w:t> </w:t>
            </w:r>
            <w:r>
              <w:rPr>
                <w:rFonts w:ascii="宋体" w:hAnsi="宋体" w:cs="宋体" w:eastAsia="宋体" w:hint="default"/>
                <w:sz w:val="20"/>
                <w:szCs w:val="20"/>
              </w:rPr>
              <w:t>V1.0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0"/>
                <w:szCs w:val="20"/>
              </w:rPr>
            </w:pPr>
            <w:r>
              <w:rPr>
                <w:rFonts w:ascii="宋体" w:hAnsi="宋体" w:cs="宋体" w:eastAsia="宋体" w:hint="default"/>
                <w:sz w:val="20"/>
                <w:szCs w:val="20"/>
              </w:rPr>
              <w:t>自主研发</w:t>
            </w:r>
            <w:r>
              <w:rPr>
                <w:rFonts w:ascii="宋体" w:hAnsi="宋体" w:cs="宋体" w:eastAsia="宋体" w:hint="default"/>
                <w:sz w:val="20"/>
                <w:szCs w:val="20"/>
              </w:rPr>
              <w:t> </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5" w:right="0"/>
              <w:jc w:val="left"/>
              <w:rPr>
                <w:rFonts w:ascii="宋体" w:hAnsi="宋体" w:cs="宋体" w:eastAsia="宋体" w:hint="default"/>
                <w:sz w:val="20"/>
                <w:szCs w:val="20"/>
              </w:rPr>
            </w:pPr>
            <w:r>
              <w:rPr>
                <w:rFonts w:ascii="宋体" w:hAnsi="宋体" w:cs="宋体" w:eastAsia="宋体" w:hint="default"/>
                <w:sz w:val="20"/>
                <w:szCs w:val="20"/>
              </w:rPr>
              <w:t>目前按计划已经完成</w:t>
            </w:r>
            <w:r>
              <w:rPr>
                <w:rFonts w:ascii="宋体" w:hAnsi="宋体" w:cs="宋体" w:eastAsia="宋体" w:hint="default"/>
                <w:sz w:val="20"/>
                <w:szCs w:val="20"/>
              </w:rPr>
              <w:t> </w:t>
            </w:r>
          </w:p>
        </w:tc>
      </w:tr>
      <w:tr>
        <w:trPr>
          <w:trHeight w:val="322" w:hRule="exact"/>
        </w:trPr>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
              <w:jc w:val="right"/>
              <w:rPr>
                <w:rFonts w:ascii="宋体" w:hAnsi="宋体" w:cs="宋体" w:eastAsia="宋体" w:hint="default"/>
                <w:sz w:val="20"/>
                <w:szCs w:val="20"/>
              </w:rPr>
            </w:pPr>
            <w:r>
              <w:rPr>
                <w:rFonts w:ascii="宋体"/>
                <w:spacing w:val="-1"/>
                <w:sz w:val="20"/>
              </w:rPr>
              <w:t>18</w:t>
            </w:r>
            <w:r>
              <w:rPr>
                <w:rFonts w:ascii="宋体"/>
                <w:sz w:val="20"/>
              </w:rPr>
              <w:t> </w:t>
            </w:r>
          </w:p>
        </w:tc>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5" w:right="0"/>
              <w:jc w:val="left"/>
              <w:rPr>
                <w:rFonts w:ascii="宋体" w:hAnsi="宋体" w:cs="宋体" w:eastAsia="宋体" w:hint="default"/>
                <w:sz w:val="20"/>
                <w:szCs w:val="20"/>
              </w:rPr>
            </w:pPr>
            <w:r>
              <w:rPr>
                <w:rFonts w:ascii="宋体" w:hAnsi="宋体" w:cs="宋体" w:eastAsia="宋体" w:hint="default"/>
                <w:sz w:val="20"/>
                <w:szCs w:val="20"/>
              </w:rPr>
              <w:t>基于集群共享的分布式文件存储系统</w:t>
            </w:r>
            <w:r>
              <w:rPr>
                <w:rFonts w:ascii="宋体" w:hAnsi="宋体" w:cs="宋体" w:eastAsia="宋体" w:hint="default"/>
                <w:spacing w:val="-52"/>
                <w:sz w:val="20"/>
                <w:szCs w:val="20"/>
              </w:rPr>
              <w:t> </w:t>
            </w:r>
            <w:r>
              <w:rPr>
                <w:rFonts w:ascii="宋体" w:hAnsi="宋体" w:cs="宋体" w:eastAsia="宋体" w:hint="default"/>
                <w:sz w:val="20"/>
                <w:szCs w:val="20"/>
              </w:rPr>
              <w:t>V1.0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0"/>
                <w:szCs w:val="20"/>
              </w:rPr>
            </w:pPr>
            <w:r>
              <w:rPr>
                <w:rFonts w:ascii="宋体" w:hAnsi="宋体" w:cs="宋体" w:eastAsia="宋体" w:hint="default"/>
                <w:sz w:val="20"/>
                <w:szCs w:val="20"/>
              </w:rPr>
              <w:t>自主研发</w:t>
            </w:r>
            <w:r>
              <w:rPr>
                <w:rFonts w:ascii="宋体" w:hAnsi="宋体" w:cs="宋体" w:eastAsia="宋体" w:hint="default"/>
                <w:sz w:val="20"/>
                <w:szCs w:val="20"/>
              </w:rPr>
              <w:t> </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5" w:right="0"/>
              <w:jc w:val="left"/>
              <w:rPr>
                <w:rFonts w:ascii="宋体" w:hAnsi="宋体" w:cs="宋体" w:eastAsia="宋体" w:hint="default"/>
                <w:sz w:val="20"/>
                <w:szCs w:val="20"/>
              </w:rPr>
            </w:pPr>
            <w:r>
              <w:rPr>
                <w:rFonts w:ascii="宋体" w:hAnsi="宋体" w:cs="宋体" w:eastAsia="宋体" w:hint="default"/>
                <w:sz w:val="20"/>
                <w:szCs w:val="20"/>
              </w:rPr>
              <w:t>目前按计划已经完成</w:t>
            </w:r>
            <w:r>
              <w:rPr>
                <w:rFonts w:ascii="宋体" w:hAnsi="宋体" w:cs="宋体" w:eastAsia="宋体" w:hint="default"/>
                <w:sz w:val="20"/>
                <w:szCs w:val="20"/>
              </w:rPr>
              <w:t> </w:t>
            </w:r>
          </w:p>
        </w:tc>
      </w:tr>
      <w:tr>
        <w:trPr>
          <w:trHeight w:val="324" w:hRule="exact"/>
        </w:trPr>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right"/>
              <w:rPr>
                <w:rFonts w:ascii="宋体" w:hAnsi="宋体" w:cs="宋体" w:eastAsia="宋体" w:hint="default"/>
                <w:sz w:val="20"/>
                <w:szCs w:val="20"/>
              </w:rPr>
            </w:pPr>
            <w:r>
              <w:rPr>
                <w:rFonts w:ascii="宋体"/>
                <w:spacing w:val="-1"/>
                <w:sz w:val="20"/>
              </w:rPr>
              <w:t>19</w:t>
            </w:r>
            <w:r>
              <w:rPr>
                <w:rFonts w:ascii="宋体"/>
                <w:sz w:val="20"/>
              </w:rPr>
              <w:t> </w:t>
            </w:r>
          </w:p>
        </w:tc>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5" w:right="0"/>
              <w:jc w:val="left"/>
              <w:rPr>
                <w:rFonts w:ascii="宋体" w:hAnsi="宋体" w:cs="宋体" w:eastAsia="宋体" w:hint="default"/>
                <w:sz w:val="20"/>
                <w:szCs w:val="20"/>
              </w:rPr>
            </w:pPr>
            <w:r>
              <w:rPr>
                <w:rFonts w:ascii="宋体" w:hAnsi="宋体" w:cs="宋体" w:eastAsia="宋体" w:hint="default"/>
                <w:sz w:val="20"/>
                <w:szCs w:val="20"/>
              </w:rPr>
              <w:t>天玑数据机器学习</w:t>
            </w:r>
            <w:r>
              <w:rPr>
                <w:rFonts w:ascii="宋体" w:hAnsi="宋体" w:cs="宋体" w:eastAsia="宋体" w:hint="default"/>
                <w:spacing w:val="-52"/>
                <w:sz w:val="20"/>
                <w:szCs w:val="20"/>
              </w:rPr>
              <w:t> </w:t>
            </w:r>
            <w:r>
              <w:rPr>
                <w:rFonts w:ascii="宋体" w:hAnsi="宋体" w:cs="宋体" w:eastAsia="宋体" w:hint="default"/>
                <w:sz w:val="20"/>
                <w:szCs w:val="20"/>
              </w:rPr>
              <w:t>SQL</w:t>
            </w:r>
            <w:r>
              <w:rPr>
                <w:rFonts w:ascii="宋体" w:hAnsi="宋体" w:cs="宋体" w:eastAsia="宋体" w:hint="default"/>
                <w:spacing w:val="-50"/>
                <w:sz w:val="20"/>
                <w:szCs w:val="20"/>
              </w:rPr>
              <w:t> </w:t>
            </w:r>
            <w:r>
              <w:rPr>
                <w:rFonts w:ascii="宋体" w:hAnsi="宋体" w:cs="宋体" w:eastAsia="宋体" w:hint="default"/>
                <w:sz w:val="20"/>
                <w:szCs w:val="20"/>
              </w:rPr>
              <w:t>语句检测系统</w:t>
            </w:r>
            <w:r>
              <w:rPr>
                <w:rFonts w:ascii="宋体" w:hAnsi="宋体" w:cs="宋体" w:eastAsia="宋体" w:hint="default"/>
                <w:spacing w:val="-52"/>
                <w:sz w:val="20"/>
                <w:szCs w:val="20"/>
              </w:rPr>
              <w:t> </w:t>
            </w:r>
            <w:r>
              <w:rPr>
                <w:rFonts w:ascii="宋体" w:hAnsi="宋体" w:cs="宋体" w:eastAsia="宋体" w:hint="default"/>
                <w:sz w:val="20"/>
                <w:szCs w:val="20"/>
              </w:rPr>
              <w:t>V1.0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自主研发</w:t>
            </w:r>
            <w:r>
              <w:rPr>
                <w:rFonts w:ascii="宋体" w:hAnsi="宋体" w:cs="宋体" w:eastAsia="宋体" w:hint="default"/>
                <w:sz w:val="20"/>
                <w:szCs w:val="20"/>
              </w:rPr>
              <w:t> </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5" w:right="0"/>
              <w:jc w:val="left"/>
              <w:rPr>
                <w:rFonts w:ascii="宋体" w:hAnsi="宋体" w:cs="宋体" w:eastAsia="宋体" w:hint="default"/>
                <w:sz w:val="20"/>
                <w:szCs w:val="20"/>
              </w:rPr>
            </w:pPr>
            <w:r>
              <w:rPr>
                <w:rFonts w:ascii="宋体" w:hAnsi="宋体" w:cs="宋体" w:eastAsia="宋体" w:hint="default"/>
                <w:sz w:val="20"/>
                <w:szCs w:val="20"/>
              </w:rPr>
              <w:t>目前按计划已经完成</w:t>
            </w:r>
            <w:r>
              <w:rPr>
                <w:rFonts w:ascii="宋体" w:hAnsi="宋体" w:cs="宋体" w:eastAsia="宋体" w:hint="default"/>
                <w:sz w:val="20"/>
                <w:szCs w:val="20"/>
              </w:rPr>
              <w:t> </w:t>
            </w:r>
          </w:p>
        </w:tc>
      </w:tr>
      <w:tr>
        <w:trPr>
          <w:trHeight w:val="322" w:hRule="exact"/>
        </w:trPr>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
              <w:jc w:val="right"/>
              <w:rPr>
                <w:rFonts w:ascii="宋体" w:hAnsi="宋体" w:cs="宋体" w:eastAsia="宋体" w:hint="default"/>
                <w:sz w:val="20"/>
                <w:szCs w:val="20"/>
              </w:rPr>
            </w:pPr>
            <w:r>
              <w:rPr>
                <w:rFonts w:ascii="宋体"/>
                <w:spacing w:val="-1"/>
                <w:sz w:val="20"/>
              </w:rPr>
              <w:t>20</w:t>
            </w:r>
            <w:r>
              <w:rPr>
                <w:rFonts w:ascii="宋体"/>
                <w:sz w:val="20"/>
              </w:rPr>
              <w:t> </w:t>
            </w:r>
          </w:p>
        </w:tc>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5" w:right="0"/>
              <w:jc w:val="left"/>
              <w:rPr>
                <w:rFonts w:ascii="宋体" w:hAnsi="宋体" w:cs="宋体" w:eastAsia="宋体" w:hint="default"/>
                <w:sz w:val="20"/>
                <w:szCs w:val="20"/>
              </w:rPr>
            </w:pPr>
            <w:r>
              <w:rPr>
                <w:rFonts w:ascii="宋体" w:hAnsi="宋体" w:cs="宋体" w:eastAsia="宋体" w:hint="default"/>
                <w:sz w:val="20"/>
                <w:szCs w:val="20"/>
              </w:rPr>
              <w:t>天玑数据机器学习场景运维系统</w:t>
            </w:r>
            <w:r>
              <w:rPr>
                <w:rFonts w:ascii="宋体" w:hAnsi="宋体" w:cs="宋体" w:eastAsia="宋体" w:hint="default"/>
                <w:spacing w:val="-53"/>
                <w:sz w:val="20"/>
                <w:szCs w:val="20"/>
              </w:rPr>
              <w:t> </w:t>
            </w:r>
            <w:r>
              <w:rPr>
                <w:rFonts w:ascii="宋体" w:hAnsi="宋体" w:cs="宋体" w:eastAsia="宋体" w:hint="default"/>
                <w:sz w:val="20"/>
                <w:szCs w:val="20"/>
              </w:rPr>
              <w:t>V1.0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0"/>
                <w:szCs w:val="20"/>
              </w:rPr>
            </w:pPr>
            <w:r>
              <w:rPr>
                <w:rFonts w:ascii="宋体" w:hAnsi="宋体" w:cs="宋体" w:eastAsia="宋体" w:hint="default"/>
                <w:sz w:val="20"/>
                <w:szCs w:val="20"/>
              </w:rPr>
              <w:t>自主研发</w:t>
            </w:r>
            <w:r>
              <w:rPr>
                <w:rFonts w:ascii="宋体" w:hAnsi="宋体" w:cs="宋体" w:eastAsia="宋体" w:hint="default"/>
                <w:sz w:val="20"/>
                <w:szCs w:val="20"/>
              </w:rPr>
              <w:t> </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5" w:right="0"/>
              <w:jc w:val="left"/>
              <w:rPr>
                <w:rFonts w:ascii="宋体" w:hAnsi="宋体" w:cs="宋体" w:eastAsia="宋体" w:hint="default"/>
                <w:sz w:val="20"/>
                <w:szCs w:val="20"/>
              </w:rPr>
            </w:pPr>
            <w:r>
              <w:rPr>
                <w:rFonts w:ascii="宋体" w:hAnsi="宋体" w:cs="宋体" w:eastAsia="宋体" w:hint="default"/>
                <w:sz w:val="20"/>
                <w:szCs w:val="20"/>
              </w:rPr>
              <w:t>目前按计划已经完成</w:t>
            </w:r>
            <w:r>
              <w:rPr>
                <w:rFonts w:ascii="宋体" w:hAnsi="宋体" w:cs="宋体" w:eastAsia="宋体" w:hint="default"/>
                <w:sz w:val="20"/>
                <w:szCs w:val="20"/>
              </w:rPr>
              <w:t> </w:t>
            </w:r>
          </w:p>
        </w:tc>
      </w:tr>
    </w:tbl>
    <w:p>
      <w:pPr>
        <w:spacing w:line="240" w:lineRule="auto" w:before="2"/>
        <w:rPr>
          <w:rFonts w:ascii="宋体" w:hAnsi="宋体" w:cs="宋体" w:eastAsia="宋体" w:hint="default"/>
          <w:sz w:val="24"/>
          <w:szCs w:val="24"/>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近三年公司研发投入金额及占营业收入的比例</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225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266</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32.19%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36.79%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19.73%</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37,466,671.16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48,196,986.41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43,772,092.50</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10.42%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11.55%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11.08%</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10,289,358.03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13,715,115.61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27.46%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28.46%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32.10%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27.07%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研发投入总额占营业收入的比重较上年发生显著变化的原因</w:t>
      </w:r>
    </w:p>
    <w:p>
      <w:pPr>
        <w:spacing w:after="0"/>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5"/>
          <w:szCs w:val="25"/>
        </w:rPr>
      </w:pPr>
    </w:p>
    <w:p>
      <w:pPr>
        <w:spacing w:line="340" w:lineRule="auto" w:before="44"/>
        <w:ind w:left="152" w:right="58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研发投入资本化率大幅变动的原因及其合理性说明</w:t>
      </w:r>
    </w:p>
    <w:p>
      <w:pPr>
        <w:spacing w:before="39"/>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419,196,625.82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416,626,003.78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0.62%</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373,185,280.90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361,112,194.48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3.34%</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46,011,344.92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55,513,809.30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-17.12%</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42,788,900.36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33,713,898.49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26.92%</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13,630,825.90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229,973,993.21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-94.07%</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29,158,074.46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-196,260,094.72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114.86%</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591,810,761.02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95,585,800.00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519.14%</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69,308,566.31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29,631,040.21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133.91%</w:t>
            </w:r>
          </w:p>
        </w:tc>
      </w:tr>
      <w:tr>
        <w:trPr>
          <w:trHeight w:val="716"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522,502,194.71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65,954,759.79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692.21%</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597,509,016.08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-74,611,832.81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900.82%</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相关数据同比发生重大变动的主要影响因素说明</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BodyText"/>
        <w:spacing w:line="240" w:lineRule="auto" w:before="148"/>
        <w:ind w:right="0"/>
        <w:jc w:val="left"/>
      </w:pPr>
      <w:r>
        <w:rPr>
          <w:rFonts w:ascii="Times New Roman" w:hAnsi="Times New Roman" w:cs="Times New Roman" w:eastAsia="Times New Roman" w:hint="default"/>
        </w:rPr>
        <w:t>1</w:t>
      </w:r>
      <w:r>
        <w:rPr>
          <w:rFonts w:ascii="方正舒体" w:hAnsi="方正舒体" w:cs="方正舒体" w:eastAsia="方正舒体" w:hint="default"/>
        </w:rPr>
        <w:t>、</w:t>
      </w:r>
      <w:r>
        <w:rPr/>
        <w:t>投资活动产生的现金流净额增长</w:t>
      </w:r>
      <w:r>
        <w:rPr>
          <w:rFonts w:ascii="宋体" w:hAnsi="宋体" w:cs="宋体" w:eastAsia="宋体" w:hint="default"/>
        </w:rPr>
        <w:t>114.86%</w:t>
      </w:r>
      <w:r>
        <w:rPr/>
        <w:t>，主要系</w:t>
      </w:r>
      <w:r>
        <w:rPr>
          <w:rFonts w:ascii="宋体" w:hAnsi="宋体" w:cs="宋体" w:eastAsia="宋体" w:hint="default"/>
        </w:rPr>
        <w:t>2016</w:t>
      </w:r>
      <w:r>
        <w:rPr/>
        <w:t>年公司购买研发及总部办公大楼。</w:t>
      </w:r>
    </w:p>
    <w:p>
      <w:pPr>
        <w:pStyle w:val="BodyText"/>
        <w:spacing w:line="240" w:lineRule="auto" w:before="16"/>
        <w:ind w:right="0"/>
        <w:jc w:val="left"/>
        <w:rPr>
          <w:rFonts w:ascii="宋体" w:hAnsi="宋体" w:cs="宋体" w:eastAsia="宋体" w:hint="default"/>
        </w:rPr>
      </w:pPr>
      <w:r>
        <w:rPr>
          <w:rFonts w:ascii="Times New Roman" w:hAnsi="Times New Roman" w:cs="Times New Roman" w:eastAsia="Times New Roman" w:hint="default"/>
        </w:rPr>
        <w:t>2</w:t>
      </w:r>
      <w:r>
        <w:rPr/>
        <w:t>、筹资活动产生的现金流净额增长</w:t>
      </w:r>
      <w:r>
        <w:rPr>
          <w:rFonts w:ascii="宋体" w:hAnsi="宋体" w:cs="宋体" w:eastAsia="宋体" w:hint="default"/>
        </w:rPr>
        <w:t>692.21</w:t>
      </w:r>
      <w:r>
        <w:rPr>
          <w:rFonts w:ascii="Times New Roman" w:hAnsi="Times New Roman" w:cs="Times New Roman" w:eastAsia="Times New Roman" w:hint="default"/>
        </w:rPr>
        <w:t>%</w:t>
      </w:r>
      <w:r>
        <w:rPr/>
        <w:t>，主要系非公定增募集资金增加所致。</w:t>
      </w:r>
      <w:r>
        <w:rPr>
          <w:rFonts w:ascii="宋体" w:hAnsi="宋体" w:cs="宋体" w:eastAsia="宋体" w:hint="default"/>
        </w:rPr>
        <w:t> </w:t>
      </w:r>
    </w:p>
    <w:p>
      <w:pPr>
        <w:spacing w:line="240" w:lineRule="auto" w:before="2"/>
        <w:rPr>
          <w:rFonts w:ascii="宋体" w:hAnsi="宋体" w:cs="宋体" w:eastAsia="宋体" w:hint="default"/>
          <w:sz w:val="30"/>
          <w:szCs w:val="30"/>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报告期内公司经营活动产生的现金净流量与本年度净利润存在重大差异的原因说明</w:t>
      </w:r>
    </w:p>
    <w:p>
      <w:pPr>
        <w:spacing w:before="118"/>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三、非主营业务情况</w:t>
      </w:r>
      <w:r>
        <w:rPr>
          <w:b w:val="0"/>
          <w:bCs w:val="0"/>
        </w:rPr>
      </w:r>
    </w:p>
    <w:p>
      <w:pPr>
        <w:spacing w:line="240" w:lineRule="auto" w:before="1"/>
        <w:rPr>
          <w:rFonts w:ascii="宋体" w:hAnsi="宋体" w:cs="宋体" w:eastAsia="宋体" w:hint="default"/>
          <w:b/>
          <w:bCs/>
          <w:sz w:val="23"/>
          <w:szCs w:val="23"/>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3"/>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12"/>
        <w:gridCol w:w="1916"/>
        <w:gridCol w:w="1622"/>
        <w:gridCol w:w="2451"/>
        <w:gridCol w:w="2057"/>
      </w:tblGrid>
      <w:tr>
        <w:trPr>
          <w:trHeight w:val="402"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77"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4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82"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05"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401"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837" w:right="0"/>
              <w:jc w:val="left"/>
              <w:rPr>
                <w:rFonts w:ascii="Times New Roman" w:hAnsi="Times New Roman" w:cs="Times New Roman" w:eastAsia="Times New Roman" w:hint="default"/>
                <w:sz w:val="18"/>
                <w:szCs w:val="18"/>
              </w:rPr>
            </w:pPr>
            <w:r>
              <w:rPr>
                <w:rFonts w:ascii="Times New Roman"/>
                <w:sz w:val="18"/>
              </w:rPr>
              <w:t>26,299,967.62</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6" w:right="0"/>
              <w:jc w:val="left"/>
              <w:rPr>
                <w:rFonts w:ascii="Times New Roman" w:hAnsi="Times New Roman" w:cs="Times New Roman" w:eastAsia="Times New Roman" w:hint="default"/>
                <w:sz w:val="18"/>
                <w:szCs w:val="18"/>
              </w:rPr>
            </w:pPr>
            <w:r>
              <w:rPr>
                <w:rFonts w:ascii="Times New Roman"/>
                <w:sz w:val="18"/>
              </w:rPr>
              <w:t>66.56%</w:t>
            </w:r>
          </w:p>
        </w:tc>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主要系处置复深蓝股权所致</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3"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10" w:space="0" w:color="D2D2D2"/>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42" w:right="0"/>
              <w:jc w:val="left"/>
              <w:rPr>
                <w:rFonts w:ascii="Times New Roman" w:hAnsi="Times New Roman" w:cs="Times New Roman" w:eastAsia="Times New Roman" w:hint="default"/>
                <w:sz w:val="18"/>
                <w:szCs w:val="18"/>
              </w:rPr>
            </w:pPr>
            <w:r>
              <w:rPr>
                <w:rFonts w:ascii="Times New Roman"/>
                <w:sz w:val="18"/>
              </w:rPr>
              <w:t>16,993,249.15</w:t>
            </w:r>
          </w:p>
        </w:tc>
        <w:tc>
          <w:tcPr>
            <w:tcW w:w="162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36" w:right="0"/>
              <w:jc w:val="left"/>
              <w:rPr>
                <w:rFonts w:ascii="Times New Roman" w:hAnsi="Times New Roman" w:cs="Times New Roman" w:eastAsia="Times New Roman" w:hint="default"/>
                <w:sz w:val="18"/>
                <w:szCs w:val="18"/>
              </w:rPr>
            </w:pPr>
            <w:r>
              <w:rPr>
                <w:rFonts w:ascii="Times New Roman"/>
                <w:sz w:val="18"/>
              </w:rPr>
              <w:t>43.00%</w:t>
            </w:r>
          </w:p>
        </w:tc>
        <w:tc>
          <w:tcPr>
            <w:tcW w:w="2451" w:type="dxa"/>
            <w:vMerge w:val="restart"/>
            <w:tcBorders>
              <w:top w:val="single" w:sz="4" w:space="0" w:color="000000"/>
              <w:left w:val="single" w:sz="4" w:space="0" w:color="000000"/>
              <w:right w:val="single" w:sz="4" w:space="0" w:color="000000"/>
            </w:tcBorders>
          </w:tcPr>
          <w:p>
            <w:pPr>
              <w:pStyle w:val="TableParagraph"/>
              <w:spacing w:line="316"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主要系注销卓之联其无形资产 处置损失所致</w:t>
            </w:r>
          </w:p>
        </w:tc>
        <w:tc>
          <w:tcPr>
            <w:tcW w:w="2057"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2"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vMerge/>
            <w:tcBorders>
              <w:left w:val="single" w:sz="10" w:space="0" w:color="D2D2D2"/>
              <w:right w:val="single" w:sz="4" w:space="0" w:color="000000"/>
            </w:tcBorders>
          </w:tcPr>
          <w:p>
            <w:pPr/>
          </w:p>
        </w:tc>
        <w:tc>
          <w:tcPr>
            <w:tcW w:w="1622" w:type="dxa"/>
            <w:vMerge/>
            <w:tcBorders>
              <w:left w:val="single" w:sz="4" w:space="0" w:color="000000"/>
              <w:right w:val="single" w:sz="4" w:space="0" w:color="000000"/>
            </w:tcBorders>
          </w:tcPr>
          <w:p>
            <w:pPr/>
          </w:p>
        </w:tc>
        <w:tc>
          <w:tcPr>
            <w:tcW w:w="2451" w:type="dxa"/>
            <w:vMerge/>
            <w:tcBorders>
              <w:left w:val="single" w:sz="4" w:space="0" w:color="000000"/>
              <w:right w:val="single" w:sz="4" w:space="0" w:color="000000"/>
            </w:tcBorders>
          </w:tcPr>
          <w:p>
            <w:pPr/>
          </w:p>
        </w:tc>
        <w:tc>
          <w:tcPr>
            <w:tcW w:w="2057" w:type="dxa"/>
            <w:vMerge/>
            <w:tcBorders>
              <w:left w:val="single" w:sz="4" w:space="0" w:color="000000"/>
              <w:right w:val="single" w:sz="4" w:space="0" w:color="000000"/>
            </w:tcBorders>
          </w:tcPr>
          <w:p>
            <w:pPr/>
          </w:p>
        </w:tc>
      </w:tr>
      <w:tr>
        <w:trPr>
          <w:trHeight w:val="161"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10" w:space="0" w:color="D2D2D2"/>
              <w:bottom w:val="single" w:sz="4" w:space="0" w:color="000000"/>
              <w:right w:val="single" w:sz="4" w:space="0" w:color="000000"/>
            </w:tcBorders>
          </w:tcPr>
          <w:p>
            <w:pPr/>
          </w:p>
        </w:tc>
        <w:tc>
          <w:tcPr>
            <w:tcW w:w="1622" w:type="dxa"/>
            <w:vMerge/>
            <w:tcBorders>
              <w:left w:val="single" w:sz="4" w:space="0" w:color="000000"/>
              <w:bottom w:val="single" w:sz="4" w:space="0" w:color="000000"/>
              <w:right w:val="single" w:sz="4" w:space="0" w:color="000000"/>
            </w:tcBorders>
          </w:tcPr>
          <w:p>
            <w:pPr/>
          </w:p>
        </w:tc>
        <w:tc>
          <w:tcPr>
            <w:tcW w:w="2451" w:type="dxa"/>
            <w:vMerge/>
            <w:tcBorders>
              <w:left w:val="single" w:sz="4" w:space="0" w:color="000000"/>
              <w:bottom w:val="single" w:sz="4" w:space="0" w:color="000000"/>
              <w:right w:val="single" w:sz="4" w:space="0" w:color="000000"/>
            </w:tcBorders>
          </w:tcPr>
          <w:p>
            <w:pPr/>
          </w:p>
        </w:tc>
        <w:tc>
          <w:tcPr>
            <w:tcW w:w="2057"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四、资产及负债状况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6"/>
        <w:gridCol w:w="1175"/>
        <w:gridCol w:w="1064"/>
        <w:gridCol w:w="1195"/>
        <w:gridCol w:w="1064"/>
        <w:gridCol w:w="797"/>
        <w:gridCol w:w="2919"/>
      </w:tblGrid>
      <w:tr>
        <w:trPr>
          <w:trHeight w:val="379" w:hRule="exact"/>
        </w:trPr>
        <w:tc>
          <w:tcPr>
            <w:tcW w:w="1346" w:type="dxa"/>
            <w:tcBorders>
              <w:top w:val="single" w:sz="4" w:space="0" w:color="000000"/>
              <w:left w:val="single" w:sz="4" w:space="0" w:color="000000"/>
              <w:bottom w:val="single" w:sz="13" w:space="0" w:color="FFFFFF"/>
              <w:right w:val="single" w:sz="4" w:space="0" w:color="000000"/>
            </w:tcBorders>
            <w:shd w:val="clear" w:color="auto" w:fill="D2D2D2"/>
          </w:tcPr>
          <w:p>
            <w:pPr/>
          </w:p>
        </w:tc>
        <w:tc>
          <w:tcPr>
            <w:tcW w:w="2239" w:type="dxa"/>
            <w:gridSpan w:val="2"/>
            <w:tcBorders>
              <w:top w:val="single" w:sz="4" w:space="0" w:color="000000"/>
              <w:left w:val="single" w:sz="4" w:space="0" w:color="000000"/>
              <w:bottom w:val="single" w:sz="13" w:space="0" w:color="FFFFFF"/>
              <w:right w:val="single" w:sz="4" w:space="0" w:color="000000"/>
            </w:tcBorders>
            <w:shd w:val="clear" w:color="auto" w:fill="D2D2D2"/>
          </w:tcPr>
          <w:p>
            <w:pPr>
              <w:pStyle w:val="TableParagraph"/>
              <w:spacing w:line="240" w:lineRule="auto" w:before="49"/>
              <w:ind w:left="73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13" w:space="0" w:color="FFFFFF"/>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797" w:type="dxa"/>
            <w:tcBorders>
              <w:top w:val="single" w:sz="4" w:space="0" w:color="000000"/>
              <w:left w:val="single" w:sz="4" w:space="0" w:color="000000"/>
              <w:bottom w:val="single" w:sz="13" w:space="0" w:color="FFFFFF"/>
              <w:right w:val="single" w:sz="4" w:space="0" w:color="000000"/>
            </w:tcBorders>
            <w:shd w:val="clear" w:color="auto" w:fill="D2D2D2"/>
          </w:tcPr>
          <w:p>
            <w:pPr/>
          </w:p>
        </w:tc>
        <w:tc>
          <w:tcPr>
            <w:tcW w:w="2919" w:type="dxa"/>
            <w:tcBorders>
              <w:top w:val="single" w:sz="4" w:space="0" w:color="000000"/>
              <w:left w:val="single" w:sz="4" w:space="0" w:color="000000"/>
              <w:bottom w:val="single" w:sz="13" w:space="0" w:color="FFFFFF"/>
              <w:right w:val="single" w:sz="4" w:space="0" w:color="000000"/>
            </w:tcBorders>
            <w:shd w:val="clear" w:color="auto" w:fill="D2D2D2"/>
          </w:tcPr>
          <w:p>
            <w:pPr/>
          </w:p>
        </w:tc>
      </w:tr>
      <w:tr>
        <w:trPr>
          <w:trHeight w:val="182" w:hRule="exact"/>
        </w:trPr>
        <w:tc>
          <w:tcPr>
            <w:tcW w:w="1346" w:type="dxa"/>
            <w:vMerge w:val="restart"/>
            <w:tcBorders>
              <w:top w:val="single" w:sz="13" w:space="0" w:color="FFFFFF"/>
              <w:left w:val="single" w:sz="4" w:space="0" w:color="000000"/>
              <w:right w:val="single" w:sz="4" w:space="0" w:color="000000"/>
            </w:tcBorders>
            <w:shd w:val="clear" w:color="auto" w:fill="D2D2D2"/>
          </w:tcPr>
          <w:p>
            <w:pPr/>
          </w:p>
        </w:tc>
        <w:tc>
          <w:tcPr>
            <w:tcW w:w="1175" w:type="dxa"/>
            <w:tcBorders>
              <w:top w:val="single" w:sz="13" w:space="0" w:color="FFFFFF"/>
              <w:left w:val="single" w:sz="4" w:space="0" w:color="000000"/>
              <w:bottom w:val="nil" w:sz="6" w:space="0" w:color="auto"/>
              <w:right w:val="single" w:sz="4" w:space="0" w:color="000000"/>
            </w:tcBorders>
            <w:shd w:val="clear" w:color="auto" w:fill="D2D2D2"/>
          </w:tcPr>
          <w:p>
            <w:pPr/>
          </w:p>
        </w:tc>
        <w:tc>
          <w:tcPr>
            <w:tcW w:w="1064" w:type="dxa"/>
            <w:vMerge w:val="restart"/>
            <w:tcBorders>
              <w:top w:val="single" w:sz="13" w:space="0" w:color="FFFFFF"/>
              <w:left w:val="single" w:sz="4" w:space="0" w:color="000000"/>
              <w:right w:val="single" w:sz="4" w:space="0" w:color="000000"/>
            </w:tcBorders>
            <w:shd w:val="clear" w:color="auto" w:fill="D2D2D2"/>
          </w:tcPr>
          <w:p>
            <w:pPr>
              <w:pStyle w:val="TableParagraph"/>
              <w:spacing w:line="316" w:lineRule="auto" w:before="58"/>
              <w:ind w:left="437" w:right="75" w:hanging="361"/>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5" w:type="dxa"/>
            <w:tcBorders>
              <w:top w:val="single" w:sz="13" w:space="0" w:color="FFFFFF"/>
              <w:left w:val="single" w:sz="4" w:space="0" w:color="000000"/>
              <w:bottom w:val="nil" w:sz="6" w:space="0" w:color="auto"/>
              <w:right w:val="single" w:sz="4" w:space="0" w:color="000000"/>
            </w:tcBorders>
            <w:shd w:val="clear" w:color="auto" w:fill="D2D2D2"/>
          </w:tcPr>
          <w:p>
            <w:pPr/>
          </w:p>
        </w:tc>
        <w:tc>
          <w:tcPr>
            <w:tcW w:w="1064" w:type="dxa"/>
            <w:vMerge w:val="restart"/>
            <w:tcBorders>
              <w:top w:val="single" w:sz="13" w:space="0" w:color="FFFFFF"/>
              <w:left w:val="single" w:sz="4" w:space="0" w:color="000000"/>
              <w:right w:val="single" w:sz="4" w:space="0" w:color="000000"/>
            </w:tcBorders>
            <w:shd w:val="clear" w:color="auto" w:fill="D2D2D2"/>
          </w:tcPr>
          <w:p>
            <w:pPr>
              <w:pStyle w:val="TableParagraph"/>
              <w:spacing w:line="316" w:lineRule="auto" w:before="58"/>
              <w:ind w:left="437" w:right="75" w:hanging="361"/>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7" w:type="dxa"/>
            <w:vMerge w:val="restart"/>
            <w:tcBorders>
              <w:top w:val="single" w:sz="13" w:space="0" w:color="FFFFFF"/>
              <w:left w:val="single" w:sz="4" w:space="0" w:color="000000"/>
              <w:right w:val="single" w:sz="4" w:space="0" w:color="000000"/>
            </w:tcBorders>
            <w:shd w:val="clear" w:color="auto" w:fill="D2D2D2"/>
          </w:tcPr>
          <w:p>
            <w:pPr>
              <w:pStyle w:val="TableParagraph"/>
              <w:spacing w:line="240" w:lineRule="auto" w:before="15"/>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9" w:type="dxa"/>
            <w:vMerge w:val="restart"/>
            <w:tcBorders>
              <w:top w:val="single" w:sz="13" w:space="0" w:color="FFFFFF"/>
              <w:left w:val="single" w:sz="4" w:space="0" w:color="000000"/>
              <w:right w:val="single" w:sz="4" w:space="0" w:color="000000"/>
            </w:tcBorders>
            <w:shd w:val="clear" w:color="auto" w:fill="D2D2D2"/>
          </w:tcPr>
          <w:p>
            <w:pPr>
              <w:pStyle w:val="TableParagraph"/>
              <w:spacing w:line="240" w:lineRule="auto" w:before="15"/>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2"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1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2919"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46" w:type="dxa"/>
            <w:vMerge w:val="restart"/>
            <w:tcBorders>
              <w:top w:val="nil" w:sz="6" w:space="0" w:color="auto"/>
              <w:left w:val="single" w:sz="4" w:space="0" w:color="000000"/>
              <w:right w:val="single" w:sz="4" w:space="0" w:color="000000"/>
            </w:tcBorders>
            <w:shd w:val="clear" w:color="auto" w:fill="D2D2D2"/>
          </w:tcPr>
          <w:p>
            <w:pPr/>
          </w:p>
        </w:tc>
        <w:tc>
          <w:tcPr>
            <w:tcW w:w="1175"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
        </w:tc>
        <w:tc>
          <w:tcPr>
            <w:tcW w:w="2919"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46" w:type="dxa"/>
            <w:vMerge/>
            <w:tcBorders>
              <w:left w:val="single" w:sz="4" w:space="0" w:color="000000"/>
              <w:bottom w:val="single" w:sz="4" w:space="0" w:color="000000"/>
              <w:right w:val="single" w:sz="4" w:space="0" w:color="000000"/>
            </w:tcBorders>
            <w:shd w:val="clear" w:color="auto" w:fill="D2D2D2"/>
          </w:tcPr>
          <w:p>
            <w:pPr/>
          </w:p>
        </w:tc>
        <w:tc>
          <w:tcPr>
            <w:tcW w:w="117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2919"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917,682,726.1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60.15%</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321,447,754.59</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32.17%</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27.98%</w:t>
            </w:r>
          </w:p>
        </w:tc>
        <w:tc>
          <w:tcPr>
            <w:tcW w:w="2919" w:type="dxa"/>
            <w:vMerge w:val="restart"/>
            <w:tcBorders>
              <w:top w:val="single" w:sz="4" w:space="0" w:color="000000"/>
              <w:left w:val="single" w:sz="4" w:space="0" w:color="000000"/>
              <w:right w:val="single" w:sz="4" w:space="0" w:color="000000"/>
            </w:tcBorders>
          </w:tcPr>
          <w:p>
            <w:pPr/>
          </w:p>
        </w:tc>
      </w:tr>
      <w:tr>
        <w:trPr>
          <w:trHeight w:val="391"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75"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161"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144,256,749.6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9.45%</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167,272,640.42</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16.74%</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-7.29%</w:t>
            </w:r>
          </w:p>
        </w:tc>
        <w:tc>
          <w:tcPr>
            <w:tcW w:w="2919" w:type="dxa"/>
            <w:vMerge w:val="restart"/>
            <w:tcBorders>
              <w:top w:val="single" w:sz="4" w:space="0" w:color="000000"/>
              <w:left w:val="single" w:sz="4" w:space="0" w:color="000000"/>
              <w:right w:val="single" w:sz="4" w:space="0" w:color="000000"/>
            </w:tcBorders>
          </w:tcPr>
          <w:p>
            <w:pPr/>
          </w:p>
        </w:tc>
      </w:tr>
      <w:tr>
        <w:trPr>
          <w:trHeight w:val="394"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75"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7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32,614,557.28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45,906,009.17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-2.45%</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7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17,837,467.35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18,745,071.94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-0.71%</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7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17,858,527.93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20,972,333.33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-0.93%</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324,210,509.5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21.25%</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261,059,676.01</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26.12%</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-4.87%</w:t>
            </w:r>
          </w:p>
        </w:tc>
        <w:tc>
          <w:tcPr>
            <w:tcW w:w="2919" w:type="dxa"/>
            <w:vMerge w:val="restart"/>
            <w:tcBorders>
              <w:top w:val="single" w:sz="4" w:space="0" w:color="000000"/>
              <w:left w:val="single" w:sz="4" w:space="0" w:color="000000"/>
              <w:right w:val="single" w:sz="4" w:space="0" w:color="000000"/>
            </w:tcBorders>
          </w:tcPr>
          <w:p>
            <w:pPr/>
          </w:p>
        </w:tc>
      </w:tr>
      <w:tr>
        <w:trPr>
          <w:trHeight w:val="394"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75"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75" w:type="dxa"/>
            <w:tcBorders>
              <w:top w:val="single" w:sz="4" w:space="0" w:color="000000"/>
              <w:left w:val="single" w:sz="12" w:space="0" w:color="D2D2D2"/>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9,500,000.00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0.95%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-0.95%</w:t>
            </w:r>
          </w:p>
        </w:tc>
        <w:tc>
          <w:tcPr>
            <w:tcW w:w="291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4"/>
        <w:rPr>
          <w:rFonts w:ascii="宋体" w:hAnsi="宋体" w:cs="宋体" w:eastAsia="宋体" w:hint="default"/>
          <w:b/>
          <w:bCs/>
          <w:sz w:val="26"/>
          <w:szCs w:val="26"/>
        </w:rPr>
      </w:pPr>
    </w:p>
    <w:p>
      <w:pPr>
        <w:spacing w:line="544" w:lineRule="auto" w:before="0"/>
        <w:ind w:left="152" w:right="61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b/>
          <w:bCs/>
          <w:spacing w:val="-1"/>
          <w:sz w:val="21"/>
          <w:szCs w:val="21"/>
        </w:rPr>
        <w:t>3</w:t>
      </w:r>
      <w:r>
        <w:rPr>
          <w:rFonts w:ascii="宋体" w:hAnsi="宋体" w:cs="宋体" w:eastAsia="宋体" w:hint="default"/>
          <w:b/>
          <w:bCs/>
          <w:spacing w:val="-1"/>
          <w:sz w:val="21"/>
          <w:szCs w:val="21"/>
        </w:rPr>
        <w:t>、截至报告期末的资产权利受限情况</w:t>
      </w:r>
      <w:r>
        <w:rPr>
          <w:rFonts w:ascii="宋体" w:hAnsi="宋体" w:cs="宋体" w:eastAsia="宋体" w:hint="default"/>
          <w:b/>
          <w:bCs/>
          <w:spacing w:val="-89"/>
          <w:sz w:val="21"/>
          <w:szCs w:val="21"/>
        </w:rPr>
        <w:t> </w:t>
      </w:r>
      <w:r>
        <w:rPr>
          <w:rFonts w:ascii="宋体" w:hAnsi="宋体" w:cs="宋体" w:eastAsia="宋体" w:hint="default"/>
          <w:b/>
          <w:bCs/>
          <w:spacing w:val="-89"/>
          <w:sz w:val="21"/>
          <w:szCs w:val="21"/>
        </w:rPr>
      </w:r>
      <w:r>
        <w:rPr>
          <w:rFonts w:ascii="宋体" w:hAnsi="宋体" w:cs="宋体" w:eastAsia="宋体" w:hint="default"/>
          <w:sz w:val="18"/>
          <w:szCs w:val="18"/>
        </w:rPr>
        <w:t>无</w:t>
      </w:r>
    </w:p>
    <w:p>
      <w:pPr>
        <w:pStyle w:val="Heading2"/>
        <w:spacing w:line="240" w:lineRule="auto" w:before="101"/>
        <w:ind w:right="0"/>
        <w:jc w:val="left"/>
        <w:rPr>
          <w:b w:val="0"/>
          <w:bCs w:val="0"/>
        </w:rPr>
      </w:pPr>
      <w:r>
        <w:rPr/>
        <w:t>五、投资状况分析</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-33.33%</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4</w:t>
      </w:r>
      <w:r>
        <w:rPr/>
        <w:t>、以公允价值计量的金融资产</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3"/>
        <w:ind w:left="0" w:right="15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64"/>
        <w:gridCol w:w="871"/>
        <w:gridCol w:w="869"/>
        <w:gridCol w:w="872"/>
        <w:gridCol w:w="869"/>
        <w:gridCol w:w="872"/>
        <w:gridCol w:w="869"/>
        <w:gridCol w:w="871"/>
        <w:gridCol w:w="869"/>
        <w:gridCol w:w="871"/>
        <w:gridCol w:w="869"/>
      </w:tblGrid>
      <w:tr>
        <w:trPr>
          <w:trHeight w:val="1338"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49" w:right="67"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72" w:right="67"/>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2" w:right="69"/>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9" w:right="67"/>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9" w:right="71"/>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9" w:right="71"/>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1649"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6" w:right="113"/>
              <w:jc w:val="left"/>
              <w:rPr>
                <w:rFonts w:ascii="宋体" w:hAnsi="宋体" w:cs="宋体" w:eastAsia="宋体" w:hint="default"/>
                <w:sz w:val="18"/>
                <w:szCs w:val="18"/>
              </w:rPr>
            </w:pPr>
            <w:r>
              <w:rPr>
                <w:rFonts w:ascii="宋体" w:hAnsi="宋体" w:cs="宋体" w:eastAsia="宋体" w:hint="default"/>
                <w:sz w:val="18"/>
                <w:szCs w:val="18"/>
              </w:rPr>
              <w:t>首次公开 发行股票</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85" w:right="0"/>
              <w:jc w:val="center"/>
              <w:rPr>
                <w:rFonts w:ascii="Times New Roman" w:hAnsi="Times New Roman" w:cs="Times New Roman" w:eastAsia="Times New Roman" w:hint="default"/>
                <w:sz w:val="18"/>
                <w:szCs w:val="18"/>
              </w:rPr>
            </w:pPr>
            <w:r>
              <w:rPr>
                <w:rFonts w:ascii="Times New Roman"/>
                <w:sz w:val="18"/>
              </w:rPr>
              <w:t>31,601.9</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88" w:right="0"/>
              <w:jc w:val="center"/>
              <w:rPr>
                <w:rFonts w:ascii="Times New Roman" w:hAnsi="Times New Roman" w:cs="Times New Roman" w:eastAsia="Times New Roman" w:hint="default"/>
                <w:sz w:val="18"/>
                <w:szCs w:val="18"/>
              </w:rPr>
            </w:pPr>
            <w:r>
              <w:rPr>
                <w:rFonts w:ascii="Times New Roman"/>
                <w:sz w:val="18"/>
              </w:rPr>
              <w:t>1,426.65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28,128.71</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11,605.04</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36.72%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3,473.19</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15"/>
              <w:jc w:val="both"/>
              <w:rPr>
                <w:rFonts w:ascii="宋体" w:hAnsi="宋体" w:cs="宋体" w:eastAsia="宋体" w:hint="default"/>
                <w:sz w:val="18"/>
                <w:szCs w:val="18"/>
              </w:rPr>
            </w:pPr>
            <w:r>
              <w:rPr>
                <w:rFonts w:ascii="宋体" w:hAnsi="宋体" w:cs="宋体" w:eastAsia="宋体" w:hint="default"/>
                <w:sz w:val="18"/>
                <w:szCs w:val="18"/>
              </w:rPr>
              <w:t>以活期和 定期存款 形式存放 募集专用 专户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651"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4" w:lineRule="auto"/>
              <w:ind w:left="26" w:right="113"/>
              <w:jc w:val="left"/>
              <w:rPr>
                <w:rFonts w:ascii="宋体" w:hAnsi="宋体" w:cs="宋体" w:eastAsia="宋体" w:hint="default"/>
                <w:sz w:val="18"/>
                <w:szCs w:val="18"/>
              </w:rPr>
            </w:pPr>
            <w:r>
              <w:rPr>
                <w:rFonts w:ascii="宋体" w:hAnsi="宋体" w:cs="宋体" w:eastAsia="宋体" w:hint="default"/>
                <w:sz w:val="18"/>
                <w:szCs w:val="18"/>
              </w:rPr>
              <w:t>非公开发 行</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96" w:right="0"/>
              <w:jc w:val="center"/>
              <w:rPr>
                <w:rFonts w:ascii="Times New Roman" w:hAnsi="Times New Roman" w:cs="Times New Roman" w:eastAsia="Times New Roman" w:hint="default"/>
                <w:sz w:val="18"/>
                <w:szCs w:val="18"/>
              </w:rPr>
            </w:pPr>
            <w:r>
              <w:rPr>
                <w:rFonts w:ascii="Times New Roman"/>
                <w:sz w:val="18"/>
              </w:rPr>
              <w:t>59,016.37</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20,909.18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20,909.18</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38,107.19</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5"/>
              <w:jc w:val="both"/>
              <w:rPr>
                <w:rFonts w:ascii="宋体" w:hAnsi="宋体" w:cs="宋体" w:eastAsia="宋体" w:hint="default"/>
                <w:sz w:val="18"/>
                <w:szCs w:val="18"/>
              </w:rPr>
            </w:pPr>
            <w:r>
              <w:rPr>
                <w:rFonts w:ascii="宋体" w:hAnsi="宋体" w:cs="宋体" w:eastAsia="宋体" w:hint="default"/>
                <w:sz w:val="18"/>
                <w:szCs w:val="18"/>
              </w:rPr>
              <w:t>以活期和 定期存款 形式存放 募集专用 专户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85" w:right="0"/>
              <w:jc w:val="center"/>
              <w:rPr>
                <w:rFonts w:ascii="Times New Roman" w:hAnsi="Times New Roman" w:cs="Times New Roman" w:eastAsia="Times New Roman" w:hint="default"/>
                <w:sz w:val="18"/>
                <w:szCs w:val="18"/>
              </w:rPr>
            </w:pPr>
            <w:r>
              <w:rPr>
                <w:rFonts w:ascii="Times New Roman"/>
                <w:sz w:val="18"/>
              </w:rPr>
              <w:t>90,618.27</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9" w:right="0"/>
              <w:jc w:val="center"/>
              <w:rPr>
                <w:rFonts w:ascii="Times New Roman" w:hAnsi="Times New Roman" w:cs="Times New Roman" w:eastAsia="Times New Roman" w:hint="default"/>
                <w:sz w:val="18"/>
                <w:szCs w:val="18"/>
              </w:rPr>
            </w:pPr>
            <w:r>
              <w:rPr>
                <w:rFonts w:ascii="Times New Roman"/>
                <w:sz w:val="18"/>
              </w:rPr>
              <w:t>22,335.83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49,037.89</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11,605.04</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12.81%</w:t>
            </w:r>
          </w:p>
        </w:tc>
        <w:tc>
          <w:tcPr>
            <w:tcW w:w="86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41,580.38</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6"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3250" w:hRule="exact"/>
        </w:trPr>
        <w:tc>
          <w:tcPr>
            <w:tcW w:w="9566" w:type="dxa"/>
            <w:gridSpan w:val="11"/>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2"/>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、经中国证券监督管理委员会证监许可【</w:t>
            </w:r>
            <w:r>
              <w:rPr>
                <w:rFonts w:ascii="Times New Roman" w:hAnsi="Times New Roman" w:cs="Times New Roman" w:eastAsia="Times New Roman" w:hint="default"/>
                <w:spacing w:val="-3"/>
                <w:sz w:val="18"/>
                <w:szCs w:val="18"/>
              </w:rPr>
              <w:t>2011</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1035 </w:t>
            </w:r>
            <w:r>
              <w:rPr>
                <w:rFonts w:ascii="宋体" w:hAnsi="宋体" w:cs="宋体" w:eastAsia="宋体" w:hint="default"/>
                <w:sz w:val="18"/>
                <w:szCs w:val="18"/>
              </w:rPr>
              <w:t>号 《关于核准上海天玑科技股份有限公司首次公开发行股票并在创</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业板上市的批复》核准，发行人民币普通股（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股）股票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万股，每股面值</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元，发行价格为人民币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元，募集</w:t>
            </w:r>
          </w:p>
          <w:p>
            <w:pPr>
              <w:pStyle w:val="TableParagraph"/>
              <w:spacing w:line="240" w:lineRule="auto" w:before="13"/>
              <w:ind w:left="24" w:right="0"/>
              <w:jc w:val="both"/>
              <w:rPr>
                <w:rFonts w:ascii="宋体" w:hAnsi="宋体" w:cs="宋体" w:eastAsia="宋体" w:hint="default"/>
                <w:sz w:val="18"/>
                <w:szCs w:val="18"/>
              </w:rPr>
            </w:pPr>
            <w:r>
              <w:rPr>
                <w:rFonts w:ascii="宋体" w:hAnsi="宋体" w:cs="宋体" w:eastAsia="宋体" w:hint="default"/>
                <w:sz w:val="18"/>
                <w:szCs w:val="18"/>
              </w:rPr>
              <w:t>资金总额为人民币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340,000,000.00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元。扣除发行费用合计人民币</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23,981,000.00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元，实际募集资金净额为人民币</w:t>
            </w:r>
          </w:p>
          <w:p>
            <w:pPr>
              <w:pStyle w:val="TableParagraph"/>
              <w:spacing w:line="300" w:lineRule="auto" w:before="63"/>
              <w:ind w:left="24" w:right="21"/>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316,019,000.00</w:t>
            </w:r>
            <w:r>
              <w:rPr>
                <w:rFonts w:ascii="Times New Roman" w:hAnsi="Times New Roman" w:cs="Times New Roman" w:eastAsia="Times New Roman" w:hint="default"/>
                <w:spacing w:val="-8"/>
                <w:sz w:val="18"/>
                <w:szCs w:val="18"/>
              </w:rPr>
              <w:t> </w:t>
            </w:r>
            <w:r>
              <w:rPr>
                <w:rFonts w:ascii="宋体" w:hAnsi="宋体" w:cs="宋体" w:eastAsia="宋体" w:hint="default"/>
                <w:spacing w:val="-6"/>
                <w:sz w:val="18"/>
                <w:szCs w:val="18"/>
              </w:rPr>
              <w:t>元。公司在报告期内共计投入募集资金</w:t>
            </w:r>
            <w:r>
              <w:rPr>
                <w:rFonts w:ascii="宋体" w:hAnsi="宋体" w:cs="宋体" w:eastAsia="宋体" w:hint="default"/>
                <w:spacing w:val="-56"/>
                <w:sz w:val="18"/>
                <w:szCs w:val="18"/>
              </w:rPr>
              <w:t> </w:t>
            </w:r>
            <w:r>
              <w:rPr>
                <w:rFonts w:ascii="Times New Roman" w:hAnsi="Times New Roman" w:cs="Times New Roman" w:eastAsia="Times New Roman" w:hint="default"/>
                <w:spacing w:val="-1"/>
                <w:sz w:val="18"/>
                <w:szCs w:val="18"/>
              </w:rPr>
              <w:t>3,747.56</w:t>
            </w:r>
            <w:r>
              <w:rPr>
                <w:rFonts w:ascii="Times New Roman" w:hAnsi="Times New Roman" w:cs="Times New Roman" w:eastAsia="Times New Roman" w:hint="default"/>
                <w:spacing w:val="-9"/>
                <w:sz w:val="18"/>
                <w:szCs w:val="18"/>
              </w:rPr>
              <w:t> </w:t>
            </w:r>
            <w:r>
              <w:rPr>
                <w:rFonts w:ascii="宋体" w:hAnsi="宋体" w:cs="宋体" w:eastAsia="宋体" w:hint="default"/>
                <w:spacing w:val="-19"/>
                <w:sz w:val="18"/>
                <w:szCs w:val="18"/>
              </w:rPr>
              <w:t>万元，截止</w:t>
            </w:r>
            <w:r>
              <w:rPr>
                <w:rFonts w:ascii="宋体" w:hAnsi="宋体" w:cs="宋体" w:eastAsia="宋体" w:hint="default"/>
                <w:spacing w:val="10"/>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pacing w:val="-1"/>
                <w:sz w:val="18"/>
                <w:szCs w:val="18"/>
              </w:rPr>
              <w:t>30</w:t>
            </w:r>
            <w:r>
              <w:rPr>
                <w:rFonts w:ascii="Times New Roman" w:hAnsi="Times New Roman" w:cs="Times New Roman" w:eastAsia="Times New Roman" w:hint="default"/>
                <w:spacing w:val="-10"/>
                <w:sz w:val="18"/>
                <w:szCs w:val="18"/>
              </w:rPr>
              <w:t> </w:t>
            </w:r>
            <w:r>
              <w:rPr>
                <w:rFonts w:ascii="宋体" w:hAnsi="宋体" w:cs="宋体" w:eastAsia="宋体" w:hint="default"/>
                <w:spacing w:val="-9"/>
                <w:sz w:val="18"/>
                <w:szCs w:val="18"/>
              </w:rPr>
              <w:t>日，已累计使用募集资金</w:t>
            </w:r>
            <w:r>
              <w:rPr>
                <w:rFonts w:ascii="宋体" w:hAnsi="宋体" w:cs="宋体" w:eastAsia="宋体" w:hint="default"/>
                <w:spacing w:val="-56"/>
                <w:sz w:val="18"/>
                <w:szCs w:val="18"/>
              </w:rPr>
              <w:t> </w:t>
            </w:r>
            <w:r>
              <w:rPr>
                <w:rFonts w:ascii="Times New Roman" w:hAnsi="Times New Roman" w:cs="Times New Roman" w:eastAsia="Times New Roman" w:hint="default"/>
                <w:spacing w:val="-1"/>
                <w:sz w:val="18"/>
                <w:szCs w:val="18"/>
              </w:rPr>
              <w:t>30,449.62</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宋体" w:hAnsi="宋体" w:cs="宋体" w:eastAsia="宋体" w:hint="default"/>
                <w:sz w:val="18"/>
                <w:szCs w:val="18"/>
              </w:rPr>
              <w:t>万元用于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基础设施支持与维护服务区域扩展项目、</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管理外包服务项目、天玑科技数据中心创新服务项目及超募资金 相关项目。</w:t>
            </w:r>
          </w:p>
          <w:p>
            <w:pPr>
              <w:pStyle w:val="TableParagraph"/>
              <w:spacing w:line="240" w:lineRule="auto" w:before="70"/>
              <w:ind w:left="24" w:right="0"/>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日，发行人收到中国证券监督管理委员会（以下简称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中国证监会</w:t>
            </w:r>
            <w:r>
              <w:rPr>
                <w:rFonts w:ascii="Times New Roman" w:hAnsi="Times New Roman" w:cs="Times New Roman" w:eastAsia="Times New Roman" w:hint="default"/>
                <w:sz w:val="18"/>
                <w:szCs w:val="18"/>
              </w:rPr>
              <w:t>”</w:t>
            </w:r>
            <w:r>
              <w:rPr>
                <w:rFonts w:ascii="宋体" w:hAnsi="宋体" w:cs="宋体" w:eastAsia="宋体" w:hint="default"/>
                <w:sz w:val="18"/>
                <w:szCs w:val="18"/>
              </w:rPr>
              <w:t>）出具的《关于核准上海天玑科技股</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份有限公司非公开发行股票的批复</w:t>
            </w:r>
            <w:r>
              <w:rPr>
                <w:rFonts w:ascii="宋体" w:hAnsi="宋体" w:cs="宋体" w:eastAsia="宋体" w:hint="default"/>
                <w:spacing w:val="-92"/>
                <w:sz w:val="18"/>
                <w:szCs w:val="18"/>
              </w:rPr>
              <w:t>》</w:t>
            </w:r>
            <w:r>
              <w:rPr>
                <w:rFonts w:ascii="宋体" w:hAnsi="宋体" w:cs="宋体" w:eastAsia="宋体" w:hint="default"/>
                <w:sz w:val="18"/>
                <w:szCs w:val="18"/>
              </w:rPr>
              <w:t>（证监许</w:t>
            </w:r>
            <w:r>
              <w:rPr>
                <w:rFonts w:ascii="宋体" w:hAnsi="宋体" w:cs="宋体" w:eastAsia="宋体" w:hint="default"/>
                <w:spacing w:val="1"/>
                <w:sz w:val="18"/>
                <w:szCs w:val="18"/>
              </w:rPr>
              <w:t>可</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6"/>
                <w:sz w:val="18"/>
                <w:szCs w:val="18"/>
              </w:rPr>
              <w:t>1</w:t>
            </w:r>
            <w:r>
              <w:rPr>
                <w:rFonts w:ascii="Times New Roman" w:hAnsi="Times New Roman" w:cs="Times New Roman" w:eastAsia="Times New Roman" w:hint="default"/>
                <w:spacing w:val="-2"/>
                <w:sz w:val="18"/>
                <w:szCs w:val="18"/>
              </w:rPr>
              <w:t>14</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号</w:t>
            </w:r>
            <w:r>
              <w:rPr>
                <w:rFonts w:ascii="宋体" w:hAnsi="宋体" w:cs="宋体" w:eastAsia="宋体" w:hint="default"/>
                <w:spacing w:val="-92"/>
                <w:sz w:val="18"/>
                <w:szCs w:val="18"/>
              </w:rPr>
              <w:t>）</w:t>
            </w:r>
            <w:r>
              <w:rPr>
                <w:rFonts w:ascii="宋体" w:hAnsi="宋体" w:cs="宋体" w:eastAsia="宋体" w:hint="default"/>
                <w:sz w:val="18"/>
                <w:szCs w:val="18"/>
              </w:rPr>
              <w:t>，批文签发日期为</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日，核准本公司非公开发</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行不超过</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股新股。</w:t>
            </w:r>
            <w:r>
              <w:rPr>
                <w:rFonts w:ascii="宋体" w:hAnsi="宋体" w:cs="宋体" w:eastAsia="宋体" w:hint="default"/>
                <w:spacing w:val="-7"/>
                <w:sz w:val="18"/>
                <w:szCs w:val="18"/>
              </w:rPr>
              <w:t> </w:t>
            </w:r>
            <w:r>
              <w:rPr>
                <w:rFonts w:ascii="宋体" w:hAnsi="宋体" w:cs="宋体" w:eastAsia="宋体" w:hint="default"/>
                <w:sz w:val="18"/>
                <w:szCs w:val="18"/>
              </w:rPr>
              <w:t>本次发行实际发行数量为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45,511,698 </w:t>
            </w:r>
            <w:r>
              <w:rPr>
                <w:rFonts w:ascii="宋体" w:hAnsi="宋体" w:cs="宋体" w:eastAsia="宋体" w:hint="default"/>
                <w:sz w:val="18"/>
                <w:szCs w:val="18"/>
              </w:rPr>
              <w:t>股，发行价格为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13.25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股。本次发行募集资金总额</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为人民币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603,029,998.50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元，扣除发行费用人民币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12,866,343.13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元，募集资金净额为人民币</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590,163,655.37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r>
    </w:tbl>
    <w:p>
      <w:pPr>
        <w:spacing w:after="0" w:line="240" w:lineRule="auto"/>
        <w:jc w:val="both"/>
        <w:rPr>
          <w:rFonts w:ascii="宋体" w:hAnsi="宋体" w:cs="宋体" w:eastAsia="宋体"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1"/>
        <w:ind w:left="0" w:right="15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72"/>
        <w:gridCol w:w="778"/>
        <w:gridCol w:w="781"/>
        <w:gridCol w:w="780"/>
        <w:gridCol w:w="780"/>
        <w:gridCol w:w="780"/>
        <w:gridCol w:w="780"/>
        <w:gridCol w:w="780"/>
        <w:gridCol w:w="781"/>
        <w:gridCol w:w="780"/>
        <w:gridCol w:w="780"/>
      </w:tblGrid>
      <w:tr>
        <w:trPr>
          <w:trHeight w:val="1337"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521" w:right="70" w:hanging="452"/>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24"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2"/>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38" w:lineRule="auto"/>
              <w:ind w:left="26"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24"/>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2"/>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49"/>
              <w:ind w:left="26"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2"/>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6"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3"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4"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基础设施支持与维</w:t>
            </w:r>
            <w:r>
              <w:rPr>
                <w:rFonts w:ascii="宋体" w:hAnsi="宋体" w:cs="宋体" w:eastAsia="宋体" w:hint="default"/>
                <w:w w:val="99"/>
                <w:sz w:val="18"/>
                <w:szCs w:val="18"/>
              </w:rPr>
              <w:t> </w:t>
            </w:r>
            <w:r>
              <w:rPr>
                <w:rFonts w:ascii="宋体" w:hAnsi="宋体" w:cs="宋体" w:eastAsia="宋体" w:hint="default"/>
                <w:sz w:val="18"/>
                <w:szCs w:val="18"/>
              </w:rPr>
              <w:t>护服务区域扩展项目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9,500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4,595.3</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4,595.3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484.04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管理外包服务项目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4,800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2,366.76</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2,366.76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158.35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17"/>
              <w:jc w:val="left"/>
              <w:rPr>
                <w:rFonts w:ascii="宋体" w:hAnsi="宋体" w:cs="宋体" w:eastAsia="宋体" w:hint="default"/>
                <w:sz w:val="18"/>
                <w:szCs w:val="18"/>
              </w:rPr>
            </w:pPr>
            <w:r>
              <w:rPr>
                <w:rFonts w:ascii="宋体" w:hAnsi="宋体" w:cs="宋体" w:eastAsia="宋体" w:hint="default"/>
                <w:sz w:val="18"/>
                <w:szCs w:val="18"/>
              </w:rPr>
              <w:t>天玑科技数据中心创 新服务项目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4,300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4,300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4,267.48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99.24%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282.33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智慧数据中心项目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8,719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8,719</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15"/>
              <w:jc w:val="both"/>
              <w:rPr>
                <w:rFonts w:ascii="宋体" w:hAnsi="宋体" w:cs="宋体" w:eastAsia="宋体" w:hint="default"/>
                <w:sz w:val="18"/>
                <w:szCs w:val="18"/>
              </w:rPr>
            </w:pPr>
            <w:r>
              <w:rPr>
                <w:rFonts w:ascii="宋体" w:hAnsi="宋体" w:cs="宋体" w:eastAsia="宋体" w:hint="default"/>
                <w:sz w:val="18"/>
                <w:szCs w:val="18"/>
              </w:rPr>
              <w:t>智慧通讯云项目</w:t>
            </w:r>
            <w:r>
              <w:rPr>
                <w:rFonts w:ascii="Times New Roman" w:hAnsi="Times New Roman" w:cs="Times New Roman" w:eastAsia="Times New Roman" w:hint="default"/>
                <w:sz w:val="18"/>
                <w:szCs w:val="18"/>
              </w:rPr>
              <w:t>—— </w:t>
            </w:r>
            <w:r>
              <w:rPr>
                <w:rFonts w:ascii="宋体" w:hAnsi="宋体" w:cs="宋体" w:eastAsia="宋体" w:hint="default"/>
                <w:sz w:val="18"/>
                <w:szCs w:val="18"/>
              </w:rPr>
              <w:t>基于客服需求的企业 内部数据分析与整合</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27,297.37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27,297.37</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4" w:right="117"/>
              <w:jc w:val="left"/>
              <w:rPr>
                <w:rFonts w:ascii="宋体" w:hAnsi="宋体" w:cs="宋体" w:eastAsia="宋体" w:hint="default"/>
                <w:sz w:val="18"/>
                <w:szCs w:val="18"/>
              </w:rPr>
            </w:pPr>
            <w:r>
              <w:rPr>
                <w:rFonts w:ascii="宋体" w:hAnsi="宋体" w:cs="宋体" w:eastAsia="宋体" w:hint="default"/>
                <w:sz w:val="18"/>
                <w:szCs w:val="18"/>
              </w:rPr>
              <w:t>研发中心及总部办公 大楼项目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20,909.18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20,909.18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90.91%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77,616.37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70,278.43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20,909.18</w:t>
            </w:r>
          </w:p>
        </w:tc>
        <w:tc>
          <w:tcPr>
            <w:tcW w:w="7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32,138.72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924.72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713"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、购买青浦土地使用 权</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880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、收购复深蓝</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60%</w:t>
            </w:r>
            <w:r>
              <w:rPr>
                <w:rFonts w:ascii="宋体" w:hAnsi="宋体" w:cs="宋体" w:eastAsia="宋体" w:hint="default"/>
                <w:sz w:val="18"/>
                <w:szCs w:val="18"/>
              </w:rPr>
              <w:t>股 权</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3,640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3,640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3,640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82.2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、永久补充流动资金</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5,500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5,500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5,532.52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100.59%</w:t>
            </w: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4"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、天玑科技青浦综合 业务大楼建设部分使 用超募资金</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2,087.1</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、投资设立上海天玑 数据技术有限公司</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1,300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6"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、投资设立上海卓之 联信息科技有限公司</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2,500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2,500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2,500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772"/>
        <w:gridCol w:w="778"/>
        <w:gridCol w:w="781"/>
        <w:gridCol w:w="780"/>
        <w:gridCol w:w="780"/>
        <w:gridCol w:w="780"/>
        <w:gridCol w:w="780"/>
        <w:gridCol w:w="780"/>
        <w:gridCol w:w="781"/>
        <w:gridCol w:w="780"/>
        <w:gridCol w:w="780"/>
      </w:tblGrid>
      <w:tr>
        <w:trPr>
          <w:trHeight w:val="102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22"/>
              <w:jc w:val="both"/>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、投资设立杭州广捷 </w:t>
            </w:r>
            <w:r>
              <w:rPr>
                <w:rFonts w:ascii="宋体" w:hAnsi="宋体" w:cs="宋体" w:eastAsia="宋体" w:hint="default"/>
                <w:spacing w:val="-9"/>
                <w:sz w:val="18"/>
                <w:szCs w:val="18"/>
              </w:rPr>
              <w:t>科技有限公司、杭州鸿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昇科技有限公司</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3,800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3,800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3,800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23"/>
              <w:jc w:val="left"/>
              <w:rPr>
                <w:rFonts w:ascii="宋体" w:hAnsi="宋体" w:cs="宋体" w:eastAsia="宋体" w:hint="default"/>
                <w:sz w:val="18"/>
                <w:szCs w:val="18"/>
              </w:rPr>
            </w:pPr>
            <w:r>
              <w:rPr>
                <w:rFonts w:ascii="Times New Roman" w:hAnsi="Times New Roman" w:cs="Times New Roman" w:eastAsia="Times New Roman" w:hint="default"/>
                <w:spacing w:val="-16"/>
                <w:sz w:val="18"/>
                <w:szCs w:val="18"/>
              </w:rPr>
              <w:t>8</w:t>
            </w:r>
            <w:r>
              <w:rPr>
                <w:rFonts w:ascii="宋体" w:hAnsi="宋体" w:cs="宋体" w:eastAsia="宋体" w:hint="default"/>
                <w:spacing w:val="-16"/>
                <w:sz w:val="18"/>
                <w:szCs w:val="18"/>
              </w:rPr>
              <w:t>、新一代</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运维服务 管理平台</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4,980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4,980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1" w:right="0"/>
              <w:jc w:val="center"/>
              <w:rPr>
                <w:rFonts w:ascii="Times New Roman" w:hAnsi="Times New Roman" w:cs="Times New Roman" w:eastAsia="Times New Roman" w:hint="default"/>
                <w:sz w:val="18"/>
                <w:szCs w:val="18"/>
              </w:rPr>
            </w:pPr>
            <w:r>
              <w:rPr>
                <w:rFonts w:ascii="Times New Roman"/>
                <w:sz w:val="18"/>
              </w:rPr>
              <w:t>1,426.65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1,426.65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28.65%</w:t>
            </w: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4"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、未确认使用投向的 超募资金</w:t>
            </w:r>
          </w:p>
        </w:tc>
        <w:tc>
          <w:tcPr>
            <w:tcW w:w="778"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-11,685.2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-80.16</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323"/>
              <w:jc w:val="righ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13,001.9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20,339.84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1" w:right="0"/>
              <w:jc w:val="center"/>
              <w:rPr>
                <w:rFonts w:ascii="Times New Roman" w:hAnsi="Times New Roman" w:cs="Times New Roman" w:eastAsia="Times New Roman" w:hint="default"/>
                <w:sz w:val="18"/>
                <w:szCs w:val="18"/>
              </w:rPr>
            </w:pPr>
            <w:r>
              <w:rPr>
                <w:rFonts w:ascii="Times New Roman"/>
                <w:sz w:val="18"/>
              </w:rPr>
              <w:t>1,426.65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16,899.17</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326" w:right="0"/>
              <w:jc w:val="lef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82.2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323"/>
              <w:jc w:val="righ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90,618.27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90,618.27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22,335.83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49,037.89</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6" w:right="0"/>
              <w:jc w:val="lef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1,006.92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1027"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17"/>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9"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6" w:right="0"/>
              <w:jc w:val="left"/>
              <w:rPr>
                <w:rFonts w:ascii="宋体" w:hAnsi="宋体" w:cs="宋体" w:eastAsia="宋体" w:hint="default"/>
                <w:sz w:val="18"/>
                <w:szCs w:val="18"/>
              </w:rPr>
            </w:pPr>
            <w:r>
              <w:rPr>
                <w:rFonts w:ascii="宋体" w:hAnsi="宋体" w:cs="宋体" w:eastAsia="宋体" w:hint="default"/>
                <w:sz w:val="18"/>
                <w:szCs w:val="18"/>
              </w:rPr>
              <w:t>截至本报告期末，募集资金项目均按照进度推进并达到预计收益。</w:t>
            </w:r>
          </w:p>
        </w:tc>
      </w:tr>
      <w:tr>
        <w:trPr>
          <w:trHeight w:val="514" w:hRule="exact"/>
        </w:trPr>
        <w:tc>
          <w:tcPr>
            <w:tcW w:w="177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9" w:type="dxa"/>
            <w:gridSpan w:val="10"/>
            <w:vMerge w:val="restart"/>
            <w:tcBorders>
              <w:top w:val="single" w:sz="4" w:space="0" w:color="000000"/>
              <w:left w:val="single" w:sz="10" w:space="0" w:color="D2D2D2"/>
              <w:right w:val="single" w:sz="4" w:space="0" w:color="000000"/>
            </w:tcBorders>
          </w:tcPr>
          <w:p>
            <w:pPr>
              <w:pStyle w:val="TableParagraph"/>
              <w:spacing w:line="240" w:lineRule="auto" w:before="49"/>
              <w:ind w:left="16"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、首次公开发行股票募集资金情况</w:t>
            </w:r>
          </w:p>
          <w:p>
            <w:pPr>
              <w:pStyle w:val="TableParagraph"/>
              <w:spacing w:line="300" w:lineRule="auto" w:before="142"/>
              <w:ind w:left="16" w:right="17"/>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日，公司召开第二届董事会第二十五次会议，审议通过了《关于终止部分募投 </w:t>
            </w:r>
            <w:r>
              <w:rPr>
                <w:rFonts w:ascii="宋体" w:hAnsi="宋体" w:cs="宋体" w:eastAsia="宋体" w:hint="default"/>
                <w:spacing w:val="-1"/>
                <w:w w:val="99"/>
                <w:sz w:val="18"/>
                <w:szCs w:val="18"/>
              </w:rPr>
              <w:t>项目</w:t>
            </w:r>
            <w:r>
              <w:rPr>
                <w:rFonts w:ascii="Times New Roman" w:hAnsi="Times New Roman" w:cs="Times New Roman" w:eastAsia="Times New Roman" w:hint="default"/>
                <w:spacing w:val="-1"/>
                <w:w w:val="99"/>
                <w:sz w:val="18"/>
                <w:szCs w:val="18"/>
              </w:rPr>
              <w:t>"IT</w:t>
            </w:r>
            <w:r>
              <w:rPr>
                <w:rFonts w:ascii="Times New Roman" w:hAnsi="Times New Roman" w:cs="Times New Roman" w:eastAsia="Times New Roman" w:hint="default"/>
                <w:spacing w:val="10"/>
                <w:w w:val="99"/>
                <w:sz w:val="18"/>
                <w:szCs w:val="18"/>
              </w:rPr>
              <w:t> </w:t>
            </w:r>
            <w:r>
              <w:rPr>
                <w:rFonts w:ascii="宋体" w:hAnsi="宋体" w:cs="宋体" w:eastAsia="宋体" w:hint="default"/>
                <w:spacing w:val="-4"/>
                <w:w w:val="99"/>
                <w:sz w:val="18"/>
                <w:szCs w:val="18"/>
              </w:rPr>
              <w:t>基础设施支持与维护服务区域扩展项目项目</w:t>
            </w:r>
            <w:r>
              <w:rPr>
                <w:rFonts w:ascii="Times New Roman" w:hAnsi="Times New Roman" w:cs="Times New Roman" w:eastAsia="Times New Roman" w:hint="default"/>
                <w:spacing w:val="-4"/>
                <w:w w:val="99"/>
                <w:sz w:val="18"/>
                <w:szCs w:val="18"/>
              </w:rPr>
              <w:t>"</w:t>
            </w:r>
            <w:r>
              <w:rPr>
                <w:rFonts w:ascii="宋体" w:hAnsi="宋体" w:cs="宋体" w:eastAsia="宋体" w:hint="default"/>
                <w:spacing w:val="-4"/>
                <w:w w:val="99"/>
                <w:sz w:val="18"/>
                <w:szCs w:val="18"/>
              </w:rPr>
              <w:t>的议案》，公司决定终止</w:t>
            </w:r>
            <w:r>
              <w:rPr>
                <w:rFonts w:ascii="Times New Roman" w:hAnsi="Times New Roman" w:cs="Times New Roman" w:eastAsia="Times New Roman" w:hint="default"/>
                <w:spacing w:val="-4"/>
                <w:w w:val="99"/>
                <w:sz w:val="18"/>
                <w:szCs w:val="18"/>
              </w:rPr>
              <w:t>"IT</w:t>
            </w:r>
            <w:r>
              <w:rPr>
                <w:rFonts w:ascii="Times New Roman" w:hAnsi="Times New Roman" w:cs="Times New Roman" w:eastAsia="Times New Roman" w:hint="default"/>
                <w:spacing w:val="10"/>
                <w:w w:val="99"/>
                <w:sz w:val="18"/>
                <w:szCs w:val="18"/>
              </w:rPr>
              <w:t> </w:t>
            </w:r>
            <w:r>
              <w:rPr>
                <w:rFonts w:ascii="宋体" w:hAnsi="宋体" w:cs="宋体" w:eastAsia="宋体" w:hint="default"/>
                <w:w w:val="99"/>
                <w:sz w:val="18"/>
                <w:szCs w:val="18"/>
              </w:rPr>
              <w:t>基础设施支持与维</w:t>
            </w:r>
            <w:r>
              <w:rPr>
                <w:rFonts w:ascii="宋体" w:hAnsi="宋体" w:cs="宋体" w:eastAsia="宋体" w:hint="default"/>
                <w:spacing w:val="-82"/>
                <w:w w:val="99"/>
                <w:sz w:val="18"/>
                <w:szCs w:val="18"/>
              </w:rPr>
              <w:t> </w:t>
            </w:r>
            <w:r>
              <w:rPr>
                <w:rFonts w:ascii="宋体" w:hAnsi="宋体" w:cs="宋体" w:eastAsia="宋体" w:hint="default"/>
                <w:spacing w:val="-82"/>
                <w:w w:val="99"/>
                <w:sz w:val="18"/>
                <w:szCs w:val="18"/>
              </w:rPr>
            </w:r>
            <w:r>
              <w:rPr>
                <w:rFonts w:ascii="宋体" w:hAnsi="宋体" w:cs="宋体" w:eastAsia="宋体" w:hint="default"/>
                <w:sz w:val="18"/>
                <w:szCs w:val="18"/>
              </w:rPr>
              <w:t>护服务区域扩展项目</w:t>
            </w:r>
            <w:r>
              <w:rPr>
                <w:rFonts w:ascii="Times New Roman" w:hAnsi="Times New Roman" w:cs="Times New Roman" w:eastAsia="Times New Roman" w:hint="default"/>
                <w:sz w:val="18"/>
                <w:szCs w:val="18"/>
              </w:rPr>
              <w:t>"</w:t>
            </w:r>
            <w:r>
              <w:rPr>
                <w:rFonts w:ascii="宋体" w:hAnsi="宋体" w:cs="宋体" w:eastAsia="宋体" w:hint="default"/>
                <w:sz w:val="18"/>
                <w:szCs w:val="18"/>
              </w:rPr>
              <w:t>，该项目募集资金使用余额人民币</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4,904.70</w:t>
            </w:r>
            <w:r>
              <w:rPr>
                <w:rFonts w:ascii="Times New Roman" w:hAnsi="Times New Roman" w:cs="Times New Roman" w:eastAsia="Times New Roman" w:hint="default"/>
                <w:spacing w:val="-14"/>
                <w:sz w:val="18"/>
                <w:szCs w:val="18"/>
              </w:rPr>
              <w:t> </w:t>
            </w:r>
            <w:r>
              <w:rPr>
                <w:rFonts w:ascii="宋体" w:hAnsi="宋体" w:cs="宋体" w:eastAsia="宋体" w:hint="default"/>
                <w:spacing w:val="-3"/>
                <w:sz w:val="18"/>
                <w:szCs w:val="18"/>
              </w:rPr>
              <w:t>万元及利息转为超募资金。本议案</w:t>
            </w:r>
          </w:p>
          <w:p>
            <w:pPr>
              <w:pStyle w:val="TableParagraph"/>
              <w:spacing w:line="240" w:lineRule="auto" w:before="13"/>
              <w:ind w:left="16" w:right="0"/>
              <w:jc w:val="both"/>
              <w:rPr>
                <w:rFonts w:ascii="宋体" w:hAnsi="宋体" w:cs="宋体" w:eastAsia="宋体" w:hint="default"/>
                <w:sz w:val="18"/>
                <w:szCs w:val="18"/>
              </w:rPr>
            </w:pPr>
            <w:r>
              <w:rPr>
                <w:rFonts w:ascii="宋体" w:hAnsi="宋体" w:cs="宋体" w:eastAsia="宋体" w:hint="default"/>
                <w:sz w:val="18"/>
                <w:szCs w:val="18"/>
              </w:rPr>
              <w:t>已经</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年度股东大会审议通过。</w:t>
            </w:r>
          </w:p>
        </w:tc>
      </w:tr>
      <w:tr>
        <w:trPr>
          <w:trHeight w:val="703" w:hRule="exact"/>
        </w:trPr>
        <w:tc>
          <w:tcPr>
            <w:tcW w:w="17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799" w:type="dxa"/>
            <w:gridSpan w:val="10"/>
            <w:vMerge/>
            <w:tcBorders>
              <w:left w:val="single" w:sz="10" w:space="0" w:color="D2D2D2"/>
              <w:right w:val="single" w:sz="4" w:space="0" w:color="000000"/>
            </w:tcBorders>
          </w:tcPr>
          <w:p>
            <w:pPr/>
          </w:p>
        </w:tc>
      </w:tr>
      <w:tr>
        <w:trPr>
          <w:trHeight w:val="514" w:hRule="exact"/>
        </w:trPr>
        <w:tc>
          <w:tcPr>
            <w:tcW w:w="177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9" w:type="dxa"/>
            <w:gridSpan w:val="10"/>
            <w:vMerge/>
            <w:tcBorders>
              <w:left w:val="single" w:sz="10" w:space="0" w:color="D2D2D2"/>
              <w:bottom w:val="single" w:sz="4" w:space="0" w:color="000000"/>
              <w:right w:val="single" w:sz="4" w:space="0" w:color="000000"/>
            </w:tcBorders>
          </w:tcPr>
          <w:p>
            <w:pPr/>
          </w:p>
        </w:tc>
      </w:tr>
      <w:tr>
        <w:trPr>
          <w:trHeight w:val="401" w:hRule="exact"/>
        </w:trPr>
        <w:tc>
          <w:tcPr>
            <w:tcW w:w="1772" w:type="dxa"/>
            <w:vMerge w:val="restart"/>
            <w:tcBorders>
              <w:top w:val="single" w:sz="4" w:space="0" w:color="000000"/>
              <w:left w:val="single" w:sz="4" w:space="0" w:color="000000"/>
              <w:right w:val="single" w:sz="4" w:space="0" w:color="000000"/>
            </w:tcBorders>
            <w:shd w:val="clear" w:color="auto" w:fill="D2D2D2"/>
          </w:tcPr>
          <w:p>
            <w:pPr/>
          </w:p>
        </w:tc>
        <w:tc>
          <w:tcPr>
            <w:tcW w:w="779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986" w:hRule="exact"/>
        </w:trPr>
        <w:tc>
          <w:tcPr>
            <w:tcW w:w="1772" w:type="dxa"/>
            <w:vMerge/>
            <w:tcBorders>
              <w:left w:val="single" w:sz="4" w:space="0" w:color="000000"/>
              <w:bottom w:val="nil" w:sz="6" w:space="0" w:color="auto"/>
              <w:right w:val="single" w:sz="4" w:space="0" w:color="000000"/>
            </w:tcBorders>
            <w:shd w:val="clear" w:color="auto" w:fill="D2D2D2"/>
          </w:tcPr>
          <w:p>
            <w:pPr/>
          </w:p>
        </w:tc>
        <w:tc>
          <w:tcPr>
            <w:tcW w:w="7799" w:type="dxa"/>
            <w:gridSpan w:val="10"/>
            <w:vMerge w:val="restart"/>
            <w:tcBorders>
              <w:top w:val="single" w:sz="4" w:space="0" w:color="000000"/>
              <w:left w:val="single" w:sz="10" w:space="0" w:color="D2D2D2"/>
              <w:right w:val="single" w:sz="4" w:space="0" w:color="000000"/>
            </w:tcBorders>
          </w:tcPr>
          <w:p>
            <w:pPr>
              <w:pStyle w:val="TableParagraph"/>
              <w:spacing w:line="240" w:lineRule="auto" w:before="49"/>
              <w:ind w:left="16" w:right="0"/>
              <w:jc w:val="both"/>
              <w:rPr>
                <w:rFonts w:ascii="宋体" w:hAnsi="宋体" w:cs="宋体" w:eastAsia="宋体" w:hint="default"/>
                <w:sz w:val="18"/>
                <w:szCs w:val="18"/>
              </w:rPr>
            </w:pPr>
            <w:r>
              <w:rPr>
                <w:rFonts w:ascii="宋体" w:hAnsi="宋体" w:cs="宋体" w:eastAsia="宋体" w:hint="default"/>
                <w:sz w:val="18"/>
                <w:szCs w:val="18"/>
              </w:rPr>
              <w:t>首次公开发行股票公司实际超募资金为人民币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130,019,000.00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pStyle w:val="TableParagraph"/>
              <w:spacing w:line="240" w:lineRule="auto" w:before="63"/>
              <w:ind w:left="16" w:right="0"/>
              <w:jc w:val="both"/>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2012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日第一届董事会第二十二次会议审议通过了《关于使用部分超募资金购买土地使</w:t>
            </w:r>
          </w:p>
          <w:p>
            <w:pPr>
              <w:pStyle w:val="TableParagraph"/>
              <w:spacing w:line="240" w:lineRule="auto" w:before="63"/>
              <w:ind w:left="16" w:right="0"/>
              <w:jc w:val="both"/>
              <w:rPr>
                <w:rFonts w:ascii="宋体" w:hAnsi="宋体" w:cs="宋体" w:eastAsia="宋体" w:hint="default"/>
                <w:sz w:val="18"/>
                <w:szCs w:val="18"/>
              </w:rPr>
            </w:pPr>
            <w:r>
              <w:rPr>
                <w:rFonts w:ascii="宋体" w:hAnsi="宋体" w:cs="宋体" w:eastAsia="宋体" w:hint="default"/>
                <w:sz w:val="18"/>
                <w:szCs w:val="18"/>
              </w:rPr>
              <w:t>用权</w:t>
            </w:r>
            <w:r>
              <w:rPr>
                <w:rFonts w:ascii="宋体" w:hAnsi="宋体" w:cs="宋体" w:eastAsia="宋体" w:hint="default"/>
                <w:spacing w:val="-92"/>
                <w:sz w:val="18"/>
                <w:szCs w:val="18"/>
              </w:rPr>
              <w:t>》</w:t>
            </w:r>
            <w:r>
              <w:rPr>
                <w:rFonts w:ascii="宋体" w:hAnsi="宋体" w:cs="宋体" w:eastAsia="宋体" w:hint="default"/>
                <w:spacing w:val="-29"/>
                <w:sz w:val="18"/>
                <w:szCs w:val="18"/>
              </w:rPr>
              <w:t>，</w:t>
            </w:r>
            <w:r>
              <w:rPr>
                <w:rFonts w:ascii="宋体" w:hAnsi="宋体" w:cs="宋体" w:eastAsia="宋体" w:hint="default"/>
                <w:sz w:val="18"/>
                <w:szCs w:val="18"/>
              </w:rPr>
              <w:t>同意使用超募资金</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万元购买土地使用权</w:t>
            </w:r>
            <w:r>
              <w:rPr>
                <w:rFonts w:ascii="宋体" w:hAnsi="宋体" w:cs="宋体" w:eastAsia="宋体" w:hint="default"/>
                <w:spacing w:val="-29"/>
                <w:sz w:val="18"/>
                <w:szCs w:val="18"/>
              </w:rPr>
              <w:t>；</w:t>
            </w:r>
            <w:r>
              <w:rPr>
                <w:rFonts w:ascii="宋体" w:hAnsi="宋体" w:cs="宋体" w:eastAsia="宋体" w:hint="default"/>
                <w:sz w:val="18"/>
                <w:szCs w:val="18"/>
              </w:rPr>
              <w:t>另审议通过</w:t>
            </w:r>
            <w:r>
              <w:rPr>
                <w:rFonts w:ascii="宋体" w:hAnsi="宋体" w:cs="宋体" w:eastAsia="宋体" w:hint="default"/>
                <w:spacing w:val="-29"/>
                <w:sz w:val="18"/>
                <w:szCs w:val="18"/>
              </w:rPr>
              <w:t>了</w:t>
            </w:r>
            <w:r>
              <w:rPr>
                <w:rFonts w:ascii="宋体" w:hAnsi="宋体" w:cs="宋体" w:eastAsia="宋体" w:hint="default"/>
                <w:sz w:val="18"/>
                <w:szCs w:val="18"/>
              </w:rPr>
              <w:t>《关于使用部分超募资金收购上</w:t>
            </w:r>
          </w:p>
          <w:p>
            <w:pPr>
              <w:pStyle w:val="TableParagraph"/>
              <w:spacing w:line="300" w:lineRule="auto" w:before="63"/>
              <w:ind w:left="16" w:right="19"/>
              <w:jc w:val="both"/>
              <w:rPr>
                <w:rFonts w:ascii="宋体" w:hAnsi="宋体" w:cs="宋体" w:eastAsia="宋体" w:hint="default"/>
                <w:sz w:val="18"/>
                <w:szCs w:val="18"/>
              </w:rPr>
            </w:pPr>
            <w:r>
              <w:rPr>
                <w:rFonts w:ascii="宋体" w:hAnsi="宋体" w:cs="宋体" w:eastAsia="宋体" w:hint="default"/>
                <w:spacing w:val="-5"/>
                <w:sz w:val="18"/>
                <w:szCs w:val="18"/>
              </w:rPr>
              <w:t>海复深蓝信息技术有限公司部分股权并增资的议案》，同意使用超募资金</w:t>
            </w:r>
            <w:r>
              <w:rPr>
                <w:rFonts w:ascii="宋体" w:hAnsi="宋体" w:cs="宋体" w:eastAsia="宋体" w:hint="default"/>
                <w:spacing w:val="-31"/>
                <w:sz w:val="18"/>
                <w:szCs w:val="18"/>
              </w:rPr>
              <w:t> </w:t>
            </w:r>
            <w:r>
              <w:rPr>
                <w:rFonts w:ascii="Times New Roman" w:hAnsi="Times New Roman" w:cs="Times New Roman" w:eastAsia="Times New Roman" w:hint="default"/>
                <w:spacing w:val="-1"/>
                <w:sz w:val="18"/>
                <w:szCs w:val="18"/>
              </w:rPr>
              <w:t>3,640</w:t>
            </w:r>
            <w:r>
              <w:rPr>
                <w:rFonts w:ascii="Times New Roman" w:hAnsi="Times New Roman" w:cs="Times New Roman" w:eastAsia="Times New Roman" w:hint="default"/>
                <w:spacing w:val="15"/>
                <w:sz w:val="18"/>
                <w:szCs w:val="18"/>
              </w:rPr>
              <w:t> </w:t>
            </w:r>
            <w:r>
              <w:rPr>
                <w:rFonts w:ascii="宋体" w:hAnsi="宋体" w:cs="宋体" w:eastAsia="宋体" w:hint="default"/>
                <w:spacing w:val="-1"/>
                <w:sz w:val="18"/>
                <w:szCs w:val="18"/>
              </w:rPr>
              <w:t>万元收购上海复深蓝</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信息技术有限公司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60%</w:t>
            </w:r>
            <w:r>
              <w:rPr>
                <w:rFonts w:ascii="宋体" w:hAnsi="宋体" w:cs="宋体" w:eastAsia="宋体" w:hint="default"/>
                <w:sz w:val="18"/>
                <w:szCs w:val="18"/>
              </w:rPr>
              <w:t>股权。</w:t>
            </w:r>
          </w:p>
          <w:p>
            <w:pPr>
              <w:pStyle w:val="TableParagraph"/>
              <w:spacing w:line="240" w:lineRule="auto" w:before="53"/>
              <w:ind w:left="16"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日第二届董事会第五次会议审议通过《关于使用部分超募资金永久补充流动资金</w:t>
            </w:r>
          </w:p>
          <w:p>
            <w:pPr>
              <w:pStyle w:val="TableParagraph"/>
              <w:spacing w:line="240" w:lineRule="auto" w:before="63"/>
              <w:ind w:left="16"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的议案</w:t>
            </w:r>
            <w:r>
              <w:rPr>
                <w:rFonts w:ascii="宋体" w:hAnsi="宋体" w:cs="宋体" w:eastAsia="宋体" w:hint="default"/>
                <w:spacing w:val="-92"/>
                <w:sz w:val="18"/>
                <w:szCs w:val="18"/>
              </w:rPr>
              <w:t>》</w:t>
            </w:r>
            <w:r>
              <w:rPr>
                <w:rFonts w:ascii="宋体" w:hAnsi="宋体" w:cs="宋体" w:eastAsia="宋体" w:hint="default"/>
                <w:sz w:val="18"/>
                <w:szCs w:val="18"/>
              </w:rPr>
              <w:t>，同意公司使用部分</w:t>
            </w:r>
            <w:r>
              <w:rPr>
                <w:rFonts w:ascii="宋体" w:hAnsi="宋体" w:cs="宋体" w:eastAsia="宋体" w:hint="default"/>
                <w:spacing w:val="2"/>
                <w:sz w:val="18"/>
                <w:szCs w:val="18"/>
              </w:rPr>
              <w:t>超</w:t>
            </w:r>
            <w:r>
              <w:rPr>
                <w:rFonts w:ascii="宋体" w:hAnsi="宋体" w:cs="宋体" w:eastAsia="宋体" w:hint="default"/>
                <w:sz w:val="18"/>
                <w:szCs w:val="18"/>
              </w:rPr>
              <w:t>募资金人民币</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50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万元永</w:t>
            </w:r>
            <w:r>
              <w:rPr>
                <w:rFonts w:ascii="宋体" w:hAnsi="宋体" w:cs="宋体" w:eastAsia="宋体" w:hint="default"/>
                <w:spacing w:val="-3"/>
                <w:sz w:val="18"/>
                <w:szCs w:val="18"/>
              </w:rPr>
              <w:t>久</w:t>
            </w:r>
            <w:r>
              <w:rPr>
                <w:rFonts w:ascii="宋体" w:hAnsi="宋体" w:cs="宋体" w:eastAsia="宋体" w:hint="default"/>
                <w:sz w:val="18"/>
                <w:szCs w:val="18"/>
              </w:rPr>
              <w:t>补充流动资金。该议案已经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p>
          <w:p>
            <w:pPr>
              <w:pStyle w:val="TableParagraph"/>
              <w:spacing w:line="240" w:lineRule="auto" w:before="63"/>
              <w:ind w:left="16" w:right="0"/>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年度股东大会审议通过。</w:t>
            </w:r>
          </w:p>
          <w:p>
            <w:pPr>
              <w:pStyle w:val="TableParagraph"/>
              <w:spacing w:line="304" w:lineRule="auto" w:before="101"/>
              <w:ind w:left="16" w:right="19"/>
              <w:jc w:val="both"/>
              <w:rPr>
                <w:rFonts w:ascii="宋体" w:hAnsi="宋体" w:cs="宋体" w:eastAsia="宋体" w:hint="default"/>
                <w:sz w:val="18"/>
                <w:szCs w:val="18"/>
              </w:rPr>
            </w:pP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日第二届董事会第六次会议审议通过《关于变更部分募投项目实施方式并使用部 分超募资金的议案》将募投项目</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管理外包服务项目</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数据中心创新服务项目</w:t>
            </w:r>
            <w:r>
              <w:rPr>
                <w:rFonts w:ascii="Times New Roman" w:hAnsi="Times New Roman" w:cs="Times New Roman" w:eastAsia="Times New Roman" w:hint="default"/>
                <w:sz w:val="18"/>
                <w:szCs w:val="18"/>
              </w:rPr>
              <w:t>”</w:t>
            </w:r>
            <w:r>
              <w:rPr>
                <w:rFonts w:ascii="宋体" w:hAnsi="宋体" w:cs="宋体" w:eastAsia="宋体" w:hint="default"/>
                <w:sz w:val="18"/>
                <w:szCs w:val="18"/>
              </w:rPr>
              <w:t>建设中关于办公 场地投入的实施方式从购置办公楼并装修变更为竞拍国有土地使用权并自主建设，并使用部分超募 资金。预计使用超募资金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2,087.1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万元；该议案经</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年度股东大会审议通 过。</w:t>
            </w:r>
          </w:p>
          <w:p>
            <w:pPr>
              <w:pStyle w:val="TableParagraph"/>
              <w:spacing w:line="300" w:lineRule="auto" w:before="68"/>
              <w:ind w:left="16" w:right="19"/>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、公司第二届董事会第十三次临时会议审议通过《终止</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天玑科技青浦综合业务大楼</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建设项目并使</w:t>
            </w:r>
            <w:r>
              <w:rPr>
                <w:rFonts w:ascii="宋体" w:hAnsi="宋体" w:cs="宋体" w:eastAsia="宋体" w:hint="default"/>
                <w:spacing w:val="-71"/>
                <w:sz w:val="18"/>
                <w:szCs w:val="18"/>
              </w:rPr>
              <w:t> </w:t>
            </w:r>
            <w:r>
              <w:rPr>
                <w:rFonts w:ascii="宋体" w:hAnsi="宋体" w:cs="宋体" w:eastAsia="宋体" w:hint="default"/>
                <w:spacing w:val="-6"/>
                <w:sz w:val="18"/>
                <w:szCs w:val="18"/>
              </w:rPr>
              <w:t>用自有资金置换已投入超募资金的议案》及审议通过《关于退回土地使用权的议案》，其中《终止</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天</w:t>
            </w:r>
            <w:r>
              <w:rPr>
                <w:rFonts w:ascii="宋体" w:hAnsi="宋体" w:cs="宋体" w:eastAsia="宋体" w:hint="default"/>
                <w:spacing w:val="-79"/>
                <w:sz w:val="18"/>
                <w:szCs w:val="18"/>
              </w:rPr>
              <w:t> </w:t>
            </w:r>
            <w:r>
              <w:rPr>
                <w:rFonts w:ascii="宋体" w:hAnsi="宋体" w:cs="宋体" w:eastAsia="宋体" w:hint="default"/>
                <w:sz w:val="18"/>
                <w:szCs w:val="18"/>
              </w:rPr>
              <w:t>玑科技青浦综合业务大楼</w:t>
            </w:r>
            <w:r>
              <w:rPr>
                <w:rFonts w:ascii="Times New Roman" w:hAnsi="Times New Roman" w:cs="Times New Roman" w:eastAsia="Times New Roman" w:hint="default"/>
                <w:sz w:val="18"/>
                <w:szCs w:val="18"/>
              </w:rPr>
              <w:t>”</w:t>
            </w:r>
            <w:r>
              <w:rPr>
                <w:rFonts w:ascii="宋体" w:hAnsi="宋体" w:cs="宋体" w:eastAsia="宋体" w:hint="default"/>
                <w:sz w:val="18"/>
                <w:szCs w:val="18"/>
              </w:rPr>
              <w:t>建设项目并使用自有资金置换已投入超募资金的议案》已经公司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13"/>
              <w:ind w:left="16" w:right="0"/>
              <w:jc w:val="both"/>
              <w:rPr>
                <w:rFonts w:ascii="宋体" w:hAnsi="宋体" w:cs="宋体" w:eastAsia="宋体" w:hint="default"/>
                <w:sz w:val="18"/>
                <w:szCs w:val="18"/>
              </w:rPr>
            </w:pPr>
            <w:r>
              <w:rPr>
                <w:rFonts w:ascii="宋体" w:hAnsi="宋体" w:cs="宋体" w:eastAsia="宋体" w:hint="default"/>
                <w:sz w:val="18"/>
                <w:szCs w:val="18"/>
              </w:rPr>
              <w:t>度股东大会审议通过。公司已于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日收到上海市青浦工业园区发展（集团）有限公司</w:t>
            </w:r>
          </w:p>
          <w:p>
            <w:pPr>
              <w:pStyle w:val="TableParagraph"/>
              <w:spacing w:line="240" w:lineRule="auto" w:before="63"/>
              <w:ind w:left="16" w:right="0"/>
              <w:jc w:val="both"/>
              <w:rPr>
                <w:rFonts w:ascii="宋体" w:hAnsi="宋体" w:cs="宋体" w:eastAsia="宋体" w:hint="default"/>
                <w:sz w:val="18"/>
                <w:szCs w:val="18"/>
              </w:rPr>
            </w:pPr>
            <w:r>
              <w:rPr>
                <w:rFonts w:ascii="宋体" w:hAnsi="宋体" w:cs="宋体" w:eastAsia="宋体" w:hint="default"/>
                <w:sz w:val="18"/>
                <w:szCs w:val="18"/>
              </w:rPr>
              <w:t>土地回购款</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880 </w:t>
            </w:r>
            <w:r>
              <w:rPr>
                <w:rFonts w:ascii="宋体" w:hAnsi="宋体" w:cs="宋体" w:eastAsia="宋体" w:hint="default"/>
                <w:sz w:val="18"/>
                <w:szCs w:val="18"/>
              </w:rPr>
              <w:t>万元，退回后的款项已划拨至募集资金账户统一管理。公司于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日将</w:t>
            </w:r>
          </w:p>
          <w:p>
            <w:pPr>
              <w:pStyle w:val="TableParagraph"/>
              <w:spacing w:line="240" w:lineRule="auto" w:before="63"/>
              <w:ind w:left="16" w:right="0"/>
              <w:jc w:val="both"/>
              <w:rPr>
                <w:rFonts w:ascii="宋体" w:hAnsi="宋体" w:cs="宋体" w:eastAsia="宋体" w:hint="default"/>
                <w:sz w:val="18"/>
                <w:szCs w:val="18"/>
              </w:rPr>
            </w:pPr>
            <w:r>
              <w:rPr>
                <w:rFonts w:ascii="宋体" w:hAnsi="宋体" w:cs="宋体" w:eastAsia="宋体" w:hint="default"/>
                <w:sz w:val="18"/>
                <w:szCs w:val="18"/>
              </w:rPr>
              <w:t>自有资金人民币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101,604.27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元置换已投入至天玑科技青浦综合大楼建设的超募资金。</w:t>
            </w:r>
          </w:p>
          <w:p>
            <w:pPr>
              <w:pStyle w:val="TableParagraph"/>
              <w:spacing w:line="309" w:lineRule="auto" w:before="103"/>
              <w:ind w:left="16" w:right="18"/>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pacing w:val="-6"/>
                <w:sz w:val="18"/>
                <w:szCs w:val="18"/>
              </w:rPr>
              <w:t>5</w:t>
            </w:r>
            <w:r>
              <w:rPr>
                <w:rFonts w:ascii="宋体" w:hAnsi="宋体" w:cs="宋体" w:eastAsia="宋体" w:hint="default"/>
                <w:spacing w:val="-6"/>
                <w:sz w:val="18"/>
                <w:szCs w:val="18"/>
              </w:rPr>
              <w:t>、公司于</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日召开第二届董事会第十四次临时会议，审议通过了《关于使用超募资金 </w:t>
            </w:r>
            <w:r>
              <w:rPr>
                <w:rFonts w:ascii="宋体" w:hAnsi="宋体" w:cs="宋体" w:eastAsia="宋体" w:hint="default"/>
                <w:spacing w:val="-5"/>
                <w:sz w:val="18"/>
                <w:szCs w:val="18"/>
              </w:rPr>
              <w:t>投资设立合资公司的议案》，同意公司与上海天莺投资管理中心（有限合伙）、自然人许文共同投资</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人民币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万元设立合资公司。其中公司以超募资金出资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1,300</w:t>
            </w:r>
            <w:r>
              <w:rPr>
                <w:rFonts w:ascii="Times New Roman" w:hAnsi="Times New Roman" w:cs="Times New Roman" w:eastAsia="Times New Roman" w:hint="default"/>
                <w:spacing w:val="3"/>
                <w:sz w:val="18"/>
                <w:szCs w:val="18"/>
              </w:rPr>
              <w:t> </w:t>
            </w:r>
            <w:r>
              <w:rPr>
                <w:rFonts w:ascii="宋体" w:hAnsi="宋体" w:cs="宋体" w:eastAsia="宋体" w:hint="default"/>
                <w:spacing w:val="-6"/>
                <w:sz w:val="18"/>
                <w:szCs w:val="18"/>
              </w:rPr>
              <w:t>万元，占出资比例的</w:t>
            </w:r>
            <w:r>
              <w:rPr>
                <w:rFonts w:ascii="宋体" w:hAnsi="宋体" w:cs="宋体" w:eastAsia="宋体" w:hint="default"/>
                <w:spacing w:val="-43"/>
                <w:sz w:val="18"/>
                <w:szCs w:val="18"/>
              </w:rPr>
              <w:t> </w:t>
            </w:r>
            <w:r>
              <w:rPr>
                <w:rFonts w:ascii="Times New Roman" w:hAnsi="Times New Roman" w:cs="Times New Roman" w:eastAsia="Times New Roman" w:hint="default"/>
                <w:spacing w:val="-11"/>
                <w:sz w:val="18"/>
                <w:szCs w:val="18"/>
              </w:rPr>
              <w:t>65%</w:t>
            </w:r>
            <w:r>
              <w:rPr>
                <w:rFonts w:ascii="宋体" w:hAnsi="宋体" w:cs="宋体" w:eastAsia="宋体" w:hint="default"/>
                <w:spacing w:val="-11"/>
                <w:sz w:val="18"/>
                <w:szCs w:val="18"/>
              </w:rPr>
              <w:t>。于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2014</w:t>
            </w:r>
          </w:p>
        </w:tc>
      </w:tr>
      <w:tr>
        <w:trPr>
          <w:trHeight w:val="704" w:hRule="exact"/>
        </w:trPr>
        <w:tc>
          <w:tcPr>
            <w:tcW w:w="17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799" w:type="dxa"/>
            <w:gridSpan w:val="10"/>
            <w:vMerge/>
            <w:tcBorders>
              <w:left w:val="single" w:sz="10" w:space="0" w:color="D2D2D2"/>
              <w:right w:val="single" w:sz="4" w:space="0" w:color="000000"/>
            </w:tcBorders>
          </w:tcPr>
          <w:p>
            <w:pPr/>
          </w:p>
        </w:tc>
      </w:tr>
      <w:tr>
        <w:trPr>
          <w:trHeight w:val="3387" w:hRule="exact"/>
        </w:trPr>
        <w:tc>
          <w:tcPr>
            <w:tcW w:w="177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9" w:type="dxa"/>
            <w:gridSpan w:val="10"/>
            <w:vMerge/>
            <w:tcBorders>
              <w:left w:val="single" w:sz="10" w:space="0" w:color="D2D2D2"/>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56.459999pt;margin-top:71.999985pt;width:479.2pt;height:689.8pt;mso-position-horizontal-relative:page;mso-position-vertical-relative:page;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7799"/>
                  </w:tblGrid>
                  <w:tr>
                    <w:trPr>
                      <w:trHeight w:val="10939"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4" w:right="21"/>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日取得了由上海市工商行政管理局自由贸易试验区分局核发的上海天玑数据技术有限公司 </w:t>
                        </w:r>
                        <w:r>
                          <w:rPr>
                            <w:rFonts w:ascii="宋体" w:hAnsi="宋体" w:cs="宋体" w:eastAsia="宋体" w:hint="default"/>
                            <w:spacing w:val="-10"/>
                            <w:sz w:val="18"/>
                            <w:szCs w:val="18"/>
                          </w:rPr>
                          <w:t>的《企业营业执照》。</w:t>
                        </w:r>
                      </w:p>
                      <w:p>
                        <w:pPr>
                          <w:pStyle w:val="TableParagraph"/>
                          <w:spacing w:line="307" w:lineRule="auto" w:before="72"/>
                          <w:ind w:left="24" w:right="17"/>
                          <w:jc w:val="both"/>
                          <w:rPr>
                            <w:rFonts w:ascii="宋体" w:hAnsi="宋体" w:cs="宋体" w:eastAsia="宋体" w:hint="default"/>
                            <w:sz w:val="18"/>
                            <w:szCs w:val="18"/>
                          </w:rPr>
                        </w:pPr>
                        <w:r>
                          <w:rPr>
                            <w:rFonts w:ascii="Times New Roman" w:hAnsi="Times New Roman" w:cs="Times New Roman" w:eastAsia="Times New Roman" w:hint="default"/>
                            <w:spacing w:val="-16"/>
                            <w:sz w:val="18"/>
                            <w:szCs w:val="18"/>
                          </w:rPr>
                          <w:t>6</w:t>
                        </w:r>
                        <w:r>
                          <w:rPr>
                            <w:rFonts w:ascii="宋体" w:hAnsi="宋体" w:cs="宋体" w:eastAsia="宋体" w:hint="default"/>
                            <w:spacing w:val="-16"/>
                            <w:sz w:val="18"/>
                            <w:szCs w:val="18"/>
                          </w:rPr>
                          <w:t>、</w:t>
                        </w:r>
                        <w:r>
                          <w:rPr>
                            <w:rFonts w:ascii="Times New Roman" w:hAnsi="Times New Roman" w:cs="Times New Roman" w:eastAsia="Times New Roman" w:hint="default"/>
                            <w:spacing w:val="-16"/>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日公司第二届董事会第二十五次会议审议通过《关于将原使用超募资金投资设立</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天</w:t>
                        </w:r>
                        <w:r>
                          <w:rPr>
                            <w:rFonts w:ascii="宋体" w:hAnsi="宋体" w:cs="宋体" w:eastAsia="宋体" w:hint="default"/>
                            <w:spacing w:val="-88"/>
                            <w:sz w:val="18"/>
                            <w:szCs w:val="18"/>
                          </w:rPr>
                          <w:t> </w:t>
                        </w:r>
                        <w:r>
                          <w:rPr>
                            <w:rFonts w:ascii="宋体" w:hAnsi="宋体" w:cs="宋体" w:eastAsia="宋体" w:hint="default"/>
                            <w:spacing w:val="-3"/>
                            <w:sz w:val="18"/>
                            <w:szCs w:val="18"/>
                          </w:rPr>
                          <w:t>玑数据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变更为使用自有资金投资设立的议案》，考虑到新设合资公司可能存在相关的运营及短期盈</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利、竞争等风险，公司从未来长远及战略性考虑，同时为加强超募资金管理，进一步提高超募资金 </w:t>
                        </w:r>
                        <w:r>
                          <w:rPr>
                            <w:rFonts w:ascii="宋体" w:hAnsi="宋体" w:cs="宋体" w:eastAsia="宋体" w:hint="default"/>
                            <w:spacing w:val="-5"/>
                            <w:sz w:val="18"/>
                            <w:szCs w:val="18"/>
                          </w:rPr>
                          <w:t>的使用效率，根据深圳证券交易所《创业板股票上市规则》、《创业板上市公司规范运作指引》的有</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关规定，决定将原使用超募资金投资设立变更为使用自有资金</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1,300</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万元投资设立。已经</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 股东大会审议通过。</w:t>
                        </w:r>
                      </w:p>
                      <w:p>
                        <w:pPr>
                          <w:pStyle w:val="TableParagraph"/>
                          <w:spacing w:line="304" w:lineRule="auto" w:before="64"/>
                          <w:ind w:left="24" w:right="1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7</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日公司召开第二届董事会第二十八次临时会议，审议通过了《关于使用超募资金 </w:t>
                        </w:r>
                        <w:r>
                          <w:rPr>
                            <w:rFonts w:ascii="宋体" w:hAnsi="宋体" w:cs="宋体" w:eastAsia="宋体" w:hint="default"/>
                            <w:spacing w:val="-5"/>
                            <w:sz w:val="18"/>
                            <w:szCs w:val="18"/>
                          </w:rPr>
                          <w:t>投资设立合资公司的议案》，同意公司与自然人沈星、薛琦共同投资设立上海卓之联信息科技有限公</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司，其中公司以超募资金出资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万元，占出资比例的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沈星以无形资产出资人民币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元，占出资比例的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，薛琦以无形资产出资人民币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万元，占出资比例的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。该合资公司 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日取得营业执照。</w:t>
                        </w:r>
                      </w:p>
                      <w:p>
                        <w:pPr>
                          <w:pStyle w:val="TableParagraph"/>
                          <w:spacing w:line="240" w:lineRule="auto" w:before="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日，公司第三届董事会第二次会议，审议通过《关于使用超募资金购买办公房</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产并设立全资子公司的议案</w:t>
                        </w:r>
                        <w:r>
                          <w:rPr>
                            <w:rFonts w:ascii="宋体" w:hAnsi="宋体" w:cs="宋体" w:eastAsia="宋体" w:hint="default"/>
                            <w:spacing w:val="-92"/>
                            <w:sz w:val="18"/>
                            <w:szCs w:val="18"/>
                          </w:rPr>
                          <w:t>》</w:t>
                        </w:r>
                        <w:r>
                          <w:rPr>
                            <w:rFonts w:ascii="宋体" w:hAnsi="宋体" w:cs="宋体" w:eastAsia="宋体" w:hint="default"/>
                            <w:spacing w:val="-41"/>
                            <w:sz w:val="18"/>
                            <w:szCs w:val="18"/>
                          </w:rPr>
                          <w:t>，</w:t>
                        </w:r>
                        <w:r>
                          <w:rPr>
                            <w:rFonts w:ascii="宋体" w:hAnsi="宋体" w:cs="宋体" w:eastAsia="宋体" w:hint="default"/>
                            <w:sz w:val="18"/>
                            <w:szCs w:val="18"/>
                          </w:rPr>
                          <w:t>同意公司使用不超过人民币</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万元的超募资金用于在杭</w:t>
                        </w:r>
                        <w:r>
                          <w:rPr>
                            <w:rFonts w:ascii="宋体" w:hAnsi="宋体" w:cs="宋体" w:eastAsia="宋体" w:hint="default"/>
                            <w:spacing w:val="-3"/>
                            <w:sz w:val="18"/>
                            <w:szCs w:val="18"/>
                          </w:rPr>
                          <w:t>州</w:t>
                        </w:r>
                        <w:r>
                          <w:rPr>
                            <w:rFonts w:ascii="宋体" w:hAnsi="宋体" w:cs="宋体" w:eastAsia="宋体" w:hint="default"/>
                            <w:sz w:val="18"/>
                            <w:szCs w:val="18"/>
                          </w:rPr>
                          <w:t>购置办</w:t>
                        </w:r>
                      </w:p>
                      <w:p>
                        <w:pPr>
                          <w:pStyle w:val="TableParagraph"/>
                          <w:spacing w:line="300" w:lineRule="auto" w:before="63"/>
                          <w:ind w:left="24" w:right="20"/>
                          <w:jc w:val="left"/>
                          <w:rPr>
                            <w:rFonts w:ascii="宋体" w:hAnsi="宋体" w:cs="宋体" w:eastAsia="宋体" w:hint="default"/>
                            <w:sz w:val="18"/>
                            <w:szCs w:val="18"/>
                          </w:rPr>
                        </w:pPr>
                        <w:r>
                          <w:rPr>
                            <w:rFonts w:ascii="宋体" w:hAnsi="宋体" w:cs="宋体" w:eastAsia="宋体" w:hint="default"/>
                            <w:spacing w:val="-6"/>
                            <w:sz w:val="18"/>
                            <w:szCs w:val="18"/>
                          </w:rPr>
                          <w:t>公房产并设立全资子公司。公司已于</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pacing w:val="-1"/>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5"/>
                            <w:sz w:val="18"/>
                            <w:szCs w:val="18"/>
                          </w:rPr>
                          <w:t> </w:t>
                        </w:r>
                        <w:r>
                          <w:rPr>
                            <w:rFonts w:ascii="宋体" w:hAnsi="宋体" w:cs="宋体" w:eastAsia="宋体" w:hint="default"/>
                            <w:spacing w:val="-1"/>
                            <w:sz w:val="18"/>
                            <w:szCs w:val="18"/>
                          </w:rPr>
                          <w:t>日领取了两家全资子公司即杭州广捷科技有限</w:t>
                        </w:r>
                        <w:r>
                          <w:rPr>
                            <w:rFonts w:ascii="宋体" w:hAnsi="宋体" w:cs="宋体" w:eastAsia="宋体" w:hint="default"/>
                            <w:sz w:val="18"/>
                            <w:szCs w:val="18"/>
                          </w:rPr>
                          <w:t> 公司、杭州鸿昇科技有限公司的营业执照。</w:t>
                        </w:r>
                      </w:p>
                      <w:p>
                        <w:pPr>
                          <w:pStyle w:val="TableParagraph"/>
                          <w:spacing w:line="240" w:lineRule="auto" w:before="7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日，公司召开第三届董事会第三次会议，审议通过《关于使用部分超募资金永久</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补充流动资金的议案</w:t>
                        </w:r>
                        <w:r>
                          <w:rPr>
                            <w:rFonts w:ascii="宋体" w:hAnsi="宋体" w:cs="宋体" w:eastAsia="宋体" w:hint="default"/>
                            <w:spacing w:val="-92"/>
                            <w:sz w:val="18"/>
                            <w:szCs w:val="18"/>
                          </w:rPr>
                          <w:t>》</w:t>
                        </w:r>
                        <w:r>
                          <w:rPr>
                            <w:rFonts w:ascii="宋体" w:hAnsi="宋体" w:cs="宋体" w:eastAsia="宋体" w:hint="default"/>
                            <w:sz w:val="18"/>
                            <w:szCs w:val="18"/>
                          </w:rPr>
                          <w:t>，同意</w:t>
                        </w:r>
                        <w:r>
                          <w:rPr>
                            <w:rFonts w:ascii="宋体" w:hAnsi="宋体" w:cs="宋体" w:eastAsia="宋体" w:hint="default"/>
                            <w:spacing w:val="2"/>
                            <w:sz w:val="18"/>
                            <w:szCs w:val="18"/>
                          </w:rPr>
                          <w:t>公</w:t>
                        </w:r>
                        <w:r>
                          <w:rPr>
                            <w:rFonts w:ascii="宋体" w:hAnsi="宋体" w:cs="宋体" w:eastAsia="宋体" w:hint="default"/>
                            <w:sz w:val="18"/>
                            <w:szCs w:val="18"/>
                          </w:rPr>
                          <w:t>司使用首次公开发行股票超募资金</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30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元永久补</w:t>
                        </w:r>
                        <w:r>
                          <w:rPr>
                            <w:rFonts w:ascii="宋体" w:hAnsi="宋体" w:cs="宋体" w:eastAsia="宋体" w:hint="default"/>
                            <w:spacing w:val="-3"/>
                            <w:sz w:val="18"/>
                            <w:szCs w:val="18"/>
                          </w:rPr>
                          <w:t>充</w:t>
                        </w:r>
                        <w:r>
                          <w:rPr>
                            <w:rFonts w:ascii="宋体" w:hAnsi="宋体" w:cs="宋体" w:eastAsia="宋体" w:hint="default"/>
                            <w:sz w:val="18"/>
                            <w:szCs w:val="18"/>
                          </w:rPr>
                          <w:t>流动资</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金，并经公司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年年度股东大会审议通过。</w:t>
                        </w:r>
                      </w:p>
                      <w:p>
                        <w:pPr>
                          <w:pStyle w:val="TableParagraph"/>
                          <w:spacing w:line="300" w:lineRule="auto" w:before="101"/>
                          <w:ind w:left="24" w:right="17"/>
                          <w:jc w:val="both"/>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日，公司召开第三届董事会第五次会议，审议通过了《关于首次公开发行部分 </w:t>
                        </w:r>
                        <w:r>
                          <w:rPr>
                            <w:rFonts w:ascii="宋体" w:hAnsi="宋体" w:cs="宋体" w:eastAsia="宋体" w:hint="default"/>
                            <w:spacing w:val="-1"/>
                            <w:w w:val="100"/>
                            <w:sz w:val="18"/>
                            <w:szCs w:val="18"/>
                          </w:rPr>
                          <w:t>募投项目</w:t>
                        </w:r>
                        <w:r>
                          <w:rPr>
                            <w:rFonts w:ascii="Times New Roman" w:hAnsi="Times New Roman" w:cs="Times New Roman" w:eastAsia="Times New Roman" w:hint="default"/>
                            <w:spacing w:val="-1"/>
                            <w:w w:val="100"/>
                            <w:sz w:val="18"/>
                            <w:szCs w:val="18"/>
                          </w:rPr>
                          <w:t>“IT</w:t>
                        </w:r>
                        <w:r>
                          <w:rPr>
                            <w:rFonts w:ascii="Times New Roman" w:hAnsi="Times New Roman" w:cs="Times New Roman" w:eastAsia="Times New Roman" w:hint="default"/>
                            <w:w w:val="100"/>
                            <w:sz w:val="18"/>
                            <w:szCs w:val="18"/>
                          </w:rPr>
                          <w:t> </w:t>
                        </w:r>
                        <w:r>
                          <w:rPr>
                            <w:rFonts w:ascii="宋体" w:hAnsi="宋体" w:cs="宋体" w:eastAsia="宋体" w:hint="default"/>
                            <w:spacing w:val="-3"/>
                            <w:sz w:val="18"/>
                            <w:szCs w:val="18"/>
                          </w:rPr>
                          <w:t>管理外包服务项目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完成并将节余募集资金转为超募资金的议案》，公司首次公开发行</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承诺投资的募投项目</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管理外包服务项目</w:t>
                        </w:r>
                        <w:r>
                          <w:rPr>
                            <w:rFonts w:ascii="Times New Roman" w:hAnsi="Times New Roman" w:cs="Times New Roman" w:eastAsia="Times New Roman" w:hint="default"/>
                            <w:sz w:val="18"/>
                            <w:szCs w:val="18"/>
                          </w:rPr>
                          <w:t>”</w:t>
                        </w:r>
                        <w:r>
                          <w:rPr>
                            <w:rFonts w:ascii="宋体" w:hAnsi="宋体" w:cs="宋体" w:eastAsia="宋体" w:hint="default"/>
                            <w:sz w:val="18"/>
                            <w:szCs w:val="18"/>
                          </w:rPr>
                          <w:t>已经完成了项目建设，累计已达到预期效益，同意予以 结项并将节余募集资金</w:t>
                        </w:r>
                        <w:r>
                          <w:rPr>
                            <w:rFonts w:ascii="宋体" w:hAnsi="宋体" w:cs="宋体" w:eastAsia="宋体" w:hint="default"/>
                            <w:spacing w:val="-39"/>
                            <w:sz w:val="18"/>
                            <w:szCs w:val="18"/>
                          </w:rPr>
                          <w:t> </w:t>
                        </w:r>
                        <w:r>
                          <w:rPr>
                            <w:rFonts w:ascii="Times New Roman" w:hAnsi="Times New Roman" w:cs="Times New Roman" w:eastAsia="Times New Roman" w:hint="default"/>
                            <w:spacing w:val="-1"/>
                            <w:sz w:val="18"/>
                            <w:szCs w:val="18"/>
                          </w:rPr>
                          <w:t>2,433.24</w:t>
                        </w:r>
                        <w:r>
                          <w:rPr>
                            <w:rFonts w:ascii="Times New Roman" w:hAnsi="Times New Roman" w:cs="Times New Roman" w:eastAsia="Times New Roman" w:hint="default"/>
                            <w:spacing w:val="7"/>
                            <w:sz w:val="18"/>
                            <w:szCs w:val="18"/>
                          </w:rPr>
                          <w:t> </w:t>
                        </w:r>
                        <w:r>
                          <w:rPr>
                            <w:rFonts w:ascii="宋体" w:hAnsi="宋体" w:cs="宋体" w:eastAsia="宋体" w:hint="default"/>
                            <w:spacing w:val="-7"/>
                            <w:sz w:val="18"/>
                            <w:szCs w:val="18"/>
                          </w:rPr>
                          <w:t>万元转为超募资金。该议案已经</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7"/>
                            <w:sz w:val="18"/>
                            <w:szCs w:val="18"/>
                          </w:rPr>
                          <w:t> </w:t>
                        </w:r>
                        <w:r>
                          <w:rPr>
                            <w:rFonts w:ascii="宋体" w:hAnsi="宋体" w:cs="宋体" w:eastAsia="宋体" w:hint="default"/>
                            <w:spacing w:val="-1"/>
                            <w:sz w:val="18"/>
                            <w:szCs w:val="18"/>
                          </w:rPr>
                          <w:t>年第一次临时股东大会审议通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过。</w:t>
                        </w:r>
                      </w:p>
                      <w:p>
                        <w:pPr>
                          <w:pStyle w:val="TableParagraph"/>
                          <w:spacing w:line="304" w:lineRule="auto" w:before="72"/>
                          <w:ind w:left="24" w:right="5"/>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日，公司召开第三届董事会第十三次会议，审议通过《关于使用部分超募资金 建设新一代</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运维管理服务平台项目的议案》，结合公司的发展规划，同时为了提高募集资金的使</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用效率，公司同意使用超募资金人民币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4,980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万元用于</w:t>
                        </w:r>
                        <w:r>
                          <w:rPr>
                            <w:rFonts w:ascii="Times New Roman" w:hAnsi="Times New Roman" w:cs="Times New Roman" w:eastAsia="Times New Roman" w:hint="default"/>
                            <w:sz w:val="18"/>
                            <w:szCs w:val="18"/>
                          </w:rPr>
                          <w:t>“</w:t>
                        </w:r>
                        <w:r>
                          <w:rPr>
                            <w:rFonts w:ascii="宋体" w:hAnsi="宋体" w:cs="宋体" w:eastAsia="宋体" w:hint="default"/>
                            <w:sz w:val="18"/>
                            <w:szCs w:val="18"/>
                          </w:rPr>
                          <w:t>新一代</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运维管理服务平台</w:t>
                        </w:r>
                        <w:r>
                          <w:rPr>
                            <w:rFonts w:ascii="Times New Roman" w:hAnsi="Times New Roman" w:cs="Times New Roman" w:eastAsia="Times New Roman" w:hint="default"/>
                            <w:sz w:val="18"/>
                            <w:szCs w:val="18"/>
                          </w:rPr>
                          <w:t>”</w:t>
                        </w:r>
                        <w:r>
                          <w:rPr>
                            <w:rFonts w:ascii="宋体" w:hAnsi="宋体" w:cs="宋体" w:eastAsia="宋体" w:hint="default"/>
                            <w:sz w:val="18"/>
                            <w:szCs w:val="18"/>
                          </w:rPr>
                          <w:t>项目的建设， </w:t>
                        </w:r>
                        <w:r>
                          <w:rPr>
                            <w:rFonts w:ascii="宋体" w:hAnsi="宋体" w:cs="宋体" w:eastAsia="宋体" w:hint="default"/>
                            <w:spacing w:val="-3"/>
                            <w:sz w:val="18"/>
                            <w:szCs w:val="18"/>
                          </w:rPr>
                          <w:t>该项目属于公司主营业务范围，资金的投入主要包括项目研发投入、运营投入、购置软硬件设备等</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项目周期为两年。</w:t>
                        </w:r>
                      </w:p>
                      <w:p>
                        <w:pPr>
                          <w:pStyle w:val="TableParagraph"/>
                          <w:spacing w:line="240" w:lineRule="auto" w:before="6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日，公司召开第三届董事会第十八次临时会议审议通过《关于使用部分超募资</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金暂时补充流动资金的议案</w:t>
                        </w:r>
                        <w:r>
                          <w:rPr>
                            <w:rFonts w:ascii="宋体" w:hAnsi="宋体" w:cs="宋体" w:eastAsia="宋体" w:hint="default"/>
                            <w:spacing w:val="-92"/>
                            <w:sz w:val="18"/>
                            <w:szCs w:val="18"/>
                          </w:rPr>
                          <w:t>》</w:t>
                        </w:r>
                        <w:r>
                          <w:rPr>
                            <w:rFonts w:ascii="宋体" w:hAnsi="宋体" w:cs="宋体" w:eastAsia="宋体" w:hint="default"/>
                            <w:spacing w:val="-41"/>
                            <w:sz w:val="18"/>
                            <w:szCs w:val="18"/>
                          </w:rPr>
                          <w:t>，</w:t>
                        </w:r>
                        <w:r>
                          <w:rPr>
                            <w:rFonts w:ascii="宋体" w:hAnsi="宋体" w:cs="宋体" w:eastAsia="宋体" w:hint="default"/>
                            <w:sz w:val="18"/>
                            <w:szCs w:val="18"/>
                          </w:rPr>
                          <w:t>同意公司使用首次公开发行股票超募资金人民币</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r>
                          <w:rPr>
                            <w:rFonts w:ascii="宋体" w:hAnsi="宋体" w:cs="宋体" w:eastAsia="宋体" w:hint="default"/>
                            <w:spacing w:val="-3"/>
                            <w:sz w:val="18"/>
                            <w:szCs w:val="18"/>
                          </w:rPr>
                          <w:t>元</w:t>
                        </w:r>
                        <w:r>
                          <w:rPr>
                            <w:rFonts w:ascii="宋体" w:hAnsi="宋体" w:cs="宋体" w:eastAsia="宋体" w:hint="default"/>
                            <w:sz w:val="18"/>
                            <w:szCs w:val="18"/>
                          </w:rPr>
                          <w:t>暂时补充</w:t>
                        </w:r>
                      </w:p>
                      <w:p>
                        <w:pPr>
                          <w:pStyle w:val="TableParagraph"/>
                          <w:spacing w:line="300" w:lineRule="auto" w:before="63"/>
                          <w:ind w:left="24" w:right="20"/>
                          <w:jc w:val="left"/>
                          <w:rPr>
                            <w:rFonts w:ascii="宋体" w:hAnsi="宋体" w:cs="宋体" w:eastAsia="宋体" w:hint="default"/>
                            <w:sz w:val="18"/>
                            <w:szCs w:val="18"/>
                          </w:rPr>
                        </w:pPr>
                        <w:r>
                          <w:rPr>
                            <w:rFonts w:ascii="宋体" w:hAnsi="宋体" w:cs="宋体" w:eastAsia="宋体" w:hint="default"/>
                            <w:sz w:val="18"/>
                            <w:szCs w:val="18"/>
                          </w:rPr>
                          <w:t>流动资金。使用期限为自董事会批准之日起不超过</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pacing w:val="-4"/>
                            <w:sz w:val="18"/>
                            <w:szCs w:val="18"/>
                          </w:rPr>
                          <w:t>个月，到期前公司将及时、足额将上述资金归</w:t>
                        </w:r>
                        <w:r>
                          <w:rPr>
                            <w:rFonts w:ascii="宋体" w:hAnsi="宋体" w:cs="宋体" w:eastAsia="宋体" w:hint="default"/>
                            <w:sz w:val="18"/>
                            <w:szCs w:val="18"/>
                          </w:rPr>
                          <w:t> 还至募集资金专户。</w:t>
                        </w:r>
                      </w:p>
                    </w:tc>
                  </w:tr>
                  <w:tr>
                    <w:trPr>
                      <w:trHeight w:val="403"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314"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1" w:hRule="exact"/>
                    </w:trPr>
                    <w:tc>
                      <w:tcPr>
                        <w:tcW w:w="1770" w:type="dxa"/>
                        <w:vMerge/>
                        <w:tcBorders>
                          <w:left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2043"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、首次公开发行股票募集资金情况</w:t>
                        </w:r>
                      </w:p>
                      <w:p>
                        <w:pPr>
                          <w:pStyle w:val="TableParagraph"/>
                          <w:spacing w:line="300" w:lineRule="auto" w:before="142"/>
                          <w:ind w:left="24" w:right="19"/>
                          <w:jc w:val="left"/>
                          <w:rPr>
                            <w:rFonts w:ascii="宋体" w:hAnsi="宋体" w:cs="宋体" w:eastAsia="宋体" w:hint="default"/>
                            <w:sz w:val="18"/>
                            <w:szCs w:val="18"/>
                          </w:rPr>
                        </w:pPr>
                        <w:r>
                          <w:rPr>
                            <w:rFonts w:ascii="宋体" w:hAnsi="宋体" w:cs="宋体" w:eastAsia="宋体" w:hint="default"/>
                            <w:spacing w:val="-16"/>
                            <w:sz w:val="18"/>
                            <w:szCs w:val="18"/>
                          </w:rPr>
                          <w:t>（</w:t>
                        </w:r>
                        <w:r>
                          <w:rPr>
                            <w:rFonts w:ascii="Times New Roman" w:hAnsi="Times New Roman" w:cs="Times New Roman" w:eastAsia="Times New Roman" w:hint="default"/>
                            <w:spacing w:val="-16"/>
                            <w:sz w:val="18"/>
                            <w:szCs w:val="18"/>
                          </w:rPr>
                          <w:t>1</w:t>
                        </w:r>
                        <w:r>
                          <w:rPr>
                            <w:rFonts w:ascii="宋体" w:hAnsi="宋体" w:cs="宋体" w:eastAsia="宋体" w:hint="default"/>
                            <w:spacing w:val="-16"/>
                            <w:sz w:val="18"/>
                            <w:szCs w:val="18"/>
                          </w:rPr>
                          <w:t>）、</w:t>
                        </w:r>
                        <w:r>
                          <w:rPr>
                            <w:rFonts w:ascii="Times New Roman" w:hAnsi="Times New Roman" w:cs="Times New Roman" w:eastAsia="Times New Roman" w:hint="default"/>
                            <w:spacing w:val="-16"/>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pacing w:val="-1"/>
                            <w:sz w:val="18"/>
                            <w:szCs w:val="18"/>
                          </w:rPr>
                          <w:t>16</w:t>
                        </w:r>
                        <w:r>
                          <w:rPr>
                            <w:rFonts w:ascii="Times New Roman" w:hAnsi="Times New Roman" w:cs="Times New Roman" w:eastAsia="Times New Roman" w:hint="default"/>
                            <w:spacing w:val="4"/>
                            <w:sz w:val="18"/>
                            <w:szCs w:val="18"/>
                          </w:rPr>
                          <w:t> </w:t>
                        </w:r>
                        <w:r>
                          <w:rPr>
                            <w:rFonts w:ascii="宋体" w:hAnsi="宋体" w:cs="宋体" w:eastAsia="宋体" w:hint="default"/>
                            <w:spacing w:val="-2"/>
                            <w:w w:val="100"/>
                            <w:sz w:val="18"/>
                            <w:szCs w:val="18"/>
                          </w:rPr>
                          <w:t>日第一届董事会第二十五次会议审议通过了《关于变更</w:t>
                        </w:r>
                        <w:r>
                          <w:rPr>
                            <w:rFonts w:ascii="Times New Roman" w:hAnsi="Times New Roman" w:cs="Times New Roman" w:eastAsia="Times New Roman" w:hint="default"/>
                            <w:spacing w:val="-2"/>
                            <w:w w:val="100"/>
                            <w:sz w:val="18"/>
                            <w:szCs w:val="18"/>
                          </w:rPr>
                          <w:t>“IT</w:t>
                        </w:r>
                        <w:r>
                          <w:rPr>
                            <w:rFonts w:ascii="Times New Roman" w:hAnsi="Times New Roman" w:cs="Times New Roman" w:eastAsia="Times New Roman" w:hint="default"/>
                            <w:spacing w:val="1"/>
                            <w:w w:val="100"/>
                            <w:sz w:val="18"/>
                            <w:szCs w:val="18"/>
                          </w:rPr>
                          <w:t> </w:t>
                        </w:r>
                        <w:r>
                          <w:rPr>
                            <w:rFonts w:ascii="宋体" w:hAnsi="宋体" w:cs="宋体" w:eastAsia="宋体" w:hint="default"/>
                            <w:sz w:val="18"/>
                            <w:szCs w:val="18"/>
                          </w:rPr>
                          <w:t>基础设施支持与维 护服务区域扩展项目</w:t>
                        </w:r>
                        <w:r>
                          <w:rPr>
                            <w:rFonts w:ascii="Times New Roman" w:hAnsi="Times New Roman" w:cs="Times New Roman" w:eastAsia="Times New Roman" w:hint="default"/>
                            <w:sz w:val="18"/>
                            <w:szCs w:val="18"/>
                          </w:rPr>
                          <w:t>”</w:t>
                        </w:r>
                        <w:r>
                          <w:rPr>
                            <w:rFonts w:ascii="宋体" w:hAnsi="宋体" w:cs="宋体" w:eastAsia="宋体" w:hint="default"/>
                            <w:sz w:val="18"/>
                            <w:szCs w:val="18"/>
                          </w:rPr>
                          <w:t>部分募投实施地点的议案》同意将</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基础设施支持与维护区域扩展项目</w:t>
                        </w:r>
                        <w:r>
                          <w:rPr>
                            <w:rFonts w:ascii="Times New Roman" w:hAnsi="Times New Roman" w:cs="Times New Roman" w:eastAsia="Times New Roman" w:hint="default"/>
                            <w:sz w:val="18"/>
                            <w:szCs w:val="18"/>
                          </w:rPr>
                          <w:t>”</w:t>
                        </w:r>
                        <w:r>
                          <w:rPr>
                            <w:rFonts w:ascii="宋体" w:hAnsi="宋体" w:cs="宋体" w:eastAsia="宋体" w:hint="default"/>
                            <w:sz w:val="18"/>
                            <w:szCs w:val="18"/>
                          </w:rPr>
                          <w:t>在 成都的实施地点变更为重庆。</w:t>
                        </w:r>
                      </w:p>
                      <w:p>
                        <w:pPr>
                          <w:pStyle w:val="TableParagraph"/>
                          <w:spacing w:line="300" w:lineRule="auto" w:before="70"/>
                          <w:ind w:left="24" w:right="17"/>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pacing w:val="-92"/>
                            <w:sz w:val="18"/>
                            <w:szCs w:val="18"/>
                          </w:rPr>
                          <w:t>）</w:t>
                        </w:r>
                        <w:r>
                          <w:rPr>
                            <w:rFonts w:ascii="宋体" w:hAnsi="宋体" w:cs="宋体" w:eastAsia="宋体" w:hint="default"/>
                            <w:spacing w:val="-10"/>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01</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10"/>
                            <w:sz w:val="18"/>
                            <w:szCs w:val="18"/>
                          </w:rPr>
                          <w:t>，</w:t>
                        </w:r>
                        <w:r>
                          <w:rPr>
                            <w:rFonts w:ascii="宋体" w:hAnsi="宋体" w:cs="宋体" w:eastAsia="宋体" w:hint="default"/>
                            <w:spacing w:val="-3"/>
                            <w:sz w:val="18"/>
                            <w:szCs w:val="18"/>
                          </w:rPr>
                          <w:t>公</w:t>
                        </w:r>
                        <w:r>
                          <w:rPr>
                            <w:rFonts w:ascii="宋体" w:hAnsi="宋体" w:cs="宋体" w:eastAsia="宋体" w:hint="default"/>
                            <w:sz w:val="18"/>
                            <w:szCs w:val="18"/>
                          </w:rPr>
                          <w:t>司第三届董事会第二次会议</w:t>
                        </w:r>
                        <w:r>
                          <w:rPr>
                            <w:rFonts w:ascii="宋体" w:hAnsi="宋体" w:cs="宋体" w:eastAsia="宋体" w:hint="default"/>
                            <w:spacing w:val="-10"/>
                            <w:sz w:val="18"/>
                            <w:szCs w:val="18"/>
                          </w:rPr>
                          <w:t>，</w:t>
                        </w:r>
                        <w:r>
                          <w:rPr>
                            <w:rFonts w:ascii="宋体" w:hAnsi="宋体" w:cs="宋体" w:eastAsia="宋体" w:hint="default"/>
                            <w:sz w:val="18"/>
                            <w:szCs w:val="18"/>
                          </w:rPr>
                          <w:t>审议通</w:t>
                        </w:r>
                        <w:r>
                          <w:rPr>
                            <w:rFonts w:ascii="宋体" w:hAnsi="宋体" w:cs="宋体" w:eastAsia="宋体" w:hint="default"/>
                            <w:spacing w:val="-10"/>
                            <w:sz w:val="18"/>
                            <w:szCs w:val="18"/>
                          </w:rPr>
                          <w:t>过</w:t>
                        </w:r>
                        <w:r>
                          <w:rPr>
                            <w:rFonts w:ascii="宋体" w:hAnsi="宋体" w:cs="宋体" w:eastAsia="宋体" w:hint="default"/>
                            <w:sz w:val="18"/>
                            <w:szCs w:val="18"/>
                          </w:rPr>
                          <w:t>《关于变更部分募投项目实施</w:t>
                        </w:r>
                        <w:r>
                          <w:rPr>
                            <w:rFonts w:ascii="宋体" w:hAnsi="宋体" w:cs="宋体" w:eastAsia="宋体" w:hint="default"/>
                            <w:sz w:val="18"/>
                            <w:szCs w:val="18"/>
                          </w:rPr>
                          <w:t> 地点的议案</w:t>
                        </w:r>
                        <w:r>
                          <w:rPr>
                            <w:rFonts w:ascii="宋体" w:hAnsi="宋体" w:cs="宋体" w:eastAsia="宋体" w:hint="default"/>
                            <w:spacing w:val="-92"/>
                            <w:sz w:val="18"/>
                            <w:szCs w:val="18"/>
                          </w:rPr>
                          <w:t>》</w:t>
                        </w:r>
                        <w:r>
                          <w:rPr>
                            <w:rFonts w:ascii="宋体" w:hAnsi="宋体" w:cs="宋体" w:eastAsia="宋体" w:hint="default"/>
                            <w:spacing w:val="-82"/>
                            <w:sz w:val="18"/>
                            <w:szCs w:val="18"/>
                          </w:rPr>
                          <w:t>，</w:t>
                        </w:r>
                        <w:r>
                          <w:rPr>
                            <w:rFonts w:ascii="宋体" w:hAnsi="宋体" w:cs="宋体" w:eastAsia="宋体" w:hint="default"/>
                            <w:sz w:val="18"/>
                            <w:szCs w:val="18"/>
                          </w:rPr>
                          <w:t>同意将</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100"/>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管</w:t>
                        </w:r>
                        <w:r>
                          <w:rPr>
                            <w:rFonts w:ascii="宋体" w:hAnsi="宋体" w:cs="宋体" w:eastAsia="宋体" w:hint="default"/>
                            <w:spacing w:val="2"/>
                            <w:sz w:val="18"/>
                            <w:szCs w:val="18"/>
                          </w:rPr>
                          <w:t>理</w:t>
                        </w:r>
                        <w:r>
                          <w:rPr>
                            <w:rFonts w:ascii="宋体" w:hAnsi="宋体" w:cs="宋体" w:eastAsia="宋体" w:hint="default"/>
                            <w:sz w:val="18"/>
                            <w:szCs w:val="18"/>
                          </w:rPr>
                          <w:t>外包服务项目</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及</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数据中心</w:t>
                        </w:r>
                        <w:r>
                          <w:rPr>
                            <w:rFonts w:ascii="宋体" w:hAnsi="宋体" w:cs="宋体" w:eastAsia="宋体" w:hint="default"/>
                            <w:spacing w:val="2"/>
                            <w:sz w:val="18"/>
                            <w:szCs w:val="18"/>
                          </w:rPr>
                          <w:t>创</w:t>
                        </w:r>
                        <w:r>
                          <w:rPr>
                            <w:rFonts w:ascii="宋体" w:hAnsi="宋体" w:cs="宋体" w:eastAsia="宋体" w:hint="default"/>
                            <w:sz w:val="18"/>
                            <w:szCs w:val="18"/>
                          </w:rPr>
                          <w:t>新服务项目</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的实施地点由上海变更为杭</w:t>
                        </w:r>
                      </w:p>
                    </w:tc>
                  </w:tr>
                </w:tbl>
                <w:p>
                  <w:pPr/>
                </w:p>
              </w:txbxContent>
            </v:textbox>
            <w10:wrap type="none"/>
          </v:shape>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4"/>
          <w:szCs w:val="14"/>
        </w:rPr>
      </w:pPr>
    </w:p>
    <w:p>
      <w:pPr>
        <w:spacing w:before="0"/>
        <w:ind w:left="0" w:right="158"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70"/>
        <w:gridCol w:w="7799"/>
      </w:tblGrid>
      <w:tr>
        <w:trPr>
          <w:trHeight w:val="363"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州。</w:t>
            </w:r>
          </w:p>
        </w:tc>
      </w:tr>
      <w:tr>
        <w:trPr>
          <w:trHeight w:val="401"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314"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3" w:hRule="exact"/>
        </w:trPr>
        <w:tc>
          <w:tcPr>
            <w:tcW w:w="1770" w:type="dxa"/>
            <w:vMerge/>
            <w:tcBorders>
              <w:left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6179"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、首次公开发行股票募集资金情况</w:t>
            </w:r>
          </w:p>
          <w:p>
            <w:pPr>
              <w:pStyle w:val="TableParagraph"/>
              <w:spacing w:line="304" w:lineRule="auto" w:before="142"/>
              <w:ind w:left="24" w:right="21"/>
              <w:jc w:val="both"/>
              <w:rPr>
                <w:rFonts w:ascii="宋体" w:hAnsi="宋体" w:cs="宋体" w:eastAsia="宋体" w:hint="default"/>
                <w:sz w:val="18"/>
                <w:szCs w:val="18"/>
              </w:rPr>
            </w:pPr>
            <w:r>
              <w:rPr>
                <w:rFonts w:ascii="宋体" w:hAnsi="宋体" w:cs="宋体" w:eastAsia="宋体" w:hint="default"/>
                <w:spacing w:val="-12"/>
                <w:sz w:val="18"/>
                <w:szCs w:val="18"/>
              </w:rPr>
              <w:t>（</w:t>
            </w:r>
            <w:r>
              <w:rPr>
                <w:rFonts w:ascii="Times New Roman" w:hAnsi="Times New Roman" w:cs="Times New Roman" w:eastAsia="Times New Roman" w:hint="default"/>
                <w:spacing w:val="-12"/>
                <w:sz w:val="18"/>
                <w:szCs w:val="18"/>
              </w:rPr>
              <w:t>1</w:t>
            </w:r>
            <w:r>
              <w:rPr>
                <w:rFonts w:ascii="宋体" w:hAnsi="宋体" w:cs="宋体" w:eastAsia="宋体" w:hint="default"/>
                <w:spacing w:val="-12"/>
                <w:sz w:val="18"/>
                <w:szCs w:val="18"/>
              </w:rPr>
              <w:t>）、</w:t>
            </w:r>
            <w:r>
              <w:rPr>
                <w:rFonts w:ascii="Times New Roman" w:hAnsi="Times New Roman" w:cs="Times New Roman" w:eastAsia="Times New Roman" w:hint="default"/>
                <w:spacing w:val="-12"/>
                <w:sz w:val="18"/>
                <w:szCs w:val="18"/>
              </w:rPr>
              <w:t>2013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pacing w:val="-1"/>
                <w:sz w:val="18"/>
                <w:szCs w:val="18"/>
              </w:rPr>
              <w:t>22</w:t>
            </w:r>
            <w:r>
              <w:rPr>
                <w:rFonts w:ascii="Times New Roman" w:hAnsi="Times New Roman" w:cs="Times New Roman" w:eastAsia="Times New Roman" w:hint="default"/>
                <w:spacing w:val="6"/>
                <w:sz w:val="18"/>
                <w:szCs w:val="18"/>
              </w:rPr>
              <w:t> </w:t>
            </w:r>
            <w:r>
              <w:rPr>
                <w:rFonts w:ascii="宋体" w:hAnsi="宋体" w:cs="宋体" w:eastAsia="宋体" w:hint="default"/>
                <w:spacing w:val="-1"/>
                <w:sz w:val="18"/>
                <w:szCs w:val="18"/>
              </w:rPr>
              <w:t>日第二届董事会第六次会议审议通过《关于变更部分募投项目实施方式并使</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用部分超募资金的议案》将募投项目</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管理外包服务项目</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数据中心创新服务项目</w:t>
            </w:r>
            <w:r>
              <w:rPr>
                <w:rFonts w:ascii="Times New Roman" w:hAnsi="Times New Roman" w:cs="Times New Roman" w:eastAsia="Times New Roman" w:hint="default"/>
                <w:sz w:val="18"/>
                <w:szCs w:val="18"/>
              </w:rPr>
              <w:t>”</w:t>
            </w:r>
            <w:r>
              <w:rPr>
                <w:rFonts w:ascii="宋体" w:hAnsi="宋体" w:cs="宋体" w:eastAsia="宋体" w:hint="default"/>
                <w:sz w:val="18"/>
                <w:szCs w:val="18"/>
              </w:rPr>
              <w:t>建设中关于 办公场地投入的实施方式从购置办公楼并装修变更为竞拍国有土地使用权并自主建设，并使用部分 超募资金。预计使用超募资金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2,087.1 </w:t>
            </w:r>
            <w:r>
              <w:rPr>
                <w:rFonts w:ascii="宋体" w:hAnsi="宋体" w:cs="宋体" w:eastAsia="宋体" w:hint="default"/>
                <w:sz w:val="18"/>
                <w:szCs w:val="18"/>
              </w:rPr>
              <w:t>万元；该议案经</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年度股东大会审 议通过。</w:t>
            </w:r>
          </w:p>
          <w:p>
            <w:pPr>
              <w:pStyle w:val="TableParagraph"/>
              <w:spacing w:line="300" w:lineRule="auto" w:before="68"/>
              <w:ind w:left="24" w:right="43"/>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日第</w:t>
            </w:r>
            <w:r>
              <w:rPr>
                <w:rFonts w:ascii="宋体" w:hAnsi="宋体" w:cs="宋体" w:eastAsia="宋体" w:hint="default"/>
                <w:spacing w:val="-3"/>
                <w:sz w:val="18"/>
                <w:szCs w:val="18"/>
              </w:rPr>
              <w:t>二</w:t>
            </w:r>
            <w:r>
              <w:rPr>
                <w:rFonts w:ascii="宋体" w:hAnsi="宋体" w:cs="宋体" w:eastAsia="宋体" w:hint="default"/>
                <w:sz w:val="18"/>
                <w:szCs w:val="18"/>
              </w:rPr>
              <w:t>届董事会第十三次临时会议审议通过了《关于变更募投项目实施方式</w:t>
            </w:r>
            <w:r>
              <w:rPr>
                <w:rFonts w:ascii="宋体" w:hAnsi="宋体" w:cs="宋体" w:eastAsia="宋体" w:hint="default"/>
                <w:sz w:val="18"/>
                <w:szCs w:val="18"/>
              </w:rPr>
              <w:t> 的议案</w:t>
            </w:r>
            <w:r>
              <w:rPr>
                <w:rFonts w:ascii="宋体" w:hAnsi="宋体" w:cs="宋体" w:eastAsia="宋体" w:hint="default"/>
                <w:spacing w:val="-92"/>
                <w:sz w:val="18"/>
                <w:szCs w:val="18"/>
              </w:rPr>
              <w:t>》</w:t>
            </w:r>
            <w:r>
              <w:rPr>
                <w:rFonts w:ascii="宋体" w:hAnsi="宋体" w:cs="宋体" w:eastAsia="宋体" w:hint="default"/>
                <w:sz w:val="18"/>
                <w:szCs w:val="18"/>
              </w:rPr>
              <w:t>，因公司决定终止</w:t>
            </w:r>
            <w:r>
              <w:rPr>
                <w:rFonts w:ascii="宋体" w:hAnsi="宋体" w:cs="宋体" w:eastAsia="宋体" w:hint="default"/>
                <w:spacing w:val="1"/>
                <w:sz w:val="18"/>
                <w:szCs w:val="18"/>
              </w:rPr>
              <w:t> </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天玑科技青浦综合业务大楼</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建设项目，故原第二届董事会第六次会议</w:t>
            </w:r>
          </w:p>
          <w:p>
            <w:pPr>
              <w:pStyle w:val="TableParagraph"/>
              <w:spacing w:line="300" w:lineRule="auto" w:before="13"/>
              <w:ind w:left="24" w:right="19"/>
              <w:jc w:val="both"/>
              <w:rPr>
                <w:rFonts w:ascii="宋体" w:hAnsi="宋体" w:cs="宋体" w:eastAsia="宋体" w:hint="default"/>
                <w:sz w:val="18"/>
                <w:szCs w:val="18"/>
              </w:rPr>
            </w:pPr>
            <w:r>
              <w:rPr>
                <w:rFonts w:ascii="宋体" w:hAnsi="宋体" w:cs="宋体" w:eastAsia="宋体" w:hint="default"/>
                <w:spacing w:val="-3"/>
                <w:sz w:val="18"/>
                <w:szCs w:val="18"/>
              </w:rPr>
              <w:t>（公告编号：</w:t>
            </w:r>
            <w:r>
              <w:rPr>
                <w:rFonts w:ascii="Times New Roman" w:hAnsi="Times New Roman" w:cs="Times New Roman" w:eastAsia="Times New Roman" w:hint="default"/>
                <w:spacing w:val="-3"/>
                <w:sz w:val="18"/>
                <w:szCs w:val="18"/>
              </w:rPr>
              <w:t>2013-012</w:t>
            </w:r>
            <w:r>
              <w:rPr>
                <w:rFonts w:ascii="宋体" w:hAnsi="宋体" w:cs="宋体" w:eastAsia="宋体" w:hint="default"/>
                <w:spacing w:val="-3"/>
                <w:sz w:val="18"/>
                <w:szCs w:val="18"/>
              </w:rPr>
              <w:t>）及</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年度股东大会审议通过的《关于变更部分募投项目实施方式并使用 </w:t>
            </w:r>
            <w:r>
              <w:rPr>
                <w:rFonts w:ascii="宋体" w:hAnsi="宋体" w:cs="宋体" w:eastAsia="宋体" w:hint="default"/>
                <w:spacing w:val="-7"/>
                <w:w w:val="100"/>
                <w:sz w:val="18"/>
                <w:szCs w:val="18"/>
              </w:rPr>
              <w:t>部分超募资金的议案》（公告编号：</w:t>
            </w:r>
            <w:r>
              <w:rPr>
                <w:rFonts w:ascii="Times New Roman" w:hAnsi="Times New Roman" w:cs="Times New Roman" w:eastAsia="Times New Roman" w:hint="default"/>
                <w:spacing w:val="-7"/>
                <w:w w:val="100"/>
                <w:sz w:val="18"/>
                <w:szCs w:val="18"/>
              </w:rPr>
              <w:t>2013-020</w:t>
            </w:r>
            <w:r>
              <w:rPr>
                <w:rFonts w:ascii="宋体" w:hAnsi="宋体" w:cs="宋体" w:eastAsia="宋体" w:hint="default"/>
                <w:spacing w:val="-7"/>
                <w:w w:val="100"/>
                <w:sz w:val="18"/>
                <w:szCs w:val="18"/>
              </w:rPr>
              <w:t>），议案中审议通过将募投募投项目</w:t>
            </w:r>
            <w:r>
              <w:rPr>
                <w:rFonts w:ascii="Times New Roman" w:hAnsi="Times New Roman" w:cs="Times New Roman" w:eastAsia="Times New Roman" w:hint="default"/>
                <w:spacing w:val="-7"/>
                <w:w w:val="100"/>
                <w:sz w:val="18"/>
                <w:szCs w:val="18"/>
              </w:rPr>
              <w:t>“IT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管理外包服务项</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pacing w:val="-2"/>
                <w:sz w:val="18"/>
                <w:szCs w:val="18"/>
              </w:rPr>
              <w:t>目</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数据中心创新服务项目</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建设中关于办公场地投入的实施方式由购买变更为自建实施方式。现</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重新由自主建设变更回购置方式。该议案已经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年度股东大会审议通过。</w:t>
            </w:r>
          </w:p>
          <w:p>
            <w:pPr>
              <w:pStyle w:val="TableParagraph"/>
              <w:spacing w:line="302" w:lineRule="auto" w:before="51"/>
              <w:ind w:left="24" w:right="18"/>
              <w:jc w:val="both"/>
              <w:rPr>
                <w:rFonts w:ascii="宋体" w:hAnsi="宋体" w:cs="宋体" w:eastAsia="宋体" w:hint="default"/>
                <w:sz w:val="18"/>
                <w:szCs w:val="18"/>
              </w:rPr>
            </w:pPr>
            <w:r>
              <w:rPr>
                <w:rFonts w:ascii="宋体" w:hAnsi="宋体" w:cs="宋体" w:eastAsia="宋体" w:hint="default"/>
                <w:spacing w:val="-12"/>
                <w:sz w:val="18"/>
                <w:szCs w:val="18"/>
              </w:rPr>
              <w:t>（</w:t>
            </w:r>
            <w:r>
              <w:rPr>
                <w:rFonts w:ascii="Times New Roman" w:hAnsi="Times New Roman" w:cs="Times New Roman" w:eastAsia="Times New Roman" w:hint="default"/>
                <w:spacing w:val="-12"/>
                <w:sz w:val="18"/>
                <w:szCs w:val="18"/>
              </w:rPr>
              <w:t>3</w:t>
            </w:r>
            <w:r>
              <w:rPr>
                <w:rFonts w:ascii="宋体" w:hAnsi="宋体" w:cs="宋体" w:eastAsia="宋体" w:hint="default"/>
                <w:spacing w:val="-12"/>
                <w:sz w:val="18"/>
                <w:szCs w:val="18"/>
              </w:rPr>
              <w:t>）、</w:t>
            </w:r>
            <w:r>
              <w:rPr>
                <w:rFonts w:ascii="Times New Roman" w:hAnsi="Times New Roman" w:cs="Times New Roman" w:eastAsia="Times New Roman" w:hint="default"/>
                <w:spacing w:val="-12"/>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6"/>
                <w:sz w:val="18"/>
                <w:szCs w:val="18"/>
              </w:rPr>
              <w:t> </w:t>
            </w:r>
            <w:r>
              <w:rPr>
                <w:rFonts w:ascii="宋体" w:hAnsi="宋体" w:cs="宋体" w:eastAsia="宋体" w:hint="default"/>
                <w:spacing w:val="-1"/>
                <w:w w:val="100"/>
                <w:sz w:val="18"/>
                <w:szCs w:val="18"/>
              </w:rPr>
              <w:t>日公司第二届董事会第二十五次会议审议通过《关于终止部分募投项目</w:t>
            </w:r>
            <w:r>
              <w:rPr>
                <w:rFonts w:ascii="Times New Roman" w:hAnsi="Times New Roman" w:cs="Times New Roman" w:eastAsia="Times New Roman" w:hint="default"/>
                <w:spacing w:val="-1"/>
                <w:w w:val="100"/>
                <w:sz w:val="18"/>
                <w:szCs w:val="18"/>
              </w:rPr>
              <w:t>”IT</w:t>
            </w:r>
            <w:r>
              <w:rPr>
                <w:rFonts w:ascii="Times New Roman" w:hAnsi="Times New Roman" w:cs="Times New Roman" w:eastAsia="Times New Roman" w:hint="default"/>
                <w:spacing w:val="2"/>
                <w:w w:val="100"/>
                <w:sz w:val="18"/>
                <w:szCs w:val="18"/>
              </w:rPr>
              <w:t> </w:t>
            </w:r>
            <w:r>
              <w:rPr>
                <w:rFonts w:ascii="宋体" w:hAnsi="宋体" w:cs="宋体" w:eastAsia="宋体" w:hint="default"/>
                <w:sz w:val="18"/>
                <w:szCs w:val="18"/>
              </w:rPr>
              <w:t>基</w:t>
            </w:r>
            <w:r>
              <w:rPr>
                <w:rFonts w:ascii="宋体" w:hAnsi="宋体" w:cs="宋体" w:eastAsia="宋体" w:hint="default"/>
                <w:spacing w:val="-86"/>
                <w:sz w:val="18"/>
                <w:szCs w:val="18"/>
              </w:rPr>
              <w:t> </w:t>
            </w:r>
            <w:r>
              <w:rPr>
                <w:rFonts w:ascii="宋体" w:hAnsi="宋体" w:cs="宋体" w:eastAsia="宋体" w:hint="default"/>
                <w:sz w:val="18"/>
                <w:szCs w:val="18"/>
              </w:rPr>
              <w:t>础设施支持与维护服务区域扩展项目</w:t>
            </w:r>
            <w:r>
              <w:rPr>
                <w:rFonts w:ascii="Times New Roman" w:hAnsi="Times New Roman" w:cs="Times New Roman" w:eastAsia="Times New Roman" w:hint="default"/>
                <w:sz w:val="18"/>
                <w:szCs w:val="18"/>
              </w:rPr>
              <w:t>“</w:t>
            </w:r>
            <w:r>
              <w:rPr>
                <w:rFonts w:ascii="宋体" w:hAnsi="宋体" w:cs="宋体" w:eastAsia="宋体" w:hint="default"/>
                <w:sz w:val="18"/>
                <w:szCs w:val="18"/>
              </w:rPr>
              <w:t>的议案》考虑到</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服务市场格局变化及公司目前发展的实际 情况，公司决定将募投项目</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基础设施支持与维护服务区域扩展项目</w:t>
            </w:r>
            <w:r>
              <w:rPr>
                <w:rFonts w:ascii="Times New Roman" w:hAnsi="Times New Roman" w:cs="Times New Roman" w:eastAsia="Times New Roman" w:hint="default"/>
                <w:sz w:val="18"/>
                <w:szCs w:val="18"/>
              </w:rPr>
              <w:t>”</w:t>
            </w:r>
            <w:r>
              <w:rPr>
                <w:rFonts w:ascii="宋体" w:hAnsi="宋体" w:cs="宋体" w:eastAsia="宋体" w:hint="default"/>
                <w:sz w:val="18"/>
                <w:szCs w:val="18"/>
              </w:rPr>
              <w:t>由原招股说明书计划的该项 目拟建设的四个区域中心减少为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个区域中心，其中广州、武汉地区不再购置房产建设备件中心， 同时鉴于目前已基本实现了项目原先的规划，故为提高募集资金使用效率，促进公司经营健康发展 及实现股东利益最大化，公司拟终止</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基础设施支持与维护服务区域扩展项目</w:t>
            </w:r>
            <w:r>
              <w:rPr>
                <w:rFonts w:ascii="Times New Roman" w:hAnsi="Times New Roman" w:cs="Times New Roman" w:eastAsia="Times New Roman" w:hint="default"/>
                <w:sz w:val="18"/>
                <w:szCs w:val="18"/>
              </w:rPr>
              <w:t>”</w:t>
            </w:r>
            <w:r>
              <w:rPr>
                <w:rFonts w:ascii="宋体" w:hAnsi="宋体" w:cs="宋体" w:eastAsia="宋体" w:hint="default"/>
                <w:sz w:val="18"/>
                <w:szCs w:val="18"/>
              </w:rPr>
              <w:t>。本议案已经</w:t>
            </w:r>
            <w:r>
              <w:rPr>
                <w:rFonts w:ascii="宋体" w:hAnsi="宋体" w:cs="宋体" w:eastAsia="宋体" w:hint="default"/>
                <w:spacing w:val="-70"/>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年度股东大会审议通过。</w:t>
            </w:r>
          </w:p>
        </w:tc>
      </w:tr>
      <w:tr>
        <w:trPr>
          <w:trHeight w:val="401"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41"/>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979"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、非公开发行股票募集资金情况</w:t>
            </w:r>
          </w:p>
          <w:p>
            <w:pPr>
              <w:pStyle w:val="TableParagraph"/>
              <w:spacing w:line="312" w:lineRule="auto" w:before="142"/>
              <w:ind w:left="24" w:right="2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日第三届董事第二十四次临时会议，审议通过《关于使用募集资金置换已预先 </w:t>
            </w:r>
            <w:r>
              <w:rPr>
                <w:rFonts w:ascii="宋体" w:hAnsi="宋体" w:cs="宋体" w:eastAsia="宋体" w:hint="default"/>
                <w:spacing w:val="-5"/>
                <w:sz w:val="18"/>
                <w:szCs w:val="18"/>
              </w:rPr>
              <w:t>投入募集资金投资项目的自筹资金的议案》，公司第三届董事会第六次会议审议通过《关于购买房产</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建设总部研发中心及办公大楼的议案》，同意公司拟使用本次非公开发行股票的募集资金人民币约</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Times New Roman" w:hAnsi="Times New Roman" w:cs="Times New Roman" w:eastAsia="Times New Roman" w:hint="default"/>
                <w:sz w:val="18"/>
                <w:szCs w:val="18"/>
              </w:rPr>
              <w:t>23,000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万元用于购置上述房产事项，拟先使用自有资金购置，非公开发行股票募集资金到账后届时</w:t>
            </w:r>
          </w:p>
          <w:p>
            <w:pPr>
              <w:pStyle w:val="TableParagraph"/>
              <w:spacing w:line="309" w:lineRule="auto" w:before="3"/>
              <w:ind w:left="24" w:right="20"/>
              <w:jc w:val="both"/>
              <w:rPr>
                <w:rFonts w:ascii="Times New Roman" w:hAnsi="Times New Roman" w:cs="Times New Roman" w:eastAsia="Times New Roman" w:hint="default"/>
                <w:sz w:val="18"/>
                <w:szCs w:val="18"/>
              </w:rPr>
            </w:pPr>
            <w:r>
              <w:rPr>
                <w:rFonts w:ascii="宋体" w:hAnsi="宋体" w:cs="宋体" w:eastAsia="宋体" w:hint="default"/>
                <w:spacing w:val="-7"/>
                <w:sz w:val="18"/>
                <w:szCs w:val="18"/>
              </w:rPr>
              <w:t>再予以置换。该事项已经</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3"/>
                <w:sz w:val="18"/>
                <w:szCs w:val="18"/>
              </w:rPr>
              <w:t> </w:t>
            </w:r>
            <w:r>
              <w:rPr>
                <w:rFonts w:ascii="宋体" w:hAnsi="宋体" w:cs="宋体" w:eastAsia="宋体" w:hint="default"/>
                <w:spacing w:val="-3"/>
                <w:sz w:val="18"/>
                <w:szCs w:val="18"/>
              </w:rPr>
              <w:t>年第一次临时股东大会审议通过。为保障募集资金投资项目顺利进行</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在本次非公开发行股份募集资金到位之前，公司已根据募投项目进度的实际情况以自筹资金先行投 入。截至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日，公司以自筹资金预先投入募投项目的实际投资金额为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208,194,298.97</w:t>
            </w:r>
          </w:p>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元，公司拟以募集资金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208,194,298.97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元置换预先投入募投项目的自筹资金。</w:t>
            </w:r>
          </w:p>
        </w:tc>
      </w:tr>
      <w:tr>
        <w:trPr>
          <w:trHeight w:val="403"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705"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、首次公开发行股票募集资金情况</w:t>
            </w:r>
          </w:p>
          <w:p>
            <w:pPr>
              <w:pStyle w:val="TableParagraph"/>
              <w:spacing w:line="240" w:lineRule="auto" w:before="142"/>
              <w:ind w:left="24"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日第一届董事会第二十五次会议审议通过了《关于使用部分超募资金临时补充</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流动资金的议案</w:t>
            </w:r>
            <w:r>
              <w:rPr>
                <w:rFonts w:ascii="宋体" w:hAnsi="宋体" w:cs="宋体" w:eastAsia="宋体" w:hint="default"/>
                <w:spacing w:val="-92"/>
                <w:sz w:val="18"/>
                <w:szCs w:val="18"/>
              </w:rPr>
              <w:t>》</w:t>
            </w:r>
            <w:r>
              <w:rPr>
                <w:rFonts w:ascii="宋体" w:hAnsi="宋体" w:cs="宋体" w:eastAsia="宋体" w:hint="default"/>
                <w:sz w:val="18"/>
                <w:szCs w:val="18"/>
              </w:rPr>
              <w:t>，同意使用</w:t>
            </w:r>
            <w:r>
              <w:rPr>
                <w:rFonts w:ascii="宋体" w:hAnsi="宋体" w:cs="宋体" w:eastAsia="宋体" w:hint="default"/>
                <w:spacing w:val="2"/>
                <w:sz w:val="18"/>
                <w:szCs w:val="18"/>
              </w:rPr>
              <w:t>部</w:t>
            </w:r>
            <w:r>
              <w:rPr>
                <w:rFonts w:ascii="宋体" w:hAnsi="宋体" w:cs="宋体" w:eastAsia="宋体" w:hint="default"/>
                <w:sz w:val="18"/>
                <w:szCs w:val="18"/>
              </w:rPr>
              <w:t>分超募资金</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万元暂时</w:t>
            </w:r>
            <w:r>
              <w:rPr>
                <w:rFonts w:ascii="宋体" w:hAnsi="宋体" w:cs="宋体" w:eastAsia="宋体" w:hint="default"/>
                <w:spacing w:val="-3"/>
                <w:sz w:val="18"/>
                <w:szCs w:val="18"/>
              </w:rPr>
              <w:t>补</w:t>
            </w:r>
            <w:r>
              <w:rPr>
                <w:rFonts w:ascii="宋体" w:hAnsi="宋体" w:cs="宋体" w:eastAsia="宋体" w:hint="default"/>
                <w:sz w:val="18"/>
                <w:szCs w:val="18"/>
              </w:rPr>
              <w:t>充流动资金。该超募资金已于</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日归还。</w:t>
            </w:r>
          </w:p>
          <w:p>
            <w:pPr>
              <w:pStyle w:val="TableParagraph"/>
              <w:spacing w:line="240" w:lineRule="auto" w:before="103"/>
              <w:ind w:left="24"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日，公司召开第三届董事会第十八次临时会议审议通过《关于使用部分超募资</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金暂时补充流动资金的议案</w:t>
            </w:r>
            <w:r>
              <w:rPr>
                <w:rFonts w:ascii="宋体" w:hAnsi="宋体" w:cs="宋体" w:eastAsia="宋体" w:hint="default"/>
                <w:spacing w:val="-92"/>
                <w:sz w:val="18"/>
                <w:szCs w:val="18"/>
              </w:rPr>
              <w:t>》</w:t>
            </w:r>
            <w:r>
              <w:rPr>
                <w:rFonts w:ascii="宋体" w:hAnsi="宋体" w:cs="宋体" w:eastAsia="宋体" w:hint="default"/>
                <w:spacing w:val="-41"/>
                <w:sz w:val="18"/>
                <w:szCs w:val="18"/>
              </w:rPr>
              <w:t>，</w:t>
            </w:r>
            <w:r>
              <w:rPr>
                <w:rFonts w:ascii="宋体" w:hAnsi="宋体" w:cs="宋体" w:eastAsia="宋体" w:hint="default"/>
                <w:sz w:val="18"/>
                <w:szCs w:val="18"/>
              </w:rPr>
              <w:t>同意公司使用首次公开发行股票超募资金人民币</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r>
              <w:rPr>
                <w:rFonts w:ascii="宋体" w:hAnsi="宋体" w:cs="宋体" w:eastAsia="宋体" w:hint="default"/>
                <w:spacing w:val="-3"/>
                <w:sz w:val="18"/>
                <w:szCs w:val="18"/>
              </w:rPr>
              <w:t>元</w:t>
            </w:r>
            <w:r>
              <w:rPr>
                <w:rFonts w:ascii="宋体" w:hAnsi="宋体" w:cs="宋体" w:eastAsia="宋体" w:hint="default"/>
                <w:sz w:val="18"/>
                <w:szCs w:val="18"/>
              </w:rPr>
              <w:t>暂时补充</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流动资金。使用期限为自董事会批准之日起不超过</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pacing w:val="-4"/>
                <w:sz w:val="18"/>
                <w:szCs w:val="18"/>
              </w:rPr>
              <w:t>个月，到期前公司将及时、足额将上述资金归</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还至募集资金专户。该部分超募资金于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日归还。</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70"/>
        <w:gridCol w:w="7799"/>
      </w:tblGrid>
      <w:tr>
        <w:trPr>
          <w:trHeight w:val="401"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707"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、首次公开发行股票募集资金情况</w:t>
            </w:r>
          </w:p>
          <w:p>
            <w:pPr>
              <w:pStyle w:val="TableParagraph"/>
              <w:spacing w:line="300" w:lineRule="auto" w:before="142"/>
              <w:ind w:left="24" w:right="20"/>
              <w:jc w:val="both"/>
              <w:rPr>
                <w:rFonts w:ascii="宋体" w:hAnsi="宋体" w:cs="宋体" w:eastAsia="宋体" w:hint="default"/>
                <w:sz w:val="18"/>
                <w:szCs w:val="18"/>
              </w:rPr>
            </w:pPr>
            <w:r>
              <w:rPr>
                <w:rFonts w:ascii="宋体" w:hAnsi="宋体" w:cs="宋体" w:eastAsia="宋体" w:hint="default"/>
                <w:spacing w:val="-12"/>
                <w:sz w:val="18"/>
                <w:szCs w:val="18"/>
              </w:rPr>
              <w:t>（</w:t>
            </w:r>
            <w:r>
              <w:rPr>
                <w:rFonts w:ascii="Times New Roman" w:hAnsi="Times New Roman" w:cs="Times New Roman" w:eastAsia="Times New Roman" w:hint="default"/>
                <w:spacing w:val="-12"/>
                <w:sz w:val="18"/>
                <w:szCs w:val="18"/>
              </w:rPr>
              <w:t>1</w:t>
            </w:r>
            <w:r>
              <w:rPr>
                <w:rFonts w:ascii="宋体" w:hAnsi="宋体" w:cs="宋体" w:eastAsia="宋体" w:hint="default"/>
                <w:spacing w:val="-12"/>
                <w:sz w:val="18"/>
                <w:szCs w:val="18"/>
              </w:rPr>
              <w:t>）、</w:t>
            </w:r>
            <w:r>
              <w:rPr>
                <w:rFonts w:ascii="Times New Roman" w:hAnsi="Times New Roman" w:cs="Times New Roman" w:eastAsia="Times New Roman" w:hint="default"/>
                <w:spacing w:val="-12"/>
                <w:sz w:val="18"/>
                <w:szCs w:val="18"/>
              </w:rPr>
              <w:t>2016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pacing w:val="-1"/>
                <w:sz w:val="18"/>
                <w:szCs w:val="18"/>
              </w:rPr>
              <w:t>18</w:t>
            </w:r>
            <w:r>
              <w:rPr>
                <w:rFonts w:ascii="Times New Roman" w:hAnsi="Times New Roman" w:cs="Times New Roman" w:eastAsia="Times New Roman" w:hint="default"/>
                <w:spacing w:val="6"/>
                <w:sz w:val="18"/>
                <w:szCs w:val="18"/>
              </w:rPr>
              <w:t> </w:t>
            </w:r>
            <w:r>
              <w:rPr>
                <w:rFonts w:ascii="宋体" w:hAnsi="宋体" w:cs="宋体" w:eastAsia="宋体" w:hint="default"/>
                <w:spacing w:val="-1"/>
                <w:sz w:val="18"/>
                <w:szCs w:val="18"/>
              </w:rPr>
              <w:t>日召开第三届董事会第五次会议，审议通过《关于首次公开发行部分募投项</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w w:val="100"/>
                <w:sz w:val="18"/>
                <w:szCs w:val="18"/>
              </w:rPr>
              <w:t>目</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spacing w:val="-1"/>
                <w:w w:val="100"/>
                <w:sz w:val="18"/>
                <w:szCs w:val="18"/>
              </w:rPr>
              <w:t>IT</w:t>
            </w:r>
            <w:r>
              <w:rPr>
                <w:rFonts w:ascii="Times New Roman" w:hAnsi="Times New Roman" w:cs="Times New Roman" w:eastAsia="Times New Roman" w:hint="default"/>
                <w:w w:val="100"/>
                <w:sz w:val="18"/>
                <w:szCs w:val="18"/>
              </w:rPr>
              <w:t> </w:t>
            </w:r>
            <w:r>
              <w:rPr>
                <w:rFonts w:ascii="宋体" w:hAnsi="宋体" w:cs="宋体" w:eastAsia="宋体" w:hint="default"/>
                <w:spacing w:val="-3"/>
                <w:sz w:val="18"/>
                <w:szCs w:val="18"/>
              </w:rPr>
              <w:t>管理外包服务项目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完成并将节余募集资金转为超募资金的议案》，公司首次公开发行承诺投</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资的募投项目</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管理外包服务项目</w:t>
            </w:r>
            <w:r>
              <w:rPr>
                <w:rFonts w:ascii="Times New Roman" w:hAnsi="Times New Roman" w:cs="Times New Roman" w:eastAsia="Times New Roman" w:hint="default"/>
                <w:sz w:val="18"/>
                <w:szCs w:val="18"/>
              </w:rPr>
              <w:t>”</w:t>
            </w:r>
            <w:r>
              <w:rPr>
                <w:rFonts w:ascii="宋体" w:hAnsi="宋体" w:cs="宋体" w:eastAsia="宋体" w:hint="default"/>
                <w:sz w:val="18"/>
                <w:szCs w:val="18"/>
              </w:rPr>
              <w:t>已经完成了项目建设，累计已达到预期效益，同意予以结项并 将节余募集资金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2,433.24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万元转为超募资金。</w:t>
            </w:r>
          </w:p>
          <w:p>
            <w:pPr>
              <w:pStyle w:val="TableParagraph"/>
              <w:spacing w:line="300" w:lineRule="auto" w:before="51"/>
              <w:ind w:left="24" w:right="68"/>
              <w:jc w:val="both"/>
              <w:rPr>
                <w:rFonts w:ascii="宋体" w:hAnsi="宋体" w:cs="宋体" w:eastAsia="宋体" w:hint="default"/>
                <w:sz w:val="18"/>
                <w:szCs w:val="18"/>
              </w:rPr>
            </w:pPr>
            <w:r>
              <w:rPr>
                <w:rFonts w:ascii="宋体" w:hAnsi="宋体" w:cs="宋体" w:eastAsia="宋体" w:hint="default"/>
                <w:spacing w:val="-16"/>
                <w:sz w:val="18"/>
                <w:szCs w:val="18"/>
              </w:rPr>
              <w:t>（</w:t>
            </w:r>
            <w:r>
              <w:rPr>
                <w:rFonts w:ascii="Times New Roman" w:hAnsi="Times New Roman" w:cs="Times New Roman" w:eastAsia="Times New Roman" w:hint="default"/>
                <w:spacing w:val="-16"/>
                <w:sz w:val="18"/>
                <w:szCs w:val="18"/>
              </w:rPr>
              <w:t>2</w:t>
            </w:r>
            <w:r>
              <w:rPr>
                <w:rFonts w:ascii="宋体" w:hAnsi="宋体" w:cs="宋体" w:eastAsia="宋体" w:hint="default"/>
                <w:spacing w:val="-16"/>
                <w:sz w:val="18"/>
                <w:szCs w:val="18"/>
              </w:rPr>
              <w:t>）、截止</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pacing w:val="-1"/>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pacing w:val="-1"/>
                <w:w w:val="100"/>
                <w:sz w:val="18"/>
                <w:szCs w:val="18"/>
              </w:rPr>
              <w:t>日</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天玑科技数据中心创新服务项目</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已完成，结余资金</w:t>
            </w:r>
            <w:r>
              <w:rPr>
                <w:rFonts w:ascii="宋体" w:hAnsi="宋体" w:cs="宋体" w:eastAsia="宋体" w:hint="default"/>
                <w:spacing w:val="-41"/>
                <w:w w:val="100"/>
                <w:sz w:val="18"/>
                <w:szCs w:val="18"/>
              </w:rPr>
              <w:t> </w:t>
            </w:r>
            <w:r>
              <w:rPr>
                <w:rFonts w:ascii="Times New Roman" w:hAnsi="Times New Roman" w:cs="Times New Roman" w:eastAsia="Times New Roman" w:hint="default"/>
                <w:sz w:val="18"/>
                <w:szCs w:val="18"/>
              </w:rPr>
              <w:t>32.52</w:t>
            </w:r>
            <w:r>
              <w:rPr>
                <w:rFonts w:ascii="Times New Roman" w:hAnsi="Times New Roman" w:cs="Times New Roman" w:eastAsia="Times New Roman" w:hint="default"/>
                <w:spacing w:val="5"/>
                <w:sz w:val="18"/>
                <w:szCs w:val="18"/>
              </w:rPr>
              <w:t> </w:t>
            </w:r>
            <w:r>
              <w:rPr>
                <w:rFonts w:ascii="宋体" w:hAnsi="宋体" w:cs="宋体" w:eastAsia="宋体" w:hint="default"/>
                <w:spacing w:val="-1"/>
                <w:sz w:val="18"/>
                <w:szCs w:val="18"/>
              </w:rPr>
              <w:t>万元。根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据《深圳证券交易所创业板上市规范指引》（</w:t>
            </w:r>
            <w:r>
              <w:rPr>
                <w:rFonts w:ascii="Times New Roman" w:hAnsi="Times New Roman" w:cs="Times New Roman" w:eastAsia="Times New Roman" w:hint="default"/>
                <w:spacing w:val="-4"/>
                <w:sz w:val="18"/>
                <w:szCs w:val="18"/>
              </w:rPr>
              <w:t>2015</w:t>
            </w:r>
            <w:r>
              <w:rPr>
                <w:rFonts w:ascii="Times New Roman" w:hAnsi="Times New Roman" w:cs="Times New Roman" w:eastAsia="Times New Roman" w:hint="default"/>
                <w:spacing w:val="19"/>
                <w:sz w:val="18"/>
                <w:szCs w:val="18"/>
              </w:rPr>
              <w:t> </w:t>
            </w:r>
            <w:r>
              <w:rPr>
                <w:rFonts w:ascii="宋体" w:hAnsi="宋体" w:cs="宋体" w:eastAsia="宋体" w:hint="default"/>
                <w:spacing w:val="-1"/>
                <w:sz w:val="18"/>
                <w:szCs w:val="18"/>
              </w:rPr>
              <w:t>年修订）的规定，该结余募集资金低于单个项目</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募集资金承诺投资额的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的，可以豁免履行董事会审批程序，故直接补充流动资金。</w:t>
            </w:r>
          </w:p>
        </w:tc>
      </w:tr>
      <w:tr>
        <w:trPr>
          <w:trHeight w:val="2475"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314" w:lineRule="auto"/>
              <w:ind w:left="22" w:right="117"/>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首次公开发行股票募集资金情况</w:t>
            </w:r>
          </w:p>
          <w:p>
            <w:pPr>
              <w:pStyle w:val="TableParagraph"/>
              <w:spacing w:line="240" w:lineRule="auto" w:before="115"/>
              <w:ind w:left="24" w:right="0"/>
              <w:jc w:val="left"/>
              <w:rPr>
                <w:rFonts w:ascii="宋体" w:hAnsi="宋体" w:cs="宋体" w:eastAsia="宋体" w:hint="default"/>
                <w:sz w:val="18"/>
                <w:szCs w:val="18"/>
              </w:rPr>
            </w:pPr>
            <w:r>
              <w:rPr>
                <w:rFonts w:ascii="宋体" w:hAnsi="宋体" w:cs="宋体" w:eastAsia="宋体" w:hint="default"/>
                <w:sz w:val="18"/>
                <w:szCs w:val="18"/>
              </w:rPr>
              <w:t>公司尚未使用的首次公开发行股票募集资金共计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68,672,953.43 </w:t>
            </w:r>
            <w:r>
              <w:rPr>
                <w:rFonts w:ascii="宋体" w:hAnsi="宋体" w:cs="宋体" w:eastAsia="宋体" w:hint="default"/>
                <w:spacing w:val="-3"/>
                <w:sz w:val="18"/>
                <w:szCs w:val="18"/>
              </w:rPr>
              <w:t>元，其中以定期存款形式存放的募集</w:t>
            </w:r>
          </w:p>
          <w:p>
            <w:pPr>
              <w:pStyle w:val="TableParagraph"/>
              <w:spacing w:line="340" w:lineRule="auto" w:before="63"/>
              <w:ind w:left="24" w:right="2677"/>
              <w:jc w:val="left"/>
              <w:rPr>
                <w:rFonts w:ascii="宋体" w:hAnsi="宋体" w:cs="宋体" w:eastAsia="宋体" w:hint="default"/>
                <w:sz w:val="18"/>
                <w:szCs w:val="18"/>
              </w:rPr>
            </w:pPr>
            <w:r>
              <w:rPr>
                <w:rFonts w:ascii="宋体" w:hAnsi="宋体" w:cs="宋体" w:eastAsia="宋体" w:hint="default"/>
                <w:sz w:val="18"/>
                <w:szCs w:val="18"/>
              </w:rPr>
              <w:t>资金共计</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35,000,000.00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元，公司将按照披露用于使用募集资金。 非公开发行股票募集资金情况</w:t>
            </w:r>
          </w:p>
          <w:p>
            <w:pPr>
              <w:pStyle w:val="TableParagraph"/>
              <w:spacing w:line="240" w:lineRule="auto" w:before="41"/>
              <w:ind w:left="24" w:right="0"/>
              <w:jc w:val="left"/>
              <w:rPr>
                <w:rFonts w:ascii="宋体" w:hAnsi="宋体" w:cs="宋体" w:eastAsia="宋体" w:hint="default"/>
                <w:sz w:val="18"/>
                <w:szCs w:val="18"/>
              </w:rPr>
            </w:pPr>
            <w:r>
              <w:rPr>
                <w:rFonts w:ascii="宋体" w:hAnsi="宋体" w:cs="宋体" w:eastAsia="宋体" w:hint="default"/>
                <w:sz w:val="18"/>
                <w:szCs w:val="18"/>
              </w:rPr>
              <w:t>公司尚未使用的非公开发行股票募集资金共计</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381,302,906.10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元，其中以定期存款形式存放的募集</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资金共计</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378,002,888.00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元，公司将按照披露用于使用募集资金。</w:t>
            </w:r>
          </w:p>
        </w:tc>
      </w:tr>
      <w:tr>
        <w:trPr>
          <w:trHeight w:val="1025"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17"/>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63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公司报告期不存在募集资金变更项目情况。</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r>
        <w:rPr/>
        <w:t>六、重大资产和股权出售</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638"/>
        <w:gridCol w:w="641"/>
        <w:gridCol w:w="641"/>
        <w:gridCol w:w="638"/>
        <w:gridCol w:w="641"/>
        <w:gridCol w:w="638"/>
        <w:gridCol w:w="638"/>
        <w:gridCol w:w="638"/>
        <w:gridCol w:w="639"/>
        <w:gridCol w:w="638"/>
        <w:gridCol w:w="638"/>
        <w:gridCol w:w="638"/>
        <w:gridCol w:w="637"/>
        <w:gridCol w:w="638"/>
        <w:gridCol w:w="631"/>
      </w:tblGrid>
      <w:tr>
        <w:trPr>
          <w:trHeight w:val="3834" w:hRule="exact"/>
        </w:trPr>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314" w:lineRule="auto"/>
              <w:ind w:left="224" w:right="41" w:hanging="181"/>
              <w:jc w:val="left"/>
              <w:rPr>
                <w:rFonts w:ascii="宋体" w:hAnsi="宋体" w:cs="宋体" w:eastAsia="宋体" w:hint="default"/>
                <w:sz w:val="18"/>
                <w:szCs w:val="18"/>
              </w:rPr>
            </w:pPr>
            <w:r>
              <w:rPr>
                <w:rFonts w:ascii="宋体" w:hAnsi="宋体" w:cs="宋体" w:eastAsia="宋体" w:hint="default"/>
                <w:sz w:val="18"/>
                <w:szCs w:val="18"/>
              </w:rPr>
              <w:t>交易对 方</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314" w:lineRule="auto"/>
              <w:ind w:left="134" w:right="43" w:hanging="89"/>
              <w:jc w:val="left"/>
              <w:rPr>
                <w:rFonts w:ascii="宋体" w:hAnsi="宋体" w:cs="宋体" w:eastAsia="宋体" w:hint="default"/>
                <w:sz w:val="18"/>
                <w:szCs w:val="18"/>
              </w:rPr>
            </w:pPr>
            <w:r>
              <w:rPr>
                <w:rFonts w:ascii="宋体" w:hAnsi="宋体" w:cs="宋体" w:eastAsia="宋体" w:hint="default"/>
                <w:sz w:val="18"/>
                <w:szCs w:val="18"/>
              </w:rPr>
              <w:t>被出售 资产</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6"/>
                <w:szCs w:val="26"/>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出售日</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316" w:lineRule="auto"/>
              <w:ind w:left="45" w:right="41"/>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45" w:right="44"/>
              <w:jc w:val="both"/>
              <w:rPr>
                <w:rFonts w:ascii="宋体" w:hAnsi="宋体" w:cs="宋体" w:eastAsia="宋体" w:hint="default"/>
                <w:sz w:val="18"/>
                <w:szCs w:val="18"/>
              </w:rPr>
            </w:pPr>
            <w:r>
              <w:rPr>
                <w:rFonts w:ascii="宋体" w:hAnsi="宋体" w:cs="宋体" w:eastAsia="宋体" w:hint="default"/>
                <w:sz w:val="18"/>
                <w:szCs w:val="18"/>
              </w:rPr>
              <w:t>本期初 起至出 售日该 资产为 上市公 司贡献 的净利 润（万 元）</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0"/>
              <w:ind w:left="45" w:right="41"/>
              <w:jc w:val="both"/>
              <w:rPr>
                <w:rFonts w:ascii="宋体" w:hAnsi="宋体" w:cs="宋体" w:eastAsia="宋体" w:hint="default"/>
                <w:sz w:val="18"/>
                <w:szCs w:val="18"/>
              </w:rPr>
            </w:pPr>
            <w:r>
              <w:rPr>
                <w:rFonts w:ascii="宋体" w:hAnsi="宋体" w:cs="宋体" w:eastAsia="宋体" w:hint="default"/>
                <w:sz w:val="18"/>
                <w:szCs w:val="18"/>
              </w:rPr>
              <w:t>出售对 公司的 影响</w:t>
            </w:r>
          </w:p>
          <w:p>
            <w:pPr>
              <w:pStyle w:val="TableParagraph"/>
              <w:spacing w:line="240" w:lineRule="auto" w:before="19"/>
              <w:ind w:left="24"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16" w:lineRule="auto"/>
              <w:ind w:left="45" w:right="41"/>
              <w:jc w:val="both"/>
              <w:rPr>
                <w:rFonts w:ascii="宋体" w:hAnsi="宋体" w:cs="宋体" w:eastAsia="宋体" w:hint="default"/>
                <w:sz w:val="18"/>
                <w:szCs w:val="18"/>
              </w:rPr>
            </w:pPr>
            <w:r>
              <w:rPr>
                <w:rFonts w:ascii="宋体" w:hAnsi="宋体" w:cs="宋体" w:eastAsia="宋体" w:hint="default"/>
                <w:sz w:val="18"/>
                <w:szCs w:val="18"/>
              </w:rPr>
              <w:t>资产出 售为上 市公司 贡献的 净利润</w:t>
            </w:r>
          </w:p>
          <w:p>
            <w:pPr>
              <w:pStyle w:val="TableParagraph"/>
              <w:spacing w:line="316" w:lineRule="auto" w:before="19"/>
              <w:ind w:left="45" w:right="41" w:hanging="166"/>
              <w:jc w:val="both"/>
              <w:rPr>
                <w:rFonts w:ascii="宋体" w:hAnsi="宋体" w:cs="宋体" w:eastAsia="宋体" w:hint="default"/>
                <w:sz w:val="18"/>
                <w:szCs w:val="18"/>
              </w:rPr>
            </w:pPr>
            <w:r>
              <w:rPr>
                <w:rFonts w:ascii="宋体" w:hAnsi="宋体" w:cs="宋体" w:eastAsia="宋体" w:hint="default"/>
                <w:spacing w:val="-4"/>
                <w:sz w:val="18"/>
                <w:szCs w:val="18"/>
              </w:rPr>
              <w:t>）占净利</w:t>
            </w:r>
            <w:r>
              <w:rPr>
                <w:rFonts w:ascii="宋体" w:hAnsi="宋体" w:cs="宋体" w:eastAsia="宋体" w:hint="default"/>
                <w:sz w:val="18"/>
                <w:szCs w:val="18"/>
              </w:rPr>
              <w:t> 润总额 的比例</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316" w:lineRule="auto"/>
              <w:ind w:left="45" w:right="41"/>
              <w:jc w:val="both"/>
              <w:rPr>
                <w:rFonts w:ascii="宋体" w:hAnsi="宋体" w:cs="宋体" w:eastAsia="宋体" w:hint="default"/>
                <w:sz w:val="18"/>
                <w:szCs w:val="18"/>
              </w:rPr>
            </w:pPr>
            <w:r>
              <w:rPr>
                <w:rFonts w:ascii="宋体" w:hAnsi="宋体" w:cs="宋体" w:eastAsia="宋体" w:hint="default"/>
                <w:sz w:val="18"/>
                <w:szCs w:val="18"/>
              </w:rPr>
              <w:t>资产出 售定价 原则</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316" w:lineRule="auto"/>
              <w:ind w:left="45" w:right="41"/>
              <w:jc w:val="center"/>
              <w:rPr>
                <w:rFonts w:ascii="宋体" w:hAnsi="宋体" w:cs="宋体" w:eastAsia="宋体" w:hint="default"/>
                <w:sz w:val="18"/>
                <w:szCs w:val="18"/>
              </w:rPr>
            </w:pPr>
            <w:r>
              <w:rPr>
                <w:rFonts w:ascii="宋体" w:hAnsi="宋体" w:cs="宋体" w:eastAsia="宋体" w:hint="default"/>
                <w:sz w:val="18"/>
                <w:szCs w:val="18"/>
              </w:rPr>
              <w:t>是否为 关联交 易</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45" w:right="41"/>
              <w:jc w:val="both"/>
              <w:rPr>
                <w:rFonts w:ascii="宋体" w:hAnsi="宋体" w:cs="宋体" w:eastAsia="宋体" w:hint="default"/>
                <w:sz w:val="18"/>
                <w:szCs w:val="18"/>
              </w:rPr>
            </w:pPr>
            <w:r>
              <w:rPr>
                <w:rFonts w:ascii="宋体" w:hAnsi="宋体" w:cs="宋体" w:eastAsia="宋体" w:hint="default"/>
                <w:sz w:val="18"/>
                <w:szCs w:val="18"/>
              </w:rPr>
              <w:t>与交易 对方的 关联关 系（适 用关联 交易情 形）</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316" w:lineRule="auto"/>
              <w:ind w:left="45" w:right="41"/>
              <w:jc w:val="both"/>
              <w:rPr>
                <w:rFonts w:ascii="宋体" w:hAnsi="宋体" w:cs="宋体" w:eastAsia="宋体" w:hint="default"/>
                <w:sz w:val="18"/>
                <w:szCs w:val="18"/>
              </w:rPr>
            </w:pPr>
            <w:r>
              <w:rPr>
                <w:rFonts w:ascii="宋体" w:hAnsi="宋体" w:cs="宋体" w:eastAsia="宋体" w:hint="default"/>
                <w:sz w:val="18"/>
                <w:szCs w:val="18"/>
              </w:rPr>
              <w:t>所涉及 的资产 产权是 否已全 部过户</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316" w:lineRule="auto"/>
              <w:ind w:left="45" w:right="41"/>
              <w:jc w:val="both"/>
              <w:rPr>
                <w:rFonts w:ascii="宋体" w:hAnsi="宋体" w:cs="宋体" w:eastAsia="宋体" w:hint="default"/>
                <w:sz w:val="18"/>
                <w:szCs w:val="18"/>
              </w:rPr>
            </w:pPr>
            <w:r>
              <w:rPr>
                <w:rFonts w:ascii="宋体" w:hAnsi="宋体" w:cs="宋体" w:eastAsia="宋体" w:hint="default"/>
                <w:sz w:val="18"/>
                <w:szCs w:val="18"/>
              </w:rPr>
              <w:t>所涉及 的债权 债务是 否已全 部转移</w:t>
            </w:r>
          </w:p>
        </w:tc>
        <w:tc>
          <w:tcPr>
            <w:tcW w:w="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5" w:right="39"/>
              <w:jc w:val="center"/>
              <w:rPr>
                <w:rFonts w:ascii="宋体" w:hAnsi="宋体" w:cs="宋体" w:eastAsia="宋体" w:hint="default"/>
                <w:sz w:val="18"/>
                <w:szCs w:val="18"/>
              </w:rPr>
            </w:pPr>
            <w:r>
              <w:rPr>
                <w:rFonts w:ascii="宋体" w:hAnsi="宋体" w:cs="宋体" w:eastAsia="宋体" w:hint="default"/>
                <w:sz w:val="18"/>
                <w:szCs w:val="18"/>
              </w:rPr>
              <w:t>是否按 计划如 期实 施，如 未按计 划实 施，应 当说明 原因及 公司已 采取的 措施</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314" w:lineRule="auto"/>
              <w:ind w:left="228" w:right="38"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314" w:lineRule="auto"/>
              <w:ind w:left="220" w:right="38"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bl>
    <w:p>
      <w:pPr>
        <w:spacing w:after="0" w:line="314"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639"/>
        <w:gridCol w:w="641"/>
        <w:gridCol w:w="641"/>
        <w:gridCol w:w="638"/>
        <w:gridCol w:w="641"/>
        <w:gridCol w:w="638"/>
        <w:gridCol w:w="638"/>
        <w:gridCol w:w="638"/>
        <w:gridCol w:w="639"/>
        <w:gridCol w:w="638"/>
        <w:gridCol w:w="638"/>
        <w:gridCol w:w="638"/>
        <w:gridCol w:w="637"/>
        <w:gridCol w:w="638"/>
        <w:gridCol w:w="631"/>
      </w:tblGrid>
      <w:tr>
        <w:trPr>
          <w:trHeight w:val="10389" w:hRule="exact"/>
        </w:trPr>
        <w:tc>
          <w:tcPr>
            <w:tcW w:w="639"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316" w:lineRule="auto"/>
              <w:ind w:left="24" w:right="57"/>
              <w:jc w:val="both"/>
              <w:rPr>
                <w:rFonts w:ascii="宋体" w:hAnsi="宋体" w:cs="宋体" w:eastAsia="宋体" w:hint="default"/>
                <w:sz w:val="18"/>
                <w:szCs w:val="18"/>
              </w:rPr>
            </w:pPr>
            <w:r>
              <w:rPr>
                <w:rFonts w:ascii="宋体" w:hAnsi="宋体" w:cs="宋体" w:eastAsia="宋体" w:hint="default"/>
                <w:sz w:val="18"/>
                <w:szCs w:val="18"/>
              </w:rPr>
              <w:t>上海炽 蓝企业 管理合 伙企业</w:t>
            </w:r>
          </w:p>
          <w:p>
            <w:pPr>
              <w:pStyle w:val="TableParagraph"/>
              <w:spacing w:line="316" w:lineRule="auto" w:before="19"/>
              <w:ind w:left="24" w:right="-30"/>
              <w:jc w:val="left"/>
              <w:rPr>
                <w:rFonts w:ascii="宋体" w:hAnsi="宋体" w:cs="宋体" w:eastAsia="宋体" w:hint="default"/>
                <w:sz w:val="18"/>
                <w:szCs w:val="18"/>
              </w:rPr>
            </w:pPr>
            <w:r>
              <w:rPr>
                <w:rFonts w:ascii="宋体" w:hAnsi="宋体" w:cs="宋体" w:eastAsia="宋体" w:hint="default"/>
                <w:sz w:val="18"/>
                <w:szCs w:val="18"/>
              </w:rPr>
              <w:t>（有限 </w:t>
            </w:r>
            <w:r>
              <w:rPr>
                <w:rFonts w:ascii="宋体" w:hAnsi="宋体" w:cs="宋体" w:eastAsia="宋体" w:hint="default"/>
                <w:spacing w:val="-23"/>
                <w:sz w:val="18"/>
                <w:szCs w:val="18"/>
              </w:rPr>
              <w:t>合伙）、</w:t>
            </w:r>
            <w:r>
              <w:rPr>
                <w:rFonts w:ascii="宋体" w:hAnsi="宋体" w:cs="宋体" w:eastAsia="宋体" w:hint="default"/>
                <w:sz w:val="18"/>
                <w:szCs w:val="18"/>
              </w:rPr>
              <w:t> 南京元 谷股权 投资合 伙企业</w:t>
            </w:r>
          </w:p>
          <w:p>
            <w:pPr>
              <w:pStyle w:val="TableParagraph"/>
              <w:spacing w:line="316" w:lineRule="auto" w:before="19"/>
              <w:ind w:left="24" w:right="-30"/>
              <w:jc w:val="left"/>
              <w:rPr>
                <w:rFonts w:ascii="宋体" w:hAnsi="宋体" w:cs="宋体" w:eastAsia="宋体" w:hint="default"/>
                <w:sz w:val="18"/>
                <w:szCs w:val="18"/>
              </w:rPr>
            </w:pPr>
            <w:r>
              <w:rPr>
                <w:rFonts w:ascii="宋体" w:hAnsi="宋体" w:cs="宋体" w:eastAsia="宋体" w:hint="default"/>
                <w:sz w:val="18"/>
                <w:szCs w:val="18"/>
              </w:rPr>
              <w:t>（有限 </w:t>
            </w:r>
            <w:r>
              <w:rPr>
                <w:rFonts w:ascii="宋体" w:hAnsi="宋体" w:cs="宋体" w:eastAsia="宋体" w:hint="default"/>
                <w:spacing w:val="-23"/>
                <w:sz w:val="18"/>
                <w:szCs w:val="18"/>
              </w:rPr>
              <w:t>合伙）、</w:t>
            </w:r>
            <w:r>
              <w:rPr>
                <w:rFonts w:ascii="宋体" w:hAnsi="宋体" w:cs="宋体" w:eastAsia="宋体" w:hint="default"/>
                <w:sz w:val="18"/>
                <w:szCs w:val="18"/>
              </w:rPr>
              <w:t> 上海瑞 力骄阳 投资管 理合伙 企业</w:t>
            </w:r>
          </w:p>
          <w:p>
            <w:pPr>
              <w:pStyle w:val="TableParagraph"/>
              <w:spacing w:line="316" w:lineRule="auto" w:before="19"/>
              <w:ind w:left="24" w:right="57"/>
              <w:jc w:val="left"/>
              <w:rPr>
                <w:rFonts w:ascii="宋体" w:hAnsi="宋体" w:cs="宋体" w:eastAsia="宋体" w:hint="default"/>
                <w:sz w:val="18"/>
                <w:szCs w:val="18"/>
              </w:rPr>
            </w:pPr>
            <w:r>
              <w:rPr>
                <w:rFonts w:ascii="宋体" w:hAnsi="宋体" w:cs="宋体" w:eastAsia="宋体" w:hint="default"/>
                <w:sz w:val="18"/>
                <w:szCs w:val="18"/>
              </w:rPr>
              <w:t>（有限 合伙）</w:t>
            </w:r>
          </w:p>
        </w:tc>
        <w:tc>
          <w:tcPr>
            <w:tcW w:w="641"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316" w:lineRule="auto"/>
              <w:ind w:left="18" w:right="65"/>
              <w:jc w:val="left"/>
              <w:rPr>
                <w:rFonts w:ascii="宋体" w:hAnsi="宋体" w:cs="宋体" w:eastAsia="宋体" w:hint="default"/>
                <w:sz w:val="18"/>
                <w:szCs w:val="18"/>
              </w:rPr>
            </w:pPr>
            <w:r>
              <w:rPr>
                <w:rFonts w:ascii="宋体" w:hAnsi="宋体" w:cs="宋体" w:eastAsia="宋体" w:hint="default"/>
                <w:sz w:val="18"/>
                <w:szCs w:val="18"/>
              </w:rPr>
              <w:t>上海复 深蓝股 份有限 公司 </w:t>
            </w:r>
            <w:r>
              <w:rPr>
                <w:rFonts w:ascii="Times New Roman" w:hAnsi="Times New Roman" w:cs="Times New Roman" w:eastAsia="Times New Roman" w:hint="default"/>
                <w:sz w:val="18"/>
                <w:szCs w:val="18"/>
              </w:rPr>
              <w:t>19%</w:t>
            </w:r>
            <w:r>
              <w:rPr>
                <w:rFonts w:ascii="宋体" w:hAnsi="宋体" w:cs="宋体" w:eastAsia="宋体" w:hint="default"/>
                <w:sz w:val="18"/>
                <w:szCs w:val="18"/>
              </w:rPr>
              <w:t>股</w:t>
            </w:r>
          </w:p>
          <w:p>
            <w:pPr>
              <w:pStyle w:val="TableParagraph"/>
              <w:spacing w:line="235" w:lineRule="exact"/>
              <w:ind w:left="18" w:right="0"/>
              <w:jc w:val="left"/>
              <w:rPr>
                <w:rFonts w:ascii="宋体" w:hAnsi="宋体" w:cs="宋体" w:eastAsia="宋体" w:hint="default"/>
                <w:sz w:val="18"/>
                <w:szCs w:val="18"/>
              </w:rPr>
            </w:pPr>
            <w:r>
              <w:rPr>
                <w:rFonts w:ascii="宋体" w:hAnsi="宋体" w:cs="宋体" w:eastAsia="宋体" w:hint="default"/>
                <w:sz w:val="18"/>
                <w:szCs w:val="18"/>
              </w:rPr>
              <w:t>权</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201" w:right="0"/>
              <w:jc w:val="left"/>
              <w:rPr>
                <w:rFonts w:ascii="Times New Roman" w:hAnsi="Times New Roman" w:cs="Times New Roman" w:eastAsia="Times New Roman" w:hint="default"/>
                <w:sz w:val="18"/>
                <w:szCs w:val="18"/>
              </w:rPr>
            </w:pPr>
            <w:r>
              <w:rPr>
                <w:rFonts w:ascii="Times New Roman"/>
                <w:sz w:val="18"/>
              </w:rPr>
              <w:t>3,420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2,586.4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316" w:lineRule="auto"/>
              <w:ind w:left="24" w:right="62"/>
              <w:jc w:val="left"/>
              <w:rPr>
                <w:rFonts w:ascii="宋体" w:hAnsi="宋体" w:cs="宋体" w:eastAsia="宋体" w:hint="default"/>
                <w:sz w:val="18"/>
                <w:szCs w:val="18"/>
              </w:rPr>
            </w:pPr>
            <w:r>
              <w:rPr>
                <w:rFonts w:ascii="宋体" w:hAnsi="宋体" w:cs="宋体" w:eastAsia="宋体" w:hint="default"/>
                <w:sz w:val="18"/>
                <w:szCs w:val="18"/>
              </w:rPr>
              <w:t>公司本 次转让 复深蓝 部分股 权有利 于公司 优化资 产结 构，聚 焦主业 经营， 进一步 改善公 司经营 和财务 状况， 增强公 司持续 经营和 健康发 展的能 力。</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52" w:right="0"/>
              <w:jc w:val="left"/>
              <w:rPr>
                <w:rFonts w:ascii="Times New Roman" w:hAnsi="Times New Roman" w:cs="Times New Roman" w:eastAsia="Times New Roman" w:hint="default"/>
                <w:sz w:val="18"/>
                <w:szCs w:val="18"/>
              </w:rPr>
            </w:pPr>
            <w:r>
              <w:rPr>
                <w:rFonts w:ascii="Times New Roman"/>
                <w:sz w:val="18"/>
              </w:rPr>
              <w:t>47.07%</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316" w:lineRule="auto"/>
              <w:ind w:left="24" w:right="62"/>
              <w:jc w:val="left"/>
              <w:rPr>
                <w:rFonts w:ascii="宋体" w:hAnsi="宋体" w:cs="宋体" w:eastAsia="宋体" w:hint="default"/>
                <w:sz w:val="18"/>
                <w:szCs w:val="18"/>
              </w:rPr>
            </w:pPr>
            <w:r>
              <w:rPr>
                <w:rFonts w:ascii="宋体" w:hAnsi="宋体" w:cs="宋体" w:eastAsia="宋体" w:hint="default"/>
                <w:sz w:val="18"/>
                <w:szCs w:val="18"/>
              </w:rPr>
              <w:t>本次交 易价格 由双方 友好协 商确 定，价 格公 允，不 存在利 用关联 关系损 害上市 公司利 益的行 为，也 不存在 损害公 司合法 利益或 向关联 方输送 利益的 情形。</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2"/>
              <w:jc w:val="both"/>
              <w:rPr>
                <w:rFonts w:ascii="宋体" w:hAnsi="宋体" w:cs="宋体" w:eastAsia="宋体" w:hint="default"/>
                <w:sz w:val="18"/>
                <w:szCs w:val="18"/>
              </w:rPr>
            </w:pPr>
            <w:r>
              <w:rPr>
                <w:rFonts w:ascii="宋体" w:hAnsi="宋体" w:cs="宋体" w:eastAsia="宋体" w:hint="default"/>
                <w:sz w:val="18"/>
                <w:szCs w:val="18"/>
              </w:rPr>
              <w:t>因交易 对象上 海炽蓝 企业管 理合伙 企业</w:t>
            </w:r>
          </w:p>
          <w:p>
            <w:pPr>
              <w:pStyle w:val="TableParagraph"/>
              <w:spacing w:line="316" w:lineRule="auto" w:before="19"/>
              <w:ind w:left="23" w:right="62"/>
              <w:jc w:val="left"/>
              <w:rPr>
                <w:rFonts w:ascii="宋体" w:hAnsi="宋体" w:cs="宋体" w:eastAsia="宋体" w:hint="default"/>
                <w:sz w:val="18"/>
                <w:szCs w:val="18"/>
              </w:rPr>
            </w:pPr>
            <w:r>
              <w:rPr>
                <w:rFonts w:ascii="宋体" w:hAnsi="宋体" w:cs="宋体" w:eastAsia="宋体" w:hint="default"/>
                <w:sz w:val="18"/>
                <w:szCs w:val="18"/>
              </w:rPr>
              <w:t>（有限 合伙） 的执行 事务人 为原公 司监事 杨万 强，截 止董事 会公告 日杨万 强正式 辞去监 事职务 尚未满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月，故 本次与 上海炽 蓝企业 管理合 伙企业</w:t>
            </w:r>
          </w:p>
          <w:p>
            <w:pPr>
              <w:pStyle w:val="TableParagraph"/>
              <w:spacing w:line="319" w:lineRule="auto" w:before="19"/>
              <w:ind w:left="23" w:right="62"/>
              <w:jc w:val="both"/>
              <w:rPr>
                <w:rFonts w:ascii="宋体" w:hAnsi="宋体" w:cs="宋体" w:eastAsia="宋体" w:hint="default"/>
                <w:sz w:val="18"/>
                <w:szCs w:val="18"/>
              </w:rPr>
            </w:pPr>
            <w:r>
              <w:rPr>
                <w:rFonts w:ascii="宋体" w:hAnsi="宋体" w:cs="宋体" w:eastAsia="宋体" w:hint="default"/>
                <w:sz w:val="18"/>
                <w:szCs w:val="18"/>
              </w:rPr>
              <w:t>（有限 合伙） 的交易 为关联 交易。</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316" w:lineRule="auto"/>
              <w:ind w:left="24" w:right="62"/>
              <w:jc w:val="left"/>
              <w:rPr>
                <w:rFonts w:ascii="宋体" w:hAnsi="宋体" w:cs="宋体" w:eastAsia="宋体" w:hint="default"/>
                <w:sz w:val="18"/>
                <w:szCs w:val="18"/>
              </w:rPr>
            </w:pPr>
            <w:r>
              <w:rPr>
                <w:rFonts w:ascii="宋体" w:hAnsi="宋体" w:cs="宋体" w:eastAsia="宋体" w:hint="default"/>
                <w:sz w:val="18"/>
                <w:szCs w:val="18"/>
              </w:rPr>
              <w:t>按计划 实施</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362" w:lineRule="auto"/>
              <w:ind w:left="23" w:right="89"/>
              <w:jc w:val="both"/>
              <w:rPr>
                <w:rFonts w:ascii="Times New Roman" w:hAnsi="Times New Roman" w:cs="Times New Roman" w:eastAsia="Times New Roman" w:hint="default"/>
                <w:sz w:val="18"/>
                <w:szCs w:val="18"/>
              </w:rPr>
            </w:pPr>
            <w:r>
              <w:rPr>
                <w:rFonts w:ascii="Times New Roman"/>
                <w:spacing w:val="-3"/>
                <w:sz w:val="18"/>
              </w:rPr>
              <w:t>www.c</w:t>
            </w:r>
            <w:r>
              <w:rPr>
                <w:rFonts w:ascii="Times New Roman"/>
                <w:sz w:val="18"/>
              </w:rPr>
              <w:t> ninfo.c om.cn</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681"/>
        <w:gridCol w:w="682"/>
        <w:gridCol w:w="684"/>
        <w:gridCol w:w="685"/>
        <w:gridCol w:w="684"/>
        <w:gridCol w:w="684"/>
        <w:gridCol w:w="682"/>
        <w:gridCol w:w="687"/>
        <w:gridCol w:w="684"/>
        <w:gridCol w:w="684"/>
        <w:gridCol w:w="684"/>
        <w:gridCol w:w="685"/>
        <w:gridCol w:w="684"/>
        <w:gridCol w:w="677"/>
      </w:tblGrid>
      <w:tr>
        <w:trPr>
          <w:trHeight w:val="2235" w:hRule="exact"/>
        </w:trPr>
        <w:tc>
          <w:tcPr>
            <w:tcW w:w="6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314" w:lineRule="auto"/>
              <w:ind w:left="246" w:right="63" w:hanging="181"/>
              <w:jc w:val="left"/>
              <w:rPr>
                <w:rFonts w:ascii="宋体" w:hAnsi="宋体" w:cs="宋体" w:eastAsia="宋体" w:hint="default"/>
                <w:sz w:val="18"/>
                <w:szCs w:val="18"/>
              </w:rPr>
            </w:pPr>
            <w:r>
              <w:rPr>
                <w:rFonts w:ascii="宋体" w:hAnsi="宋体" w:cs="宋体" w:eastAsia="宋体" w:hint="default"/>
                <w:sz w:val="18"/>
                <w:szCs w:val="18"/>
              </w:rPr>
              <w:t>交易对 方</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314" w:lineRule="auto"/>
              <w:ind w:left="155" w:right="62" w:hanging="89"/>
              <w:jc w:val="left"/>
              <w:rPr>
                <w:rFonts w:ascii="宋体" w:hAnsi="宋体" w:cs="宋体" w:eastAsia="宋体" w:hint="default"/>
                <w:sz w:val="18"/>
                <w:szCs w:val="18"/>
              </w:rPr>
            </w:pPr>
            <w:r>
              <w:rPr>
                <w:rFonts w:ascii="宋体" w:hAnsi="宋体" w:cs="宋体" w:eastAsia="宋体" w:hint="default"/>
                <w:sz w:val="18"/>
                <w:szCs w:val="18"/>
              </w:rPr>
              <w:t>被出售 股权</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出售日</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316" w:lineRule="auto"/>
              <w:ind w:left="67" w:right="65"/>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7" w:right="65"/>
              <w:jc w:val="both"/>
              <w:rPr>
                <w:rFonts w:ascii="宋体" w:hAnsi="宋体" w:cs="宋体" w:eastAsia="宋体" w:hint="default"/>
                <w:sz w:val="18"/>
                <w:szCs w:val="18"/>
              </w:rPr>
            </w:pPr>
            <w:r>
              <w:rPr>
                <w:rFonts w:ascii="宋体" w:hAnsi="宋体" w:cs="宋体" w:eastAsia="宋体" w:hint="default"/>
                <w:sz w:val="18"/>
                <w:szCs w:val="18"/>
              </w:rPr>
              <w:t>本期初 起至出 售日该 股权为 上市公 司贡献 的净利</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316" w:lineRule="auto"/>
              <w:ind w:left="67" w:right="65"/>
              <w:jc w:val="both"/>
              <w:rPr>
                <w:rFonts w:ascii="宋体" w:hAnsi="宋体" w:cs="宋体" w:eastAsia="宋体" w:hint="default"/>
                <w:sz w:val="18"/>
                <w:szCs w:val="18"/>
              </w:rPr>
            </w:pPr>
            <w:r>
              <w:rPr>
                <w:rFonts w:ascii="宋体" w:hAnsi="宋体" w:cs="宋体" w:eastAsia="宋体" w:hint="default"/>
                <w:sz w:val="18"/>
                <w:szCs w:val="18"/>
              </w:rPr>
              <w:t>出售对 公司的 影响</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7" w:right="62"/>
              <w:jc w:val="both"/>
              <w:rPr>
                <w:rFonts w:ascii="宋体" w:hAnsi="宋体" w:cs="宋体" w:eastAsia="宋体" w:hint="default"/>
                <w:sz w:val="18"/>
                <w:szCs w:val="18"/>
              </w:rPr>
            </w:pPr>
            <w:r>
              <w:rPr>
                <w:rFonts w:ascii="宋体" w:hAnsi="宋体" w:cs="宋体" w:eastAsia="宋体" w:hint="default"/>
                <w:sz w:val="18"/>
                <w:szCs w:val="18"/>
              </w:rPr>
              <w:t>股权出 售为上 市公司 贡献的 净利润 占净利 润总额</w:t>
            </w:r>
          </w:p>
        </w:tc>
        <w:tc>
          <w:tcPr>
            <w:tcW w:w="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316" w:lineRule="auto"/>
              <w:ind w:left="69" w:right="65"/>
              <w:jc w:val="both"/>
              <w:rPr>
                <w:rFonts w:ascii="宋体" w:hAnsi="宋体" w:cs="宋体" w:eastAsia="宋体" w:hint="default"/>
                <w:sz w:val="18"/>
                <w:szCs w:val="18"/>
              </w:rPr>
            </w:pPr>
            <w:r>
              <w:rPr>
                <w:rFonts w:ascii="宋体" w:hAnsi="宋体" w:cs="宋体" w:eastAsia="宋体" w:hint="default"/>
                <w:sz w:val="18"/>
                <w:szCs w:val="18"/>
              </w:rPr>
              <w:t>股权出 售定价 原则</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是否为 关联交 易</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与交易 对方的 关联关 系</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6"/>
                <w:szCs w:val="26"/>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所涉及 的股权 是否已 全部过 户</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7" w:right="65"/>
              <w:jc w:val="center"/>
              <w:rPr>
                <w:rFonts w:ascii="宋体" w:hAnsi="宋体" w:cs="宋体" w:eastAsia="宋体" w:hint="default"/>
                <w:sz w:val="18"/>
                <w:szCs w:val="18"/>
              </w:rPr>
            </w:pPr>
            <w:r>
              <w:rPr>
                <w:rFonts w:ascii="宋体" w:hAnsi="宋体" w:cs="宋体" w:eastAsia="宋体" w:hint="default"/>
                <w:sz w:val="18"/>
                <w:szCs w:val="18"/>
              </w:rPr>
              <w:t>是否按 计划如 期实 施，如 未按计 划实 施，应</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314"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314" w:lineRule="auto"/>
              <w:ind w:left="244" w:right="60"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bl>
    <w:p>
      <w:pPr>
        <w:spacing w:after="0" w:line="314"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682"/>
        <w:gridCol w:w="682"/>
        <w:gridCol w:w="684"/>
        <w:gridCol w:w="685"/>
        <w:gridCol w:w="684"/>
        <w:gridCol w:w="684"/>
        <w:gridCol w:w="682"/>
        <w:gridCol w:w="687"/>
        <w:gridCol w:w="684"/>
        <w:gridCol w:w="684"/>
        <w:gridCol w:w="684"/>
        <w:gridCol w:w="685"/>
        <w:gridCol w:w="684"/>
        <w:gridCol w:w="677"/>
      </w:tblGrid>
      <w:tr>
        <w:trPr>
          <w:trHeight w:val="1611" w:hRule="exact"/>
        </w:trPr>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55" w:right="65" w:hanging="89"/>
              <w:jc w:val="left"/>
              <w:rPr>
                <w:rFonts w:ascii="宋体" w:hAnsi="宋体" w:cs="宋体" w:eastAsia="宋体" w:hint="default"/>
                <w:sz w:val="18"/>
                <w:szCs w:val="18"/>
              </w:rPr>
            </w:pPr>
            <w:r>
              <w:rPr>
                <w:rFonts w:ascii="宋体" w:hAnsi="宋体" w:cs="宋体" w:eastAsia="宋体" w:hint="default"/>
                <w:sz w:val="18"/>
                <w:szCs w:val="18"/>
              </w:rPr>
              <w:t>润（万 元）</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的比例</w:t>
            </w:r>
          </w:p>
        </w:tc>
        <w:tc>
          <w:tcPr>
            <w:tcW w:w="6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67" w:right="65"/>
              <w:jc w:val="both"/>
              <w:rPr>
                <w:rFonts w:ascii="宋体" w:hAnsi="宋体" w:cs="宋体" w:eastAsia="宋体" w:hint="default"/>
                <w:sz w:val="18"/>
                <w:szCs w:val="18"/>
              </w:rPr>
            </w:pPr>
            <w:r>
              <w:rPr>
                <w:rFonts w:ascii="宋体" w:hAnsi="宋体" w:cs="宋体" w:eastAsia="宋体" w:hint="default"/>
                <w:sz w:val="18"/>
                <w:szCs w:val="18"/>
              </w:rPr>
              <w:t>当说明 原因及 公司已 采取的 措施</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386" w:hRule="exact"/>
        </w:trPr>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316" w:lineRule="auto"/>
              <w:ind w:left="24" w:right="106"/>
              <w:jc w:val="both"/>
              <w:rPr>
                <w:rFonts w:ascii="宋体" w:hAnsi="宋体" w:cs="宋体" w:eastAsia="宋体" w:hint="default"/>
                <w:sz w:val="18"/>
                <w:szCs w:val="18"/>
              </w:rPr>
            </w:pPr>
            <w:r>
              <w:rPr>
                <w:rFonts w:ascii="宋体" w:hAnsi="宋体" w:cs="宋体" w:eastAsia="宋体" w:hint="default"/>
                <w:sz w:val="18"/>
                <w:szCs w:val="18"/>
              </w:rPr>
              <w:t>上海炽 蓝企业 管理合 伙企业</w:t>
            </w:r>
          </w:p>
          <w:p>
            <w:pPr>
              <w:pStyle w:val="TableParagraph"/>
              <w:spacing w:line="316" w:lineRule="auto" w:before="19"/>
              <w:ind w:left="24" w:right="17"/>
              <w:jc w:val="left"/>
              <w:rPr>
                <w:rFonts w:ascii="宋体" w:hAnsi="宋体" w:cs="宋体" w:eastAsia="宋体" w:hint="default"/>
                <w:sz w:val="18"/>
                <w:szCs w:val="18"/>
              </w:rPr>
            </w:pPr>
            <w:r>
              <w:rPr>
                <w:rFonts w:ascii="宋体" w:hAnsi="宋体" w:cs="宋体" w:eastAsia="宋体" w:hint="default"/>
                <w:sz w:val="18"/>
                <w:szCs w:val="18"/>
              </w:rPr>
              <w:t>（有限 </w:t>
            </w:r>
            <w:r>
              <w:rPr>
                <w:rFonts w:ascii="宋体" w:hAnsi="宋体" w:cs="宋体" w:eastAsia="宋体" w:hint="default"/>
                <w:spacing w:val="-23"/>
                <w:sz w:val="18"/>
                <w:szCs w:val="18"/>
              </w:rPr>
              <w:t>合伙）、</w:t>
            </w:r>
            <w:r>
              <w:rPr>
                <w:rFonts w:ascii="宋体" w:hAnsi="宋体" w:cs="宋体" w:eastAsia="宋体" w:hint="default"/>
                <w:sz w:val="18"/>
                <w:szCs w:val="18"/>
              </w:rPr>
              <w:t> 南京元 谷股权 投资合 伙企业</w:t>
            </w:r>
          </w:p>
          <w:p>
            <w:pPr>
              <w:pStyle w:val="TableParagraph"/>
              <w:spacing w:line="316" w:lineRule="auto" w:before="19"/>
              <w:ind w:left="24" w:right="17"/>
              <w:jc w:val="left"/>
              <w:rPr>
                <w:rFonts w:ascii="宋体" w:hAnsi="宋体" w:cs="宋体" w:eastAsia="宋体" w:hint="default"/>
                <w:sz w:val="18"/>
                <w:szCs w:val="18"/>
              </w:rPr>
            </w:pPr>
            <w:r>
              <w:rPr>
                <w:rFonts w:ascii="宋体" w:hAnsi="宋体" w:cs="宋体" w:eastAsia="宋体" w:hint="default"/>
                <w:sz w:val="18"/>
                <w:szCs w:val="18"/>
              </w:rPr>
              <w:t>（有限 </w:t>
            </w:r>
            <w:r>
              <w:rPr>
                <w:rFonts w:ascii="宋体" w:hAnsi="宋体" w:cs="宋体" w:eastAsia="宋体" w:hint="default"/>
                <w:spacing w:val="-23"/>
                <w:sz w:val="18"/>
                <w:szCs w:val="18"/>
              </w:rPr>
              <w:t>合伙）、</w:t>
            </w:r>
            <w:r>
              <w:rPr>
                <w:rFonts w:ascii="宋体" w:hAnsi="宋体" w:cs="宋体" w:eastAsia="宋体" w:hint="default"/>
                <w:sz w:val="18"/>
                <w:szCs w:val="18"/>
              </w:rPr>
              <w:t> 上海瑞 力骄阳 投资管 理合伙 企业</w:t>
            </w:r>
          </w:p>
          <w:p>
            <w:pPr>
              <w:pStyle w:val="TableParagraph"/>
              <w:spacing w:line="316" w:lineRule="auto" w:before="19"/>
              <w:ind w:left="24" w:right="106"/>
              <w:jc w:val="left"/>
              <w:rPr>
                <w:rFonts w:ascii="宋体" w:hAnsi="宋体" w:cs="宋体" w:eastAsia="宋体" w:hint="default"/>
                <w:sz w:val="18"/>
                <w:szCs w:val="18"/>
              </w:rPr>
            </w:pPr>
            <w:r>
              <w:rPr>
                <w:rFonts w:ascii="宋体" w:hAnsi="宋体" w:cs="宋体" w:eastAsia="宋体" w:hint="default"/>
                <w:sz w:val="18"/>
                <w:szCs w:val="18"/>
              </w:rPr>
              <w:t>（有限 合伙）</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319" w:lineRule="auto"/>
              <w:ind w:left="23" w:right="105"/>
              <w:jc w:val="left"/>
              <w:rPr>
                <w:rFonts w:ascii="宋体" w:hAnsi="宋体" w:cs="宋体" w:eastAsia="宋体" w:hint="default"/>
                <w:sz w:val="18"/>
                <w:szCs w:val="18"/>
              </w:rPr>
            </w:pPr>
            <w:r>
              <w:rPr>
                <w:rFonts w:ascii="宋体" w:hAnsi="宋体" w:cs="宋体" w:eastAsia="宋体" w:hint="default"/>
                <w:sz w:val="18"/>
                <w:szCs w:val="18"/>
              </w:rPr>
              <w:t>上海复 深蓝股 份有限 公司 </w:t>
            </w:r>
            <w:r>
              <w:rPr>
                <w:rFonts w:ascii="Times New Roman" w:hAnsi="Times New Roman" w:cs="Times New Roman" w:eastAsia="Times New Roman" w:hint="default"/>
                <w:sz w:val="18"/>
                <w:szCs w:val="18"/>
              </w:rPr>
              <w:t>19%</w:t>
            </w:r>
            <w:r>
              <w:rPr>
                <w:rFonts w:ascii="宋体" w:hAnsi="宋体" w:cs="宋体" w:eastAsia="宋体" w:hint="default"/>
                <w:sz w:val="18"/>
                <w:szCs w:val="18"/>
              </w:rPr>
              <w:t>股</w:t>
            </w:r>
          </w:p>
          <w:p>
            <w:pPr>
              <w:pStyle w:val="TableParagraph"/>
              <w:spacing w:line="233" w:lineRule="exact"/>
              <w:ind w:left="23" w:right="0"/>
              <w:jc w:val="left"/>
              <w:rPr>
                <w:rFonts w:ascii="宋体" w:hAnsi="宋体" w:cs="宋体" w:eastAsia="宋体" w:hint="default"/>
                <w:sz w:val="18"/>
                <w:szCs w:val="18"/>
              </w:rPr>
            </w:pPr>
            <w:r>
              <w:rPr>
                <w:rFonts w:ascii="宋体" w:hAnsi="宋体" w:cs="宋体" w:eastAsia="宋体" w:hint="default"/>
                <w:sz w:val="18"/>
                <w:szCs w:val="18"/>
              </w:rPr>
              <w:t>权</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247" w:right="0"/>
              <w:jc w:val="left"/>
              <w:rPr>
                <w:rFonts w:ascii="Times New Roman" w:hAnsi="Times New Roman" w:cs="Times New Roman" w:eastAsia="Times New Roman" w:hint="default"/>
                <w:sz w:val="18"/>
                <w:szCs w:val="18"/>
              </w:rPr>
            </w:pPr>
            <w:r>
              <w:rPr>
                <w:rFonts w:ascii="Times New Roman"/>
                <w:sz w:val="18"/>
              </w:rPr>
              <w:t>3,420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2,586.4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316" w:lineRule="auto"/>
              <w:ind w:left="23" w:right="108"/>
              <w:jc w:val="left"/>
              <w:rPr>
                <w:rFonts w:ascii="宋体" w:hAnsi="宋体" w:cs="宋体" w:eastAsia="宋体" w:hint="default"/>
                <w:sz w:val="18"/>
                <w:szCs w:val="18"/>
              </w:rPr>
            </w:pPr>
            <w:r>
              <w:rPr>
                <w:rFonts w:ascii="宋体" w:hAnsi="宋体" w:cs="宋体" w:eastAsia="宋体" w:hint="default"/>
                <w:sz w:val="18"/>
                <w:szCs w:val="18"/>
              </w:rPr>
              <w:t>公司本 次转让 复深蓝 部分股 权有利 于公司 优化资 产结 构，聚 焦主业 经营， 进一步 改善公 司经营 和财务 状况， 增强公 司持续 经营和 健康发 展的能 力。</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77" w:right="0"/>
              <w:jc w:val="center"/>
              <w:rPr>
                <w:rFonts w:ascii="Times New Roman" w:hAnsi="Times New Roman" w:cs="Times New Roman" w:eastAsia="Times New Roman" w:hint="default"/>
                <w:sz w:val="18"/>
                <w:szCs w:val="18"/>
              </w:rPr>
            </w:pPr>
            <w:r>
              <w:rPr>
                <w:rFonts w:ascii="Times New Roman"/>
                <w:sz w:val="18"/>
              </w:rPr>
              <w:t>47.07%</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316" w:lineRule="auto"/>
              <w:ind w:left="23" w:right="111"/>
              <w:jc w:val="both"/>
              <w:rPr>
                <w:rFonts w:ascii="宋体" w:hAnsi="宋体" w:cs="宋体" w:eastAsia="宋体" w:hint="default"/>
                <w:sz w:val="18"/>
                <w:szCs w:val="18"/>
              </w:rPr>
            </w:pPr>
            <w:r>
              <w:rPr>
                <w:rFonts w:ascii="宋体" w:hAnsi="宋体" w:cs="宋体" w:eastAsia="宋体" w:hint="default"/>
                <w:sz w:val="18"/>
                <w:szCs w:val="18"/>
              </w:rPr>
              <w:t>本次交 易价格 由双方 友好协</w:t>
            </w:r>
          </w:p>
          <w:p>
            <w:pPr>
              <w:pStyle w:val="TableParagraph"/>
              <w:spacing w:line="240" w:lineRule="auto" w:before="4"/>
              <w:ind w:right="0"/>
              <w:jc w:val="left"/>
              <w:rPr>
                <w:rFonts w:ascii="宋体" w:hAnsi="宋体" w:cs="宋体" w:eastAsia="宋体" w:hint="default"/>
                <w:sz w:val="25"/>
                <w:szCs w:val="25"/>
              </w:rPr>
            </w:pPr>
          </w:p>
          <w:p>
            <w:pPr>
              <w:pStyle w:val="TableParagraph"/>
              <w:spacing w:line="316" w:lineRule="auto"/>
              <w:ind w:left="23" w:right="22"/>
              <w:jc w:val="left"/>
              <w:rPr>
                <w:rFonts w:ascii="宋体" w:hAnsi="宋体" w:cs="宋体" w:eastAsia="宋体" w:hint="default"/>
                <w:sz w:val="18"/>
                <w:szCs w:val="18"/>
              </w:rPr>
            </w:pPr>
            <w:r>
              <w:rPr>
                <w:rFonts w:ascii="宋体" w:hAnsi="宋体" w:cs="宋体" w:eastAsia="宋体" w:hint="default"/>
                <w:sz w:val="18"/>
                <w:szCs w:val="18"/>
              </w:rPr>
              <w:t>价格公 </w:t>
            </w:r>
            <w:r>
              <w:rPr>
                <w:rFonts w:ascii="宋体" w:hAnsi="宋体" w:cs="宋体" w:eastAsia="宋体" w:hint="default"/>
                <w:spacing w:val="-23"/>
                <w:sz w:val="18"/>
                <w:szCs w:val="18"/>
              </w:rPr>
              <w:t>允，不存</w:t>
            </w:r>
            <w:r>
              <w:rPr>
                <w:rFonts w:ascii="宋体" w:hAnsi="宋体" w:cs="宋体" w:eastAsia="宋体" w:hint="default"/>
                <w:sz w:val="18"/>
                <w:szCs w:val="18"/>
              </w:rPr>
              <w:t> 在利用 关联关 系损害 上市公 司利益</w:t>
            </w:r>
          </w:p>
          <w:p>
            <w:pPr>
              <w:pStyle w:val="TableParagraph"/>
              <w:spacing w:line="240" w:lineRule="auto" w:before="4"/>
              <w:ind w:right="0"/>
              <w:jc w:val="left"/>
              <w:rPr>
                <w:rFonts w:ascii="宋体" w:hAnsi="宋体" w:cs="宋体" w:eastAsia="宋体" w:hint="default"/>
                <w:sz w:val="25"/>
                <w:szCs w:val="25"/>
              </w:rPr>
            </w:pPr>
          </w:p>
          <w:p>
            <w:pPr>
              <w:pStyle w:val="TableParagraph"/>
              <w:spacing w:line="316" w:lineRule="auto"/>
              <w:ind w:left="23" w:right="111"/>
              <w:jc w:val="both"/>
              <w:rPr>
                <w:rFonts w:ascii="宋体" w:hAnsi="宋体" w:cs="宋体" w:eastAsia="宋体" w:hint="default"/>
                <w:sz w:val="18"/>
                <w:szCs w:val="18"/>
              </w:rPr>
            </w:pPr>
            <w:r>
              <w:rPr>
                <w:rFonts w:ascii="宋体" w:hAnsi="宋体" w:cs="宋体" w:eastAsia="宋体" w:hint="default"/>
                <w:sz w:val="18"/>
                <w:szCs w:val="18"/>
              </w:rPr>
              <w:t>也不存 在损害 公司合 法利益 或向关 联方输 送利益</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4992" w:lineRule="exact"/>
              <w:ind w:left="2" w:right="-50"/>
              <w:jc w:val="left"/>
              <w:rPr>
                <w:rFonts w:ascii="宋体" w:hAnsi="宋体" w:cs="宋体" w:eastAsia="宋体" w:hint="default"/>
                <w:sz w:val="20"/>
                <w:szCs w:val="20"/>
              </w:rPr>
            </w:pPr>
            <w:r>
              <w:rPr>
                <w:rFonts w:ascii="宋体" w:hAnsi="宋体" w:cs="宋体" w:eastAsia="宋体" w:hint="default"/>
                <w:position w:val="-99"/>
                <w:sz w:val="20"/>
                <w:szCs w:val="20"/>
              </w:rPr>
              <w:pict>
                <v:group style="width:33.6pt;height:249.65pt;mso-position-horizontal-relative:char;mso-position-vertical-relative:line" coordorigin="0,0" coordsize="672,4993">
                  <v:group style="position:absolute;left:0;top:0;width:672;height:4993" coordorigin="0,0" coordsize="672,4993">
                    <v:shape style="position:absolute;left:0;top:0;width:672;height:4993" coordorigin="0,0" coordsize="672,4993" path="m0,4992l672,4992,672,0,0,0,0,4992xe" filled="true" fillcolor="#ffffff" stroked="false">
                      <v:path arrowok="t"/>
                      <v:fill type="solid"/>
                    </v:shape>
                  </v:group>
                </v:group>
              </w:pict>
            </w:r>
            <w:r>
              <w:rPr>
                <w:rFonts w:ascii="宋体" w:hAnsi="宋体" w:cs="宋体" w:eastAsia="宋体" w:hint="default"/>
                <w:position w:val="-99"/>
                <w:sz w:val="20"/>
                <w:szCs w:val="20"/>
              </w:rPr>
            </w:r>
          </w:p>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1"/>
                <w:szCs w:val="11"/>
              </w:rPr>
            </w:pPr>
          </w:p>
          <w:p>
            <w:pPr>
              <w:pStyle w:val="TableParagraph"/>
              <w:spacing w:line="4992" w:lineRule="exact"/>
              <w:ind w:left="2" w:right="-50"/>
              <w:jc w:val="left"/>
              <w:rPr>
                <w:rFonts w:ascii="宋体" w:hAnsi="宋体" w:cs="宋体" w:eastAsia="宋体" w:hint="default"/>
                <w:sz w:val="20"/>
                <w:szCs w:val="20"/>
              </w:rPr>
            </w:pPr>
            <w:r>
              <w:rPr>
                <w:rFonts w:ascii="宋体" w:hAnsi="宋体" w:cs="宋体" w:eastAsia="宋体" w:hint="default"/>
                <w:position w:val="-99"/>
                <w:sz w:val="20"/>
                <w:szCs w:val="20"/>
              </w:rPr>
              <w:pict>
                <v:group style="width:33.6pt;height:249.65pt;mso-position-horizontal-relative:char;mso-position-vertical-relative:line" coordorigin="0,0" coordsize="672,4993">
                  <v:group style="position:absolute;left:0;top:0;width:672;height:4993" coordorigin="0,0" coordsize="672,4993">
                    <v:shape style="position:absolute;left:0;top:0;width:672;height:4993" coordorigin="0,0" coordsize="672,4993" path="m0,4992l672,4992,672,0,0,0,0,4992xe" filled="true" fillcolor="#ffffff" stroked="false">
                      <v:path arrowok="t"/>
                      <v:fill type="solid"/>
                    </v:shape>
                  </v:group>
                </v:group>
              </w:pict>
            </w:r>
            <w:r>
              <w:rPr>
                <w:rFonts w:ascii="宋体" w:hAnsi="宋体" w:cs="宋体" w:eastAsia="宋体" w:hint="default"/>
                <w:position w:val="-99"/>
                <w:sz w:val="20"/>
                <w:szCs w:val="20"/>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因交易 对象上 海炽蓝 企业管 理合伙 企业</w:t>
            </w:r>
          </w:p>
          <w:p>
            <w:pPr>
              <w:pStyle w:val="TableParagraph"/>
              <w:spacing w:line="316" w:lineRule="auto" w:before="19"/>
              <w:ind w:left="24" w:right="108"/>
              <w:jc w:val="left"/>
              <w:rPr>
                <w:rFonts w:ascii="宋体" w:hAnsi="宋体" w:cs="宋体" w:eastAsia="宋体" w:hint="default"/>
                <w:sz w:val="18"/>
                <w:szCs w:val="18"/>
              </w:rPr>
            </w:pPr>
            <w:r>
              <w:rPr>
                <w:rFonts w:ascii="宋体" w:hAnsi="宋体" w:cs="宋体" w:eastAsia="宋体" w:hint="default"/>
                <w:sz w:val="18"/>
                <w:szCs w:val="18"/>
              </w:rPr>
              <w:t>（有限 合伙） 的执行 事务人 为原公 司监事 杨万 强，截 止董事 会公告 日杨万 强正式 辞去监 事职务 尚未满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月，故 本次与 上海炽 蓝企业 管理合 伙企业</w:t>
            </w:r>
          </w:p>
          <w:p>
            <w:pPr>
              <w:pStyle w:val="TableParagraph"/>
              <w:spacing w:line="316" w:lineRule="auto" w:before="19"/>
              <w:ind w:left="24" w:right="108"/>
              <w:jc w:val="both"/>
              <w:rPr>
                <w:rFonts w:ascii="宋体" w:hAnsi="宋体" w:cs="宋体" w:eastAsia="宋体" w:hint="default"/>
                <w:sz w:val="18"/>
                <w:szCs w:val="18"/>
              </w:rPr>
            </w:pPr>
            <w:r>
              <w:rPr>
                <w:rFonts w:ascii="宋体" w:hAnsi="宋体" w:cs="宋体" w:eastAsia="宋体" w:hint="default"/>
                <w:sz w:val="18"/>
                <w:szCs w:val="18"/>
              </w:rPr>
              <w:t>（有限 合伙） 的交易 为关联 交易。</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319" w:lineRule="auto"/>
              <w:ind w:left="23" w:right="110"/>
              <w:jc w:val="left"/>
              <w:rPr>
                <w:rFonts w:ascii="宋体" w:hAnsi="宋体" w:cs="宋体" w:eastAsia="宋体" w:hint="default"/>
                <w:sz w:val="18"/>
                <w:szCs w:val="18"/>
              </w:rPr>
            </w:pPr>
            <w:r>
              <w:rPr>
                <w:rFonts w:ascii="宋体" w:hAnsi="宋体" w:cs="宋体" w:eastAsia="宋体" w:hint="default"/>
                <w:sz w:val="18"/>
                <w:szCs w:val="18"/>
              </w:rPr>
              <w:t>按计划 实施</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2"/>
                <w:szCs w:val="22"/>
              </w:rPr>
            </w:pPr>
          </w:p>
          <w:p>
            <w:pPr>
              <w:pStyle w:val="TableParagraph"/>
              <w:spacing w:line="362" w:lineRule="auto"/>
              <w:ind w:left="24" w:right="49"/>
              <w:jc w:val="left"/>
              <w:rPr>
                <w:rFonts w:ascii="Times New Roman" w:hAnsi="Times New Roman" w:cs="Times New Roman" w:eastAsia="Times New Roman" w:hint="default"/>
                <w:sz w:val="18"/>
                <w:szCs w:val="18"/>
              </w:rPr>
            </w:pPr>
            <w:r>
              <w:rPr>
                <w:rFonts w:ascii="Times New Roman"/>
                <w:spacing w:val="-3"/>
                <w:sz w:val="18"/>
              </w:rPr>
              <w:t>www.cn</w:t>
            </w:r>
            <w:r>
              <w:rPr>
                <w:rFonts w:ascii="Times New Roman"/>
                <w:spacing w:val="-43"/>
                <w:sz w:val="18"/>
              </w:rPr>
              <w:t> </w:t>
            </w:r>
            <w:r>
              <w:rPr>
                <w:rFonts w:ascii="Times New Roman"/>
                <w:spacing w:val="-43"/>
                <w:sz w:val="18"/>
              </w:rPr>
            </w:r>
            <w:r>
              <w:rPr>
                <w:rFonts w:ascii="Times New Roman"/>
                <w:sz w:val="18"/>
              </w:rPr>
              <w:t>info.co</w:t>
            </w:r>
            <w:r>
              <w:rPr>
                <w:rFonts w:ascii="Times New Roman"/>
                <w:sz w:val="18"/>
              </w:rPr>
              <w:t> m.cn</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pict>
          <v:shape style="position:absolute;margin-left:297.170013pt;margin-top:-261.904358pt;width:66.9pt;height:249.65pt;mso-position-horizontal-relative:page;mso-position-vertical-relative:paragraph;z-index:-1016728" type="#_x0000_t202" filled="false" stroked="false">
            <v:textbox inset="0,0,0,0">
              <w:txbxContent>
                <w:p>
                  <w:pPr>
                    <w:spacing w:line="240" w:lineRule="auto" w:before="7"/>
                    <w:rPr>
                      <w:rFonts w:ascii="宋体" w:hAnsi="宋体" w:cs="宋体" w:eastAsia="宋体" w:hint="default"/>
                      <w:sz w:val="21"/>
                      <w:szCs w:val="21"/>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的行为，</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40"/>
                    <w:ind w:left="0" w:right="0" w:firstLine="0"/>
                    <w:jc w:val="left"/>
                    <w:rPr>
                      <w:rFonts w:ascii="宋体" w:hAnsi="宋体" w:cs="宋体" w:eastAsia="宋体" w:hint="default"/>
                      <w:sz w:val="18"/>
                      <w:szCs w:val="18"/>
                    </w:rPr>
                  </w:pPr>
                  <w:r>
                    <w:rPr>
                      <w:rFonts w:ascii="宋体" w:hAnsi="宋体" w:cs="宋体" w:eastAsia="宋体" w:hint="default"/>
                      <w:sz w:val="18"/>
                      <w:szCs w:val="18"/>
                    </w:rPr>
                    <w:t>的情形。</w:t>
                  </w:r>
                </w:p>
              </w:txbxContent>
            </v:textbox>
            <w10:wrap type="none"/>
          </v:shape>
        </w:pict>
      </w:r>
      <w:r>
        <w:rPr/>
        <w:t>七、主要控股参股公司分析</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5" w:footer="979" w:top="1060" w:bottom="1160" w:left="980" w:right="980"/>
        </w:sectPr>
      </w:pPr>
    </w:p>
    <w:p>
      <w:pPr>
        <w:spacing w:before="44"/>
        <w:ind w:left="152" w:right="-18" w:firstLine="0"/>
        <w:jc w:val="left"/>
        <w:rPr>
          <w:rFonts w:ascii="宋体" w:hAnsi="宋体" w:cs="宋体" w:eastAsia="宋体" w:hint="default"/>
          <w:sz w:val="18"/>
          <w:szCs w:val="18"/>
        </w:rPr>
      </w:pPr>
      <w:r>
        <w:rPr/>
        <w:pict>
          <v:shape style="position:absolute;margin-left:297.170013pt;margin-top:153.029984pt;width:66.9pt;height:249.65pt;mso-position-horizontal-relative:page;mso-position-vertical-relative:page;z-index:-1016752"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6"/>
                      <w:szCs w:val="26"/>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商确定，</w:t>
                  </w:r>
                </w:p>
              </w:txbxContent>
            </v:textbox>
            <w10:wrap type="none"/>
          </v:shape>
        </w:pict>
      </w: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4"/>
        <w:ind w:left="152" w:right="-18" w:firstLine="0"/>
        <w:jc w:val="left"/>
        <w:rPr>
          <w:rFonts w:ascii="宋体" w:hAnsi="宋体" w:cs="宋体" w:eastAsia="宋体" w:hint="default"/>
          <w:sz w:val="18"/>
          <w:szCs w:val="18"/>
        </w:rPr>
      </w:pPr>
      <w:r>
        <w:rPr>
          <w:rFonts w:ascii="宋体" w:hAnsi="宋体" w:cs="宋体" w:eastAsia="宋体" w:hint="default"/>
          <w:sz w:val="18"/>
          <w:szCs w:val="18"/>
        </w:rPr>
        <w:t>主要子公司及对公司净利润影响达</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4851" w:space="4069"/>
            <w:col w:w="1030"/>
          </w:cols>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054"/>
        <w:gridCol w:w="1198"/>
        <w:gridCol w:w="1045"/>
        <w:gridCol w:w="1044"/>
        <w:gridCol w:w="1047"/>
        <w:gridCol w:w="1046"/>
        <w:gridCol w:w="1044"/>
        <w:gridCol w:w="1045"/>
        <w:gridCol w:w="1046"/>
      </w:tblGrid>
      <w:tr>
        <w:trPr>
          <w:trHeight w:val="401"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9"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7"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027"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8"/>
              <w:jc w:val="both"/>
              <w:rPr>
                <w:rFonts w:ascii="宋体" w:hAnsi="宋体" w:cs="宋体" w:eastAsia="宋体" w:hint="default"/>
                <w:sz w:val="18"/>
                <w:szCs w:val="18"/>
              </w:rPr>
            </w:pPr>
            <w:r>
              <w:rPr>
                <w:rFonts w:ascii="宋体" w:hAnsi="宋体" w:cs="宋体" w:eastAsia="宋体" w:hint="default"/>
                <w:sz w:val="18"/>
                <w:szCs w:val="18"/>
              </w:rPr>
              <w:t>上海力克数 码科技有限 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硬件服务</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15,000,000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22,568,236.7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17,242,707.2</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6</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9,804,629.78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-1,021,980.4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-900,361.83</w:t>
            </w:r>
          </w:p>
        </w:tc>
      </w:tr>
      <w:tr>
        <w:trPr>
          <w:trHeight w:val="102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both"/>
              <w:rPr>
                <w:rFonts w:ascii="宋体" w:hAnsi="宋体" w:cs="宋体" w:eastAsia="宋体" w:hint="default"/>
                <w:sz w:val="18"/>
                <w:szCs w:val="18"/>
              </w:rPr>
            </w:pPr>
            <w:r>
              <w:rPr>
                <w:rFonts w:ascii="宋体" w:hAnsi="宋体" w:cs="宋体" w:eastAsia="宋体" w:hint="default"/>
                <w:sz w:val="18"/>
                <w:szCs w:val="18"/>
              </w:rPr>
              <w:t>上海领卓企 业管理咨询 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咨询服务</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2,000,000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1,331,107.18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1,330,818.12</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96,226.22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-488,409.02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-486,271.87</w:t>
            </w:r>
          </w:p>
        </w:tc>
      </w:tr>
      <w:tr>
        <w:trPr>
          <w:trHeight w:val="102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极品数据系 统有限公司</w:t>
            </w:r>
          </w:p>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硬件服务</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$500,000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636,691.99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636,691.99</w:t>
            </w:r>
          </w:p>
        </w:tc>
        <w:tc>
          <w:tcPr>
            <w:tcW w:w="1044"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-3,736.97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-3,736.97</w:t>
            </w:r>
          </w:p>
        </w:tc>
      </w:tr>
      <w:tr>
        <w:trPr>
          <w:trHeight w:val="713"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极品数据系 统（香港）</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咨询服务</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$200,000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1,991,029.48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1,991,029.48</w:t>
            </w:r>
          </w:p>
        </w:tc>
        <w:tc>
          <w:tcPr>
            <w:tcW w:w="1044"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-7,898.57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-7,898.57</w:t>
            </w:r>
          </w:p>
        </w:tc>
      </w:tr>
      <w:tr>
        <w:trPr>
          <w:trHeight w:val="1027"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8"/>
              <w:jc w:val="both"/>
              <w:rPr>
                <w:rFonts w:ascii="宋体" w:hAnsi="宋体" w:cs="宋体" w:eastAsia="宋体" w:hint="default"/>
                <w:sz w:val="18"/>
                <w:szCs w:val="18"/>
              </w:rPr>
            </w:pPr>
            <w:r>
              <w:rPr>
                <w:rFonts w:ascii="宋体" w:hAnsi="宋体" w:cs="宋体" w:eastAsia="宋体" w:hint="default"/>
                <w:sz w:val="18"/>
                <w:szCs w:val="18"/>
              </w:rPr>
              <w:t>上海复深蓝 软件股份有 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软件服务</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34,217,217.0</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148,317,136.</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21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104,003,141.</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65</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160,705,521.</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24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16,399,401.7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16,559,680.4</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6</w:t>
            </w:r>
          </w:p>
        </w:tc>
      </w:tr>
      <w:tr>
        <w:trPr>
          <w:trHeight w:val="102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both"/>
              <w:rPr>
                <w:rFonts w:ascii="宋体" w:hAnsi="宋体" w:cs="宋体" w:eastAsia="宋体" w:hint="default"/>
                <w:sz w:val="18"/>
                <w:szCs w:val="18"/>
              </w:rPr>
            </w:pPr>
            <w:r>
              <w:rPr>
                <w:rFonts w:ascii="宋体" w:hAnsi="宋体" w:cs="宋体" w:eastAsia="宋体" w:hint="default"/>
                <w:sz w:val="18"/>
                <w:szCs w:val="18"/>
              </w:rPr>
              <w:t>北京天玑力 拓信息技术 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服务</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18,000,000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16,664,420.0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16,664,420.0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44"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-506,727.59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-506,727.59</w:t>
            </w:r>
          </w:p>
        </w:tc>
      </w:tr>
      <w:tr>
        <w:trPr>
          <w:trHeight w:val="102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8"/>
              <w:jc w:val="both"/>
              <w:rPr>
                <w:rFonts w:ascii="宋体" w:hAnsi="宋体" w:cs="宋体" w:eastAsia="宋体" w:hint="default"/>
                <w:sz w:val="18"/>
                <w:szCs w:val="18"/>
              </w:rPr>
            </w:pPr>
            <w:r>
              <w:rPr>
                <w:rFonts w:ascii="宋体" w:hAnsi="宋体" w:cs="宋体" w:eastAsia="宋体" w:hint="default"/>
                <w:sz w:val="18"/>
                <w:szCs w:val="18"/>
              </w:rPr>
              <w:t>上海天玑数 据技术有限 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服务</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30,000,000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32,963,519.9</w:t>
            </w:r>
          </w:p>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z w:val="18"/>
              </w:rPr>
              <w:t>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4,136,071.68</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40,210,285.5</w:t>
            </w:r>
          </w:p>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z w:val="18"/>
              </w:rPr>
              <w:t>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-7,063,289.6</w:t>
            </w:r>
          </w:p>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z w:val="18"/>
              </w:rPr>
              <w:t>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-7,102,691.7</w:t>
            </w:r>
          </w:p>
          <w:p>
            <w:pPr>
              <w:pStyle w:val="TableParagraph"/>
              <w:spacing w:line="240" w:lineRule="auto" w:before="103"/>
              <w:ind w:right="18"/>
              <w:jc w:val="right"/>
              <w:rPr>
                <w:rFonts w:ascii="Times New Roman" w:hAnsi="Times New Roman" w:cs="Times New Roman" w:eastAsia="Times New Roman" w:hint="default"/>
                <w:sz w:val="18"/>
                <w:szCs w:val="18"/>
              </w:rPr>
            </w:pPr>
            <w:r>
              <w:rPr>
                <w:rFonts w:ascii="Times New Roman"/>
                <w:sz w:val="18"/>
              </w:rPr>
              <w:t>6</w:t>
            </w:r>
          </w:p>
        </w:tc>
      </w:tr>
      <w:tr>
        <w:trPr>
          <w:trHeight w:val="713"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杭州平民软 件有限公司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软件服务</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10,000,000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7,391,671.57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6,981,955.40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1,280,448.84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-488,409.02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-486,271.87</w:t>
            </w:r>
          </w:p>
        </w:tc>
      </w:tr>
      <w:tr>
        <w:trPr>
          <w:trHeight w:val="71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杭州广捷科 技有限公司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服务</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19,000,000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19,384,416.3</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18,877,948.8</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0</w:t>
            </w:r>
          </w:p>
        </w:tc>
        <w:tc>
          <w:tcPr>
            <w:tcW w:w="1044"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55" w:right="0"/>
              <w:jc w:val="left"/>
              <w:rPr>
                <w:rFonts w:ascii="Times New Roman" w:hAnsi="Times New Roman" w:cs="Times New Roman" w:eastAsia="Times New Roman" w:hint="default"/>
                <w:sz w:val="18"/>
                <w:szCs w:val="18"/>
              </w:rPr>
            </w:pPr>
            <w:r>
              <w:rPr>
                <w:rFonts w:ascii="Times New Roman"/>
                <w:sz w:val="18"/>
              </w:rPr>
              <w:t>-112,553.11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2"/>
                <w:sz w:val="18"/>
              </w:rPr>
              <w:t>-112,553.11</w:t>
            </w:r>
          </w:p>
        </w:tc>
      </w:tr>
      <w:tr>
        <w:trPr>
          <w:trHeight w:val="713"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杭州鸿昇科 技有限公司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服务</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19,000,000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19,384,731.3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18,878,062.7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044"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-112,355.73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-112,355.73</w:t>
            </w:r>
          </w:p>
        </w:tc>
      </w:tr>
      <w:tr>
        <w:trPr>
          <w:trHeight w:val="102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8"/>
              <w:jc w:val="both"/>
              <w:rPr>
                <w:rFonts w:ascii="宋体" w:hAnsi="宋体" w:cs="宋体" w:eastAsia="宋体" w:hint="default"/>
                <w:sz w:val="18"/>
                <w:szCs w:val="18"/>
              </w:rPr>
            </w:pPr>
            <w:r>
              <w:rPr>
                <w:rFonts w:ascii="宋体" w:hAnsi="宋体" w:cs="宋体" w:eastAsia="宋体" w:hint="default"/>
                <w:sz w:val="18"/>
                <w:szCs w:val="18"/>
              </w:rPr>
              <w:t>西安天玑力 拓信息技术 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服务</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421,134.28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393,209.10</w:t>
            </w:r>
          </w:p>
        </w:tc>
        <w:tc>
          <w:tcPr>
            <w:tcW w:w="1044"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-106,790.90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-106,790.90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报告期内取得和处置子公司的情况</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1"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9"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71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上海缔塔科技有限公司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转让公司所持有的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60%</w:t>
            </w:r>
            <w:r>
              <w:rPr>
                <w:rFonts w:ascii="宋体" w:hAnsi="宋体" w:cs="宋体" w:eastAsia="宋体" w:hint="default"/>
                <w:sz w:val="18"/>
                <w:szCs w:val="18"/>
              </w:rPr>
              <w:t>的股权</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对归属于上市公司股东的净利润影响</w:t>
            </w:r>
          </w:p>
          <w:p>
            <w:pPr>
              <w:pStyle w:val="TableParagraph"/>
              <w:spacing w:line="240" w:lineRule="auto" w:before="116"/>
              <w:ind w:left="23" w:right="0"/>
              <w:jc w:val="left"/>
              <w:rPr>
                <w:rFonts w:ascii="Times New Roman" w:hAnsi="Times New Roman" w:cs="Times New Roman" w:eastAsia="Times New Roman" w:hint="default"/>
                <w:sz w:val="18"/>
                <w:szCs w:val="18"/>
              </w:rPr>
            </w:pPr>
            <w:r>
              <w:rPr>
                <w:rFonts w:ascii="Times New Roman"/>
                <w:sz w:val="18"/>
              </w:rPr>
              <w:t>-0.28%</w:t>
            </w:r>
          </w:p>
        </w:tc>
      </w:tr>
      <w:tr>
        <w:trPr>
          <w:trHeight w:val="129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西安天玑力拓信息技术有限公司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公司总经理会议同意投资设立西安天玑 </w:t>
            </w:r>
            <w:r>
              <w:rPr>
                <w:rFonts w:ascii="宋体" w:hAnsi="宋体" w:cs="宋体" w:eastAsia="宋体" w:hint="default"/>
                <w:spacing w:val="-4"/>
                <w:sz w:val="18"/>
                <w:szCs w:val="18"/>
              </w:rPr>
              <w:t>力拓信息技术有限公司，注册资本为</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100</w:t>
            </w:r>
          </w:p>
          <w:p>
            <w:pPr>
              <w:pStyle w:val="TableParagraph"/>
              <w:spacing w:line="300" w:lineRule="auto"/>
              <w:ind w:left="23" w:right="2"/>
              <w:jc w:val="left"/>
              <w:rPr>
                <w:rFonts w:ascii="宋体" w:hAnsi="宋体" w:cs="宋体" w:eastAsia="宋体" w:hint="default"/>
                <w:sz w:val="18"/>
                <w:szCs w:val="18"/>
              </w:rPr>
            </w:pPr>
            <w:r>
              <w:rPr>
                <w:rFonts w:ascii="宋体" w:hAnsi="宋体" w:cs="宋体" w:eastAsia="宋体" w:hint="default"/>
                <w:sz w:val="18"/>
                <w:szCs w:val="18"/>
              </w:rPr>
              <w:t>万元，公司使用自有资金出资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占出资比例</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60%</w:t>
            </w:r>
            <w:r>
              <w:rPr>
                <w:rFonts w:ascii="宋体" w:hAnsi="宋体" w:cs="宋体" w:eastAsia="宋体" w:hint="default"/>
                <w:sz w:val="18"/>
                <w:szCs w:val="18"/>
              </w:rPr>
              <w:t>，董涛出资</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7"/>
                <w:sz w:val="18"/>
                <w:szCs w:val="18"/>
              </w:rPr>
              <w:t> </w:t>
            </w:r>
            <w:r>
              <w:rPr>
                <w:rFonts w:ascii="宋体" w:hAnsi="宋体" w:cs="宋体" w:eastAsia="宋体" w:hint="default"/>
                <w:spacing w:val="-4"/>
                <w:sz w:val="18"/>
                <w:szCs w:val="18"/>
              </w:rPr>
              <w:t>万元，占</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363" w:hRule="exact"/>
        </w:trPr>
        <w:tc>
          <w:tcPr>
            <w:tcW w:w="3188" w:type="dxa"/>
            <w:tcBorders>
              <w:top w:val="single" w:sz="4" w:space="0" w:color="000000"/>
              <w:left w:val="single" w:sz="4" w:space="0" w:color="000000"/>
              <w:bottom w:val="single" w:sz="4" w:space="0" w:color="000000"/>
              <w:right w:val="single" w:sz="4" w:space="0" w:color="000000"/>
            </w:tcBorders>
          </w:tcPr>
          <w:p>
            <w:pP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出资比例</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40%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上海卓之联信息科技有限公司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z w:val="18"/>
                <w:szCs w:val="18"/>
              </w:rPr>
              <w:t>公司第三届董事会第二十四次临时会议 审议通过《关于注销控股子公司上海卓 </w:t>
            </w:r>
            <w:r>
              <w:rPr>
                <w:rFonts w:ascii="宋体" w:hAnsi="宋体" w:cs="宋体" w:eastAsia="宋体" w:hint="default"/>
                <w:spacing w:val="-6"/>
                <w:sz w:val="18"/>
                <w:szCs w:val="18"/>
              </w:rPr>
              <w:t>之联信息科技有限公司的议案》，决定注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销上海卓之联信息科技有限公司。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对归属于上市公司股东的净利润影响</w:t>
            </w:r>
          </w:p>
          <w:p>
            <w:pPr>
              <w:pStyle w:val="TableParagraph"/>
              <w:spacing w:line="240" w:lineRule="auto" w:before="118"/>
              <w:ind w:left="23" w:right="0"/>
              <w:jc w:val="left"/>
              <w:rPr>
                <w:rFonts w:ascii="Times New Roman" w:hAnsi="Times New Roman" w:cs="Times New Roman" w:eastAsia="Times New Roman" w:hint="default"/>
                <w:sz w:val="18"/>
                <w:szCs w:val="18"/>
              </w:rPr>
            </w:pPr>
            <w:r>
              <w:rPr>
                <w:rFonts w:ascii="Times New Roman"/>
                <w:sz w:val="18"/>
              </w:rPr>
              <w:t>-0.00%</w:t>
            </w:r>
          </w:p>
        </w:tc>
      </w:tr>
    </w:tbl>
    <w:p>
      <w:pPr>
        <w:spacing w:before="49"/>
        <w:ind w:left="152" w:right="94" w:firstLine="0"/>
        <w:jc w:val="left"/>
        <w:rPr>
          <w:rFonts w:ascii="宋体" w:hAnsi="宋体" w:cs="宋体" w:eastAsia="宋体" w:hint="default"/>
          <w:sz w:val="18"/>
          <w:szCs w:val="18"/>
        </w:rPr>
      </w:pPr>
      <w:r>
        <w:rPr>
          <w:rFonts w:ascii="宋体" w:hAnsi="宋体" w:cs="宋体" w:eastAsia="宋体" w:hint="default"/>
          <w:sz w:val="18"/>
          <w:szCs w:val="18"/>
        </w:rPr>
        <w:t>主要控股参股公司情况说明</w:t>
      </w:r>
    </w:p>
    <w:p>
      <w:pPr>
        <w:spacing w:line="300" w:lineRule="auto" w:before="117"/>
        <w:ind w:left="152" w:right="738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、上海力克数码科技有限公司 成立时间：</w:t>
      </w:r>
      <w:r>
        <w:rPr>
          <w:rFonts w:ascii="Times New Roman" w:hAnsi="Times New Roman" w:cs="Times New Roman" w:eastAsia="Times New Roman" w:hint="default"/>
          <w:sz w:val="18"/>
          <w:szCs w:val="18"/>
        </w:rPr>
        <w:t>2009</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 注册资本：</w:t>
      </w:r>
      <w:r>
        <w:rPr>
          <w:rFonts w:ascii="Times New Roman" w:hAnsi="Times New Roman" w:cs="Times New Roman" w:eastAsia="Times New Roman" w:hint="default"/>
          <w:sz w:val="18"/>
          <w:szCs w:val="18"/>
        </w:rPr>
        <w:t>1,500</w:t>
      </w:r>
      <w:r>
        <w:rPr>
          <w:rFonts w:ascii="宋体" w:hAnsi="宋体" w:cs="宋体" w:eastAsia="宋体" w:hint="default"/>
          <w:sz w:val="18"/>
          <w:szCs w:val="18"/>
        </w:rPr>
        <w:t>万元 法定代表人：赵永齐</w:t>
      </w:r>
    </w:p>
    <w:p>
      <w:pPr>
        <w:spacing w:line="300" w:lineRule="auto" w:before="32"/>
        <w:ind w:left="152" w:right="5314" w:firstLine="0"/>
        <w:jc w:val="left"/>
        <w:rPr>
          <w:rFonts w:ascii="宋体" w:hAnsi="宋体" w:cs="宋体" w:eastAsia="宋体" w:hint="default"/>
          <w:sz w:val="18"/>
          <w:szCs w:val="18"/>
        </w:rPr>
      </w:pPr>
      <w:r>
        <w:rPr>
          <w:rFonts w:ascii="宋体" w:hAnsi="宋体" w:cs="宋体" w:eastAsia="宋体" w:hint="default"/>
          <w:sz w:val="18"/>
          <w:szCs w:val="18"/>
        </w:rPr>
        <w:t>注册地址：上海市松江区新桥镇莘砖公路</w:t>
      </w:r>
      <w:r>
        <w:rPr>
          <w:rFonts w:ascii="Times New Roman" w:hAnsi="Times New Roman" w:cs="Times New Roman" w:eastAsia="Times New Roman" w:hint="default"/>
          <w:sz w:val="18"/>
          <w:szCs w:val="18"/>
        </w:rPr>
        <w:t>518</w:t>
      </w:r>
      <w:r>
        <w:rPr>
          <w:rFonts w:ascii="宋体" w:hAnsi="宋体" w:cs="宋体" w:eastAsia="宋体" w:hint="default"/>
          <w:sz w:val="18"/>
          <w:szCs w:val="18"/>
        </w:rPr>
        <w:t>号</w:t>
      </w:r>
      <w:r>
        <w:rPr>
          <w:rFonts w:ascii="Times New Roman" w:hAnsi="Times New Roman" w:cs="Times New Roman" w:eastAsia="Times New Roman" w:hint="default"/>
          <w:sz w:val="18"/>
          <w:szCs w:val="18"/>
        </w:rPr>
        <w:t>28</w:t>
      </w:r>
      <w:r>
        <w:rPr>
          <w:rFonts w:ascii="宋体" w:hAnsi="宋体" w:cs="宋体" w:eastAsia="宋体" w:hint="default"/>
          <w:sz w:val="18"/>
          <w:szCs w:val="18"/>
        </w:rPr>
        <w:t>幢</w:t>
      </w:r>
      <w:r>
        <w:rPr>
          <w:rFonts w:ascii="Times New Roman" w:hAnsi="Times New Roman" w:cs="Times New Roman" w:eastAsia="Times New Roman" w:hint="default"/>
          <w:sz w:val="18"/>
          <w:szCs w:val="18"/>
        </w:rPr>
        <w:t>101</w:t>
      </w:r>
      <w:r>
        <w:rPr>
          <w:rFonts w:ascii="宋体" w:hAnsi="宋体" w:cs="宋体" w:eastAsia="宋体" w:hint="default"/>
          <w:sz w:val="18"/>
          <w:szCs w:val="18"/>
        </w:rPr>
        <w:t>室 主要生产基地：上海市松江区新桥镇莘砖公路</w:t>
      </w:r>
      <w:r>
        <w:rPr>
          <w:rFonts w:ascii="Times New Roman" w:hAnsi="Times New Roman" w:cs="Times New Roman" w:eastAsia="Times New Roman" w:hint="default"/>
          <w:sz w:val="18"/>
          <w:szCs w:val="18"/>
        </w:rPr>
        <w:t>518</w:t>
      </w:r>
      <w:r>
        <w:rPr>
          <w:rFonts w:ascii="宋体" w:hAnsi="宋体" w:cs="宋体" w:eastAsia="宋体" w:hint="default"/>
          <w:sz w:val="18"/>
          <w:szCs w:val="18"/>
        </w:rPr>
        <w:t>号</w:t>
      </w:r>
      <w:r>
        <w:rPr>
          <w:rFonts w:ascii="Times New Roman" w:hAnsi="Times New Roman" w:cs="Times New Roman" w:eastAsia="Times New Roman" w:hint="default"/>
          <w:sz w:val="18"/>
          <w:szCs w:val="18"/>
        </w:rPr>
        <w:t>28</w:t>
      </w:r>
      <w:r>
        <w:rPr>
          <w:rFonts w:ascii="宋体" w:hAnsi="宋体" w:cs="宋体" w:eastAsia="宋体" w:hint="default"/>
          <w:sz w:val="18"/>
          <w:szCs w:val="18"/>
        </w:rPr>
        <w:t>幢</w:t>
      </w:r>
      <w:r>
        <w:rPr>
          <w:rFonts w:ascii="宋体" w:hAnsi="宋体" w:cs="宋体" w:eastAsia="宋体" w:hint="default"/>
          <w:spacing w:val="-87"/>
          <w:sz w:val="18"/>
          <w:szCs w:val="18"/>
        </w:rPr>
        <w:t> </w:t>
      </w:r>
      <w:r>
        <w:rPr>
          <w:rFonts w:ascii="宋体" w:hAnsi="宋体" w:cs="宋体" w:eastAsia="宋体" w:hint="default"/>
          <w:sz w:val="18"/>
          <w:szCs w:val="18"/>
        </w:rPr>
        <w:t>股东构成及控制情况：公司持有其</w:t>
      </w:r>
      <w:r>
        <w:rPr>
          <w:rFonts w:ascii="Times New Roman" w:hAnsi="Times New Roman" w:cs="Times New Roman" w:eastAsia="Times New Roman" w:hint="default"/>
          <w:sz w:val="18"/>
          <w:szCs w:val="18"/>
        </w:rPr>
        <w:t>100%</w:t>
      </w:r>
      <w:r>
        <w:rPr>
          <w:rFonts w:ascii="宋体" w:hAnsi="宋体" w:cs="宋体" w:eastAsia="宋体" w:hint="default"/>
          <w:sz w:val="18"/>
          <w:szCs w:val="18"/>
        </w:rPr>
        <w:t>的股权</w:t>
      </w:r>
    </w:p>
    <w:p>
      <w:pPr>
        <w:spacing w:line="316" w:lineRule="auto" w:before="13"/>
        <w:ind w:left="152" w:right="94" w:firstLine="0"/>
        <w:jc w:val="left"/>
        <w:rPr>
          <w:rFonts w:ascii="宋体" w:hAnsi="宋体" w:cs="宋体" w:eastAsia="宋体" w:hint="default"/>
          <w:sz w:val="18"/>
          <w:szCs w:val="18"/>
        </w:rPr>
      </w:pPr>
      <w:r>
        <w:rPr>
          <w:rFonts w:ascii="宋体" w:hAnsi="宋体" w:cs="宋体" w:eastAsia="宋体" w:hint="default"/>
          <w:sz w:val="18"/>
          <w:szCs w:val="18"/>
        </w:rPr>
        <w:t>公司经营范围：计算机软硬件开发、维护、计算机信息系统集成，计算机软硬件（除计算机信息系统安全专业产品）批发、 </w:t>
      </w:r>
      <w:r>
        <w:rPr>
          <w:rFonts w:ascii="宋体" w:hAnsi="宋体" w:cs="宋体" w:eastAsia="宋体" w:hint="default"/>
          <w:spacing w:val="-2"/>
          <w:sz w:val="18"/>
          <w:szCs w:val="18"/>
        </w:rPr>
        <w:t>零售，通讯设备（不含卫星广播电视地面接收设施）批发、零售、维修及相关的技术咨询、技术服务，从事货物及技术的进</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出口业务、自有设备租赁。</w:t>
      </w:r>
    </w:p>
    <w:p>
      <w:pPr>
        <w:spacing w:line="240" w:lineRule="auto" w:before="4"/>
        <w:rPr>
          <w:rFonts w:ascii="宋体" w:hAnsi="宋体" w:cs="宋体" w:eastAsia="宋体" w:hint="default"/>
          <w:sz w:val="25"/>
          <w:szCs w:val="25"/>
        </w:rPr>
      </w:pPr>
    </w:p>
    <w:p>
      <w:pPr>
        <w:spacing w:line="300" w:lineRule="auto" w:before="0"/>
        <w:ind w:left="152" w:right="7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、上海领卓企业管理咨询有限公司 成立时间：</w:t>
      </w: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 注册资本：</w:t>
      </w:r>
      <w:r>
        <w:rPr>
          <w:rFonts w:ascii="Times New Roman" w:hAnsi="Times New Roman" w:cs="Times New Roman" w:eastAsia="Times New Roman" w:hint="default"/>
          <w:sz w:val="18"/>
          <w:szCs w:val="18"/>
        </w:rPr>
        <w:t>200</w:t>
      </w:r>
      <w:r>
        <w:rPr>
          <w:rFonts w:ascii="宋体" w:hAnsi="宋体" w:cs="宋体" w:eastAsia="宋体" w:hint="default"/>
          <w:sz w:val="18"/>
          <w:szCs w:val="18"/>
        </w:rPr>
        <w:t>万元</w:t>
      </w:r>
      <w:r>
        <w:rPr>
          <w:rFonts w:ascii="宋体" w:hAnsi="宋体" w:cs="宋体" w:eastAsia="宋体" w:hint="default"/>
          <w:spacing w:val="-87"/>
          <w:sz w:val="18"/>
          <w:szCs w:val="18"/>
        </w:rPr>
        <w:t> </w:t>
      </w:r>
      <w:r>
        <w:rPr>
          <w:rFonts w:ascii="宋体" w:hAnsi="宋体" w:cs="宋体" w:eastAsia="宋体" w:hint="default"/>
          <w:sz w:val="18"/>
          <w:szCs w:val="18"/>
        </w:rPr>
        <w:t>法定代表人：陆廷洁</w:t>
      </w:r>
    </w:p>
    <w:p>
      <w:pPr>
        <w:spacing w:line="300" w:lineRule="auto" w:before="32"/>
        <w:ind w:left="152" w:right="5224" w:firstLine="0"/>
        <w:jc w:val="left"/>
        <w:rPr>
          <w:rFonts w:ascii="宋体" w:hAnsi="宋体" w:cs="宋体" w:eastAsia="宋体" w:hint="default"/>
          <w:sz w:val="18"/>
          <w:szCs w:val="18"/>
        </w:rPr>
      </w:pPr>
      <w:r>
        <w:rPr>
          <w:rFonts w:ascii="宋体" w:hAnsi="宋体" w:cs="宋体" w:eastAsia="宋体" w:hint="default"/>
          <w:sz w:val="18"/>
          <w:szCs w:val="18"/>
        </w:rPr>
        <w:t>注册地址：上海市青浦区西虹街</w:t>
      </w:r>
      <w:r>
        <w:rPr>
          <w:rFonts w:ascii="Times New Roman" w:hAnsi="Times New Roman" w:cs="Times New Roman" w:eastAsia="Times New Roman" w:hint="default"/>
          <w:sz w:val="18"/>
          <w:szCs w:val="18"/>
        </w:rPr>
        <w:t>349</w:t>
      </w:r>
      <w:r>
        <w:rPr>
          <w:rFonts w:ascii="宋体" w:hAnsi="宋体" w:cs="宋体" w:eastAsia="宋体" w:hint="default"/>
          <w:sz w:val="18"/>
          <w:szCs w:val="18"/>
        </w:rPr>
        <w:t>号</w:t>
      </w:r>
      <w:r>
        <w:rPr>
          <w:rFonts w:ascii="Times New Roman" w:hAnsi="Times New Roman" w:cs="Times New Roman" w:eastAsia="Times New Roman" w:hint="default"/>
          <w:sz w:val="18"/>
          <w:szCs w:val="18"/>
        </w:rPr>
        <w:t>1</w:t>
      </w:r>
      <w:r>
        <w:rPr>
          <w:rFonts w:ascii="宋体" w:hAnsi="宋体" w:cs="宋体" w:eastAsia="宋体" w:hint="default"/>
          <w:sz w:val="18"/>
          <w:szCs w:val="18"/>
        </w:rPr>
        <w:t>幢</w:t>
      </w:r>
      <w:r>
        <w:rPr>
          <w:rFonts w:ascii="Times New Roman" w:hAnsi="Times New Roman" w:cs="Times New Roman" w:eastAsia="Times New Roman" w:hint="default"/>
          <w:sz w:val="18"/>
          <w:szCs w:val="18"/>
        </w:rPr>
        <w:t>2</w:t>
      </w:r>
      <w:r>
        <w:rPr>
          <w:rFonts w:ascii="宋体" w:hAnsi="宋体" w:cs="宋体" w:eastAsia="宋体" w:hint="default"/>
          <w:sz w:val="18"/>
          <w:szCs w:val="18"/>
        </w:rPr>
        <w:t>层</w:t>
      </w:r>
      <w:r>
        <w:rPr>
          <w:rFonts w:ascii="Times New Roman" w:hAnsi="Times New Roman" w:cs="Times New Roman" w:eastAsia="Times New Roman" w:hint="default"/>
          <w:sz w:val="18"/>
          <w:szCs w:val="18"/>
        </w:rPr>
        <w:t>C</w:t>
      </w:r>
      <w:r>
        <w:rPr>
          <w:rFonts w:ascii="宋体" w:hAnsi="宋体" w:cs="宋体" w:eastAsia="宋体" w:hint="default"/>
          <w:sz w:val="18"/>
          <w:szCs w:val="18"/>
        </w:rPr>
        <w:t>区</w:t>
      </w:r>
      <w:r>
        <w:rPr>
          <w:rFonts w:ascii="Times New Roman" w:hAnsi="Times New Roman" w:cs="Times New Roman" w:eastAsia="Times New Roman" w:hint="default"/>
          <w:sz w:val="18"/>
          <w:szCs w:val="18"/>
        </w:rPr>
        <w:t>205</w:t>
      </w:r>
      <w:r>
        <w:rPr>
          <w:rFonts w:ascii="宋体" w:hAnsi="宋体" w:cs="宋体" w:eastAsia="宋体" w:hint="default"/>
          <w:sz w:val="18"/>
          <w:szCs w:val="18"/>
        </w:rPr>
        <w:t>室 主要生产基地：上海市普陀区常德路</w:t>
      </w:r>
      <w:r>
        <w:rPr>
          <w:rFonts w:ascii="Times New Roman" w:hAnsi="Times New Roman" w:cs="Times New Roman" w:eastAsia="Times New Roman" w:hint="default"/>
          <w:sz w:val="18"/>
          <w:szCs w:val="18"/>
        </w:rPr>
        <w:t>1211</w:t>
      </w:r>
      <w:r>
        <w:rPr>
          <w:rFonts w:ascii="宋体" w:hAnsi="宋体" w:cs="宋体" w:eastAsia="宋体" w:hint="default"/>
          <w:sz w:val="18"/>
          <w:szCs w:val="18"/>
        </w:rPr>
        <w:t>号宝华大厦</w:t>
      </w:r>
      <w:r>
        <w:rPr>
          <w:rFonts w:ascii="Times New Roman" w:hAnsi="Times New Roman" w:cs="Times New Roman" w:eastAsia="Times New Roman" w:hint="default"/>
          <w:sz w:val="18"/>
          <w:szCs w:val="18"/>
        </w:rPr>
        <w:t>510</w:t>
      </w:r>
      <w:r>
        <w:rPr>
          <w:rFonts w:ascii="宋体" w:hAnsi="宋体" w:cs="宋体" w:eastAsia="宋体" w:hint="default"/>
          <w:sz w:val="18"/>
          <w:szCs w:val="18"/>
        </w:rPr>
        <w:t>室 股东构成及控制情况：公司持有其</w:t>
      </w:r>
      <w:r>
        <w:rPr>
          <w:rFonts w:ascii="Times New Roman" w:hAnsi="Times New Roman" w:cs="Times New Roman" w:eastAsia="Times New Roman" w:hint="default"/>
          <w:sz w:val="18"/>
          <w:szCs w:val="18"/>
        </w:rPr>
        <w:t>100%</w:t>
      </w:r>
      <w:r>
        <w:rPr>
          <w:rFonts w:ascii="宋体" w:hAnsi="宋体" w:cs="宋体" w:eastAsia="宋体" w:hint="default"/>
          <w:sz w:val="18"/>
          <w:szCs w:val="18"/>
        </w:rPr>
        <w:t>的股权</w:t>
      </w:r>
    </w:p>
    <w:p>
      <w:pPr>
        <w:spacing w:line="316" w:lineRule="auto" w:before="13"/>
        <w:ind w:left="152" w:right="94" w:firstLine="0"/>
        <w:jc w:val="left"/>
        <w:rPr>
          <w:rFonts w:ascii="宋体" w:hAnsi="宋体" w:cs="宋体" w:eastAsia="宋体" w:hint="default"/>
          <w:sz w:val="18"/>
          <w:szCs w:val="18"/>
        </w:rPr>
      </w:pPr>
      <w:r>
        <w:rPr>
          <w:rFonts w:ascii="宋体" w:hAnsi="宋体" w:cs="宋体" w:eastAsia="宋体" w:hint="default"/>
          <w:sz w:val="18"/>
          <w:szCs w:val="18"/>
        </w:rPr>
        <w:t>公司经营范围：企业管理咨询、科学技术咨询（不得从事经纪），计算机专业技术领域内的技术研究，计算机软硬件开发， 系统集成，计算机及通信设备的安装、调试及维修，销售计算机软硬件。</w:t>
      </w:r>
    </w:p>
    <w:p>
      <w:pPr>
        <w:spacing w:line="240" w:lineRule="auto" w:before="4"/>
        <w:rPr>
          <w:rFonts w:ascii="宋体" w:hAnsi="宋体" w:cs="宋体" w:eastAsia="宋体" w:hint="default"/>
          <w:sz w:val="25"/>
          <w:szCs w:val="25"/>
        </w:rPr>
      </w:pPr>
    </w:p>
    <w:p>
      <w:pPr>
        <w:spacing w:line="300" w:lineRule="auto" w:before="0"/>
        <w:ind w:left="152" w:right="7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、极品数据系统有限公司（美国） 成立时间：</w:t>
      </w:r>
      <w:r>
        <w:rPr>
          <w:rFonts w:ascii="Times New Roman" w:hAnsi="Times New Roman" w:cs="Times New Roman" w:eastAsia="Times New Roman" w:hint="default"/>
          <w:sz w:val="18"/>
          <w:szCs w:val="18"/>
        </w:rPr>
        <w:t>2008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w:t>
      </w:r>
      <w:r>
        <w:rPr>
          <w:rFonts w:ascii="宋体" w:hAnsi="宋体" w:cs="宋体" w:eastAsia="宋体" w:hint="default"/>
          <w:sz w:val="18"/>
          <w:szCs w:val="18"/>
        </w:rPr>
        <w:t>日 注册资本：</w:t>
      </w:r>
      <w:r>
        <w:rPr>
          <w:rFonts w:ascii="宋体" w:hAnsi="宋体" w:cs="宋体" w:eastAsia="宋体" w:hint="default"/>
          <w:spacing w:val="-16"/>
          <w:sz w:val="18"/>
          <w:szCs w:val="18"/>
        </w:rPr>
        <w:t> </w:t>
      </w:r>
      <w:r>
        <w:rPr>
          <w:rFonts w:ascii="Times New Roman" w:hAnsi="Times New Roman" w:cs="Times New Roman" w:eastAsia="Times New Roman" w:hint="default"/>
          <w:sz w:val="18"/>
          <w:szCs w:val="18"/>
        </w:rPr>
        <w:t>50.00</w:t>
      </w:r>
      <w:r>
        <w:rPr>
          <w:rFonts w:ascii="宋体" w:hAnsi="宋体" w:cs="宋体" w:eastAsia="宋体" w:hint="default"/>
          <w:sz w:val="18"/>
          <w:szCs w:val="18"/>
        </w:rPr>
        <w:t>万美元</w:t>
      </w:r>
    </w:p>
    <w:p>
      <w:pPr>
        <w:spacing w:before="13"/>
        <w:ind w:left="152" w:right="94"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注册地址：</w:t>
      </w:r>
      <w:r>
        <w:rPr>
          <w:rFonts w:ascii="Times New Roman" w:hAnsi="Times New Roman" w:cs="Times New Roman" w:eastAsia="Times New Roman" w:hint="default"/>
          <w:sz w:val="18"/>
          <w:szCs w:val="18"/>
        </w:rPr>
        <w:t>6644 S 196TH ST Suite T103, Kent, WA 98032,</w:t>
      </w:r>
      <w:r>
        <w:rPr>
          <w:rFonts w:ascii="Times New Roman" w:hAnsi="Times New Roman" w:cs="Times New Roman" w:eastAsia="Times New Roman" w:hint="default"/>
          <w:spacing w:val="-18"/>
          <w:sz w:val="18"/>
          <w:szCs w:val="18"/>
        </w:rPr>
        <w:t> </w:t>
      </w:r>
      <w:r>
        <w:rPr>
          <w:rFonts w:ascii="Times New Roman" w:hAnsi="Times New Roman" w:cs="Times New Roman" w:eastAsia="Times New Roman" w:hint="default"/>
          <w:sz w:val="18"/>
          <w:szCs w:val="18"/>
        </w:rPr>
        <w:t>USA</w:t>
      </w:r>
    </w:p>
    <w:p>
      <w:pPr>
        <w:spacing w:line="300" w:lineRule="auto" w:before="63"/>
        <w:ind w:left="152" w:right="4639" w:firstLine="0"/>
        <w:jc w:val="left"/>
        <w:rPr>
          <w:rFonts w:ascii="宋体" w:hAnsi="宋体" w:cs="宋体" w:eastAsia="宋体" w:hint="default"/>
          <w:sz w:val="18"/>
          <w:szCs w:val="18"/>
        </w:rPr>
      </w:pPr>
      <w:r>
        <w:rPr>
          <w:rFonts w:ascii="宋体" w:hAnsi="宋体" w:cs="宋体" w:eastAsia="宋体" w:hint="default"/>
          <w:sz w:val="18"/>
          <w:szCs w:val="18"/>
        </w:rPr>
        <w:t>主要生产基地：</w:t>
      </w:r>
      <w:r>
        <w:rPr>
          <w:rFonts w:ascii="Times New Roman" w:hAnsi="Times New Roman" w:cs="Times New Roman" w:eastAsia="Times New Roman" w:hint="default"/>
          <w:sz w:val="18"/>
          <w:szCs w:val="18"/>
        </w:rPr>
        <w:t>6644 S 196TH ST Suite T103, Kent, WA 98032,</w:t>
      </w:r>
      <w:r>
        <w:rPr>
          <w:rFonts w:ascii="Times New Roman" w:hAnsi="Times New Roman" w:cs="Times New Roman" w:eastAsia="Times New Roman" w:hint="default"/>
          <w:spacing w:val="-15"/>
          <w:sz w:val="18"/>
          <w:szCs w:val="18"/>
        </w:rPr>
        <w:t> </w:t>
      </w:r>
      <w:r>
        <w:rPr>
          <w:rFonts w:ascii="Times New Roman" w:hAnsi="Times New Roman" w:cs="Times New Roman" w:eastAsia="Times New Roman" w:hint="default"/>
          <w:sz w:val="18"/>
          <w:szCs w:val="18"/>
        </w:rPr>
        <w:t>USA</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股东构成及控制情况：公司持有其</w:t>
      </w:r>
      <w:r>
        <w:rPr>
          <w:rFonts w:ascii="Times New Roman" w:hAnsi="Times New Roman" w:cs="Times New Roman" w:eastAsia="Times New Roman" w:hint="default"/>
          <w:sz w:val="18"/>
          <w:szCs w:val="18"/>
        </w:rPr>
        <w:t>100%</w:t>
      </w:r>
      <w:r>
        <w:rPr>
          <w:rFonts w:ascii="宋体" w:hAnsi="宋体" w:cs="宋体" w:eastAsia="宋体" w:hint="default"/>
          <w:sz w:val="18"/>
          <w:szCs w:val="18"/>
        </w:rPr>
        <w:t>的股权 公司经营范围：备品、备件的采购和销售。</w:t>
      </w:r>
    </w:p>
    <w:p>
      <w:pPr>
        <w:spacing w:line="240" w:lineRule="auto" w:before="3"/>
        <w:rPr>
          <w:rFonts w:ascii="宋体" w:hAnsi="宋体" w:cs="宋体" w:eastAsia="宋体" w:hint="default"/>
          <w:sz w:val="26"/>
          <w:szCs w:val="26"/>
        </w:rPr>
      </w:pPr>
    </w:p>
    <w:p>
      <w:pPr>
        <w:spacing w:line="300" w:lineRule="auto" w:before="0"/>
        <w:ind w:left="152" w:right="7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、极品数据系统（香港）有限公司 成立时间：</w:t>
      </w: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4</w:t>
      </w:r>
      <w:r>
        <w:rPr>
          <w:rFonts w:ascii="宋体" w:hAnsi="宋体" w:cs="宋体" w:eastAsia="宋体" w:hint="default"/>
          <w:sz w:val="18"/>
          <w:szCs w:val="18"/>
        </w:rPr>
        <w:t>日 注册资本：</w:t>
      </w:r>
      <w:r>
        <w:rPr>
          <w:rFonts w:ascii="宋体" w:hAnsi="宋体" w:cs="宋体" w:eastAsia="宋体" w:hint="default"/>
          <w:spacing w:val="-16"/>
          <w:sz w:val="18"/>
          <w:szCs w:val="18"/>
        </w:rPr>
        <w:t> </w:t>
      </w:r>
      <w:r>
        <w:rPr>
          <w:rFonts w:ascii="Times New Roman" w:hAnsi="Times New Roman" w:cs="Times New Roman" w:eastAsia="Times New Roman" w:hint="default"/>
          <w:sz w:val="18"/>
          <w:szCs w:val="18"/>
        </w:rPr>
        <w:t>20.00</w:t>
      </w:r>
      <w:r>
        <w:rPr>
          <w:rFonts w:ascii="宋体" w:hAnsi="宋体" w:cs="宋体" w:eastAsia="宋体" w:hint="default"/>
          <w:sz w:val="18"/>
          <w:szCs w:val="18"/>
        </w:rPr>
        <w:t>万美元</w:t>
      </w:r>
    </w:p>
    <w:p>
      <w:pPr>
        <w:spacing w:before="13"/>
        <w:ind w:left="152" w:right="94"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注册地址：</w:t>
      </w:r>
      <w:r>
        <w:rPr>
          <w:rFonts w:ascii="Times New Roman" w:hAnsi="Times New Roman" w:cs="Times New Roman" w:eastAsia="Times New Roman" w:hint="default"/>
          <w:sz w:val="18"/>
          <w:szCs w:val="18"/>
        </w:rPr>
        <w:t>GREENWICH CENTRE 260 KING’S RD NORTH</w:t>
      </w:r>
      <w:r>
        <w:rPr>
          <w:rFonts w:ascii="Times New Roman" w:hAnsi="Times New Roman" w:cs="Times New Roman" w:eastAsia="Times New Roman" w:hint="default"/>
          <w:spacing w:val="-13"/>
          <w:sz w:val="18"/>
          <w:szCs w:val="18"/>
        </w:rPr>
        <w:t> </w:t>
      </w:r>
      <w:r>
        <w:rPr>
          <w:rFonts w:ascii="Times New Roman" w:hAnsi="Times New Roman" w:cs="Times New Roman" w:eastAsia="Times New Roman" w:hint="default"/>
          <w:sz w:val="18"/>
          <w:szCs w:val="18"/>
        </w:rPr>
        <w:t>POINT,HK</w:t>
      </w:r>
    </w:p>
    <w:p>
      <w:pPr>
        <w:spacing w:before="63"/>
        <w:ind w:left="152" w:right="94"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主要生产基地：</w:t>
      </w:r>
      <w:r>
        <w:rPr>
          <w:rFonts w:ascii="Times New Roman" w:hAnsi="Times New Roman" w:cs="Times New Roman" w:eastAsia="Times New Roman" w:hint="default"/>
          <w:sz w:val="18"/>
          <w:szCs w:val="18"/>
        </w:rPr>
        <w:t>G</w:t>
      </w:r>
      <w:r>
        <w:rPr>
          <w:rFonts w:ascii="Times New Roman" w:hAnsi="Times New Roman" w:cs="Times New Roman" w:eastAsia="Times New Roman" w:hint="default"/>
          <w:sz w:val="18"/>
          <w:szCs w:val="18"/>
        </w:rPr>
        <w:t>REENWICH CENTRE 260 KING’S RD NORTH</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z w:val="18"/>
          <w:szCs w:val="18"/>
        </w:rPr>
        <w:t>POINT,HK</w:t>
      </w:r>
    </w:p>
    <w:p>
      <w:pPr>
        <w:spacing w:line="300" w:lineRule="auto" w:before="63"/>
        <w:ind w:left="152" w:right="3154" w:firstLine="0"/>
        <w:jc w:val="left"/>
        <w:rPr>
          <w:rFonts w:ascii="宋体" w:hAnsi="宋体" w:cs="宋体" w:eastAsia="宋体" w:hint="default"/>
          <w:sz w:val="18"/>
          <w:szCs w:val="18"/>
        </w:rPr>
      </w:pPr>
      <w:r>
        <w:rPr>
          <w:rFonts w:ascii="宋体" w:hAnsi="宋体" w:cs="宋体" w:eastAsia="宋体" w:hint="default"/>
          <w:sz w:val="18"/>
          <w:szCs w:val="18"/>
        </w:rPr>
        <w:t>股东构成及控制情况：公司持有其</w:t>
      </w:r>
      <w:r>
        <w:rPr>
          <w:rFonts w:ascii="Times New Roman" w:hAnsi="Times New Roman" w:cs="Times New Roman" w:eastAsia="Times New Roman" w:hint="default"/>
          <w:sz w:val="18"/>
          <w:szCs w:val="18"/>
        </w:rPr>
        <w:t>100%</w:t>
      </w:r>
      <w:r>
        <w:rPr>
          <w:rFonts w:ascii="宋体" w:hAnsi="宋体" w:cs="宋体" w:eastAsia="宋体" w:hint="default"/>
          <w:sz w:val="18"/>
          <w:szCs w:val="18"/>
        </w:rPr>
        <w:t>的股权 公司经营范围：计算机备件采购，销售，维修，技术咨询，服务外包及进出口业务。</w:t>
      </w:r>
    </w:p>
    <w:p>
      <w:pPr>
        <w:spacing w:line="240" w:lineRule="auto" w:before="4"/>
        <w:rPr>
          <w:rFonts w:ascii="宋体" w:hAnsi="宋体" w:cs="宋体" w:eastAsia="宋体" w:hint="default"/>
          <w:sz w:val="26"/>
          <w:szCs w:val="26"/>
        </w:rPr>
      </w:pPr>
    </w:p>
    <w:p>
      <w:pPr>
        <w:spacing w:before="0"/>
        <w:ind w:left="152" w:right="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宋体" w:hAnsi="宋体" w:cs="宋体" w:eastAsia="宋体" w:hint="default"/>
          <w:spacing w:val="-17"/>
          <w:sz w:val="18"/>
          <w:szCs w:val="18"/>
        </w:rPr>
        <w:t> </w:t>
      </w:r>
      <w:r>
        <w:rPr>
          <w:rFonts w:ascii="宋体" w:hAnsi="宋体" w:cs="宋体" w:eastAsia="宋体" w:hint="default"/>
          <w:sz w:val="18"/>
          <w:szCs w:val="18"/>
        </w:rPr>
        <w:t>上海复深蓝软件股份有限公司</w:t>
      </w:r>
    </w:p>
    <w:p>
      <w:pPr>
        <w:spacing w:after="0"/>
        <w:jc w:val="left"/>
        <w:rPr>
          <w:rFonts w:ascii="宋体" w:hAnsi="宋体" w:cs="宋体" w:eastAsia="宋体" w:hint="default"/>
          <w:sz w:val="18"/>
          <w:szCs w:val="18"/>
        </w:rPr>
        <w:sectPr>
          <w:pgSz w:w="11910" w:h="16840"/>
          <w:pgMar w:header="745" w:footer="979" w:top="1060" w:bottom="1160" w:left="980" w:right="940"/>
        </w:sectPr>
      </w:pPr>
    </w:p>
    <w:p>
      <w:pPr>
        <w:spacing w:line="240" w:lineRule="auto" w:before="10"/>
        <w:rPr>
          <w:rFonts w:ascii="宋体" w:hAnsi="宋体" w:cs="宋体" w:eastAsia="宋体" w:hint="default"/>
          <w:sz w:val="25"/>
          <w:szCs w:val="25"/>
        </w:rPr>
      </w:pPr>
    </w:p>
    <w:p>
      <w:pPr>
        <w:spacing w:line="300" w:lineRule="auto" w:before="44"/>
        <w:ind w:left="152" w:right="7717" w:firstLine="0"/>
        <w:jc w:val="left"/>
        <w:rPr>
          <w:rFonts w:ascii="宋体" w:hAnsi="宋体" w:cs="宋体" w:eastAsia="宋体" w:hint="default"/>
          <w:sz w:val="18"/>
          <w:szCs w:val="18"/>
        </w:rPr>
      </w:pPr>
      <w:r>
        <w:rPr>
          <w:rFonts w:ascii="宋体" w:hAnsi="宋体" w:cs="宋体" w:eastAsia="宋体" w:hint="default"/>
          <w:sz w:val="18"/>
          <w:szCs w:val="18"/>
        </w:rPr>
        <w:t>成立时间：</w:t>
      </w:r>
      <w:r>
        <w:rPr>
          <w:rFonts w:ascii="Times New Roman" w:hAnsi="Times New Roman" w:cs="Times New Roman" w:eastAsia="Times New Roman" w:hint="default"/>
          <w:sz w:val="18"/>
          <w:szCs w:val="18"/>
        </w:rPr>
        <w:t>2004</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9</w:t>
      </w:r>
      <w:r>
        <w:rPr>
          <w:rFonts w:ascii="宋体" w:hAnsi="宋体" w:cs="宋体" w:eastAsia="宋体" w:hint="default"/>
          <w:sz w:val="18"/>
          <w:szCs w:val="18"/>
        </w:rPr>
        <w:t>日 注册资本：</w:t>
      </w:r>
      <w:r>
        <w:rPr>
          <w:rFonts w:ascii="宋体" w:hAnsi="宋体" w:cs="宋体" w:eastAsia="宋体" w:hint="default"/>
          <w:spacing w:val="-18"/>
          <w:sz w:val="18"/>
          <w:szCs w:val="18"/>
        </w:rPr>
        <w:t> </w:t>
      </w:r>
      <w:r>
        <w:rPr>
          <w:rFonts w:ascii="Times New Roman" w:hAnsi="Times New Roman" w:cs="Times New Roman" w:eastAsia="Times New Roman" w:hint="default"/>
          <w:sz w:val="18"/>
          <w:szCs w:val="18"/>
        </w:rPr>
        <w:t>3421.7217</w:t>
      </w:r>
      <w:r>
        <w:rPr>
          <w:rFonts w:ascii="宋体" w:hAnsi="宋体" w:cs="宋体" w:eastAsia="宋体" w:hint="default"/>
          <w:sz w:val="18"/>
          <w:szCs w:val="18"/>
        </w:rPr>
        <w:t>万元 法定代表人：杨万强</w:t>
      </w:r>
    </w:p>
    <w:p>
      <w:pPr>
        <w:spacing w:line="300" w:lineRule="auto" w:before="31"/>
        <w:ind w:left="152" w:right="5674" w:firstLine="0"/>
        <w:jc w:val="left"/>
        <w:rPr>
          <w:rFonts w:ascii="宋体" w:hAnsi="宋体" w:cs="宋体" w:eastAsia="宋体" w:hint="default"/>
          <w:sz w:val="18"/>
          <w:szCs w:val="18"/>
        </w:rPr>
      </w:pPr>
      <w:r>
        <w:rPr>
          <w:rFonts w:ascii="宋体" w:hAnsi="宋体" w:cs="宋体" w:eastAsia="宋体" w:hint="default"/>
          <w:sz w:val="18"/>
          <w:szCs w:val="18"/>
        </w:rPr>
        <w:t>注册地址：上海市徐汇区宜山路</w:t>
      </w:r>
      <w:r>
        <w:rPr>
          <w:rFonts w:ascii="Times New Roman" w:hAnsi="Times New Roman" w:cs="Times New Roman" w:eastAsia="Times New Roman" w:hint="default"/>
          <w:sz w:val="18"/>
          <w:szCs w:val="18"/>
        </w:rPr>
        <w:t>700</w:t>
      </w:r>
      <w:r>
        <w:rPr>
          <w:rFonts w:ascii="宋体" w:hAnsi="宋体" w:cs="宋体" w:eastAsia="宋体" w:hint="default"/>
          <w:sz w:val="18"/>
          <w:szCs w:val="18"/>
        </w:rPr>
        <w:t>号</w:t>
      </w:r>
      <w:r>
        <w:rPr>
          <w:rFonts w:ascii="Times New Roman" w:hAnsi="Times New Roman" w:cs="Times New Roman" w:eastAsia="Times New Roman" w:hint="default"/>
          <w:sz w:val="18"/>
          <w:szCs w:val="18"/>
        </w:rPr>
        <w:t>B2</w:t>
      </w:r>
      <w:r>
        <w:rPr>
          <w:rFonts w:ascii="宋体" w:hAnsi="宋体" w:cs="宋体" w:eastAsia="宋体" w:hint="default"/>
          <w:sz w:val="18"/>
          <w:szCs w:val="18"/>
        </w:rPr>
        <w:t>幢</w:t>
      </w:r>
      <w:r>
        <w:rPr>
          <w:rFonts w:ascii="Times New Roman" w:hAnsi="Times New Roman" w:cs="Times New Roman" w:eastAsia="Times New Roman" w:hint="default"/>
          <w:sz w:val="18"/>
          <w:szCs w:val="18"/>
        </w:rPr>
        <w:t>13</w:t>
      </w:r>
      <w:r>
        <w:rPr>
          <w:rFonts w:ascii="宋体" w:hAnsi="宋体" w:cs="宋体" w:eastAsia="宋体" w:hint="default"/>
          <w:sz w:val="18"/>
          <w:szCs w:val="18"/>
        </w:rPr>
        <w:t>楼 主要生产基地：上海市徐汇区虹梅路</w:t>
      </w:r>
      <w:r>
        <w:rPr>
          <w:rFonts w:ascii="Times New Roman" w:hAnsi="Times New Roman" w:cs="Times New Roman" w:eastAsia="Times New Roman" w:hint="default"/>
          <w:sz w:val="18"/>
          <w:szCs w:val="18"/>
        </w:rPr>
        <w:t>2007</w:t>
      </w:r>
      <w:r>
        <w:rPr>
          <w:rFonts w:ascii="宋体" w:hAnsi="宋体" w:cs="宋体" w:eastAsia="宋体" w:hint="default"/>
          <w:sz w:val="18"/>
          <w:szCs w:val="18"/>
        </w:rPr>
        <w:t>号</w:t>
      </w:r>
      <w:r>
        <w:rPr>
          <w:rFonts w:ascii="Times New Roman" w:hAnsi="Times New Roman" w:cs="Times New Roman" w:eastAsia="Times New Roman" w:hint="default"/>
          <w:sz w:val="18"/>
          <w:szCs w:val="18"/>
        </w:rPr>
        <w:t>1</w:t>
      </w:r>
      <w:r>
        <w:rPr>
          <w:rFonts w:ascii="宋体" w:hAnsi="宋体" w:cs="宋体" w:eastAsia="宋体" w:hint="default"/>
          <w:sz w:val="18"/>
          <w:szCs w:val="18"/>
        </w:rPr>
        <w:t>号楼</w:t>
      </w:r>
      <w:r>
        <w:rPr>
          <w:rFonts w:ascii="Times New Roman" w:hAnsi="Times New Roman" w:cs="Times New Roman" w:eastAsia="Times New Roman" w:hint="default"/>
          <w:sz w:val="18"/>
          <w:szCs w:val="18"/>
        </w:rPr>
        <w:t>6</w:t>
      </w:r>
      <w:r>
        <w:rPr>
          <w:rFonts w:ascii="宋体" w:hAnsi="宋体" w:cs="宋体" w:eastAsia="宋体" w:hint="default"/>
          <w:sz w:val="18"/>
          <w:szCs w:val="18"/>
        </w:rPr>
        <w:t>楼 股东构成及控制情况：公司持有其</w:t>
      </w:r>
      <w:r>
        <w:rPr>
          <w:rFonts w:ascii="Times New Roman" w:hAnsi="Times New Roman" w:cs="Times New Roman" w:eastAsia="Times New Roman" w:hint="default"/>
          <w:sz w:val="18"/>
          <w:szCs w:val="18"/>
        </w:rPr>
        <w:t>8.3%</w:t>
      </w:r>
      <w:r>
        <w:rPr>
          <w:rFonts w:ascii="宋体" w:hAnsi="宋体" w:cs="宋体" w:eastAsia="宋体" w:hint="default"/>
          <w:sz w:val="18"/>
          <w:szCs w:val="18"/>
        </w:rPr>
        <w:t>的股权</w:t>
      </w:r>
    </w:p>
    <w:p>
      <w:pPr>
        <w:spacing w:before="13"/>
        <w:ind w:left="152" w:right="94" w:firstLine="0"/>
        <w:jc w:val="left"/>
        <w:rPr>
          <w:rFonts w:ascii="宋体" w:hAnsi="宋体" w:cs="宋体" w:eastAsia="宋体" w:hint="default"/>
          <w:sz w:val="18"/>
          <w:szCs w:val="18"/>
        </w:rPr>
      </w:pPr>
      <w:r>
        <w:rPr>
          <w:rFonts w:ascii="宋体" w:hAnsi="宋体" w:cs="宋体" w:eastAsia="宋体" w:hint="default"/>
          <w:sz w:val="18"/>
          <w:szCs w:val="18"/>
        </w:rPr>
        <w:t>公司经营范围：计算机软硬件、网络、电信专业领域内的八技服务，商务信息咨询，计算机软硬件销售。</w:t>
      </w:r>
    </w:p>
    <w:p>
      <w:pPr>
        <w:spacing w:line="240" w:lineRule="auto" w:before="0"/>
        <w:rPr>
          <w:rFonts w:ascii="宋体" w:hAnsi="宋体" w:cs="宋体" w:eastAsia="宋体" w:hint="default"/>
          <w:sz w:val="18"/>
          <w:szCs w:val="18"/>
        </w:rPr>
      </w:pPr>
    </w:p>
    <w:p>
      <w:pPr>
        <w:spacing w:line="300" w:lineRule="auto" w:before="153"/>
        <w:ind w:left="224" w:right="7384" w:hanging="72"/>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、北京力拓信息技术有限公司 成立时间：</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 注册资本：</w:t>
      </w:r>
      <w:r>
        <w:rPr>
          <w:rFonts w:ascii="宋体" w:hAnsi="宋体" w:cs="宋体" w:eastAsia="宋体" w:hint="default"/>
          <w:spacing w:val="-18"/>
          <w:sz w:val="18"/>
          <w:szCs w:val="18"/>
        </w:rPr>
        <w:t> </w:t>
      </w:r>
      <w:r>
        <w:rPr>
          <w:rFonts w:ascii="Times New Roman" w:hAnsi="Times New Roman" w:cs="Times New Roman" w:eastAsia="Times New Roman" w:hint="default"/>
          <w:sz w:val="18"/>
          <w:szCs w:val="18"/>
        </w:rPr>
        <w:t>1,800</w:t>
      </w:r>
      <w:r>
        <w:rPr>
          <w:rFonts w:ascii="宋体" w:hAnsi="宋体" w:cs="宋体" w:eastAsia="宋体" w:hint="default"/>
          <w:sz w:val="18"/>
          <w:szCs w:val="18"/>
        </w:rPr>
        <w:t>万元 法定代表人：杜力耘</w:t>
      </w:r>
    </w:p>
    <w:p>
      <w:pPr>
        <w:spacing w:line="300" w:lineRule="auto" w:before="31"/>
        <w:ind w:left="224" w:right="4462" w:firstLine="0"/>
        <w:jc w:val="left"/>
        <w:rPr>
          <w:rFonts w:ascii="宋体" w:hAnsi="宋体" w:cs="宋体" w:eastAsia="宋体" w:hint="default"/>
          <w:sz w:val="18"/>
          <w:szCs w:val="18"/>
        </w:rPr>
      </w:pPr>
      <w:r>
        <w:rPr>
          <w:rFonts w:ascii="宋体" w:hAnsi="宋体" w:cs="宋体" w:eastAsia="宋体" w:hint="default"/>
          <w:sz w:val="18"/>
          <w:szCs w:val="18"/>
        </w:rPr>
        <w:t>注册地址：北京市北京经济技术开发区经海四路</w:t>
      </w:r>
      <w:r>
        <w:rPr>
          <w:rFonts w:ascii="Times New Roman" w:hAnsi="Times New Roman" w:cs="Times New Roman" w:eastAsia="Times New Roman" w:hint="default"/>
          <w:sz w:val="18"/>
          <w:szCs w:val="18"/>
        </w:rPr>
        <w:t>25</w:t>
      </w:r>
      <w:r>
        <w:rPr>
          <w:rFonts w:ascii="宋体" w:hAnsi="宋体" w:cs="宋体" w:eastAsia="宋体" w:hint="default"/>
          <w:sz w:val="18"/>
          <w:szCs w:val="18"/>
        </w:rPr>
        <w:t>号</w:t>
      </w:r>
      <w:r>
        <w:rPr>
          <w:rFonts w:ascii="Times New Roman" w:hAnsi="Times New Roman" w:cs="Times New Roman" w:eastAsia="Times New Roman" w:hint="default"/>
          <w:sz w:val="18"/>
          <w:szCs w:val="18"/>
        </w:rPr>
        <w:t>11</w:t>
      </w:r>
      <w:r>
        <w:rPr>
          <w:rFonts w:ascii="宋体" w:hAnsi="宋体" w:cs="宋体" w:eastAsia="宋体" w:hint="default"/>
          <w:sz w:val="18"/>
          <w:szCs w:val="18"/>
        </w:rPr>
        <w:t>号楼</w:t>
      </w:r>
      <w:r>
        <w:rPr>
          <w:rFonts w:ascii="Times New Roman" w:hAnsi="Times New Roman" w:cs="Times New Roman" w:eastAsia="Times New Roman" w:hint="default"/>
          <w:sz w:val="18"/>
          <w:szCs w:val="18"/>
        </w:rPr>
        <w:t>4-201</w:t>
      </w:r>
      <w:r>
        <w:rPr>
          <w:rFonts w:ascii="宋体" w:hAnsi="宋体" w:cs="宋体" w:eastAsia="宋体" w:hint="default"/>
          <w:sz w:val="18"/>
          <w:szCs w:val="18"/>
        </w:rPr>
        <w:t>室 主要生产基地：北京市朝阳区麦子店西街</w:t>
      </w:r>
      <w:r>
        <w:rPr>
          <w:rFonts w:ascii="Times New Roman" w:hAnsi="Times New Roman" w:cs="Times New Roman" w:eastAsia="Times New Roman" w:hint="default"/>
          <w:sz w:val="18"/>
          <w:szCs w:val="18"/>
        </w:rPr>
        <w:t>3</w:t>
      </w:r>
      <w:r>
        <w:rPr>
          <w:rFonts w:ascii="宋体" w:hAnsi="宋体" w:cs="宋体" w:eastAsia="宋体" w:hint="default"/>
          <w:sz w:val="18"/>
          <w:szCs w:val="18"/>
        </w:rPr>
        <w:t>号新恒基大厦</w:t>
      </w:r>
      <w:r>
        <w:rPr>
          <w:rFonts w:ascii="Times New Roman" w:hAnsi="Times New Roman" w:cs="Times New Roman" w:eastAsia="Times New Roman" w:hint="default"/>
          <w:sz w:val="18"/>
          <w:szCs w:val="18"/>
        </w:rPr>
        <w:t>3</w:t>
      </w:r>
      <w:r>
        <w:rPr>
          <w:rFonts w:ascii="宋体" w:hAnsi="宋体" w:cs="宋体" w:eastAsia="宋体" w:hint="default"/>
          <w:sz w:val="18"/>
          <w:szCs w:val="18"/>
        </w:rPr>
        <w:t>层</w:t>
      </w:r>
      <w:r>
        <w:rPr>
          <w:rFonts w:ascii="Times New Roman" w:hAnsi="Times New Roman" w:cs="Times New Roman" w:eastAsia="Times New Roman" w:hint="default"/>
          <w:sz w:val="18"/>
          <w:szCs w:val="18"/>
        </w:rPr>
        <w:t>321</w:t>
      </w:r>
      <w:r>
        <w:rPr>
          <w:rFonts w:ascii="宋体" w:hAnsi="宋体" w:cs="宋体" w:eastAsia="宋体" w:hint="default"/>
          <w:sz w:val="18"/>
          <w:szCs w:val="18"/>
        </w:rPr>
        <w:t>室</w:t>
      </w:r>
      <w:r>
        <w:rPr>
          <w:rFonts w:ascii="宋体" w:hAnsi="宋体" w:cs="宋体" w:eastAsia="宋体" w:hint="default"/>
          <w:spacing w:val="-87"/>
          <w:sz w:val="18"/>
          <w:szCs w:val="18"/>
        </w:rPr>
        <w:t> </w:t>
      </w:r>
      <w:r>
        <w:rPr>
          <w:rFonts w:ascii="宋体" w:hAnsi="宋体" w:cs="宋体" w:eastAsia="宋体" w:hint="default"/>
          <w:sz w:val="18"/>
          <w:szCs w:val="18"/>
        </w:rPr>
        <w:t>股东构成及控制情况：公司持有其</w:t>
      </w:r>
      <w:r>
        <w:rPr>
          <w:rFonts w:ascii="Times New Roman" w:hAnsi="Times New Roman" w:cs="Times New Roman" w:eastAsia="Times New Roman" w:hint="default"/>
          <w:sz w:val="18"/>
          <w:szCs w:val="18"/>
        </w:rPr>
        <w:t>100%</w:t>
      </w:r>
      <w:r>
        <w:rPr>
          <w:rFonts w:ascii="宋体" w:hAnsi="宋体" w:cs="宋体" w:eastAsia="宋体" w:hint="default"/>
          <w:sz w:val="18"/>
          <w:szCs w:val="18"/>
        </w:rPr>
        <w:t>的股权</w:t>
      </w:r>
    </w:p>
    <w:p>
      <w:pPr>
        <w:spacing w:line="316" w:lineRule="auto" w:before="13"/>
        <w:ind w:left="152" w:right="94" w:firstLine="0"/>
        <w:jc w:val="left"/>
        <w:rPr>
          <w:rFonts w:ascii="宋体" w:hAnsi="宋体" w:cs="宋体" w:eastAsia="宋体" w:hint="default"/>
          <w:sz w:val="18"/>
          <w:szCs w:val="18"/>
        </w:rPr>
      </w:pPr>
      <w:r>
        <w:rPr>
          <w:rFonts w:ascii="宋体" w:hAnsi="宋体" w:cs="宋体" w:eastAsia="宋体" w:hint="default"/>
          <w:spacing w:val="-4"/>
          <w:sz w:val="18"/>
          <w:szCs w:val="18"/>
        </w:rPr>
        <w:t>公司经营范围：技术开发、技术咨询、技术服务；计算机系统集成；设备租赁、维修（不含行政许可的项目）；销售计算机、</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软硬件及辅助设备、通讯设备；货物进出口、技术进出口、代理进出口。</w:t>
      </w:r>
    </w:p>
    <w:p>
      <w:pPr>
        <w:spacing w:line="240" w:lineRule="auto" w:before="4"/>
        <w:rPr>
          <w:rFonts w:ascii="宋体" w:hAnsi="宋体" w:cs="宋体" w:eastAsia="宋体" w:hint="default"/>
          <w:sz w:val="25"/>
          <w:szCs w:val="25"/>
        </w:rPr>
      </w:pPr>
    </w:p>
    <w:p>
      <w:pPr>
        <w:spacing w:line="300" w:lineRule="auto" w:before="0"/>
        <w:ind w:left="152" w:right="738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、上海天玑数据技术有限公司 成立时间：</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4</w:t>
      </w:r>
      <w:r>
        <w:rPr>
          <w:rFonts w:ascii="宋体" w:hAnsi="宋体" w:cs="宋体" w:eastAsia="宋体" w:hint="default"/>
          <w:sz w:val="18"/>
          <w:szCs w:val="18"/>
        </w:rPr>
        <w:t>日 注册资本：</w:t>
      </w:r>
      <w:r>
        <w:rPr>
          <w:rFonts w:ascii="宋体" w:hAnsi="宋体" w:cs="宋体" w:eastAsia="宋体" w:hint="default"/>
          <w:spacing w:val="-18"/>
          <w:sz w:val="18"/>
          <w:szCs w:val="18"/>
        </w:rPr>
        <w:t> </w:t>
      </w:r>
      <w:r>
        <w:rPr>
          <w:rFonts w:ascii="Times New Roman" w:hAnsi="Times New Roman" w:cs="Times New Roman" w:eastAsia="Times New Roman" w:hint="default"/>
          <w:sz w:val="18"/>
          <w:szCs w:val="18"/>
        </w:rPr>
        <w:t>3,000</w:t>
      </w:r>
      <w:r>
        <w:rPr>
          <w:rFonts w:ascii="宋体" w:hAnsi="宋体" w:cs="宋体" w:eastAsia="宋体" w:hint="default"/>
          <w:sz w:val="18"/>
          <w:szCs w:val="18"/>
        </w:rPr>
        <w:t>万元 法定代表人：杜力耘</w:t>
      </w:r>
    </w:p>
    <w:p>
      <w:pPr>
        <w:spacing w:line="300" w:lineRule="auto" w:before="31"/>
        <w:ind w:left="152" w:right="6034" w:firstLine="0"/>
        <w:jc w:val="left"/>
        <w:rPr>
          <w:rFonts w:ascii="宋体" w:hAnsi="宋体" w:cs="宋体" w:eastAsia="宋体" w:hint="default"/>
          <w:sz w:val="18"/>
          <w:szCs w:val="18"/>
        </w:rPr>
      </w:pPr>
      <w:r>
        <w:rPr>
          <w:rFonts w:ascii="宋体" w:hAnsi="宋体" w:cs="宋体" w:eastAsia="宋体" w:hint="default"/>
          <w:sz w:val="18"/>
          <w:szCs w:val="18"/>
        </w:rPr>
        <w:t>注册地址：上海市闵行区田林路</w:t>
      </w:r>
      <w:r>
        <w:rPr>
          <w:rFonts w:ascii="Times New Roman" w:hAnsi="Times New Roman" w:cs="Times New Roman" w:eastAsia="Times New Roman" w:hint="default"/>
          <w:sz w:val="18"/>
          <w:szCs w:val="18"/>
        </w:rPr>
        <w:t>1016</w:t>
      </w:r>
      <w:r>
        <w:rPr>
          <w:rFonts w:ascii="宋体" w:hAnsi="宋体" w:cs="宋体" w:eastAsia="宋体" w:hint="default"/>
          <w:sz w:val="18"/>
          <w:szCs w:val="18"/>
        </w:rPr>
        <w:t>号</w:t>
      </w:r>
      <w:r>
        <w:rPr>
          <w:rFonts w:ascii="Times New Roman" w:hAnsi="Times New Roman" w:cs="Times New Roman" w:eastAsia="Times New Roman" w:hint="default"/>
          <w:sz w:val="18"/>
          <w:szCs w:val="18"/>
        </w:rPr>
        <w:t>6</w:t>
      </w:r>
      <w:r>
        <w:rPr>
          <w:rFonts w:ascii="宋体" w:hAnsi="宋体" w:cs="宋体" w:eastAsia="宋体" w:hint="default"/>
          <w:sz w:val="18"/>
          <w:szCs w:val="18"/>
        </w:rPr>
        <w:t>幢</w:t>
      </w:r>
      <w:r>
        <w:rPr>
          <w:rFonts w:ascii="Times New Roman" w:hAnsi="Times New Roman" w:cs="Times New Roman" w:eastAsia="Times New Roman" w:hint="default"/>
          <w:sz w:val="18"/>
          <w:szCs w:val="18"/>
        </w:rPr>
        <w:t>301</w:t>
      </w:r>
      <w:r>
        <w:rPr>
          <w:rFonts w:ascii="宋体" w:hAnsi="宋体" w:cs="宋体" w:eastAsia="宋体" w:hint="default"/>
          <w:sz w:val="18"/>
          <w:szCs w:val="18"/>
        </w:rPr>
        <w:t>室 主要生产基地：上海市桂林路</w:t>
      </w:r>
      <w:r>
        <w:rPr>
          <w:rFonts w:ascii="Times New Roman" w:hAnsi="Times New Roman" w:cs="Times New Roman" w:eastAsia="Times New Roman" w:hint="default"/>
          <w:sz w:val="18"/>
          <w:szCs w:val="18"/>
        </w:rPr>
        <w:t>406</w:t>
      </w:r>
      <w:r>
        <w:rPr>
          <w:rFonts w:ascii="宋体" w:hAnsi="宋体" w:cs="宋体" w:eastAsia="宋体" w:hint="default"/>
          <w:sz w:val="18"/>
          <w:szCs w:val="18"/>
        </w:rPr>
        <w:t>号</w:t>
      </w:r>
      <w:r>
        <w:rPr>
          <w:rFonts w:ascii="Times New Roman" w:hAnsi="Times New Roman" w:cs="Times New Roman" w:eastAsia="Times New Roman" w:hint="default"/>
          <w:sz w:val="18"/>
          <w:szCs w:val="18"/>
        </w:rPr>
        <w:t>2</w:t>
      </w:r>
      <w:r>
        <w:rPr>
          <w:rFonts w:ascii="宋体" w:hAnsi="宋体" w:cs="宋体" w:eastAsia="宋体" w:hint="default"/>
          <w:sz w:val="18"/>
          <w:szCs w:val="18"/>
        </w:rPr>
        <w:t>号楼</w:t>
      </w:r>
      <w:r>
        <w:rPr>
          <w:rFonts w:ascii="Times New Roman" w:hAnsi="Times New Roman" w:cs="Times New Roman" w:eastAsia="Times New Roman" w:hint="default"/>
          <w:sz w:val="18"/>
          <w:szCs w:val="18"/>
        </w:rPr>
        <w:t>12</w:t>
      </w:r>
      <w:r>
        <w:rPr>
          <w:rFonts w:ascii="宋体" w:hAnsi="宋体" w:cs="宋体" w:eastAsia="宋体" w:hint="default"/>
          <w:sz w:val="18"/>
          <w:szCs w:val="18"/>
        </w:rPr>
        <w:t>楼</w:t>
      </w:r>
      <w:r>
        <w:rPr>
          <w:rFonts w:ascii="宋体" w:hAnsi="宋体" w:cs="宋体" w:eastAsia="宋体" w:hint="default"/>
          <w:spacing w:val="-87"/>
          <w:sz w:val="18"/>
          <w:szCs w:val="18"/>
        </w:rPr>
        <w:t> </w:t>
      </w:r>
      <w:r>
        <w:rPr>
          <w:rFonts w:ascii="宋体" w:hAnsi="宋体" w:cs="宋体" w:eastAsia="宋体" w:hint="default"/>
          <w:sz w:val="18"/>
          <w:szCs w:val="18"/>
        </w:rPr>
        <w:t>股东构成及控制情况：公司持有其</w:t>
      </w:r>
      <w:r>
        <w:rPr>
          <w:rFonts w:ascii="Times New Roman" w:hAnsi="Times New Roman" w:cs="Times New Roman" w:eastAsia="Times New Roman" w:hint="default"/>
          <w:sz w:val="18"/>
          <w:szCs w:val="18"/>
        </w:rPr>
        <w:t>58.5%</w:t>
      </w:r>
      <w:r>
        <w:rPr>
          <w:rFonts w:ascii="宋体" w:hAnsi="宋体" w:cs="宋体" w:eastAsia="宋体" w:hint="default"/>
          <w:sz w:val="18"/>
          <w:szCs w:val="18"/>
        </w:rPr>
        <w:t>的股权</w:t>
      </w:r>
    </w:p>
    <w:p>
      <w:pPr>
        <w:spacing w:line="316" w:lineRule="auto" w:before="13"/>
        <w:ind w:left="152" w:right="1534" w:firstLine="0"/>
        <w:jc w:val="left"/>
        <w:rPr>
          <w:rFonts w:ascii="宋体" w:hAnsi="宋体" w:cs="宋体" w:eastAsia="宋体" w:hint="default"/>
          <w:sz w:val="18"/>
          <w:szCs w:val="18"/>
        </w:rPr>
      </w:pPr>
      <w:r>
        <w:rPr>
          <w:rFonts w:ascii="宋体" w:hAnsi="宋体" w:cs="宋体" w:eastAsia="宋体" w:hint="default"/>
          <w:sz w:val="18"/>
          <w:szCs w:val="18"/>
        </w:rPr>
        <w:t>公司经营范围：从事数据科技、计算机领域内的技术开发、技术咨询、技术服务、技术转让、计算机软 硬件（除计算机信息系统安全专用产品）的开发、销售、维修、系统集成，通讯设备的销售及维修；从 事货物及技术的进出口业务、转口贸易，区内企业间的贸易及贸易代理；电子商务（不得从事增值电信、 金融业务），第三方物流服务（不得从事运输）；通讯设备（除地面卫星接收装置）、电子产品、机械 设备及配件、建筑材料、金属材料及制品的销售；自有设备租赁（除金融租赁）；实业投资，投资管理， 资产管理，商务咨询（除经纪）。</w:t>
      </w:r>
    </w:p>
    <w:p>
      <w:pPr>
        <w:spacing w:line="240" w:lineRule="auto" w:before="4"/>
        <w:rPr>
          <w:rFonts w:ascii="宋体" w:hAnsi="宋体" w:cs="宋体" w:eastAsia="宋体" w:hint="default"/>
          <w:sz w:val="25"/>
          <w:szCs w:val="25"/>
        </w:rPr>
      </w:pPr>
    </w:p>
    <w:p>
      <w:pPr>
        <w:spacing w:line="300" w:lineRule="auto" w:before="0"/>
        <w:ind w:left="152" w:right="76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杭州平民软件有限公司 成立时间：</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13</w:t>
      </w:r>
      <w:r>
        <w:rPr>
          <w:rFonts w:ascii="宋体" w:hAnsi="宋体" w:cs="宋体" w:eastAsia="宋体" w:hint="default"/>
          <w:sz w:val="18"/>
          <w:szCs w:val="18"/>
        </w:rPr>
        <w:t>日 注册资本：</w:t>
      </w:r>
      <w:r>
        <w:rPr>
          <w:rFonts w:ascii="宋体" w:hAnsi="宋体" w:cs="宋体" w:eastAsia="宋体" w:hint="default"/>
          <w:spacing w:val="-18"/>
          <w:sz w:val="18"/>
          <w:szCs w:val="18"/>
        </w:rPr>
        <w:t> </w:t>
      </w:r>
      <w:r>
        <w:rPr>
          <w:rFonts w:ascii="Times New Roman" w:hAnsi="Times New Roman" w:cs="Times New Roman" w:eastAsia="Times New Roman" w:hint="default"/>
          <w:sz w:val="18"/>
          <w:szCs w:val="18"/>
        </w:rPr>
        <w:t>1,000</w:t>
      </w:r>
      <w:r>
        <w:rPr>
          <w:rFonts w:ascii="宋体" w:hAnsi="宋体" w:cs="宋体" w:eastAsia="宋体" w:hint="default"/>
          <w:sz w:val="18"/>
          <w:szCs w:val="18"/>
        </w:rPr>
        <w:t>万元 法定代表人：楼晔</w:t>
      </w:r>
    </w:p>
    <w:p>
      <w:pPr>
        <w:spacing w:line="300" w:lineRule="auto" w:before="31"/>
        <w:ind w:left="152" w:right="3874" w:firstLine="0"/>
        <w:jc w:val="left"/>
        <w:rPr>
          <w:rFonts w:ascii="宋体" w:hAnsi="宋体" w:cs="宋体" w:eastAsia="宋体" w:hint="default"/>
          <w:sz w:val="18"/>
          <w:szCs w:val="18"/>
        </w:rPr>
      </w:pPr>
      <w:r>
        <w:rPr>
          <w:rFonts w:ascii="宋体" w:hAnsi="宋体" w:cs="宋体" w:eastAsia="宋体" w:hint="default"/>
          <w:sz w:val="18"/>
          <w:szCs w:val="18"/>
        </w:rPr>
        <w:t>注册地址：杭州市西湖区文二路</w:t>
      </w:r>
      <w:r>
        <w:rPr>
          <w:rFonts w:ascii="Times New Roman" w:hAnsi="Times New Roman" w:cs="Times New Roman" w:eastAsia="Times New Roman" w:hint="default"/>
          <w:sz w:val="18"/>
          <w:szCs w:val="18"/>
        </w:rPr>
        <w:t>391</w:t>
      </w:r>
      <w:r>
        <w:rPr>
          <w:rFonts w:ascii="宋体" w:hAnsi="宋体" w:cs="宋体" w:eastAsia="宋体" w:hint="default"/>
          <w:sz w:val="18"/>
          <w:szCs w:val="18"/>
        </w:rPr>
        <w:t>号西湖国际科技大厦</w:t>
      </w:r>
      <w:r>
        <w:rPr>
          <w:rFonts w:ascii="Times New Roman" w:hAnsi="Times New Roman" w:cs="Times New Roman" w:eastAsia="Times New Roman" w:hint="default"/>
          <w:sz w:val="18"/>
          <w:szCs w:val="18"/>
        </w:rPr>
        <w:t>5</w:t>
      </w:r>
      <w:r>
        <w:rPr>
          <w:rFonts w:ascii="宋体" w:hAnsi="宋体" w:cs="宋体" w:eastAsia="宋体" w:hint="default"/>
          <w:sz w:val="18"/>
          <w:szCs w:val="18"/>
        </w:rPr>
        <w:t>号楼</w:t>
      </w:r>
      <w:r>
        <w:rPr>
          <w:rFonts w:ascii="Times New Roman" w:hAnsi="Times New Roman" w:cs="Times New Roman" w:eastAsia="Times New Roman" w:hint="default"/>
          <w:sz w:val="18"/>
          <w:szCs w:val="18"/>
        </w:rPr>
        <w:t>6</w:t>
      </w:r>
      <w:r>
        <w:rPr>
          <w:rFonts w:ascii="宋体" w:hAnsi="宋体" w:cs="宋体" w:eastAsia="宋体" w:hint="default"/>
          <w:sz w:val="18"/>
          <w:szCs w:val="18"/>
        </w:rPr>
        <w:t>层</w:t>
      </w:r>
      <w:r>
        <w:rPr>
          <w:rFonts w:ascii="Times New Roman" w:hAnsi="Times New Roman" w:cs="Times New Roman" w:eastAsia="Times New Roman" w:hint="default"/>
          <w:sz w:val="18"/>
          <w:szCs w:val="18"/>
        </w:rPr>
        <w:t>626</w:t>
      </w:r>
      <w:r>
        <w:rPr>
          <w:rFonts w:ascii="宋体" w:hAnsi="宋体" w:cs="宋体" w:eastAsia="宋体" w:hint="default"/>
          <w:sz w:val="18"/>
          <w:szCs w:val="18"/>
        </w:rPr>
        <w:t>室 主要生产基地：杭州市西湖区文二路</w:t>
      </w:r>
      <w:r>
        <w:rPr>
          <w:rFonts w:ascii="Times New Roman" w:hAnsi="Times New Roman" w:cs="Times New Roman" w:eastAsia="Times New Roman" w:hint="default"/>
          <w:sz w:val="18"/>
          <w:szCs w:val="18"/>
        </w:rPr>
        <w:t>391</w:t>
      </w:r>
      <w:r>
        <w:rPr>
          <w:rFonts w:ascii="宋体" w:hAnsi="宋体" w:cs="宋体" w:eastAsia="宋体" w:hint="default"/>
          <w:sz w:val="18"/>
          <w:szCs w:val="18"/>
        </w:rPr>
        <w:t>号西湖国际科技大厦</w:t>
      </w:r>
      <w:r>
        <w:rPr>
          <w:rFonts w:ascii="Times New Roman" w:hAnsi="Times New Roman" w:cs="Times New Roman" w:eastAsia="Times New Roman" w:hint="default"/>
          <w:sz w:val="18"/>
          <w:szCs w:val="18"/>
        </w:rPr>
        <w:t>5</w:t>
      </w:r>
      <w:r>
        <w:rPr>
          <w:rFonts w:ascii="宋体" w:hAnsi="宋体" w:cs="宋体" w:eastAsia="宋体" w:hint="default"/>
          <w:sz w:val="18"/>
          <w:szCs w:val="18"/>
        </w:rPr>
        <w:t>号楼</w:t>
      </w:r>
      <w:r>
        <w:rPr>
          <w:rFonts w:ascii="Times New Roman" w:hAnsi="Times New Roman" w:cs="Times New Roman" w:eastAsia="Times New Roman" w:hint="default"/>
          <w:sz w:val="18"/>
          <w:szCs w:val="18"/>
        </w:rPr>
        <w:t>6</w:t>
      </w:r>
      <w:r>
        <w:rPr>
          <w:rFonts w:ascii="宋体" w:hAnsi="宋体" w:cs="宋体" w:eastAsia="宋体" w:hint="default"/>
          <w:sz w:val="18"/>
          <w:szCs w:val="18"/>
        </w:rPr>
        <w:t>层</w:t>
      </w:r>
      <w:r>
        <w:rPr>
          <w:rFonts w:ascii="Times New Roman" w:hAnsi="Times New Roman" w:cs="Times New Roman" w:eastAsia="Times New Roman" w:hint="default"/>
          <w:sz w:val="18"/>
          <w:szCs w:val="18"/>
        </w:rPr>
        <w:t>626</w:t>
      </w:r>
      <w:r>
        <w:rPr>
          <w:rFonts w:ascii="宋体" w:hAnsi="宋体" w:cs="宋体" w:eastAsia="宋体" w:hint="default"/>
          <w:sz w:val="18"/>
          <w:szCs w:val="18"/>
        </w:rPr>
        <w:t>室</w:t>
      </w:r>
      <w:r>
        <w:rPr>
          <w:rFonts w:ascii="宋体" w:hAnsi="宋体" w:cs="宋体" w:eastAsia="宋体" w:hint="default"/>
          <w:spacing w:val="-87"/>
          <w:sz w:val="18"/>
          <w:szCs w:val="18"/>
        </w:rPr>
        <w:t> </w:t>
      </w:r>
      <w:r>
        <w:rPr>
          <w:rFonts w:ascii="宋体" w:hAnsi="宋体" w:cs="宋体" w:eastAsia="宋体" w:hint="default"/>
          <w:sz w:val="18"/>
          <w:szCs w:val="18"/>
        </w:rPr>
        <w:t>股东构成及控制情况：公司持有其</w:t>
      </w:r>
      <w:r>
        <w:rPr>
          <w:rFonts w:ascii="Times New Roman" w:hAnsi="Times New Roman" w:cs="Times New Roman" w:eastAsia="Times New Roman" w:hint="default"/>
          <w:sz w:val="18"/>
          <w:szCs w:val="18"/>
        </w:rPr>
        <w:t>55%</w:t>
      </w:r>
      <w:r>
        <w:rPr>
          <w:rFonts w:ascii="宋体" w:hAnsi="宋体" w:cs="宋体" w:eastAsia="宋体" w:hint="default"/>
          <w:sz w:val="18"/>
          <w:szCs w:val="18"/>
        </w:rPr>
        <w:t>的股权</w:t>
      </w:r>
    </w:p>
    <w:p>
      <w:pPr>
        <w:spacing w:line="319" w:lineRule="auto" w:before="13"/>
        <w:ind w:left="152" w:right="190" w:firstLine="0"/>
        <w:jc w:val="both"/>
        <w:rPr>
          <w:rFonts w:ascii="宋体" w:hAnsi="宋体" w:cs="宋体" w:eastAsia="宋体" w:hint="default"/>
          <w:sz w:val="18"/>
          <w:szCs w:val="18"/>
        </w:rPr>
      </w:pPr>
      <w:r>
        <w:rPr>
          <w:rFonts w:ascii="宋体" w:hAnsi="宋体" w:cs="宋体" w:eastAsia="宋体" w:hint="default"/>
          <w:spacing w:val="-2"/>
          <w:sz w:val="18"/>
          <w:szCs w:val="18"/>
        </w:rPr>
        <w:t>公司经营范围：技术开发、技术咨询、技术服务、成果转让；计算机软硬件、系统集成、云计算、数据处理技术；服务：计</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2"/>
          <w:sz w:val="18"/>
          <w:szCs w:val="18"/>
        </w:rPr>
        <w:t>算机硬件维修、通讯设备维修、自有设备租赁；销售：计算机软硬件、通讯设备；货物进出口（法律、行政法规禁止经营的</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项目除外，法律、行政法规限制经营的项目取得经营许可证后方可经营）、（依法经批准的项目，经相关部门批准后方可开</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展经营活动）。</w:t>
      </w:r>
    </w:p>
    <w:p>
      <w:pPr>
        <w:spacing w:after="0" w:line="319" w:lineRule="auto"/>
        <w:jc w:val="both"/>
        <w:rPr>
          <w:rFonts w:ascii="宋体" w:hAnsi="宋体" w:cs="宋体" w:eastAsia="宋体" w:hint="default"/>
          <w:sz w:val="18"/>
          <w:szCs w:val="18"/>
        </w:rPr>
        <w:sectPr>
          <w:footerReference w:type="default" r:id="rId13"/>
          <w:pgSz w:w="11910" w:h="16840"/>
          <w:pgMar w:footer="979" w:header="745" w:top="1060" w:bottom="1160" w:left="980" w:right="940"/>
          <w:pgNumType w:start="37"/>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spacing w:line="300" w:lineRule="auto" w:before="44"/>
        <w:ind w:left="152" w:right="76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杭州广捷科技有限公司 成立时间：</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 注册资本：</w:t>
      </w:r>
      <w:r>
        <w:rPr>
          <w:rFonts w:ascii="Times New Roman" w:hAnsi="Times New Roman" w:cs="Times New Roman" w:eastAsia="Times New Roman" w:hint="default"/>
          <w:sz w:val="18"/>
          <w:szCs w:val="18"/>
        </w:rPr>
        <w:t>1,900</w:t>
      </w:r>
      <w:r>
        <w:rPr>
          <w:rFonts w:ascii="宋体" w:hAnsi="宋体" w:cs="宋体" w:eastAsia="宋体" w:hint="default"/>
          <w:sz w:val="18"/>
          <w:szCs w:val="18"/>
        </w:rPr>
        <w:t>万元整 法定代表人：楼晔</w:t>
      </w:r>
    </w:p>
    <w:p>
      <w:pPr>
        <w:spacing w:line="300" w:lineRule="auto" w:before="31"/>
        <w:ind w:left="152" w:right="5674" w:firstLine="0"/>
        <w:jc w:val="left"/>
        <w:rPr>
          <w:rFonts w:ascii="宋体" w:hAnsi="宋体" w:cs="宋体" w:eastAsia="宋体" w:hint="default"/>
          <w:sz w:val="18"/>
          <w:szCs w:val="18"/>
        </w:rPr>
      </w:pPr>
      <w:r>
        <w:rPr>
          <w:rFonts w:ascii="宋体" w:hAnsi="宋体" w:cs="宋体" w:eastAsia="宋体" w:hint="default"/>
          <w:sz w:val="18"/>
          <w:szCs w:val="18"/>
        </w:rPr>
        <w:t>注册地址：杭州市西湖区翠苑街道教工路</w:t>
      </w:r>
      <w:r>
        <w:rPr>
          <w:rFonts w:ascii="Times New Roman" w:hAnsi="Times New Roman" w:cs="Times New Roman" w:eastAsia="Times New Roman" w:hint="default"/>
          <w:sz w:val="18"/>
          <w:szCs w:val="18"/>
        </w:rPr>
        <w:t>199</w:t>
      </w:r>
      <w:r>
        <w:rPr>
          <w:rFonts w:ascii="宋体" w:hAnsi="宋体" w:cs="宋体" w:eastAsia="宋体" w:hint="default"/>
          <w:sz w:val="18"/>
          <w:szCs w:val="18"/>
        </w:rPr>
        <w:t>号</w:t>
      </w:r>
      <w:r>
        <w:rPr>
          <w:rFonts w:ascii="Times New Roman" w:hAnsi="Times New Roman" w:cs="Times New Roman" w:eastAsia="Times New Roman" w:hint="default"/>
          <w:sz w:val="18"/>
          <w:szCs w:val="18"/>
        </w:rPr>
        <w:t>421</w:t>
      </w:r>
      <w:r>
        <w:rPr>
          <w:rFonts w:ascii="宋体" w:hAnsi="宋体" w:cs="宋体" w:eastAsia="宋体" w:hint="default"/>
          <w:sz w:val="18"/>
          <w:szCs w:val="18"/>
        </w:rPr>
        <w:t>室 股东构成及控制情况：公司持有其</w:t>
      </w:r>
      <w:r>
        <w:rPr>
          <w:rFonts w:ascii="Times New Roman" w:hAnsi="Times New Roman" w:cs="Times New Roman" w:eastAsia="Times New Roman" w:hint="default"/>
          <w:sz w:val="18"/>
          <w:szCs w:val="18"/>
        </w:rPr>
        <w:t>100%</w:t>
      </w:r>
      <w:r>
        <w:rPr>
          <w:rFonts w:ascii="宋体" w:hAnsi="宋体" w:cs="宋体" w:eastAsia="宋体" w:hint="default"/>
          <w:sz w:val="18"/>
          <w:szCs w:val="18"/>
        </w:rPr>
        <w:t>的股权</w:t>
      </w:r>
    </w:p>
    <w:p>
      <w:pPr>
        <w:spacing w:line="319" w:lineRule="auto" w:before="13"/>
        <w:ind w:left="152" w:right="94" w:firstLine="0"/>
        <w:jc w:val="left"/>
        <w:rPr>
          <w:rFonts w:ascii="宋体" w:hAnsi="宋体" w:cs="宋体" w:eastAsia="宋体" w:hint="default"/>
          <w:sz w:val="18"/>
          <w:szCs w:val="18"/>
        </w:rPr>
      </w:pPr>
      <w:r>
        <w:rPr>
          <w:rFonts w:ascii="宋体" w:hAnsi="宋体" w:cs="宋体" w:eastAsia="宋体" w:hint="default"/>
          <w:sz w:val="18"/>
          <w:szCs w:val="18"/>
        </w:rPr>
        <w:t>公司经营范围：服务，计算机软硬件、网络信息技术、电子产品的技术开发、技术咨询、技术服务、成果转让、通讯设备、 电子产品、普通机械、机电设备的维修（限现场、涉及资质证凭证经营）；计算机系统集成、批发、零售；计算机软硬件， </w:t>
      </w:r>
      <w:r>
        <w:rPr>
          <w:rFonts w:ascii="宋体" w:hAnsi="宋体" w:cs="宋体" w:eastAsia="宋体" w:hint="default"/>
          <w:spacing w:val="-2"/>
          <w:sz w:val="18"/>
          <w:szCs w:val="18"/>
        </w:rPr>
        <w:t>通讯设备、电子产品（除专控），机电设备（除小轿车），普通机械；货物进出口、技术进出口（国家法律、行政法规禁止</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的项目除外，法律、行政法规限制的项目取得许可证后方可经营）；其他无需报经审批的一切合法项目。（依法需报经批准</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的项目，经相关部门批准后方可开展经营活动）</w:t>
      </w:r>
      <w:r>
        <w:rPr>
          <w:rFonts w:ascii="宋体" w:hAnsi="宋体" w:cs="宋体" w:eastAsia="宋体" w:hint="default"/>
          <w:sz w:val="18"/>
          <w:szCs w:val="18"/>
        </w:rPr>
        <w:t> </w:t>
      </w:r>
    </w:p>
    <w:p>
      <w:pPr>
        <w:spacing w:line="240" w:lineRule="auto" w:before="2"/>
        <w:rPr>
          <w:rFonts w:ascii="宋体" w:hAnsi="宋体" w:cs="宋体" w:eastAsia="宋体" w:hint="default"/>
          <w:sz w:val="25"/>
          <w:szCs w:val="25"/>
        </w:rPr>
      </w:pPr>
    </w:p>
    <w:p>
      <w:pPr>
        <w:spacing w:line="300" w:lineRule="auto" w:before="0"/>
        <w:ind w:left="152" w:right="76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杭州鸿昇科技有限公司</w:t>
      </w:r>
      <w:r>
        <w:rPr>
          <w:rFonts w:ascii="宋体" w:hAnsi="宋体" w:cs="宋体" w:eastAsia="宋体" w:hint="default"/>
          <w:spacing w:val="-87"/>
          <w:sz w:val="18"/>
          <w:szCs w:val="18"/>
        </w:rPr>
        <w:t> </w:t>
      </w:r>
      <w:r>
        <w:rPr>
          <w:rFonts w:ascii="宋体" w:hAnsi="宋体" w:cs="宋体" w:eastAsia="宋体" w:hint="default"/>
          <w:sz w:val="18"/>
          <w:szCs w:val="18"/>
        </w:rPr>
        <w:t>成立时间：</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 注册资本：</w:t>
      </w:r>
      <w:r>
        <w:rPr>
          <w:rFonts w:ascii="Times New Roman" w:hAnsi="Times New Roman" w:cs="Times New Roman" w:eastAsia="Times New Roman" w:hint="default"/>
          <w:sz w:val="18"/>
          <w:szCs w:val="18"/>
        </w:rPr>
        <w:t>1,900</w:t>
      </w:r>
      <w:r>
        <w:rPr>
          <w:rFonts w:ascii="宋体" w:hAnsi="宋体" w:cs="宋体" w:eastAsia="宋体" w:hint="default"/>
          <w:sz w:val="18"/>
          <w:szCs w:val="18"/>
        </w:rPr>
        <w:t>万元整 法定代表人：楼晔</w:t>
      </w:r>
    </w:p>
    <w:p>
      <w:pPr>
        <w:spacing w:line="300" w:lineRule="auto" w:before="31"/>
        <w:ind w:left="152" w:right="5674" w:firstLine="0"/>
        <w:jc w:val="left"/>
        <w:rPr>
          <w:rFonts w:ascii="宋体" w:hAnsi="宋体" w:cs="宋体" w:eastAsia="宋体" w:hint="default"/>
          <w:sz w:val="18"/>
          <w:szCs w:val="18"/>
        </w:rPr>
      </w:pPr>
      <w:r>
        <w:rPr>
          <w:rFonts w:ascii="宋体" w:hAnsi="宋体" w:cs="宋体" w:eastAsia="宋体" w:hint="default"/>
          <w:sz w:val="18"/>
          <w:szCs w:val="18"/>
        </w:rPr>
        <w:t>注册地址：杭州市西湖区翠苑街道教工路</w:t>
      </w:r>
      <w:r>
        <w:rPr>
          <w:rFonts w:ascii="Times New Roman" w:hAnsi="Times New Roman" w:cs="Times New Roman" w:eastAsia="Times New Roman" w:hint="default"/>
          <w:sz w:val="18"/>
          <w:szCs w:val="18"/>
        </w:rPr>
        <w:t>199</w:t>
      </w:r>
      <w:r>
        <w:rPr>
          <w:rFonts w:ascii="宋体" w:hAnsi="宋体" w:cs="宋体" w:eastAsia="宋体" w:hint="default"/>
          <w:sz w:val="18"/>
          <w:szCs w:val="18"/>
        </w:rPr>
        <w:t>号</w:t>
      </w:r>
      <w:r>
        <w:rPr>
          <w:rFonts w:ascii="Times New Roman" w:hAnsi="Times New Roman" w:cs="Times New Roman" w:eastAsia="Times New Roman" w:hint="default"/>
          <w:sz w:val="18"/>
          <w:szCs w:val="18"/>
        </w:rPr>
        <w:t>422</w:t>
      </w:r>
      <w:r>
        <w:rPr>
          <w:rFonts w:ascii="宋体" w:hAnsi="宋体" w:cs="宋体" w:eastAsia="宋体" w:hint="default"/>
          <w:sz w:val="18"/>
          <w:szCs w:val="18"/>
        </w:rPr>
        <w:t>室 股东构成及控制情况：公司持有其</w:t>
      </w:r>
      <w:r>
        <w:rPr>
          <w:rFonts w:ascii="Times New Roman" w:hAnsi="Times New Roman" w:cs="Times New Roman" w:eastAsia="Times New Roman" w:hint="default"/>
          <w:sz w:val="18"/>
          <w:szCs w:val="18"/>
        </w:rPr>
        <w:t>100%</w:t>
      </w:r>
      <w:r>
        <w:rPr>
          <w:rFonts w:ascii="宋体" w:hAnsi="宋体" w:cs="宋体" w:eastAsia="宋体" w:hint="default"/>
          <w:sz w:val="18"/>
          <w:szCs w:val="18"/>
        </w:rPr>
        <w:t>的股权</w:t>
      </w:r>
    </w:p>
    <w:p>
      <w:pPr>
        <w:spacing w:line="319" w:lineRule="auto" w:before="13"/>
        <w:ind w:left="152" w:right="191" w:firstLine="0"/>
        <w:jc w:val="both"/>
        <w:rPr>
          <w:rFonts w:ascii="宋体" w:hAnsi="宋体" w:cs="宋体" w:eastAsia="宋体" w:hint="default"/>
          <w:sz w:val="18"/>
          <w:szCs w:val="18"/>
        </w:rPr>
      </w:pPr>
      <w:r>
        <w:rPr>
          <w:rFonts w:ascii="宋体" w:hAnsi="宋体" w:cs="宋体" w:eastAsia="宋体" w:hint="default"/>
          <w:spacing w:val="-2"/>
          <w:sz w:val="18"/>
          <w:szCs w:val="18"/>
        </w:rPr>
        <w:t>公司经营范围：服务，计算机硬件、网络信息技术、电子产品的技术开发、技术咨询、技术服务、成果转让、通讯设备、电</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子产品、机械设备的维修（限现场）；计算机系统集成、机械设备租赁（除拆、装），自有房屋租赁；批发、零售；计算机</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2"/>
          <w:sz w:val="18"/>
          <w:szCs w:val="18"/>
        </w:rPr>
        <w:t>软硬件，通讯设备、电子产品（除专控），普通机械；货物进出口、技术进出口（国家法律、行政法规禁止的项目除外，法</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律、行政法规限制的项目取得许可证后方可经营）。（依法需报经批准的项目，经相关部门批准后方可开展经营活动）</w:t>
      </w:r>
      <w:r>
        <w:rPr>
          <w:rFonts w:ascii="宋体" w:hAnsi="宋体" w:cs="宋体" w:eastAsia="宋体" w:hint="default"/>
          <w:sz w:val="18"/>
          <w:szCs w:val="18"/>
        </w:rPr>
        <w:t> </w:t>
      </w:r>
    </w:p>
    <w:p>
      <w:pPr>
        <w:spacing w:line="240" w:lineRule="auto" w:before="2"/>
        <w:rPr>
          <w:rFonts w:ascii="宋体" w:hAnsi="宋体" w:cs="宋体" w:eastAsia="宋体" w:hint="default"/>
          <w:sz w:val="25"/>
          <w:szCs w:val="25"/>
        </w:rPr>
      </w:pPr>
    </w:p>
    <w:p>
      <w:pPr>
        <w:spacing w:line="300" w:lineRule="auto" w:before="0"/>
        <w:ind w:left="152" w:right="69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11</w:t>
      </w:r>
      <w:r>
        <w:rPr>
          <w:rFonts w:ascii="宋体" w:hAnsi="宋体" w:cs="宋体" w:eastAsia="宋体" w:hint="default"/>
          <w:sz w:val="18"/>
          <w:szCs w:val="18"/>
        </w:rPr>
        <w:t>、西安天玑力拓信息技术有限公司 成立时间：</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 注册资本：</w:t>
      </w:r>
      <w:r>
        <w:rPr>
          <w:rFonts w:ascii="Times New Roman" w:hAnsi="Times New Roman" w:cs="Times New Roman" w:eastAsia="Times New Roman" w:hint="default"/>
          <w:sz w:val="18"/>
          <w:szCs w:val="18"/>
        </w:rPr>
        <w:t>100</w:t>
      </w:r>
      <w:r>
        <w:rPr>
          <w:rFonts w:ascii="宋体" w:hAnsi="宋体" w:cs="宋体" w:eastAsia="宋体" w:hint="default"/>
          <w:sz w:val="18"/>
          <w:szCs w:val="18"/>
        </w:rPr>
        <w:t>万元整</w:t>
      </w:r>
      <w:r>
        <w:rPr>
          <w:rFonts w:ascii="宋体" w:hAnsi="宋体" w:cs="宋体" w:eastAsia="宋体" w:hint="default"/>
          <w:spacing w:val="-87"/>
          <w:sz w:val="18"/>
          <w:szCs w:val="18"/>
        </w:rPr>
        <w:t> </w:t>
      </w:r>
      <w:r>
        <w:rPr>
          <w:rFonts w:ascii="宋体" w:hAnsi="宋体" w:cs="宋体" w:eastAsia="宋体" w:hint="default"/>
          <w:sz w:val="18"/>
          <w:szCs w:val="18"/>
        </w:rPr>
        <w:t>法定代表人：董涛</w:t>
      </w:r>
    </w:p>
    <w:p>
      <w:pPr>
        <w:spacing w:line="300" w:lineRule="auto" w:before="31"/>
        <w:ind w:left="152" w:right="4364" w:firstLine="0"/>
        <w:jc w:val="left"/>
        <w:rPr>
          <w:rFonts w:ascii="宋体" w:hAnsi="宋体" w:cs="宋体" w:eastAsia="宋体" w:hint="default"/>
          <w:sz w:val="18"/>
          <w:szCs w:val="18"/>
        </w:rPr>
      </w:pPr>
      <w:r>
        <w:rPr>
          <w:rFonts w:ascii="宋体" w:hAnsi="宋体" w:cs="宋体" w:eastAsia="宋体" w:hint="default"/>
          <w:sz w:val="18"/>
          <w:szCs w:val="18"/>
        </w:rPr>
        <w:t>注册地址：陕西省西安市高新区唐延南路</w:t>
      </w:r>
      <w:r>
        <w:rPr>
          <w:rFonts w:ascii="Times New Roman" w:hAnsi="Times New Roman" w:cs="Times New Roman" w:eastAsia="Times New Roman" w:hint="default"/>
          <w:sz w:val="18"/>
          <w:szCs w:val="18"/>
        </w:rPr>
        <w:t>11</w:t>
      </w:r>
      <w:r>
        <w:rPr>
          <w:rFonts w:ascii="宋体" w:hAnsi="宋体" w:cs="宋体" w:eastAsia="宋体" w:hint="default"/>
          <w:sz w:val="18"/>
          <w:szCs w:val="18"/>
        </w:rPr>
        <w:t>号逸翠园二期</w:t>
      </w:r>
      <w:r>
        <w:rPr>
          <w:rFonts w:ascii="Times New Roman" w:hAnsi="Times New Roman" w:cs="Times New Roman" w:eastAsia="Times New Roman" w:hint="default"/>
          <w:sz w:val="18"/>
          <w:szCs w:val="18"/>
        </w:rPr>
        <w:t>i</w:t>
      </w:r>
      <w:r>
        <w:rPr>
          <w:rFonts w:ascii="宋体" w:hAnsi="宋体" w:cs="宋体" w:eastAsia="宋体" w:hint="default"/>
          <w:sz w:val="18"/>
          <w:szCs w:val="18"/>
        </w:rPr>
        <w:t>都会</w:t>
      </w:r>
      <w:r>
        <w:rPr>
          <w:rFonts w:ascii="Times New Roman" w:hAnsi="Times New Roman" w:cs="Times New Roman" w:eastAsia="Times New Roman" w:hint="default"/>
          <w:sz w:val="18"/>
          <w:szCs w:val="18"/>
        </w:rPr>
        <w:t>3</w:t>
      </w:r>
      <w:r>
        <w:rPr>
          <w:rFonts w:ascii="宋体" w:hAnsi="宋体" w:cs="宋体" w:eastAsia="宋体" w:hint="default"/>
          <w:sz w:val="18"/>
          <w:szCs w:val="18"/>
        </w:rPr>
        <w:t>幢</w:t>
      </w:r>
      <w:r>
        <w:rPr>
          <w:rFonts w:ascii="Times New Roman" w:hAnsi="Times New Roman" w:cs="Times New Roman" w:eastAsia="Times New Roman" w:hint="default"/>
          <w:sz w:val="18"/>
          <w:szCs w:val="18"/>
        </w:rPr>
        <w:t>3</w:t>
      </w:r>
      <w:r>
        <w:rPr>
          <w:rFonts w:ascii="宋体" w:hAnsi="宋体" w:cs="宋体" w:eastAsia="宋体" w:hint="default"/>
          <w:sz w:val="18"/>
          <w:szCs w:val="18"/>
        </w:rPr>
        <w:t>号 股东构成及控制情况：公司持有</w:t>
      </w:r>
      <w:r>
        <w:rPr>
          <w:rFonts w:ascii="Times New Roman" w:hAnsi="Times New Roman" w:cs="Times New Roman" w:eastAsia="Times New Roman" w:hint="default"/>
          <w:sz w:val="18"/>
          <w:szCs w:val="18"/>
        </w:rPr>
        <w:t>60%</w:t>
      </w:r>
      <w:r>
        <w:rPr>
          <w:rFonts w:ascii="宋体" w:hAnsi="宋体" w:cs="宋体" w:eastAsia="宋体" w:hint="default"/>
          <w:sz w:val="18"/>
          <w:szCs w:val="18"/>
        </w:rPr>
        <w:t>股权</w:t>
      </w:r>
    </w:p>
    <w:p>
      <w:pPr>
        <w:spacing w:line="319" w:lineRule="auto" w:before="13"/>
        <w:ind w:left="152" w:right="190" w:firstLine="0"/>
        <w:jc w:val="both"/>
        <w:rPr>
          <w:rFonts w:ascii="宋体" w:hAnsi="宋体" w:cs="宋体" w:eastAsia="宋体" w:hint="default"/>
          <w:sz w:val="18"/>
          <w:szCs w:val="18"/>
        </w:rPr>
      </w:pPr>
      <w:r>
        <w:rPr>
          <w:rFonts w:ascii="宋体" w:hAnsi="宋体" w:cs="宋体" w:eastAsia="宋体" w:hint="default"/>
          <w:spacing w:val="-2"/>
          <w:sz w:val="18"/>
          <w:szCs w:val="18"/>
        </w:rPr>
        <w:t>公司经营范围：计算机信息科技领域内的技术开发、技术咨询、技术转让、技术服务；计算机系统集成；通讯设备（不含地</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2"/>
          <w:sz w:val="18"/>
          <w:szCs w:val="18"/>
        </w:rPr>
        <w:t>面卫星接收设备）的销售及维修；设备租赁；货物与技术的进出口经营（国家限制、禁止和须经审批进出口的货物和技术除</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2"/>
          <w:sz w:val="18"/>
          <w:szCs w:val="18"/>
        </w:rPr>
        <w:t>外）；商务信息咨询；会务服务；展览展示服务；市场营销策划；广告设计、制作（须经审批的除外）。（依法需报经批准</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的项目，经相关部门批准后方可开展经营活动）</w:t>
      </w:r>
    </w:p>
    <w:p>
      <w:pPr>
        <w:spacing w:line="240" w:lineRule="auto" w:before="9"/>
        <w:rPr>
          <w:rFonts w:ascii="宋体" w:hAnsi="宋体" w:cs="宋体" w:eastAsia="宋体" w:hint="default"/>
          <w:sz w:val="20"/>
          <w:szCs w:val="20"/>
        </w:rPr>
      </w:pPr>
    </w:p>
    <w:p>
      <w:pPr>
        <w:pStyle w:val="Heading2"/>
        <w:spacing w:line="240" w:lineRule="auto"/>
        <w:ind w:right="94"/>
        <w:jc w:val="left"/>
        <w:rPr>
          <w:b w:val="0"/>
          <w:bCs w:val="0"/>
        </w:rPr>
      </w:pPr>
      <w:r>
        <w:rPr/>
        <w:t>八、公司控制的结构化主体情况</w:t>
      </w:r>
      <w:r>
        <w:rPr>
          <w:b w:val="0"/>
          <w:bCs w:val="0"/>
        </w:rPr>
      </w:r>
    </w:p>
    <w:p>
      <w:pPr>
        <w:spacing w:line="240" w:lineRule="auto" w:before="4"/>
        <w:rPr>
          <w:rFonts w:ascii="宋体" w:hAnsi="宋体" w:cs="宋体" w:eastAsia="宋体" w:hint="default"/>
          <w:b/>
          <w:bCs/>
          <w:sz w:val="26"/>
          <w:szCs w:val="26"/>
        </w:rPr>
      </w:pPr>
    </w:p>
    <w:p>
      <w:pPr>
        <w:spacing w:before="0"/>
        <w:ind w:left="152" w:right="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94"/>
        <w:jc w:val="left"/>
        <w:rPr>
          <w:b w:val="0"/>
          <w:bCs w:val="0"/>
        </w:rPr>
      </w:pPr>
      <w:r>
        <w:rPr/>
        <w:t>九、公司未来发展的展望</w:t>
      </w:r>
      <w:r>
        <w:rPr>
          <w:b w:val="0"/>
          <w:bCs w:val="0"/>
        </w:rPr>
      </w:r>
    </w:p>
    <w:p>
      <w:pPr>
        <w:spacing w:line="240" w:lineRule="auto" w:before="10"/>
        <w:rPr>
          <w:rFonts w:ascii="宋体" w:hAnsi="宋体" w:cs="宋体" w:eastAsia="宋体" w:hint="default"/>
          <w:b/>
          <w:bCs/>
          <w:sz w:val="30"/>
          <w:szCs w:val="30"/>
        </w:rPr>
      </w:pPr>
    </w:p>
    <w:p>
      <w:pPr>
        <w:pStyle w:val="BodyText"/>
        <w:spacing w:line="240" w:lineRule="auto"/>
        <w:ind w:right="94"/>
        <w:jc w:val="left"/>
      </w:pPr>
      <w:r>
        <w:rPr/>
        <w:t>（一）行业所处的发展前景</w:t>
      </w:r>
    </w:p>
    <w:p>
      <w:pPr>
        <w:spacing w:line="240" w:lineRule="auto" w:before="10"/>
        <w:rPr>
          <w:rFonts w:ascii="宋体" w:hAnsi="宋体" w:cs="宋体" w:eastAsia="宋体" w:hint="default"/>
          <w:sz w:val="14"/>
          <w:szCs w:val="14"/>
        </w:rPr>
      </w:pPr>
    </w:p>
    <w:p>
      <w:pPr>
        <w:pStyle w:val="BodyText"/>
        <w:spacing w:line="240" w:lineRule="auto"/>
        <w:ind w:left="573" w:right="94"/>
        <w:jc w:val="left"/>
      </w:pPr>
      <w:r>
        <w:rPr/>
        <w:t>计世资讯（</w:t>
      </w:r>
      <w:r>
        <w:rPr>
          <w:rFonts w:ascii="Times New Roman" w:hAnsi="Times New Roman" w:cs="Times New Roman" w:eastAsia="Times New Roman" w:hint="default"/>
        </w:rPr>
        <w:t>CCW Research</w:t>
      </w:r>
      <w:r>
        <w:rPr/>
        <w:t>）的调研数据表明， </w:t>
      </w:r>
      <w:r>
        <w:rPr>
          <w:rFonts w:ascii="Times New Roman" w:hAnsi="Times New Roman" w:cs="Times New Roman" w:eastAsia="Times New Roman" w:hint="default"/>
        </w:rPr>
        <w:t>2017 </w:t>
      </w:r>
      <w:r>
        <w:rPr/>
        <w:t>年中国 </w:t>
      </w:r>
      <w:r>
        <w:rPr>
          <w:rFonts w:ascii="Times New Roman" w:hAnsi="Times New Roman" w:cs="Times New Roman" w:eastAsia="Times New Roman" w:hint="default"/>
        </w:rPr>
        <w:t>IT </w:t>
      </w:r>
      <w:r>
        <w:rPr/>
        <w:t>服务总体市场规模为 </w:t>
      </w:r>
      <w:r>
        <w:rPr>
          <w:rFonts w:ascii="Times New Roman" w:hAnsi="Times New Roman" w:cs="Times New Roman" w:eastAsia="Times New Roman" w:hint="default"/>
        </w:rPr>
        <w:t>2112</w:t>
      </w:r>
      <w:r>
        <w:rPr>
          <w:rFonts w:ascii="Times New Roman" w:hAnsi="Times New Roman" w:cs="Times New Roman" w:eastAsia="Times New Roman" w:hint="default"/>
          <w:spacing w:val="22"/>
        </w:rPr>
        <w:t> </w:t>
      </w:r>
      <w:r>
        <w:rPr/>
        <w:t>亿元人民</w:t>
      </w:r>
    </w:p>
    <w:p>
      <w:pPr>
        <w:spacing w:after="0" w:line="240" w:lineRule="auto"/>
        <w:jc w:val="left"/>
        <w:sectPr>
          <w:pgSz w:w="11910" w:h="16840"/>
          <w:pgMar w:header="745" w:footer="979" w:top="1060" w:bottom="1160" w:left="980" w:right="940"/>
        </w:sectPr>
      </w:pPr>
    </w:p>
    <w:p>
      <w:pPr>
        <w:spacing w:line="240" w:lineRule="auto" w:before="0"/>
        <w:rPr>
          <w:rFonts w:ascii="宋体" w:hAnsi="宋体" w:cs="宋体" w:eastAsia="宋体" w:hint="default"/>
          <w:sz w:val="20"/>
          <w:szCs w:val="20"/>
        </w:rPr>
      </w:pPr>
    </w:p>
    <w:p>
      <w:pPr>
        <w:pStyle w:val="BodyText"/>
        <w:spacing w:line="398" w:lineRule="auto" w:before="176"/>
        <w:ind w:right="206"/>
        <w:jc w:val="both"/>
      </w:pPr>
      <w:r>
        <w:rPr>
          <w:spacing w:val="-2"/>
        </w:rPr>
        <w:t>币，同比增长</w:t>
      </w:r>
      <w:r>
        <w:rPr/>
        <w:t> </w:t>
      </w:r>
      <w:r>
        <w:rPr>
          <w:rFonts w:ascii="Times New Roman" w:hAnsi="Times New Roman" w:cs="Times New Roman" w:eastAsia="Times New Roman" w:hint="default"/>
          <w:spacing w:val="-2"/>
        </w:rPr>
        <w:t>8.5%</w:t>
      </w:r>
      <w:r>
        <w:rPr>
          <w:spacing w:val="-2"/>
        </w:rPr>
        <w:t>，行业保持稳定发展。</w:t>
      </w:r>
      <w:r>
        <w:rPr>
          <w:rFonts w:ascii="Times New Roman" w:hAnsi="Times New Roman" w:cs="Times New Roman" w:eastAsia="Times New Roman" w:hint="default"/>
          <w:spacing w:val="-2"/>
        </w:rPr>
        <w:t>“</w:t>
      </w:r>
      <w:r>
        <w:rPr>
          <w:spacing w:val="-2"/>
        </w:rPr>
        <w:t>互联网</w:t>
      </w:r>
      <w:r>
        <w:rPr>
          <w:rFonts w:ascii="Times New Roman" w:hAnsi="Times New Roman" w:cs="Times New Roman" w:eastAsia="Times New Roman" w:hint="default"/>
          <w:spacing w:val="-2"/>
        </w:rPr>
        <w:t>+”</w:t>
      </w:r>
      <w:r>
        <w:rPr>
          <w:spacing w:val="-2"/>
        </w:rPr>
        <w:t>、云计算、大数据、工业互联网等一系列国家政策持</w:t>
      </w:r>
      <w:r>
        <w:rPr>
          <w:spacing w:val="-48"/>
        </w:rPr>
        <w:t> </w:t>
      </w:r>
      <w:r>
        <w:rPr>
          <w:spacing w:val="-48"/>
        </w:rPr>
      </w:r>
      <w:r>
        <w:rPr>
          <w:spacing w:val="-2"/>
        </w:rPr>
        <w:t>续出台，明确了信息技术与经济社会各领域进一步深度融合发展的大趋势。作为互联网、云计算和大数据</w:t>
      </w:r>
      <w:r>
        <w:rPr>
          <w:spacing w:val="-42"/>
        </w:rPr>
        <w:t> </w:t>
      </w:r>
      <w:r>
        <w:rPr>
          <w:spacing w:val="-42"/>
        </w:rPr>
      </w:r>
      <w:r>
        <w:rPr>
          <w:spacing w:val="-2"/>
        </w:rPr>
        <w:t>等产业的重要基础设施之一，国家对数据中心的建设也提出了新的要求。在国家政策的推动下，国内数据</w:t>
      </w:r>
      <w:r>
        <w:rPr>
          <w:spacing w:val="-43"/>
        </w:rPr>
        <w:t> </w:t>
      </w:r>
      <w:r>
        <w:rPr>
          <w:spacing w:val="-43"/>
        </w:rPr>
      </w:r>
      <w:r>
        <w:rPr>
          <w:spacing w:val="-2"/>
        </w:rPr>
        <w:t>中心服务市场将呈现大型数据中心投资热潮兴起和传统数据中心升级改造两大特点，基于云计算的新一代</w:t>
      </w:r>
      <w:r>
        <w:rPr>
          <w:spacing w:val="-43"/>
        </w:rPr>
        <w:t> </w:t>
      </w:r>
      <w:r>
        <w:rPr>
          <w:spacing w:val="-43"/>
        </w:rPr>
      </w:r>
      <w:r>
        <w:rPr/>
        <w:t>大型数据中心将成为国家和企业建设的重点，从而驱动着数据中心 </w:t>
      </w:r>
      <w:r>
        <w:rPr>
          <w:rFonts w:ascii="Times New Roman" w:hAnsi="Times New Roman" w:cs="Times New Roman" w:eastAsia="Times New Roman" w:hint="default"/>
        </w:rPr>
        <w:t>IT</w:t>
      </w:r>
      <w:r>
        <w:rPr>
          <w:rFonts w:ascii="Times New Roman" w:hAnsi="Times New Roman" w:cs="Times New Roman" w:eastAsia="Times New Roman" w:hint="default"/>
          <w:spacing w:val="5"/>
        </w:rPr>
        <w:t> </w:t>
      </w:r>
      <w:r>
        <w:rPr/>
        <w:t>基础设施服务市场的发展。计世资</w:t>
      </w:r>
      <w:r>
        <w:rPr>
          <w:w w:val="100"/>
        </w:rPr>
        <w:t> </w:t>
      </w:r>
      <w:r>
        <w:rPr/>
        <w:t>讯（</w:t>
      </w:r>
      <w:r>
        <w:rPr>
          <w:rFonts w:ascii="Times New Roman" w:hAnsi="Times New Roman" w:cs="Times New Roman" w:eastAsia="Times New Roman" w:hint="default"/>
        </w:rPr>
        <w:t>CCW Research</w:t>
      </w:r>
      <w:r>
        <w:rPr/>
        <w:t>）调研数据表明，</w:t>
      </w:r>
      <w:r>
        <w:rPr>
          <w:rFonts w:ascii="Times New Roman" w:hAnsi="Times New Roman" w:cs="Times New Roman" w:eastAsia="Times New Roman" w:hint="default"/>
        </w:rPr>
        <w:t>2017 </w:t>
      </w:r>
      <w:r>
        <w:rPr/>
        <w:t>年中国数据中心</w:t>
      </w:r>
      <w:r>
        <w:rPr>
          <w:rFonts w:ascii="Times New Roman" w:hAnsi="Times New Roman" w:cs="Times New Roman" w:eastAsia="Times New Roman" w:hint="default"/>
        </w:rPr>
        <w:t>IT </w:t>
      </w:r>
      <w:r>
        <w:rPr/>
        <w:t>基础设施服务总体市场规模为 </w:t>
      </w:r>
      <w:r>
        <w:rPr>
          <w:rFonts w:ascii="Times New Roman" w:hAnsi="Times New Roman" w:cs="Times New Roman" w:eastAsia="Times New Roman" w:hint="default"/>
        </w:rPr>
        <w:t>796.5</w:t>
      </w:r>
      <w:r>
        <w:rPr>
          <w:rFonts w:ascii="Times New Roman" w:hAnsi="Times New Roman" w:cs="Times New Roman" w:eastAsia="Times New Roman" w:hint="default"/>
          <w:spacing w:val="44"/>
        </w:rPr>
        <w:t> </w:t>
      </w:r>
      <w:r>
        <w:rPr>
          <w:spacing w:val="-3"/>
        </w:rPr>
        <w:t>亿元人</w:t>
      </w:r>
      <w:r>
        <w:rPr>
          <w:spacing w:val="-3"/>
          <w:w w:val="100"/>
        </w:rPr>
        <w:t> </w:t>
      </w:r>
      <w:r>
        <w:rPr/>
        <w:t>民币，同比增长</w:t>
      </w:r>
      <w:r>
        <w:rPr>
          <w:spacing w:val="-25"/>
        </w:rPr>
        <w:t> </w:t>
      </w:r>
      <w:r>
        <w:rPr>
          <w:rFonts w:ascii="Times New Roman" w:hAnsi="Times New Roman" w:cs="Times New Roman" w:eastAsia="Times New Roman" w:hint="default"/>
        </w:rPr>
        <w:t>10.4%</w:t>
      </w:r>
      <w:r>
        <w:rPr/>
        <w:t>。由此可见，天玑科技主营业务所属市场有着良好的发展环境。</w:t>
      </w:r>
    </w:p>
    <w:p>
      <w:pPr>
        <w:pStyle w:val="BodyText"/>
        <w:spacing w:line="386" w:lineRule="auto" w:before="24"/>
        <w:ind w:right="206" w:firstLine="420"/>
        <w:jc w:val="left"/>
      </w:pPr>
      <w:r>
        <w:rPr>
          <w:spacing w:val="-2"/>
        </w:rPr>
        <w:t>在天玑科技近年所主攻的云计算市场，经过近</w:t>
      </w:r>
      <w:r>
        <w:rPr>
          <w:rFonts w:ascii="Times New Roman" w:hAnsi="Times New Roman" w:cs="Times New Roman" w:eastAsia="Times New Roman" w:hint="default"/>
          <w:spacing w:val="-2"/>
        </w:rPr>
        <w:t>10</w:t>
      </w:r>
      <w:r>
        <w:rPr>
          <w:spacing w:val="-2"/>
        </w:rPr>
        <w:t>年的发展，云计算已从概念导入进入广泛普及、应用</w:t>
      </w:r>
      <w:r>
        <w:rPr>
          <w:w w:val="100"/>
        </w:rPr>
        <w:t> </w:t>
      </w:r>
      <w:r>
        <w:rPr>
          <w:spacing w:val="-2"/>
        </w:rPr>
        <w:t>繁荣的新阶段，已成为提升信息化发展水平、打造数字经济新动能的重要支撑。李克强总理在</w:t>
      </w:r>
      <w:r>
        <w:rPr>
          <w:rFonts w:ascii="Times New Roman" w:hAnsi="Times New Roman" w:cs="Times New Roman" w:eastAsia="Times New Roman" w:hint="default"/>
          <w:spacing w:val="-2"/>
        </w:rPr>
        <w:t>2017</w:t>
      </w:r>
      <w:r>
        <w:rPr>
          <w:spacing w:val="-2"/>
        </w:rPr>
        <w:t>年政府</w:t>
      </w:r>
      <w:r>
        <w:rPr>
          <w:spacing w:val="-43"/>
        </w:rPr>
        <w:t> </w:t>
      </w:r>
      <w:r>
        <w:rPr/>
        <w:t>工作报告中明确提出</w:t>
      </w:r>
      <w:r>
        <w:rPr>
          <w:rFonts w:ascii="Times New Roman" w:hAnsi="Times New Roman" w:cs="Times New Roman" w:eastAsia="Times New Roman" w:hint="default"/>
        </w:rPr>
        <w:t>“</w:t>
      </w:r>
      <w:r>
        <w:rPr/>
        <w:t>深入实施《中国制造</w:t>
      </w:r>
      <w:r>
        <w:rPr>
          <w:rFonts w:ascii="Times New Roman" w:hAnsi="Times New Roman" w:cs="Times New Roman" w:eastAsia="Times New Roman" w:hint="default"/>
        </w:rPr>
        <w:t>2025</w:t>
      </w:r>
      <w:r>
        <w:rPr/>
        <w:t>》，加快大数据、云计算、物联网应用，以新技术新业态</w:t>
      </w:r>
      <w:r>
        <w:rPr>
          <w:w w:val="100"/>
        </w:rPr>
        <w:t> </w:t>
      </w:r>
      <w:r>
        <w:rPr>
          <w:spacing w:val="-2"/>
        </w:rPr>
        <w:t>新模式，推动传统产业生产、管理和营销模式变革。结合</w:t>
      </w:r>
      <w:r>
        <w:rPr>
          <w:rFonts w:ascii="Times New Roman" w:hAnsi="Times New Roman" w:cs="Times New Roman" w:eastAsia="Times New Roman" w:hint="default"/>
          <w:spacing w:val="-2"/>
        </w:rPr>
        <w:t>“</w:t>
      </w:r>
      <w:r>
        <w:rPr>
          <w:spacing w:val="-2"/>
        </w:rPr>
        <w:t>中国制造</w:t>
      </w:r>
      <w:r>
        <w:rPr>
          <w:rFonts w:ascii="Times New Roman" w:hAnsi="Times New Roman" w:cs="Times New Roman" w:eastAsia="Times New Roman" w:hint="default"/>
          <w:spacing w:val="-2"/>
        </w:rPr>
        <w:t>2025”</w:t>
      </w:r>
      <w:r>
        <w:rPr>
          <w:spacing w:val="-2"/>
        </w:rPr>
        <w:t>和</w:t>
      </w:r>
      <w:r>
        <w:rPr>
          <w:rFonts w:ascii="Times New Roman" w:hAnsi="Times New Roman" w:cs="Times New Roman" w:eastAsia="Times New Roman" w:hint="default"/>
          <w:spacing w:val="-2"/>
        </w:rPr>
        <w:t>“</w:t>
      </w:r>
      <w:r>
        <w:rPr>
          <w:spacing w:val="-2"/>
        </w:rPr>
        <w:t>十三五</w:t>
      </w:r>
      <w:r>
        <w:rPr>
          <w:rFonts w:ascii="Times New Roman" w:hAnsi="Times New Roman" w:cs="Times New Roman" w:eastAsia="Times New Roman" w:hint="default"/>
          <w:spacing w:val="-2"/>
        </w:rPr>
        <w:t>”</w:t>
      </w:r>
      <w:r>
        <w:rPr>
          <w:spacing w:val="-2"/>
        </w:rPr>
        <w:t>系列规划部署，工业</w:t>
      </w:r>
      <w:r>
        <w:rPr>
          <w:spacing w:val="-16"/>
        </w:rPr>
        <w:t> </w:t>
      </w:r>
      <w:r>
        <w:rPr>
          <w:spacing w:val="-16"/>
        </w:rPr>
      </w:r>
      <w:r>
        <w:rPr/>
        <w:t>和信息化部编制印发了《云计算发展三年行动计划（</w:t>
      </w:r>
      <w:r>
        <w:rPr>
          <w:rFonts w:ascii="Times New Roman" w:hAnsi="Times New Roman" w:cs="Times New Roman" w:eastAsia="Times New Roman" w:hint="default"/>
        </w:rPr>
        <w:t>2017-2019</w:t>
      </w:r>
      <w:r>
        <w:rPr/>
        <w:t>年）》。在《云计算发展三年行动计划</w:t>
      </w:r>
    </w:p>
    <w:p>
      <w:pPr>
        <w:pStyle w:val="BodyText"/>
        <w:spacing w:line="396" w:lineRule="auto" w:before="35"/>
        <w:ind w:right="101"/>
        <w:jc w:val="left"/>
      </w:pPr>
      <w:r>
        <w:rPr>
          <w:spacing w:val="-3"/>
        </w:rPr>
        <w:t>（</w:t>
      </w:r>
      <w:r>
        <w:rPr>
          <w:rFonts w:ascii="Times New Roman" w:hAnsi="Times New Roman" w:cs="Times New Roman" w:eastAsia="Times New Roman" w:hint="default"/>
          <w:spacing w:val="-3"/>
        </w:rPr>
        <w:t>2017-2019</w:t>
      </w:r>
      <w:r>
        <w:rPr>
          <w:spacing w:val="-3"/>
        </w:rPr>
        <w:t>年）》中提及</w:t>
      </w:r>
      <w:r>
        <w:rPr>
          <w:rFonts w:ascii="Times New Roman" w:hAnsi="Times New Roman" w:cs="Times New Roman" w:eastAsia="Times New Roman" w:hint="default"/>
          <w:spacing w:val="-3"/>
        </w:rPr>
        <w:t>“</w:t>
      </w:r>
      <w:r>
        <w:rPr>
          <w:spacing w:val="-3"/>
        </w:rPr>
        <w:t>十二五</w:t>
      </w:r>
      <w:r>
        <w:rPr>
          <w:rFonts w:ascii="Times New Roman" w:hAnsi="Times New Roman" w:cs="Times New Roman" w:eastAsia="Times New Roman" w:hint="default"/>
          <w:spacing w:val="-3"/>
        </w:rPr>
        <w:t>”</w:t>
      </w:r>
      <w:r>
        <w:rPr>
          <w:spacing w:val="-3"/>
        </w:rPr>
        <w:t>末期，我国云计算产业规模已达</w:t>
      </w:r>
      <w:r>
        <w:rPr>
          <w:rFonts w:ascii="Times New Roman" w:hAnsi="Times New Roman" w:cs="Times New Roman" w:eastAsia="Times New Roman" w:hint="default"/>
          <w:spacing w:val="-3"/>
        </w:rPr>
        <w:t>1500</w:t>
      </w:r>
      <w:r>
        <w:rPr>
          <w:spacing w:val="-3"/>
        </w:rPr>
        <w:t>亿元，产业发展势头迅猛、创新能</w:t>
      </w:r>
      <w:r>
        <w:rPr>
          <w:spacing w:val="-23"/>
        </w:rPr>
        <w:t> </w:t>
      </w:r>
      <w:r>
        <w:rPr>
          <w:spacing w:val="-23"/>
        </w:rPr>
      </w:r>
      <w:r>
        <w:rPr>
          <w:spacing w:val="-2"/>
        </w:rPr>
        <w:t>力显著增强、服务能力大幅提升、应用范畴不断拓展，已成为提升信息化发展水平、打造数字经济新动能</w:t>
      </w:r>
      <w:r>
        <w:rPr>
          <w:spacing w:val="-50"/>
        </w:rPr>
        <w:t> </w:t>
      </w:r>
      <w:r>
        <w:rPr>
          <w:spacing w:val="-50"/>
        </w:rPr>
      </w:r>
      <w:r>
        <w:rPr/>
        <w:t>的重要支撑。</w:t>
      </w:r>
      <w:r>
        <w:rPr>
          <w:rFonts w:ascii="Times New Roman" w:hAnsi="Times New Roman" w:cs="Times New Roman" w:eastAsia="Times New Roman" w:hint="default"/>
        </w:rPr>
        <w:t>”</w:t>
      </w:r>
      <w:r>
        <w:rPr/>
        <w:t>而在发展目标中明确</w:t>
      </w:r>
      <w:r>
        <w:rPr>
          <w:rFonts w:ascii="Times New Roman" w:hAnsi="Times New Roman" w:cs="Times New Roman" w:eastAsia="Times New Roman" w:hint="default"/>
        </w:rPr>
        <w:t>“</w:t>
      </w:r>
      <w:r>
        <w:rPr/>
        <w:t>到</w:t>
      </w:r>
      <w:r>
        <w:rPr>
          <w:rFonts w:ascii="Times New Roman" w:hAnsi="Times New Roman" w:cs="Times New Roman" w:eastAsia="Times New Roman" w:hint="default"/>
        </w:rPr>
        <w:t>2019</w:t>
      </w:r>
      <w:r>
        <w:rPr/>
        <w:t>年，我国云计算产业规模达到</w:t>
      </w:r>
      <w:r>
        <w:rPr>
          <w:rFonts w:ascii="Times New Roman" w:hAnsi="Times New Roman" w:cs="Times New Roman" w:eastAsia="Times New Roman" w:hint="default"/>
        </w:rPr>
        <w:t>4300</w:t>
      </w:r>
      <w:r>
        <w:rPr/>
        <w:t>亿元，突破一批核心关键技</w:t>
      </w:r>
      <w:r>
        <w:rPr>
          <w:w w:val="100"/>
        </w:rPr>
        <w:t> </w:t>
      </w:r>
      <w:r>
        <w:rPr>
          <w:spacing w:val="-2"/>
        </w:rPr>
        <w:t>术，云计算服务能力达到国际先进水平，对新一代信息产业发展的带动效应显著增强。云计算在制造、政</w:t>
      </w:r>
      <w:r>
        <w:rPr>
          <w:spacing w:val="-47"/>
        </w:rPr>
        <w:t> </w:t>
      </w:r>
      <w:r>
        <w:rPr>
          <w:spacing w:val="-47"/>
        </w:rPr>
      </w:r>
      <w:r>
        <w:rPr/>
        <w:t>务等领域的应用水平显著提升。云计算成为信息化建设主要形态和建设网络强国、制造强国的重要支撑，</w:t>
      </w:r>
      <w:r>
        <w:rPr>
          <w:w w:val="100"/>
        </w:rPr>
        <w:t> </w:t>
      </w:r>
      <w:r>
        <w:rPr>
          <w:spacing w:val="-3"/>
        </w:rPr>
        <w:t>推动经济社会各领域信息化水平大幅提高。</w:t>
      </w:r>
      <w:r>
        <w:rPr>
          <w:rFonts w:ascii="Times New Roman" w:hAnsi="Times New Roman" w:cs="Times New Roman" w:eastAsia="Times New Roman" w:hint="default"/>
          <w:spacing w:val="-3"/>
        </w:rPr>
        <w:t>” </w:t>
      </w:r>
      <w:r>
        <w:rPr>
          <w:spacing w:val="-4"/>
        </w:rPr>
        <w:t>此外，</w:t>
      </w: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2</w:t>
      </w:r>
      <w:r>
        <w:rPr>
          <w:spacing w:val="-4"/>
        </w:rPr>
        <w:t>月颁布的《战略性新兴产业重点产品和服务指</w:t>
      </w:r>
      <w:r>
        <w:rPr>
          <w:spacing w:val="-48"/>
        </w:rPr>
        <w:t> </w:t>
      </w:r>
      <w:r>
        <w:rPr>
          <w:spacing w:val="-48"/>
        </w:rPr>
      </w:r>
      <w:r>
        <w:rPr>
          <w:spacing w:val="-3"/>
        </w:rPr>
        <w:t>导目录》列举了大数据、互联网</w:t>
      </w:r>
      <w:r>
        <w:rPr>
          <w:rFonts w:ascii="Times New Roman" w:hAnsi="Times New Roman" w:cs="Times New Roman" w:eastAsia="Times New Roman" w:hint="default"/>
          <w:spacing w:val="-3"/>
        </w:rPr>
        <w:t>+</w:t>
      </w:r>
      <w:r>
        <w:rPr>
          <w:spacing w:val="-3"/>
        </w:rPr>
        <w:t>、人工智能与物联网的各种产品与应用，这些先进技术与云计算相结合，</w:t>
      </w:r>
      <w:r>
        <w:rPr>
          <w:spacing w:val="-10"/>
        </w:rPr>
        <w:t> </w:t>
      </w:r>
      <w:r>
        <w:rPr>
          <w:spacing w:val="-10"/>
        </w:rPr>
      </w:r>
      <w:r>
        <w:rPr/>
        <w:t>将深刻改变各行各业的面貌，创造大量的商业机会。</w:t>
      </w:r>
    </w:p>
    <w:p>
      <w:pPr>
        <w:pStyle w:val="BodyText"/>
        <w:spacing w:line="386" w:lineRule="auto" w:before="56"/>
        <w:ind w:right="101" w:firstLine="420"/>
        <w:jc w:val="left"/>
      </w:pPr>
      <w:r>
        <w:rPr>
          <w:spacing w:val="-2"/>
        </w:rPr>
        <w:t>近年以来，公司聚焦</w:t>
      </w:r>
      <w:r>
        <w:rPr>
          <w:rFonts w:ascii="Times New Roman" w:hAnsi="Times New Roman" w:cs="Times New Roman" w:eastAsia="Times New Roman" w:hint="default"/>
          <w:spacing w:val="-2"/>
        </w:rPr>
        <w:t>IT</w:t>
      </w:r>
      <w:r>
        <w:rPr>
          <w:spacing w:val="-2"/>
        </w:rPr>
        <w:t>基础设施产品与服务创新，持续加强云计算、大数据领域的技术积累，因此上</w:t>
      </w:r>
      <w:r>
        <w:rPr>
          <w:w w:val="100"/>
        </w:rPr>
        <w:t> </w:t>
      </w:r>
      <w:r>
        <w:rPr/>
        <w:t>述宏观发展趋势为公司发展提供了一个有望实现跨越式发展的大舞台。</w:t>
      </w:r>
    </w:p>
    <w:p>
      <w:pPr>
        <w:pStyle w:val="BodyText"/>
        <w:spacing w:line="408" w:lineRule="auto" w:before="65"/>
        <w:ind w:left="573" w:right="101" w:hanging="421"/>
        <w:jc w:val="left"/>
      </w:pPr>
      <w:r>
        <w:rPr/>
        <w:t>（二）公司发展战略</w:t>
      </w:r>
      <w:r>
        <w:rPr>
          <w:w w:val="100"/>
        </w:rPr>
        <w:t> </w:t>
      </w:r>
      <w:r>
        <w:rPr>
          <w:rFonts w:ascii="宋体" w:hAnsi="宋体" w:cs="宋体" w:eastAsia="宋体" w:hint="default"/>
          <w:spacing w:val="-4"/>
          <w:w w:val="100"/>
        </w:rPr>
        <w:t>2018</w:t>
      </w:r>
      <w:r>
        <w:rPr>
          <w:spacing w:val="-4"/>
          <w:w w:val="100"/>
        </w:rPr>
        <w:t>年</w:t>
      </w:r>
      <w:r>
        <w:rPr>
          <w:rFonts w:ascii="宋体" w:hAnsi="宋体" w:cs="宋体" w:eastAsia="宋体" w:hint="default"/>
          <w:spacing w:val="-4"/>
          <w:w w:val="100"/>
        </w:rPr>
        <w:t>,</w:t>
      </w:r>
      <w:r>
        <w:rPr>
          <w:spacing w:val="-4"/>
          <w:w w:val="100"/>
        </w:rPr>
        <w:t>公司将在</w:t>
      </w:r>
      <w:r>
        <w:rPr>
          <w:rFonts w:ascii="Times New Roman" w:hAnsi="Times New Roman" w:cs="Times New Roman" w:eastAsia="Times New Roman" w:hint="default"/>
          <w:spacing w:val="-4"/>
          <w:w w:val="100"/>
        </w:rPr>
        <w:t>“IT</w:t>
      </w:r>
      <w:r>
        <w:rPr>
          <w:spacing w:val="-4"/>
          <w:w w:val="100"/>
        </w:rPr>
        <w:t>架构国产化的开路先锋</w:t>
      </w:r>
      <w:r>
        <w:rPr>
          <w:rFonts w:ascii="Times New Roman" w:hAnsi="Times New Roman" w:cs="Times New Roman" w:eastAsia="Times New Roman" w:hint="default"/>
          <w:spacing w:val="-4"/>
          <w:w w:val="100"/>
        </w:rPr>
        <w:t>”</w:t>
      </w:r>
      <w:r>
        <w:rPr>
          <w:spacing w:val="-4"/>
          <w:w w:val="100"/>
        </w:rPr>
        <w:t>战略定位的指引下，继续深耕基础架构国产化和行业互联</w:t>
      </w:r>
    </w:p>
    <w:p>
      <w:pPr>
        <w:pStyle w:val="BodyText"/>
        <w:spacing w:line="408" w:lineRule="auto" w:before="14"/>
        <w:ind w:right="101"/>
        <w:jc w:val="left"/>
        <w:rPr>
          <w:rFonts w:ascii="宋体" w:hAnsi="宋体" w:cs="宋体" w:eastAsia="宋体" w:hint="default"/>
        </w:rPr>
      </w:pPr>
      <w:r>
        <w:rPr>
          <w:spacing w:val="-2"/>
        </w:rPr>
        <w:t>网化两大战略发展方向。公司将在目前的产品与客户基础上，坚持自主研发和技术积累，加强与客户共同</w:t>
      </w:r>
      <w:r>
        <w:rPr>
          <w:spacing w:val="-43"/>
        </w:rPr>
        <w:t> </w:t>
      </w:r>
      <w:r>
        <w:rPr>
          <w:spacing w:val="-43"/>
        </w:rPr>
      </w:r>
      <w:r>
        <w:rPr/>
        <w:t>创新，并借助资本的力量，争取更高的市场占有率和影响力。</w:t>
      </w:r>
      <w:r>
        <w:rPr>
          <w:rFonts w:ascii="宋体" w:hAnsi="宋体" w:cs="宋体" w:eastAsia="宋体" w:hint="default"/>
        </w:rPr>
        <w:t> </w:t>
      </w:r>
    </w:p>
    <w:p>
      <w:pPr>
        <w:pStyle w:val="BodyText"/>
        <w:spacing w:line="393" w:lineRule="auto" w:before="46"/>
        <w:ind w:right="206" w:firstLine="420"/>
        <w:jc w:val="both"/>
      </w:pPr>
      <w:r>
        <w:rPr>
          <w:spacing w:val="-4"/>
        </w:rPr>
        <w:t>在基础架构领域，天玑将继续坚持</w:t>
      </w:r>
      <w:r>
        <w:rPr>
          <w:rFonts w:ascii="Times New Roman" w:hAnsi="Times New Roman" w:cs="Times New Roman" w:eastAsia="Times New Roman" w:hint="default"/>
          <w:spacing w:val="-4"/>
        </w:rPr>
        <w:t>“</w:t>
      </w:r>
      <w:r>
        <w:rPr>
          <w:spacing w:val="-4"/>
        </w:rPr>
        <w:t>以可信赖的</w:t>
      </w:r>
      <w:r>
        <w:rPr>
          <w:rFonts w:ascii="Times New Roman" w:hAnsi="Times New Roman" w:cs="Times New Roman" w:eastAsia="Times New Roman" w:hint="default"/>
          <w:spacing w:val="-4"/>
        </w:rPr>
        <w:t>IT</w:t>
      </w:r>
      <w:r>
        <w:rPr>
          <w:spacing w:val="-4"/>
        </w:rPr>
        <w:t>服务为基础大力拓展客户市场，以持续创新的自主产</w:t>
      </w:r>
      <w:r>
        <w:rPr>
          <w:w w:val="100"/>
        </w:rPr>
        <w:t> </w:t>
      </w:r>
      <w:r>
        <w:rPr>
          <w:spacing w:val="-4"/>
        </w:rPr>
        <w:t>品积极满足客户发展需求</w:t>
      </w:r>
      <w:r>
        <w:rPr>
          <w:rFonts w:ascii="Times New Roman" w:hAnsi="Times New Roman" w:cs="Times New Roman" w:eastAsia="Times New Roman" w:hint="default"/>
          <w:spacing w:val="-4"/>
        </w:rPr>
        <w:t>”</w:t>
      </w:r>
      <w:r>
        <w:rPr>
          <w:spacing w:val="-4"/>
        </w:rPr>
        <w:t>，推动</w:t>
      </w:r>
      <w:r>
        <w:rPr>
          <w:rFonts w:ascii="Times New Roman" w:hAnsi="Times New Roman" w:cs="Times New Roman" w:eastAsia="Times New Roman" w:hint="default"/>
          <w:spacing w:val="-4"/>
        </w:rPr>
        <w:t>IT</w:t>
      </w:r>
      <w:r>
        <w:rPr>
          <w:spacing w:val="-4"/>
        </w:rPr>
        <w:t>基础架构国产化。一方面，公司将致力优化企业数据中心服务，提升服</w:t>
      </w:r>
      <w:r>
        <w:rPr>
          <w:spacing w:val="-29"/>
        </w:rPr>
        <w:t> </w:t>
      </w:r>
      <w:r>
        <w:rPr>
          <w:spacing w:val="-29"/>
        </w:rPr>
      </w:r>
      <w:r>
        <w:rPr>
          <w:spacing w:val="-2"/>
        </w:rPr>
        <w:t>务效率和服务质量，拓展市场，并与核心客户联合创新，把互联网的技术架构与系统管理模式，引入到企</w:t>
      </w:r>
      <w:r>
        <w:rPr>
          <w:spacing w:val="-49"/>
        </w:rPr>
        <w:t> </w:t>
      </w:r>
      <w:r>
        <w:rPr>
          <w:spacing w:val="-49"/>
        </w:rPr>
      </w:r>
      <w:r>
        <w:rPr>
          <w:spacing w:val="-2"/>
        </w:rPr>
        <w:t>业数据中心落地。另一方面，公司将在云计算、大数据领域坚持自主研发，通过控股子公司天玑数据，进</w:t>
      </w:r>
    </w:p>
    <w:p>
      <w:pPr>
        <w:spacing w:after="0" w:line="393" w:lineRule="auto"/>
        <w:jc w:val="both"/>
        <w:sectPr>
          <w:pgSz w:w="11910" w:h="16840"/>
          <w:pgMar w:header="745" w:footer="979" w:top="1060" w:bottom="1160" w:left="980" w:right="920"/>
        </w:sectPr>
      </w:pPr>
    </w:p>
    <w:p>
      <w:pPr>
        <w:spacing w:line="240" w:lineRule="auto" w:before="0"/>
        <w:rPr>
          <w:rFonts w:ascii="宋体" w:hAnsi="宋体" w:cs="宋体" w:eastAsia="宋体" w:hint="default"/>
          <w:sz w:val="20"/>
          <w:szCs w:val="20"/>
        </w:rPr>
      </w:pPr>
    </w:p>
    <w:p>
      <w:pPr>
        <w:pStyle w:val="BodyText"/>
        <w:spacing w:line="398" w:lineRule="auto" w:before="176"/>
        <w:ind w:right="101"/>
        <w:jc w:val="left"/>
      </w:pPr>
      <w:r>
        <w:rPr>
          <w:spacing w:val="-5"/>
        </w:rPr>
        <w:t>一步聚焦软件定义的数据存储产品，并加大市场营销力度，提升品牌形象与口碑，推广到更多的行业客户。</w:t>
      </w:r>
      <w:r>
        <w:rPr>
          <w:spacing w:val="-4"/>
        </w:rPr>
        <w:t> </w:t>
      </w:r>
      <w:r>
        <w:rPr>
          <w:spacing w:val="-4"/>
        </w:rPr>
      </w:r>
      <w:r>
        <w:rPr>
          <w:rFonts w:ascii="Times New Roman" w:hAnsi="Times New Roman" w:cs="Times New Roman" w:eastAsia="Times New Roman" w:hint="default"/>
          <w:spacing w:val="-2"/>
        </w:rPr>
        <w:t>2018</w:t>
      </w:r>
      <w:r>
        <w:rPr>
          <w:spacing w:val="-2"/>
        </w:rPr>
        <w:t>年，公司也将积极尝试用人工智能技术加强自身产品，并使用人工智能技术帮助企业解决实际应用中</w:t>
      </w:r>
      <w:r>
        <w:rPr>
          <w:spacing w:val="-40"/>
        </w:rPr>
        <w:t> </w:t>
      </w:r>
      <w:r>
        <w:rPr>
          <w:spacing w:val="-40"/>
        </w:rPr>
      </w:r>
      <w:r>
        <w:rPr/>
        <w:t>的问题，形成标杆客户。</w:t>
      </w:r>
    </w:p>
    <w:p>
      <w:pPr>
        <w:pStyle w:val="BodyText"/>
        <w:spacing w:line="398" w:lineRule="auto" w:before="54"/>
        <w:ind w:right="184" w:firstLine="420"/>
        <w:jc w:val="both"/>
      </w:pPr>
      <w:r>
        <w:rPr>
          <w:spacing w:val="-4"/>
        </w:rPr>
        <w:t>行业互联网化是天玑战略落地的另一大方向。随着互联网</w:t>
      </w:r>
      <w:r>
        <w:rPr>
          <w:rFonts w:ascii="Times New Roman" w:hAnsi="Times New Roman" w:cs="Times New Roman" w:eastAsia="Times New Roman" w:hint="default"/>
          <w:spacing w:val="-4"/>
        </w:rPr>
        <w:t>/</w:t>
      </w:r>
      <w:r>
        <w:rPr>
          <w:spacing w:val="-4"/>
        </w:rPr>
        <w:t>物联网技术对生产生活领域的渗透，互联网</w:t>
      </w:r>
      <w:r>
        <w:rPr>
          <w:w w:val="100"/>
        </w:rPr>
        <w:t> </w:t>
      </w:r>
      <w:r>
        <w:rPr>
          <w:spacing w:val="-2"/>
        </w:rPr>
        <w:t>公司影响力的扩张，互联网</w:t>
      </w:r>
      <w:r>
        <w:rPr>
          <w:rFonts w:ascii="Times New Roman" w:hAnsi="Times New Roman" w:cs="Times New Roman" w:eastAsia="Times New Roman" w:hint="default"/>
          <w:spacing w:val="-2"/>
        </w:rPr>
        <w:t>+</w:t>
      </w:r>
      <w:r>
        <w:rPr>
          <w:spacing w:val="-2"/>
        </w:rPr>
        <w:t>的模式深入人心；与此同时，运营商对窄带物联网和</w:t>
      </w:r>
      <w:r>
        <w:rPr>
          <w:rFonts w:ascii="Times New Roman" w:hAnsi="Times New Roman" w:cs="Times New Roman" w:eastAsia="Times New Roman" w:hint="default"/>
          <w:spacing w:val="-2"/>
        </w:rPr>
        <w:t>5G</w:t>
      </w:r>
      <w:r>
        <w:rPr>
          <w:spacing w:val="-2"/>
        </w:rPr>
        <w:t>加大投入，客观上加</w:t>
      </w:r>
      <w:r>
        <w:rPr>
          <w:spacing w:val="-20"/>
        </w:rPr>
        <w:t> </w:t>
      </w:r>
      <w:r>
        <w:rPr>
          <w:spacing w:val="-20"/>
        </w:rPr>
      </w:r>
      <w:r>
        <w:rPr>
          <w:spacing w:val="-2"/>
        </w:rPr>
        <w:t>强了物物互联的基础。因此，许多行业都在数字化转型的过程中。所谓数字化，并非是一项单一的技术，</w:t>
      </w:r>
      <w:r>
        <w:rPr>
          <w:spacing w:val="-21"/>
        </w:rPr>
        <w:t> </w:t>
      </w:r>
      <w:r>
        <w:rPr>
          <w:spacing w:val="-21"/>
        </w:rPr>
      </w:r>
      <w:r>
        <w:rPr>
          <w:spacing w:val="-2"/>
        </w:rPr>
        <w:t>而是云计算、移动化、物联网、数据分析、人工智能乃至信息安全等一系列技术的组合，甚至有可能改变</w:t>
      </w:r>
      <w:r>
        <w:rPr>
          <w:spacing w:val="-43"/>
        </w:rPr>
        <w:t> </w:t>
      </w:r>
      <w:r>
        <w:rPr>
          <w:spacing w:val="-43"/>
        </w:rPr>
      </w:r>
      <w:r>
        <w:rPr>
          <w:spacing w:val="-2"/>
        </w:rPr>
        <w:t>行业格局与商业模式。天玑将在</w:t>
      </w:r>
      <w:r>
        <w:rPr>
          <w:rFonts w:ascii="Times New Roman" w:hAnsi="Times New Roman" w:cs="Times New Roman" w:eastAsia="Times New Roman" w:hint="default"/>
          <w:spacing w:val="-2"/>
        </w:rPr>
        <w:t>2018</w:t>
      </w:r>
      <w:r>
        <w:rPr>
          <w:spacing w:val="-2"/>
        </w:rPr>
        <w:t>年发挥手中的云计算和大数据技术积累，加强对物联网技术的布局，</w:t>
      </w:r>
      <w:r>
        <w:rPr>
          <w:spacing w:val="-16"/>
        </w:rPr>
        <w:t> </w:t>
      </w:r>
      <w:r>
        <w:rPr>
          <w:spacing w:val="-16"/>
        </w:rPr>
      </w:r>
      <w:r>
        <w:rPr>
          <w:spacing w:val="-2"/>
        </w:rPr>
        <w:t>与核心客户紧密合作，寻求用创新技术解决行业共性问题，探索行业云建设运营的机会，提供有价值、有</w:t>
      </w:r>
      <w:r>
        <w:rPr>
          <w:spacing w:val="-47"/>
        </w:rPr>
        <w:t> </w:t>
      </w:r>
      <w:r>
        <w:rPr>
          <w:spacing w:val="-47"/>
        </w:rPr>
      </w:r>
      <w:r>
        <w:rPr/>
        <w:t>特色的企业云服务。</w:t>
      </w:r>
    </w:p>
    <w:p>
      <w:pPr>
        <w:pStyle w:val="BodyText"/>
        <w:spacing w:line="391" w:lineRule="auto" w:before="54"/>
        <w:ind w:right="101" w:firstLine="336"/>
        <w:jc w:val="left"/>
      </w:pPr>
      <w:r>
        <w:rPr>
          <w:rFonts w:ascii="Times New Roman" w:hAnsi="Times New Roman" w:cs="Times New Roman" w:eastAsia="Times New Roman" w:hint="default"/>
        </w:rPr>
        <w:t>2018</w:t>
      </w:r>
      <w:r>
        <w:rPr/>
        <w:t>年公司将围绕上述两个战略方向，在云服务、大数据、物联网乃至信息安全领域，更为积极和系</w:t>
      </w:r>
      <w:r>
        <w:rPr>
          <w:w w:val="100"/>
        </w:rPr>
        <w:t> </w:t>
      </w:r>
      <w:r>
        <w:rPr>
          <w:spacing w:val="-2"/>
        </w:rPr>
        <w:t>统化地寻求外延式发展。</w:t>
      </w:r>
      <w:r>
        <w:rPr>
          <w:rFonts w:ascii="Times New Roman" w:hAnsi="Times New Roman" w:cs="Times New Roman" w:eastAsia="Times New Roman" w:hint="default"/>
          <w:spacing w:val="-2"/>
        </w:rPr>
        <w:t>2015</w:t>
      </w:r>
      <w:r>
        <w:rPr>
          <w:spacing w:val="-2"/>
        </w:rPr>
        <w:t>年年初，公司参与北极光创投旗下的人民币基金，以便拓展投资渠道，降低</w:t>
      </w:r>
      <w:r>
        <w:rPr>
          <w:spacing w:val="-43"/>
        </w:rPr>
        <w:t> </w:t>
      </w:r>
      <w:r>
        <w:rPr>
          <w:spacing w:val="-43"/>
        </w:rPr>
      </w:r>
      <w:r>
        <w:rPr>
          <w:spacing w:val="-2"/>
        </w:rPr>
        <w:t>投资风险；同年，控股子公司天玑数据对深圳市杉岩数据技术有限公司的投资，并于</w:t>
      </w:r>
      <w:r>
        <w:rPr>
          <w:rFonts w:ascii="Times New Roman" w:hAnsi="Times New Roman" w:cs="Times New Roman" w:eastAsia="Times New Roman" w:hint="default"/>
          <w:spacing w:val="-2"/>
        </w:rPr>
        <w:t>2017</w:t>
      </w:r>
      <w:r>
        <w:rPr>
          <w:spacing w:val="-2"/>
        </w:rPr>
        <w:t>年获得顺为资本</w:t>
      </w:r>
      <w:r>
        <w:rPr>
          <w:spacing w:val="-39"/>
        </w:rPr>
        <w:t> </w:t>
      </w:r>
      <w:r>
        <w:rPr>
          <w:spacing w:val="-39"/>
        </w:rPr>
      </w:r>
      <w:r>
        <w:rPr>
          <w:spacing w:val="-2"/>
        </w:rPr>
        <w:t>领投的下一轮投资。经过近年来对上述投资项目的持续跟踪与管理，有助于公司拓宽眼界，提升早期投资</w:t>
      </w:r>
      <w:r>
        <w:rPr>
          <w:spacing w:val="-44"/>
        </w:rPr>
        <w:t> </w:t>
      </w:r>
      <w:r>
        <w:rPr>
          <w:spacing w:val="-44"/>
        </w:rPr>
      </w:r>
      <w:r>
        <w:rPr>
          <w:spacing w:val="-4"/>
        </w:rPr>
        <w:t>能力。在后续工作中，我们将会</w:t>
      </w:r>
      <w:r>
        <w:rPr>
          <w:rFonts w:ascii="Times New Roman" w:hAnsi="Times New Roman" w:cs="Times New Roman" w:eastAsia="Times New Roman" w:hint="default"/>
          <w:spacing w:val="-4"/>
        </w:rPr>
        <w:t>“</w:t>
      </w:r>
      <w:r>
        <w:rPr>
          <w:spacing w:val="-4"/>
        </w:rPr>
        <w:t>早期股权投资</w:t>
      </w:r>
      <w:r>
        <w:rPr>
          <w:rFonts w:ascii="Times New Roman" w:hAnsi="Times New Roman" w:cs="Times New Roman" w:eastAsia="Times New Roman" w:hint="default"/>
          <w:spacing w:val="-4"/>
        </w:rPr>
        <w:t>”</w:t>
      </w:r>
      <w:r>
        <w:rPr>
          <w:spacing w:val="-4"/>
        </w:rPr>
        <w:t>和</w:t>
      </w:r>
      <w:r>
        <w:rPr>
          <w:rFonts w:ascii="Times New Roman" w:hAnsi="Times New Roman" w:cs="Times New Roman" w:eastAsia="Times New Roman" w:hint="default"/>
          <w:spacing w:val="-4"/>
        </w:rPr>
        <w:t>“</w:t>
      </w:r>
      <w:r>
        <w:rPr>
          <w:spacing w:val="-4"/>
        </w:rPr>
        <w:t>并购控股</w:t>
      </w:r>
      <w:r>
        <w:rPr>
          <w:rFonts w:ascii="Times New Roman" w:hAnsi="Times New Roman" w:cs="Times New Roman" w:eastAsia="Times New Roman" w:hint="default"/>
          <w:spacing w:val="-4"/>
        </w:rPr>
        <w:t>”</w:t>
      </w:r>
      <w:r>
        <w:rPr>
          <w:spacing w:val="-4"/>
        </w:rPr>
        <w:t>双管齐下，夯实技术优势，强化产业链布局， </w:t>
      </w:r>
      <w:r>
        <w:rPr/>
        <w:t>增厚公司业绩。</w:t>
      </w:r>
    </w:p>
    <w:p>
      <w:pPr>
        <w:pStyle w:val="BodyText"/>
        <w:spacing w:line="400" w:lineRule="auto" w:before="61"/>
        <w:ind w:right="206" w:firstLine="420"/>
        <w:jc w:val="both"/>
      </w:pPr>
      <w:r>
        <w:rPr>
          <w:spacing w:val="-2"/>
        </w:rPr>
        <w:t>总而言之，天玑将加强研发投入和市场推广，提升企业品牌与市场地位，利用云计算、大数据、人工</w:t>
      </w:r>
      <w:r>
        <w:rPr>
          <w:w w:val="100"/>
        </w:rPr>
        <w:t> </w:t>
      </w:r>
      <w:r>
        <w:rPr>
          <w:spacing w:val="-2"/>
        </w:rPr>
        <w:t>智能等先进技术，提升</w:t>
      </w:r>
      <w:r>
        <w:rPr>
          <w:rFonts w:ascii="Times New Roman" w:hAnsi="Times New Roman" w:cs="Times New Roman" w:eastAsia="Times New Roman" w:hint="default"/>
          <w:spacing w:val="-2"/>
        </w:rPr>
        <w:t>IT</w:t>
      </w:r>
      <w:r>
        <w:rPr>
          <w:spacing w:val="-2"/>
        </w:rPr>
        <w:t>基础架构服务的效率和质量，推广自身的软件定义存储及其他产品，并与核心客</w:t>
      </w:r>
      <w:r>
        <w:rPr>
          <w:spacing w:val="-31"/>
        </w:rPr>
        <w:t> </w:t>
      </w:r>
      <w:r>
        <w:rPr>
          <w:spacing w:val="-31"/>
        </w:rPr>
      </w:r>
      <w:r>
        <w:rPr>
          <w:spacing w:val="-2"/>
        </w:rPr>
        <w:t>户合作，云化基础架构和行业特色应用相结合，积极推进行业云的布局与建设；同时借助资本力量，围绕</w:t>
      </w:r>
      <w:r>
        <w:rPr>
          <w:spacing w:val="-47"/>
        </w:rPr>
        <w:t> </w:t>
      </w:r>
      <w:r>
        <w:rPr>
          <w:spacing w:val="-47"/>
        </w:rPr>
      </w:r>
      <w:r>
        <w:rPr>
          <w:spacing w:val="-2"/>
        </w:rPr>
        <w:t>着上述的两大战略方向，更积极地进行投资和并购，寻求新的利润增长点</w:t>
      </w:r>
      <w:r>
        <w:rPr>
          <w:rFonts w:ascii="Times New Roman" w:hAnsi="Times New Roman" w:cs="Times New Roman" w:eastAsia="Times New Roman" w:hint="default"/>
          <w:spacing w:val="-2"/>
        </w:rPr>
        <w:t>,</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spacing w:val="-2"/>
        </w:rPr>
        <w:t>营造良好的企业生态环境。</w:t>
      </w:r>
    </w:p>
    <w:p>
      <w:pPr>
        <w:pStyle w:val="BodyText"/>
        <w:spacing w:line="240" w:lineRule="auto" w:before="21"/>
        <w:ind w:right="101"/>
        <w:jc w:val="left"/>
      </w:pPr>
      <w:r>
        <w:rPr/>
        <w:t>（三）公司</w:t>
      </w:r>
      <w:r>
        <w:rPr>
          <w:rFonts w:ascii="Times New Roman" w:hAnsi="Times New Roman" w:cs="Times New Roman" w:eastAsia="Times New Roman" w:hint="default"/>
        </w:rPr>
        <w:t>2018</w:t>
      </w:r>
      <w:r>
        <w:rPr/>
        <w:t>年度经营计划</w:t>
      </w:r>
    </w:p>
    <w:p>
      <w:pPr>
        <w:pStyle w:val="BodyText"/>
        <w:spacing w:line="240" w:lineRule="auto" w:before="178"/>
        <w:ind w:right="101"/>
        <w:jc w:val="left"/>
      </w:pPr>
      <w:r>
        <w:rPr>
          <w:rFonts w:ascii="Times New Roman" w:hAnsi="Times New Roman" w:cs="Times New Roman" w:eastAsia="Times New Roman" w:hint="default"/>
        </w:rPr>
        <w:t>1</w:t>
      </w:r>
      <w:r>
        <w:rPr/>
        <w:t>、产品与服务并举，深耕数据中心。</w:t>
      </w:r>
    </w:p>
    <w:p>
      <w:pPr>
        <w:pStyle w:val="BodyText"/>
        <w:spacing w:line="403" w:lineRule="auto" w:before="177"/>
        <w:ind w:right="206" w:firstLine="336"/>
        <w:jc w:val="both"/>
      </w:pPr>
      <w:r>
        <w:rPr>
          <w:rFonts w:ascii="Times New Roman" w:hAnsi="Times New Roman" w:cs="Times New Roman" w:eastAsia="Times New Roman" w:hint="default"/>
          <w:spacing w:val="-2"/>
        </w:rPr>
        <w:t>2018</w:t>
      </w:r>
      <w:r>
        <w:rPr>
          <w:spacing w:val="-2"/>
        </w:rPr>
        <w:t>公司将依托智慧数据中心研发募投项目，持续投入研发基于容器技术的弹性智慧数据中心项目，</w:t>
      </w:r>
      <w:r>
        <w:rPr>
          <w:w w:val="100"/>
        </w:rPr>
        <w:t> </w:t>
      </w:r>
      <w:r>
        <w:rPr>
          <w:spacing w:val="-2"/>
        </w:rPr>
        <w:t>形成有竞争力的云化数据中心管理软件产品，并不断健全以市场为导向的研发体系，使产品研发成果更容</w:t>
      </w:r>
      <w:r>
        <w:rPr>
          <w:spacing w:val="-43"/>
        </w:rPr>
        <w:t> </w:t>
      </w:r>
      <w:r>
        <w:rPr>
          <w:spacing w:val="-43"/>
        </w:rPr>
      </w:r>
      <w:r>
        <w:rPr>
          <w:spacing w:val="-2"/>
        </w:rPr>
        <w:t>易向市场转化，提高研发流程管理的水平，提升研发团队的技术创新能力和整体开发效率。同时，凭借技</w:t>
      </w:r>
      <w:r>
        <w:rPr>
          <w:spacing w:val="-45"/>
        </w:rPr>
        <w:t> </w:t>
      </w:r>
      <w:r>
        <w:rPr>
          <w:spacing w:val="-45"/>
        </w:rPr>
      </w:r>
      <w:r>
        <w:rPr>
          <w:spacing w:val="-2"/>
        </w:rPr>
        <w:t>术创新和管理优化，保障数据中心服务质量，提高服务效率，并积极努力将自身的云计算、大数据产品导</w:t>
      </w:r>
      <w:r>
        <w:rPr>
          <w:spacing w:val="-50"/>
        </w:rPr>
        <w:t> </w:t>
      </w:r>
      <w:r>
        <w:rPr>
          <w:spacing w:val="-50"/>
        </w:rPr>
      </w:r>
      <w:r>
        <w:rPr>
          <w:spacing w:val="-2"/>
        </w:rPr>
        <w:t>入服务客户。公司将通过服务与产品双驱动的方式，巩固主营业务，拓宽客户群，提升对行业客户的粘性</w:t>
      </w:r>
      <w:r>
        <w:rPr>
          <w:spacing w:val="-47"/>
        </w:rPr>
        <w:t> </w:t>
      </w:r>
      <w:r>
        <w:rPr>
          <w:spacing w:val="-47"/>
        </w:rPr>
      </w:r>
      <w:r>
        <w:rPr/>
        <w:t>与影响力。</w:t>
      </w:r>
    </w:p>
    <w:p>
      <w:pPr>
        <w:pStyle w:val="BodyText"/>
        <w:spacing w:line="386" w:lineRule="auto" w:before="50"/>
        <w:ind w:left="573" w:right="101" w:hanging="421"/>
        <w:jc w:val="left"/>
      </w:pPr>
      <w:r>
        <w:rPr>
          <w:rFonts w:ascii="Times New Roman" w:hAnsi="Times New Roman" w:cs="Times New Roman" w:eastAsia="Times New Roman" w:hint="default"/>
        </w:rPr>
        <w:t>2</w:t>
      </w:r>
      <w:r>
        <w:rPr/>
        <w:t>、与客户共同创新，促成行业云服务落地。</w:t>
      </w:r>
      <w:r>
        <w:rPr>
          <w:w w:val="100"/>
        </w:rPr>
        <w:t> </w:t>
      </w:r>
      <w:r>
        <w:rPr>
          <w:spacing w:val="-2"/>
        </w:rPr>
        <w:t>利用多年积累的服务优势与客户信任，承接创新型的开发及运维项目，与客户共同创新。积极接触人</w:t>
      </w:r>
    </w:p>
    <w:p>
      <w:pPr>
        <w:spacing w:after="0" w:line="386" w:lineRule="auto"/>
        <w:jc w:val="left"/>
        <w:sectPr>
          <w:footerReference w:type="default" r:id="rId14"/>
          <w:pgSz w:w="11910" w:h="16840"/>
          <w:pgMar w:footer="979" w:header="745" w:top="1060" w:bottom="1160" w:left="980" w:right="920"/>
          <w:pgNumType w:start="40"/>
        </w:sectPr>
      </w:pPr>
    </w:p>
    <w:p>
      <w:pPr>
        <w:spacing w:line="240" w:lineRule="auto" w:before="0"/>
        <w:rPr>
          <w:rFonts w:ascii="宋体" w:hAnsi="宋体" w:cs="宋体" w:eastAsia="宋体" w:hint="default"/>
          <w:sz w:val="20"/>
          <w:szCs w:val="20"/>
        </w:rPr>
      </w:pPr>
    </w:p>
    <w:p>
      <w:pPr>
        <w:pStyle w:val="BodyText"/>
        <w:spacing w:line="408" w:lineRule="auto" w:before="176"/>
        <w:ind w:right="101"/>
        <w:jc w:val="left"/>
      </w:pPr>
      <w:r>
        <w:rPr>
          <w:spacing w:val="-2"/>
        </w:rPr>
        <w:t>工智能、物联网的行业应用机会，加强相关技术积累，并进行解决方案产品化和行业内推广。积极寻找机</w:t>
      </w:r>
      <w:r>
        <w:rPr>
          <w:spacing w:val="-50"/>
        </w:rPr>
        <w:t> </w:t>
      </w:r>
      <w:r>
        <w:rPr>
          <w:spacing w:val="-50"/>
        </w:rPr>
      </w:r>
      <w:r>
        <w:rPr/>
        <w:t>会，帮助核心客户建设及运营有行业特色的云服务项目，形成长期可持续的营收来源。</w:t>
      </w:r>
      <w:r>
        <w:rPr>
          <w:w w:val="100"/>
        </w:rPr>
        <w:t> </w:t>
      </w:r>
      <w:r>
        <w:rPr>
          <w:rFonts w:ascii="Times New Roman" w:hAnsi="Times New Roman" w:cs="Times New Roman" w:eastAsia="Times New Roman" w:hint="default"/>
        </w:rPr>
        <w:t>3</w:t>
      </w:r>
      <w:r>
        <w:rPr/>
        <w:t>、加大研发投入，聚焦软件定义存储。</w:t>
      </w:r>
    </w:p>
    <w:p>
      <w:pPr>
        <w:pStyle w:val="BodyText"/>
        <w:spacing w:line="393" w:lineRule="auto" w:before="14"/>
        <w:ind w:right="101" w:firstLine="420"/>
        <w:jc w:val="left"/>
      </w:pPr>
      <w:r>
        <w:rPr>
          <w:spacing w:val="-4"/>
        </w:rPr>
        <w:t>根据</w:t>
      </w:r>
      <w:r>
        <w:rPr>
          <w:rFonts w:ascii="Times New Roman" w:hAnsi="Times New Roman" w:cs="Times New Roman" w:eastAsia="Times New Roman" w:hint="default"/>
          <w:spacing w:val="-4"/>
        </w:rPr>
        <w:t>CCW</w:t>
      </w:r>
      <w:r>
        <w:rPr>
          <w:spacing w:val="-4"/>
        </w:rPr>
        <w:t>计世咨询的行业分析报告，中国的软件定义存储市场到</w:t>
      </w:r>
      <w:r>
        <w:rPr>
          <w:rFonts w:ascii="Times New Roman" w:hAnsi="Times New Roman" w:cs="Times New Roman" w:eastAsia="Times New Roman" w:hint="default"/>
          <w:spacing w:val="-4"/>
        </w:rPr>
        <w:t>2020</w:t>
      </w:r>
      <w:r>
        <w:rPr>
          <w:spacing w:val="-4"/>
        </w:rPr>
        <w:t>年将超过百亿产值。大数据的落</w:t>
      </w:r>
      <w:r>
        <w:rPr>
          <w:w w:val="100"/>
        </w:rPr>
        <w:t> </w:t>
      </w:r>
      <w:r>
        <w:rPr>
          <w:spacing w:val="-2"/>
        </w:rPr>
        <w:t>地存储将是一个刚需。</w:t>
      </w:r>
      <w:r>
        <w:rPr>
          <w:rFonts w:ascii="Times New Roman" w:hAnsi="Times New Roman" w:cs="Times New Roman" w:eastAsia="Times New Roman" w:hint="default"/>
          <w:spacing w:val="-2"/>
        </w:rPr>
        <w:t>2018</w:t>
      </w:r>
      <w:r>
        <w:rPr>
          <w:spacing w:val="-2"/>
        </w:rPr>
        <w:t>年，公司将以控股子公司天玑数据为支点，加强其目前已形成的三条产品线，</w:t>
      </w:r>
      <w:r>
        <w:rPr>
          <w:spacing w:val="-21"/>
        </w:rPr>
        <w:t> </w:t>
      </w:r>
      <w:r>
        <w:rPr>
          <w:spacing w:val="-21"/>
        </w:rPr>
      </w:r>
      <w:r>
        <w:rPr/>
        <w:t>持续投入研发和市场推广，争取在新兴的软件定义存储领域获得市场领导地位。</w:t>
      </w:r>
      <w:r>
        <w:rPr>
          <w:w w:val="100"/>
        </w:rPr>
        <w:t> </w:t>
      </w:r>
      <w:r>
        <w:rPr>
          <w:rFonts w:ascii="Times New Roman" w:hAnsi="Times New Roman" w:cs="Times New Roman" w:eastAsia="Times New Roman" w:hint="default"/>
        </w:rPr>
        <w:t>4</w:t>
      </w:r>
      <w:r>
        <w:rPr/>
        <w:t>、加速外延式发展，强化公司核心竞争力。</w:t>
      </w:r>
    </w:p>
    <w:p>
      <w:pPr>
        <w:pStyle w:val="BodyText"/>
        <w:spacing w:line="408" w:lineRule="auto" w:before="29"/>
        <w:ind w:right="208" w:firstLine="420"/>
        <w:jc w:val="both"/>
      </w:pPr>
      <w:r>
        <w:rPr>
          <w:spacing w:val="-3"/>
        </w:rPr>
        <w:t>围绕公司发展战略，提升公司的投资、管理与整合能力，积极寻找和储备与公司发展方向契合，能形</w:t>
      </w:r>
      <w:r>
        <w:rPr>
          <w:w w:val="100"/>
        </w:rPr>
        <w:t> </w:t>
      </w:r>
      <w:r>
        <w:rPr>
          <w:spacing w:val="-2"/>
        </w:rPr>
        <w:t>成协同效应的目标企业，并购控股与少数股权投资相结合，实施外延式发展，以期增厚业绩，优化产业链</w:t>
      </w:r>
      <w:r>
        <w:rPr>
          <w:spacing w:val="-47"/>
        </w:rPr>
        <w:t> </w:t>
      </w:r>
      <w:r>
        <w:rPr>
          <w:spacing w:val="-47"/>
        </w:rPr>
      </w:r>
      <w:r>
        <w:rPr/>
        <w:t>布局，提升公司的核心竞争力。</w:t>
      </w:r>
    </w:p>
    <w:p>
      <w:pPr>
        <w:pStyle w:val="BodyText"/>
        <w:spacing w:line="240" w:lineRule="auto" w:before="46"/>
        <w:ind w:right="101"/>
        <w:jc w:val="left"/>
      </w:pPr>
      <w:r>
        <w:rPr>
          <w:rFonts w:ascii="Times New Roman" w:hAnsi="Times New Roman" w:cs="Times New Roman" w:eastAsia="Times New Roman" w:hint="default"/>
        </w:rPr>
        <w:t>5</w:t>
      </w:r>
      <w:r>
        <w:rPr/>
        <w:t>、加强市场推广，提升企业形象。</w:t>
      </w:r>
    </w:p>
    <w:p>
      <w:pPr>
        <w:pStyle w:val="BodyText"/>
        <w:spacing w:line="400" w:lineRule="auto" w:before="177"/>
        <w:ind w:right="101" w:firstLine="420"/>
        <w:jc w:val="left"/>
      </w:pPr>
      <w:r>
        <w:rPr>
          <w:rFonts w:ascii="Times New Roman" w:hAnsi="Times New Roman" w:cs="Times New Roman" w:eastAsia="Times New Roman" w:hint="default"/>
          <w:spacing w:val="-4"/>
        </w:rPr>
        <w:t>2018</w:t>
      </w:r>
      <w:r>
        <w:rPr>
          <w:spacing w:val="-4"/>
        </w:rPr>
        <w:t>年，公司将顺应国家战略与政策指引，围绕</w:t>
      </w:r>
      <w:r>
        <w:rPr>
          <w:spacing w:val="46"/>
        </w:rPr>
        <w:t> </w:t>
      </w:r>
      <w:r>
        <w:rPr>
          <w:rFonts w:ascii="Times New Roman" w:hAnsi="Times New Roman" w:cs="Times New Roman" w:eastAsia="Times New Roman" w:hint="default"/>
          <w:spacing w:val="-3"/>
        </w:rPr>
        <w:t>“IT</w:t>
      </w:r>
      <w:r>
        <w:rPr>
          <w:spacing w:val="-3"/>
        </w:rPr>
        <w:t>架构国产化的开路先锋</w:t>
      </w:r>
      <w:r>
        <w:rPr>
          <w:rFonts w:ascii="Times New Roman" w:hAnsi="Times New Roman" w:cs="Times New Roman" w:eastAsia="Times New Roman" w:hint="default"/>
          <w:spacing w:val="-3"/>
        </w:rPr>
        <w:t>”</w:t>
      </w:r>
      <w:r>
        <w:rPr>
          <w:spacing w:val="-3"/>
        </w:rPr>
        <w:t>的战略定位，加强营销策</w:t>
      </w:r>
      <w:r>
        <w:rPr>
          <w:w w:val="100"/>
        </w:rPr>
        <w:t> </w:t>
      </w:r>
      <w:r>
        <w:rPr>
          <w:spacing w:val="-2"/>
        </w:rPr>
        <w:t>划、市场活动与对外战略合作，提升公司的市场地位和企业形象，宣传公司的产品和客户标杆，突出重点</w:t>
      </w:r>
      <w:r>
        <w:rPr>
          <w:spacing w:val="-50"/>
        </w:rPr>
        <w:t> </w:t>
      </w:r>
      <w:r>
        <w:rPr>
          <w:spacing w:val="-50"/>
        </w:rPr>
      </w:r>
      <w:r>
        <w:rPr/>
        <w:t>行业通用性的解决方案，从而加强现有客户与合作伙伴的信心，更有效地吸引潜在客户与合作伙伴。</w:t>
      </w:r>
      <w:r>
        <w:rPr>
          <w:w w:val="100"/>
        </w:rPr>
        <w:t> </w:t>
      </w:r>
      <w:r>
        <w:rPr>
          <w:rFonts w:ascii="Times New Roman" w:hAnsi="Times New Roman" w:cs="Times New Roman" w:eastAsia="Times New Roman" w:hint="default"/>
        </w:rPr>
        <w:t>6</w:t>
      </w:r>
      <w:r>
        <w:rPr/>
        <w:t>、加快实施非公开发行募投项目，加速实现公司核心战略</w:t>
      </w:r>
    </w:p>
    <w:p>
      <w:pPr>
        <w:pStyle w:val="BodyText"/>
        <w:spacing w:line="398" w:lineRule="auto" w:before="21"/>
        <w:ind w:right="206" w:firstLine="336"/>
        <w:jc w:val="both"/>
      </w:pPr>
      <w:r>
        <w:rPr>
          <w:rFonts w:ascii="Times New Roman" w:hAnsi="Times New Roman" w:cs="Times New Roman" w:eastAsia="Times New Roman" w:hint="default"/>
          <w:spacing w:val="-2"/>
        </w:rPr>
        <w:t>2018</w:t>
      </w:r>
      <w:r>
        <w:rPr>
          <w:spacing w:val="-2"/>
        </w:rPr>
        <w:t>年公司将积极实施非公开发行相关募投项目，推动新业务的发展，拓展业务规模和市场空间，巩</w:t>
      </w:r>
      <w:r>
        <w:rPr>
          <w:w w:val="100"/>
        </w:rPr>
        <w:t> </w:t>
      </w:r>
      <w:r>
        <w:rPr>
          <w:spacing w:val="-2"/>
        </w:rPr>
        <w:t>固和提升公司的行业地位和核心竞争力，进一步提升公司价值，更好地回报上市公司全体股东，加速实现</w:t>
      </w:r>
      <w:r>
        <w:rPr>
          <w:spacing w:val="-43"/>
        </w:rPr>
        <w:t> </w:t>
      </w:r>
      <w:r>
        <w:rPr>
          <w:spacing w:val="-43"/>
        </w:rPr>
      </w:r>
      <w:r>
        <w:rPr/>
        <w:t>公司核心战略。</w:t>
      </w:r>
    </w:p>
    <w:p>
      <w:pPr>
        <w:pStyle w:val="BodyText"/>
        <w:spacing w:line="240" w:lineRule="auto" w:before="54"/>
        <w:ind w:right="101"/>
        <w:jc w:val="left"/>
      </w:pPr>
      <w:r>
        <w:rPr/>
        <w:t>（四）可能面对的风险</w:t>
      </w:r>
    </w:p>
    <w:p>
      <w:pPr>
        <w:spacing w:line="240" w:lineRule="auto" w:before="10"/>
        <w:rPr>
          <w:rFonts w:ascii="宋体" w:hAnsi="宋体" w:cs="宋体" w:eastAsia="宋体" w:hint="default"/>
          <w:sz w:val="14"/>
          <w:szCs w:val="14"/>
        </w:rPr>
      </w:pPr>
    </w:p>
    <w:p>
      <w:pPr>
        <w:pStyle w:val="BodyText"/>
        <w:spacing w:line="240" w:lineRule="auto"/>
        <w:ind w:right="101"/>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IT</w:t>
      </w:r>
      <w:r>
        <w:rPr/>
        <w:t>市场转型导致的竞争加剧风险</w:t>
      </w:r>
    </w:p>
    <w:p>
      <w:pPr>
        <w:pStyle w:val="BodyText"/>
        <w:spacing w:line="386" w:lineRule="auto" w:before="177"/>
        <w:ind w:right="101" w:firstLine="420"/>
        <w:jc w:val="left"/>
      </w:pPr>
      <w:r>
        <w:rPr/>
        <w:t>以</w:t>
      </w:r>
      <w:r>
        <w:rPr>
          <w:rFonts w:ascii="Times New Roman" w:hAnsi="Times New Roman" w:cs="Times New Roman" w:eastAsia="Times New Roman" w:hint="default"/>
        </w:rPr>
        <w:t>Google</w:t>
      </w:r>
      <w:r>
        <w:rPr/>
        <w:t>，</w:t>
      </w:r>
      <w:r>
        <w:rPr>
          <w:rFonts w:ascii="Times New Roman" w:hAnsi="Times New Roman" w:cs="Times New Roman" w:eastAsia="Times New Roman" w:hint="default"/>
        </w:rPr>
        <w:t>Facebook </w:t>
      </w:r>
      <w:r>
        <w:rPr/>
        <w:t>等国外互联网公司提倡的以开源技术为基础的变革，带来了整个</w:t>
      </w:r>
      <w:r>
        <w:rPr>
          <w:rFonts w:ascii="Times New Roman" w:hAnsi="Times New Roman" w:cs="Times New Roman" w:eastAsia="Times New Roman" w:hint="default"/>
        </w:rPr>
        <w:t>IT</w:t>
      </w:r>
      <w:r>
        <w:rPr>
          <w:rFonts w:ascii="Times New Roman" w:hAnsi="Times New Roman" w:cs="Times New Roman" w:eastAsia="Times New Roman" w:hint="default"/>
          <w:spacing w:val="5"/>
        </w:rPr>
        <w:t> </w:t>
      </w:r>
      <w:r>
        <w:rPr/>
        <w:t>界的巨大变</w:t>
      </w:r>
      <w:r>
        <w:rPr>
          <w:w w:val="100"/>
        </w:rPr>
        <w:t> </w:t>
      </w:r>
      <w:r>
        <w:rPr/>
        <w:t>化。这些分布式、</w:t>
      </w:r>
      <w:r>
        <w:rPr>
          <w:rFonts w:ascii="Times New Roman" w:hAnsi="Times New Roman" w:cs="Times New Roman" w:eastAsia="Times New Roman" w:hint="default"/>
        </w:rPr>
        <w:t>X86 </w:t>
      </w:r>
      <w:r>
        <w:rPr/>
        <w:t>化的革新技术，逐步地被以</w:t>
      </w:r>
      <w:r>
        <w:rPr>
          <w:rFonts w:ascii="Times New Roman" w:hAnsi="Times New Roman" w:cs="Times New Roman" w:eastAsia="Times New Roman" w:hint="default"/>
        </w:rPr>
        <w:t>BAT</w:t>
      </w:r>
      <w:r>
        <w:rPr>
          <w:rFonts w:ascii="Times New Roman" w:hAnsi="Times New Roman" w:cs="Times New Roman" w:eastAsia="Times New Roman" w:hint="default"/>
          <w:spacing w:val="1"/>
        </w:rPr>
        <w:t> </w:t>
      </w:r>
      <w:r>
        <w:rPr/>
        <w:t>为代表的中国互联网公司吸收并掌握，提出一个</w:t>
      </w:r>
      <w:r>
        <w:rPr>
          <w:w w:val="100"/>
        </w:rPr>
        <w:t> </w:t>
      </w:r>
      <w:r>
        <w:rPr>
          <w:spacing w:val="-4"/>
        </w:rPr>
        <w:t>全新、开放的</w:t>
      </w:r>
      <w:r>
        <w:rPr>
          <w:rFonts w:ascii="Times New Roman" w:hAnsi="Times New Roman" w:cs="Times New Roman" w:eastAsia="Times New Roman" w:hint="default"/>
          <w:spacing w:val="-4"/>
        </w:rPr>
        <w:t>IT </w:t>
      </w:r>
      <w:r>
        <w:rPr>
          <w:spacing w:val="-3"/>
        </w:rPr>
        <w:t>架构概念，并影响到所有的传统客户，而我们过去所敬仰的</w:t>
      </w:r>
      <w:r>
        <w:rPr>
          <w:rFonts w:ascii="Times New Roman" w:hAnsi="Times New Roman" w:cs="Times New Roman" w:eastAsia="Times New Roman" w:hint="default"/>
          <w:spacing w:val="-3"/>
        </w:rPr>
        <w:t>IT </w:t>
      </w:r>
      <w:r>
        <w:rPr>
          <w:spacing w:val="-4"/>
        </w:rPr>
        <w:t>巨头，如</w:t>
      </w:r>
      <w:r>
        <w:rPr>
          <w:rFonts w:ascii="Times New Roman" w:hAnsi="Times New Roman" w:cs="Times New Roman" w:eastAsia="Times New Roman" w:hint="default"/>
          <w:spacing w:val="-4"/>
        </w:rPr>
        <w:t>IBM </w:t>
      </w:r>
      <w:r>
        <w:rPr>
          <w:spacing w:val="-4"/>
        </w:rPr>
        <w:t>和</w:t>
      </w:r>
      <w:r>
        <w:rPr>
          <w:rFonts w:ascii="Times New Roman" w:hAnsi="Times New Roman" w:cs="Times New Roman" w:eastAsia="Times New Roman" w:hint="default"/>
          <w:spacing w:val="-4"/>
        </w:rPr>
        <w:t>HP</w:t>
      </w:r>
      <w:r>
        <w:rPr>
          <w:spacing w:val="-4"/>
        </w:rPr>
        <w:t>，却出</w:t>
      </w:r>
      <w:r>
        <w:rPr>
          <w:spacing w:val="-72"/>
        </w:rPr>
        <w:t> </w:t>
      </w:r>
      <w:r>
        <w:rPr>
          <w:spacing w:val="-72"/>
        </w:rPr>
      </w:r>
      <w:r>
        <w:rPr>
          <w:spacing w:val="-6"/>
        </w:rPr>
        <w:t>现了大规模裁员的情况。同时，从国内环境来说，自</w:t>
      </w:r>
      <w:r>
        <w:rPr>
          <w:rFonts w:ascii="Times New Roman" w:hAnsi="Times New Roman" w:cs="Times New Roman" w:eastAsia="Times New Roman" w:hint="default"/>
          <w:spacing w:val="-6"/>
        </w:rPr>
        <w:t>“</w:t>
      </w:r>
      <w:r>
        <w:rPr>
          <w:spacing w:val="-6"/>
        </w:rPr>
        <w:t>棱镜门</w:t>
      </w:r>
      <w:r>
        <w:rPr>
          <w:rFonts w:ascii="Times New Roman" w:hAnsi="Times New Roman" w:cs="Times New Roman" w:eastAsia="Times New Roman" w:hint="default"/>
          <w:spacing w:val="-6"/>
        </w:rPr>
        <w:t>”</w:t>
      </w:r>
      <w:r>
        <w:rPr>
          <w:spacing w:val="-6"/>
        </w:rPr>
        <w:t>事件以来，国内各级政府都逐步落实</w:t>
      </w:r>
      <w:r>
        <w:rPr>
          <w:rFonts w:ascii="Times New Roman" w:hAnsi="Times New Roman" w:cs="Times New Roman" w:eastAsia="Times New Roman" w:hint="default"/>
          <w:spacing w:val="-6"/>
        </w:rPr>
        <w:t>“</w:t>
      </w:r>
      <w:r>
        <w:rPr>
          <w:spacing w:val="-6"/>
        </w:rPr>
        <w:t>去</w:t>
      </w:r>
      <w:r>
        <w:rPr>
          <w:rFonts w:ascii="Times New Roman" w:hAnsi="Times New Roman" w:cs="Times New Roman" w:eastAsia="Times New Roman" w:hint="default"/>
          <w:spacing w:val="-6"/>
        </w:rPr>
        <w:t>IOE”</w:t>
      </w:r>
      <w:r>
        <w:rPr>
          <w:spacing w:val="-6"/>
        </w:rPr>
        <w:t>，</w:t>
      </w:r>
      <w:r>
        <w:rPr>
          <w:spacing w:val="-32"/>
        </w:rPr>
        <w:t> </w:t>
      </w:r>
      <w:r>
        <w:rPr/>
        <w:t>以安全自主可控为先，再加上本届政府提倡互联网</w:t>
      </w:r>
      <w:r>
        <w:rPr>
          <w:rFonts w:ascii="Times New Roman" w:hAnsi="Times New Roman" w:cs="Times New Roman" w:eastAsia="Times New Roman" w:hint="default"/>
        </w:rPr>
        <w:t>+</w:t>
      </w:r>
      <w:r>
        <w:rPr/>
        <w:t>，使得国内一些以新技术和新商业模式为核心的公司</w:t>
      </w:r>
      <w:r>
        <w:rPr>
          <w:w w:val="100"/>
        </w:rPr>
        <w:t> </w:t>
      </w:r>
      <w:r>
        <w:rPr/>
        <w:t>迅速成长起来。</w:t>
      </w:r>
      <w:r>
        <w:rPr>
          <w:rFonts w:ascii="Times New Roman" w:hAnsi="Times New Roman" w:cs="Times New Roman" w:eastAsia="Times New Roman" w:hint="default"/>
        </w:rPr>
        <w:t>IT</w:t>
      </w:r>
      <w:r>
        <w:rPr/>
        <w:t>技术的发展日新月异，如何能够紧紧跟随甚至创造潮流成为</w:t>
      </w:r>
      <w:r>
        <w:rPr>
          <w:rFonts w:ascii="Times New Roman" w:hAnsi="Times New Roman" w:cs="Times New Roman" w:eastAsia="Times New Roman" w:hint="default"/>
        </w:rPr>
        <w:t>IT</w:t>
      </w:r>
      <w:r>
        <w:rPr/>
        <w:t>公司永恒的课题，不能赶</w:t>
      </w:r>
      <w:r>
        <w:rPr>
          <w:w w:val="100"/>
        </w:rPr>
        <w:t> </w:t>
      </w:r>
      <w:r>
        <w:rPr/>
        <w:t>上潮流就会陷于被动甚至被淘汰。天玑科技作为数据中心</w:t>
      </w:r>
      <w:r>
        <w:rPr>
          <w:rFonts w:ascii="Times New Roman" w:hAnsi="Times New Roman" w:cs="Times New Roman" w:eastAsia="Times New Roman" w:hint="default"/>
        </w:rPr>
        <w:t>IT</w:t>
      </w:r>
      <w:r>
        <w:rPr/>
        <w:t>基础设施服务行业中的知名企业，将面临市场</w:t>
      </w:r>
      <w:r>
        <w:rPr>
          <w:w w:val="100"/>
        </w:rPr>
        <w:t> </w:t>
      </w:r>
      <w:r>
        <w:rPr/>
        <w:t>转型所带来的竞争和巨大挑战。</w:t>
      </w:r>
    </w:p>
    <w:p>
      <w:pPr>
        <w:pStyle w:val="BodyText"/>
        <w:spacing w:line="386" w:lineRule="auto" w:before="65"/>
        <w:ind w:left="573" w:right="101" w:hanging="421"/>
        <w:jc w:val="left"/>
      </w:pPr>
      <w:r>
        <w:rPr>
          <w:rFonts w:ascii="Times New Roman" w:hAnsi="Times New Roman" w:cs="Times New Roman" w:eastAsia="Times New Roman" w:hint="default"/>
        </w:rPr>
        <w:t>2</w:t>
      </w:r>
      <w:r>
        <w:rPr/>
        <w:t>、毛利率波动的风险</w:t>
      </w:r>
      <w:r>
        <w:rPr>
          <w:w w:val="100"/>
        </w:rPr>
        <w:t> </w:t>
      </w:r>
      <w:r>
        <w:rPr>
          <w:spacing w:val="-2"/>
        </w:rPr>
        <w:t>由于天玑科技为技术和人员密集型企业，劳动力成本的不断上升，导致毛利率下降。同时，随着市场</w:t>
      </w:r>
    </w:p>
    <w:p>
      <w:pPr>
        <w:spacing w:after="0" w:line="386" w:lineRule="auto"/>
        <w:jc w:val="left"/>
        <w:sectPr>
          <w:footerReference w:type="default" r:id="rId15"/>
          <w:pgSz w:w="11910" w:h="16840"/>
          <w:pgMar w:footer="979" w:header="745" w:top="1060" w:bottom="1160" w:left="980" w:right="920"/>
          <w:pgNumType w:start="41"/>
        </w:sectPr>
      </w:pPr>
    </w:p>
    <w:p>
      <w:pPr>
        <w:spacing w:line="240" w:lineRule="auto" w:before="0"/>
        <w:rPr>
          <w:rFonts w:ascii="宋体" w:hAnsi="宋体" w:cs="宋体" w:eastAsia="宋体" w:hint="default"/>
          <w:sz w:val="20"/>
          <w:szCs w:val="20"/>
        </w:rPr>
      </w:pPr>
    </w:p>
    <w:p>
      <w:pPr>
        <w:pStyle w:val="BodyText"/>
        <w:spacing w:line="408" w:lineRule="auto" w:before="176"/>
        <w:ind w:right="147"/>
        <w:jc w:val="both"/>
      </w:pPr>
      <w:r>
        <w:rPr>
          <w:spacing w:val="-2"/>
        </w:rPr>
        <w:t>环境的影响，公司备品备件成本出现波动，亦导致毛利率的波动。此外，公司创新型业务的拓展，也将导</w:t>
      </w:r>
      <w:r>
        <w:rPr>
          <w:spacing w:val="-43"/>
        </w:rPr>
        <w:t> </w:t>
      </w:r>
      <w:r>
        <w:rPr>
          <w:spacing w:val="-43"/>
        </w:rPr>
      </w:r>
      <w:r>
        <w:rPr>
          <w:spacing w:val="-2"/>
        </w:rPr>
        <w:t>致毛利率的变化。其他方面，诸如客户结构、公司经营的地区范围、竞争态势的变化，亦将导致毛利率产</w:t>
      </w:r>
      <w:r>
        <w:rPr>
          <w:spacing w:val="-43"/>
        </w:rPr>
        <w:t> </w:t>
      </w:r>
      <w:r>
        <w:rPr>
          <w:spacing w:val="-43"/>
        </w:rPr>
      </w:r>
      <w:r>
        <w:rPr/>
        <w:t>生波动。</w:t>
      </w:r>
    </w:p>
    <w:p>
      <w:pPr>
        <w:pStyle w:val="BodyText"/>
        <w:spacing w:line="386" w:lineRule="auto" w:before="46"/>
        <w:ind w:left="573" w:right="0" w:hanging="421"/>
        <w:jc w:val="left"/>
      </w:pPr>
      <w:r>
        <w:rPr>
          <w:rFonts w:ascii="Times New Roman" w:hAnsi="Times New Roman" w:cs="Times New Roman" w:eastAsia="Times New Roman" w:hint="default"/>
        </w:rPr>
        <w:t>3</w:t>
      </w:r>
      <w:r>
        <w:rPr/>
        <w:t>、新业务的市场开拓风险</w:t>
      </w:r>
      <w:r>
        <w:rPr>
          <w:w w:val="100"/>
        </w:rPr>
        <w:t> </w:t>
      </w:r>
      <w:r>
        <w:rPr>
          <w:spacing w:val="-2"/>
        </w:rPr>
        <w:t>报告期内公司对于云计算和大数据等不同领域投入了大量的研发力量，已经取得丰富的基于互联网技</w:t>
      </w:r>
    </w:p>
    <w:p>
      <w:pPr>
        <w:pStyle w:val="BodyText"/>
        <w:spacing w:line="386" w:lineRule="auto" w:before="65"/>
        <w:ind w:right="0"/>
        <w:jc w:val="left"/>
      </w:pPr>
      <w:r>
        <w:rPr>
          <w:spacing w:val="-2"/>
        </w:rPr>
        <w:t>术的研发成果，如</w:t>
      </w:r>
      <w:r>
        <w:rPr>
          <w:rFonts w:ascii="Times New Roman" w:hAnsi="Times New Roman" w:cs="Times New Roman" w:eastAsia="Times New Roman" w:hint="default"/>
          <w:spacing w:val="-2"/>
        </w:rPr>
        <w:t>PCloud</w:t>
      </w:r>
      <w:r>
        <w:rPr>
          <w:spacing w:val="-2"/>
        </w:rPr>
        <w:t>云计算管理平台、</w:t>
      </w:r>
      <w:r>
        <w:rPr>
          <w:rFonts w:ascii="Times New Roman" w:hAnsi="Times New Roman" w:cs="Times New Roman" w:eastAsia="Times New Roman" w:hint="default"/>
          <w:spacing w:val="-2"/>
        </w:rPr>
        <w:t>DCOS</w:t>
      </w:r>
      <w:r>
        <w:rPr>
          <w:spacing w:val="-2"/>
        </w:rPr>
        <w:t>分布式数据中心操作系统、</w:t>
      </w:r>
      <w:r>
        <w:rPr>
          <w:rFonts w:ascii="Times New Roman" w:hAnsi="Times New Roman" w:cs="Times New Roman" w:eastAsia="Times New Roman" w:hint="default"/>
          <w:spacing w:val="-2"/>
        </w:rPr>
        <w:t>PBData</w:t>
      </w:r>
      <w:r>
        <w:rPr>
          <w:spacing w:val="-2"/>
        </w:rPr>
        <w:t>一体机、</w:t>
      </w:r>
      <w:r>
        <w:rPr>
          <w:rFonts w:ascii="Times New Roman" w:hAnsi="Times New Roman" w:cs="Times New Roman" w:eastAsia="Times New Roman" w:hint="default"/>
          <w:spacing w:val="-2"/>
        </w:rPr>
        <w:t>PhegData</w:t>
      </w:r>
      <w:r>
        <w:rPr>
          <w:spacing w:val="-2"/>
        </w:rPr>
        <w:t>分</w:t>
      </w:r>
      <w:r>
        <w:rPr>
          <w:spacing w:val="-8"/>
        </w:rPr>
        <w:t> </w:t>
      </w:r>
      <w:r>
        <w:rPr/>
        <w:t>布式存储等产品。对于公司新业务的市场开拓可能存在以下风险：</w:t>
      </w:r>
    </w:p>
    <w:p>
      <w:pPr>
        <w:pStyle w:val="BodyText"/>
        <w:spacing w:line="398" w:lineRule="auto" w:before="65"/>
        <w:ind w:right="0"/>
        <w:jc w:val="left"/>
      </w:pPr>
      <w:r>
        <w:rPr/>
        <w:t>（</w:t>
      </w:r>
      <w:r>
        <w:rPr>
          <w:rFonts w:ascii="Times New Roman" w:hAnsi="Times New Roman" w:cs="Times New Roman" w:eastAsia="Times New Roman" w:hint="default"/>
        </w:rPr>
        <w:t>1</w:t>
      </w:r>
      <w:r>
        <w:rPr/>
        <w:t>）鉴于新产品新方案的形成时间较短，部分客户对相关设备及解决方案尚处于测试或观察期，未来该</w:t>
      </w:r>
      <w:r>
        <w:rPr>
          <w:w w:val="100"/>
        </w:rPr>
        <w:t> </w:t>
      </w:r>
      <w:r>
        <w:rPr>
          <w:spacing w:val="-2"/>
        </w:rPr>
        <w:t>类新业务是否能够广为市场接受并形成对原有产品的替代仍存在一定的不确定性。若新业务的市场推广不</w:t>
      </w:r>
      <w:r>
        <w:rPr>
          <w:spacing w:val="-43"/>
        </w:rPr>
        <w:t> </w:t>
      </w:r>
      <w:r>
        <w:rPr>
          <w:spacing w:val="-43"/>
        </w:rPr>
      </w:r>
      <w:r>
        <w:rPr/>
        <w:t>及预期，可能对经营业绩产生不利影响。</w:t>
      </w:r>
    </w:p>
    <w:p>
      <w:pPr>
        <w:pStyle w:val="BodyText"/>
        <w:spacing w:line="386" w:lineRule="auto" w:before="54"/>
        <w:ind w:right="0"/>
        <w:jc w:val="left"/>
      </w:pPr>
      <w:r>
        <w:rPr>
          <w:spacing w:val="-2"/>
        </w:rPr>
        <w:t>（</w:t>
      </w:r>
      <w:r>
        <w:rPr>
          <w:rFonts w:ascii="Times New Roman" w:hAnsi="Times New Roman" w:cs="Times New Roman" w:eastAsia="Times New Roman" w:hint="default"/>
          <w:spacing w:val="-2"/>
        </w:rPr>
        <w:t>2</w:t>
      </w:r>
      <w:r>
        <w:rPr>
          <w:spacing w:val="-2"/>
        </w:rPr>
        <w:t>）目前存储市场的主要国内竞争对手为华为，存在不计成本低价竞争的现象，可能导致竞争激烈导致</w:t>
      </w:r>
      <w:r>
        <w:rPr>
          <w:spacing w:val="-23"/>
        </w:rPr>
        <w:t> </w:t>
      </w:r>
      <w:r>
        <w:rPr>
          <w:spacing w:val="-23"/>
        </w:rPr>
      </w:r>
      <w:r>
        <w:rPr/>
        <w:t>毛利率下降的风险。持续研发升级，技术壁垒的优势如果不能一直保持，也会存在加剧竞争的风险。</w:t>
      </w:r>
    </w:p>
    <w:p>
      <w:pPr>
        <w:pStyle w:val="BodyText"/>
        <w:spacing w:line="240" w:lineRule="auto" w:before="65"/>
        <w:ind w:right="0"/>
        <w:jc w:val="left"/>
      </w:pPr>
      <w:r>
        <w:rPr/>
        <w:t>（</w:t>
      </w:r>
      <w:r>
        <w:rPr>
          <w:rFonts w:ascii="Times New Roman" w:hAnsi="Times New Roman" w:cs="Times New Roman" w:eastAsia="Times New Roman" w:hint="default"/>
        </w:rPr>
        <w:t>3</w:t>
      </w:r>
      <w:r>
        <w:rPr/>
        <w:t>）国外新技术新产品的更新替代，也会对公司现有新产品的市场开拓造成影响。</w:t>
      </w:r>
    </w:p>
    <w:p>
      <w:pPr>
        <w:pStyle w:val="BodyText"/>
        <w:spacing w:line="386" w:lineRule="auto" w:before="177"/>
        <w:ind w:left="573" w:right="0" w:hanging="421"/>
        <w:jc w:val="left"/>
      </w:pPr>
      <w:r>
        <w:rPr>
          <w:rFonts w:ascii="Times New Roman" w:hAnsi="Times New Roman" w:cs="Times New Roman" w:eastAsia="Times New Roman" w:hint="default"/>
        </w:rPr>
        <w:t>4</w:t>
      </w:r>
      <w:r>
        <w:rPr/>
        <w:t>、应收账款增加风险</w:t>
      </w:r>
      <w:r>
        <w:rPr>
          <w:w w:val="100"/>
        </w:rPr>
        <w:t> </w:t>
      </w:r>
      <w:r>
        <w:rPr>
          <w:spacing w:val="-2"/>
        </w:rPr>
        <w:t>应收账款较大的原因是公司按照与客户之间的合同确认相应的应收账款，结算与回款存在时间差，导</w:t>
      </w:r>
    </w:p>
    <w:p>
      <w:pPr>
        <w:pStyle w:val="BodyText"/>
        <w:spacing w:line="408" w:lineRule="auto" w:before="65"/>
        <w:ind w:right="146"/>
        <w:jc w:val="both"/>
      </w:pPr>
      <w:r>
        <w:rPr>
          <w:spacing w:val="-2"/>
        </w:rPr>
        <w:t>致公司应收账款金额和占比均较大，公司按照既定会计政策在期末对应收账款计提了相应的坏账准备。虽</w:t>
      </w:r>
      <w:r>
        <w:rPr>
          <w:spacing w:val="-43"/>
        </w:rPr>
        <w:t> </w:t>
      </w:r>
      <w:r>
        <w:rPr>
          <w:spacing w:val="-43"/>
        </w:rPr>
      </w:r>
      <w:r>
        <w:rPr>
          <w:spacing w:val="-2"/>
        </w:rPr>
        <w:t>然应收账款余额较大，但公司客户一般是省级运营商、政府部门、资金实力较好的金融等企业等，资金回</w:t>
      </w:r>
      <w:r>
        <w:rPr>
          <w:spacing w:val="-47"/>
        </w:rPr>
        <w:t> </w:t>
      </w:r>
      <w:r>
        <w:rPr>
          <w:spacing w:val="-47"/>
        </w:rPr>
      </w:r>
      <w:r>
        <w:rPr>
          <w:spacing w:val="-2"/>
        </w:rPr>
        <w:t>收保障较高，应收账款发生坏账的风险较小。但是，随着应收账款余额的增长，并不排除个别项目在未来</w:t>
      </w:r>
      <w:r>
        <w:rPr>
          <w:spacing w:val="-50"/>
        </w:rPr>
        <w:t> </w:t>
      </w:r>
      <w:r>
        <w:rPr>
          <w:spacing w:val="-50"/>
        </w:rPr>
      </w:r>
      <w:r>
        <w:rPr/>
        <w:t>可能出现呆坏账金额大于已计提坏账准备的情况，对公司盈利水平造成不利影响。</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Heading2"/>
        <w:spacing w:line="240" w:lineRule="auto"/>
        <w:ind w:right="0"/>
        <w:jc w:val="left"/>
        <w:rPr>
          <w:b w:val="0"/>
          <w:bCs w:val="0"/>
        </w:rPr>
      </w:pPr>
      <w:r>
        <w:rPr/>
        <w:t>十、接待调研、沟通、采访等活动登记表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180"/>
        <w:gridCol w:w="2177"/>
        <w:gridCol w:w="2177"/>
        <w:gridCol w:w="3037"/>
      </w:tblGrid>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25"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4"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03"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715"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2"/>
              <w:jc w:val="left"/>
              <w:rPr>
                <w:rFonts w:ascii="Times New Roman" w:hAnsi="Times New Roman" w:cs="Times New Roman" w:eastAsia="Times New Roman" w:hint="default"/>
                <w:sz w:val="18"/>
                <w:szCs w:val="18"/>
              </w:rPr>
            </w:pPr>
            <w:r>
              <w:rPr>
                <w:rFonts w:ascii="宋体" w:hAnsi="宋体" w:cs="宋体" w:eastAsia="宋体" w:hint="default"/>
                <w:sz w:val="18"/>
                <w:szCs w:val="18"/>
              </w:rPr>
              <w:t>了解公司经营及数据库云平台等的情 况；</w:t>
            </w:r>
            <w:hyperlink r:id="rId16">
              <w:r>
                <w:rPr>
                  <w:rFonts w:ascii="Times New Roman" w:hAnsi="Times New Roman" w:cs="Times New Roman" w:eastAsia="Times New Roman" w:hint="default"/>
                  <w:sz w:val="18"/>
                  <w:szCs w:val="18"/>
                </w:rPr>
                <w:t>http://www.cninfo.com.cn</w:t>
              </w:r>
            </w:hyperlink>
          </w:p>
        </w:tc>
      </w:tr>
      <w:tr>
        <w:trPr>
          <w:trHeight w:val="71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了解公司业务、募投项目、收入及新产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品情况；</w:t>
            </w:r>
            <w:hyperlink r:id="rId16">
              <w:r>
                <w:rPr>
                  <w:rFonts w:ascii="Times New Roman" w:hAnsi="Times New Roman" w:cs="Times New Roman" w:eastAsia="Times New Roman" w:hint="default"/>
                  <w:sz w:val="18"/>
                  <w:szCs w:val="18"/>
                </w:rPr>
                <w:t>http://www.cninfo.com.cn</w:t>
              </w:r>
            </w:hyperlink>
          </w:p>
        </w:tc>
      </w:tr>
    </w:tbl>
    <w:p>
      <w:pPr>
        <w:spacing w:after="0" w:line="316" w:lineRule="auto"/>
        <w:jc w:val="lef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751" w:right="3787"/>
        <w:jc w:val="center"/>
        <w:rPr>
          <w:b w:val="0"/>
          <w:bCs w:val="0"/>
        </w:rPr>
      </w:pPr>
      <w:bookmarkStart w:name="_bookmark3" w:id="4"/>
      <w:bookmarkEnd w:id="4"/>
      <w:r>
        <w:rPr>
          <w:b w:val="0"/>
          <w:bCs w:val="0"/>
        </w:rPr>
      </w:r>
      <w:r>
        <w:rPr/>
        <w:t>第五节</w:t>
      </w:r>
      <w:r>
        <w:rPr>
          <w:spacing w:val="-2"/>
        </w:rPr>
        <w:t> </w:t>
      </w:r>
      <w:r>
        <w:rPr/>
        <w:t>重要事项</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94"/>
        <w:jc w:val="left"/>
        <w:rPr>
          <w:b w:val="0"/>
          <w:bCs w:val="0"/>
        </w:rPr>
      </w:pPr>
      <w:r>
        <w:rPr/>
        <w:t>一、公司普通股利润分配及资本公积金转增股本情况</w:t>
      </w:r>
      <w:r>
        <w:rPr>
          <w:b w:val="0"/>
          <w:bCs w:val="0"/>
        </w:rPr>
      </w:r>
    </w:p>
    <w:p>
      <w:pPr>
        <w:spacing w:line="240" w:lineRule="auto" w:before="4"/>
        <w:rPr>
          <w:rFonts w:ascii="宋体" w:hAnsi="宋体" w:cs="宋体" w:eastAsia="宋体" w:hint="default"/>
          <w:b/>
          <w:bCs/>
          <w:sz w:val="26"/>
          <w:szCs w:val="26"/>
        </w:rPr>
      </w:pPr>
    </w:p>
    <w:p>
      <w:pPr>
        <w:spacing w:before="0"/>
        <w:ind w:left="152" w:right="94" w:firstLine="0"/>
        <w:jc w:val="left"/>
        <w:rPr>
          <w:rFonts w:ascii="宋体" w:hAnsi="宋体" w:cs="宋体" w:eastAsia="宋体" w:hint="default"/>
          <w:sz w:val="18"/>
          <w:szCs w:val="18"/>
        </w:rPr>
      </w:pPr>
      <w:r>
        <w:rPr>
          <w:rFonts w:ascii="宋体" w:hAnsi="宋体" w:cs="宋体" w:eastAsia="宋体" w:hint="default"/>
          <w:sz w:val="18"/>
          <w:szCs w:val="18"/>
        </w:rPr>
        <w:t>报告期内普通股利润分配政策，特别是现金分红政策的制定、执行或调整情况</w:t>
      </w:r>
    </w:p>
    <w:p>
      <w:pPr>
        <w:spacing w:before="117"/>
        <w:ind w:left="152" w:right="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398" w:lineRule="auto" w:before="157"/>
        <w:ind w:right="94" w:firstLine="420"/>
        <w:jc w:val="left"/>
      </w:pPr>
      <w:r>
        <w:rPr>
          <w:spacing w:val="-2"/>
        </w:rPr>
        <w:t>报告期内，公司严格按照《公司章程》相关利润分配政策和审议程序实施利润分配方案，分红标准和</w:t>
      </w:r>
      <w:r>
        <w:rPr>
          <w:w w:val="100"/>
        </w:rPr>
        <w:t> </w:t>
      </w:r>
      <w:r>
        <w:rPr>
          <w:spacing w:val="-2"/>
        </w:rPr>
        <w:t>分红比例明确清晰，相关的决策程序和机制完备。在分配预案拟定和决策时，独立董事尽责履职并发挥了</w:t>
      </w:r>
      <w:r>
        <w:rPr>
          <w:spacing w:val="-43"/>
        </w:rPr>
        <w:t> </w:t>
      </w:r>
      <w:r>
        <w:rPr>
          <w:spacing w:val="-43"/>
        </w:rPr>
      </w:r>
      <w:r>
        <w:rPr>
          <w:spacing w:val="-2"/>
        </w:rPr>
        <w:t>应有的作用，公司也听取了中小股东的意见和诉求，相关的议案经由董事会、监事会审议过后提交股东大</w:t>
      </w:r>
      <w:r>
        <w:rPr>
          <w:spacing w:val="-44"/>
        </w:rPr>
        <w:t> </w:t>
      </w:r>
      <w:r>
        <w:rPr>
          <w:spacing w:val="-44"/>
        </w:rPr>
      </w:r>
      <w:r>
        <w:rPr>
          <w:spacing w:val="-2"/>
        </w:rPr>
        <w:t>会审议，并由独立董事发表独立意见，审议通过后在规定时间内进行实施，切实保证了全体股东的利益。</w:t>
      </w:r>
      <w:r>
        <w:rPr>
          <w:spacing w:val="-21"/>
        </w:rPr>
        <w:t> </w:t>
      </w:r>
      <w:r>
        <w:rPr>
          <w:spacing w:val="-21"/>
        </w:rPr>
      </w:r>
      <w:r>
        <w:rPr/>
        <w:t>报告期期内，经公司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12</w:t>
      </w:r>
      <w:r>
        <w:rPr/>
        <w:t>日召开的</w:t>
      </w:r>
      <w:r>
        <w:rPr>
          <w:rFonts w:ascii="Times New Roman" w:hAnsi="Times New Roman" w:cs="Times New Roman" w:eastAsia="Times New Roman" w:hint="default"/>
        </w:rPr>
        <w:t>20116</w:t>
      </w:r>
      <w:r>
        <w:rPr/>
        <w:t>年年度股东大会审议通过，拟以公司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19</w:t>
      </w:r>
      <w:r>
        <w:rPr/>
        <w:t>日总股</w:t>
      </w:r>
      <w:r>
        <w:rPr>
          <w:spacing w:val="-3"/>
          <w:w w:val="100"/>
        </w:rPr>
        <w:t> </w:t>
      </w:r>
      <w:r>
        <w:rPr/>
        <w:t>本</w:t>
      </w:r>
      <w:r>
        <w:rPr>
          <w:rFonts w:ascii="Times New Roman" w:hAnsi="Times New Roman" w:cs="Times New Roman" w:eastAsia="Times New Roman" w:hint="default"/>
        </w:rPr>
        <w:t>274,081,795</w:t>
      </w:r>
      <w:r>
        <w:rPr/>
        <w:t>股扣除经</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19</w:t>
      </w:r>
      <w:r>
        <w:rPr/>
        <w:t>日召开的第三届董事会第十六次董事会审议通过的拟回购注销的限制</w:t>
      </w:r>
      <w:r>
        <w:rPr>
          <w:w w:val="100"/>
        </w:rPr>
        <w:t> </w:t>
      </w:r>
      <w:r>
        <w:rPr>
          <w:spacing w:val="-2"/>
        </w:rPr>
        <w:t>性股票</w:t>
      </w:r>
      <w:r>
        <w:rPr>
          <w:rFonts w:ascii="Times New Roman" w:hAnsi="Times New Roman" w:cs="Times New Roman" w:eastAsia="Times New Roman" w:hint="default"/>
          <w:spacing w:val="-2"/>
        </w:rPr>
        <w:t>2,454,400</w:t>
      </w:r>
      <w:r>
        <w:rPr>
          <w:spacing w:val="-2"/>
        </w:rPr>
        <w:t>股后的股本</w:t>
      </w:r>
      <w:r>
        <w:rPr>
          <w:rFonts w:ascii="Times New Roman" w:hAnsi="Times New Roman" w:cs="Times New Roman" w:eastAsia="Times New Roman" w:hint="default"/>
          <w:spacing w:val="-2"/>
        </w:rPr>
        <w:t>271,627,395</w:t>
      </w:r>
      <w:r>
        <w:rPr>
          <w:spacing w:val="-2"/>
        </w:rPr>
        <w:t>股为基数，向全体股东每</w:t>
      </w:r>
      <w:r>
        <w:rPr>
          <w:rFonts w:ascii="Times New Roman" w:hAnsi="Times New Roman" w:cs="Times New Roman" w:eastAsia="Times New Roman" w:hint="default"/>
          <w:spacing w:val="-2"/>
        </w:rPr>
        <w:t>10</w:t>
      </w:r>
      <w:r>
        <w:rPr>
          <w:spacing w:val="-2"/>
        </w:rPr>
        <w:t>股派发现金股利人民币</w:t>
      </w:r>
      <w:r>
        <w:rPr>
          <w:rFonts w:ascii="Times New Roman" w:hAnsi="Times New Roman" w:cs="Times New Roman" w:eastAsia="Times New Roman" w:hint="default"/>
          <w:spacing w:val="-2"/>
        </w:rPr>
        <w:t>0.5</w:t>
      </w:r>
      <w:r>
        <w:rPr>
          <w:spacing w:val="-2"/>
        </w:rPr>
        <w:t>元（含税），</w:t>
      </w:r>
      <w:r>
        <w:rPr>
          <w:spacing w:val="6"/>
        </w:rPr>
        <w:t> </w:t>
      </w:r>
      <w:r>
        <w:rPr>
          <w:spacing w:val="6"/>
        </w:rPr>
      </w:r>
      <w:r>
        <w:rPr/>
        <w:t>合计派发现金</w:t>
      </w:r>
      <w:r>
        <w:rPr>
          <w:rFonts w:ascii="Times New Roman" w:hAnsi="Times New Roman" w:cs="Times New Roman" w:eastAsia="Times New Roman" w:hint="default"/>
        </w:rPr>
        <w:t>13,581,369.75</w:t>
      </w:r>
      <w:r>
        <w:rPr/>
        <w:t>元；上述利润分配方案已于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20</w:t>
      </w:r>
      <w:r>
        <w:rPr/>
        <w:t>日实施完毕。</w:t>
      </w:r>
    </w:p>
    <w:p>
      <w:pPr>
        <w:spacing w:line="240" w:lineRule="auto" w:before="11"/>
        <w:rPr>
          <w:rFonts w:ascii="宋体" w:hAnsi="宋体" w:cs="宋体" w:eastAsia="宋体" w:hint="default"/>
          <w:sz w:val="20"/>
          <w:szCs w:val="20"/>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397"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11"/>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7"/>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2" w:right="57"/>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before="49"/>
        <w:ind w:left="152" w:right="94" w:firstLine="0"/>
        <w:jc w:val="left"/>
        <w:rPr>
          <w:rFonts w:ascii="宋体" w:hAnsi="宋体" w:cs="宋体" w:eastAsia="宋体" w:hint="default"/>
          <w:sz w:val="18"/>
          <w:szCs w:val="18"/>
        </w:rPr>
      </w:pPr>
      <w:r>
        <w:rPr>
          <w:rFonts w:ascii="宋体" w:hAnsi="宋体" w:cs="宋体" w:eastAsia="宋体" w:hint="default"/>
          <w:sz w:val="18"/>
          <w:szCs w:val="18"/>
        </w:rPr>
        <w:t>公司报告期利润分配预案及资本公积金转增股本预案与公司章程和分红管理办法等的相关规定一致</w:t>
      </w:r>
    </w:p>
    <w:p>
      <w:pPr>
        <w:spacing w:line="350" w:lineRule="auto" w:before="115"/>
        <w:ind w:left="152" w:right="33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 公司报告期利润分配预案及资本公积金转增股本预案符合公司章程等的相关规定。 本年度利润分配及资本公积金转增股本预案</w:t>
      </w:r>
    </w:p>
    <w:tbl>
      <w:tblPr>
        <w:tblW w:w="0" w:type="auto"/>
        <w:jc w:val="left"/>
        <w:tblInd w:w="149" w:type="dxa"/>
        <w:tblLayout w:type="fixed"/>
        <w:tblCellMar>
          <w:top w:w="0" w:type="dxa"/>
          <w:left w:w="0" w:type="dxa"/>
          <w:bottom w:w="0" w:type="dxa"/>
          <w:right w:w="0" w:type="dxa"/>
        </w:tblCellMar>
        <w:tblLook w:val="01E0"/>
      </w:tblPr>
      <w:tblGrid>
        <w:gridCol w:w="3717"/>
        <w:gridCol w:w="5852"/>
      </w:tblGrid>
      <w:tr>
        <w:trPr>
          <w:trHeight w:val="403"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0.70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313,457,493</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21,942,024.51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4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708"/>
        <w:gridCol w:w="5863"/>
      </w:tblGrid>
      <w:tr>
        <w:trPr>
          <w:trHeight w:val="402" w:hRule="exact"/>
        </w:trPr>
        <w:tc>
          <w:tcPr>
            <w:tcW w:w="3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49,458,887.49</w:t>
            </w:r>
          </w:p>
        </w:tc>
      </w:tr>
      <w:tr>
        <w:trPr>
          <w:trHeight w:val="402" w:hRule="exact"/>
        </w:trPr>
        <w:tc>
          <w:tcPr>
            <w:tcW w:w="3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3"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2"/>
                <w:sz w:val="18"/>
                <w:szCs w:val="18"/>
              </w:rPr>
              <w:t>公司发展阶段不易区分但有重大资金支出安排的，进行利润分配时，现金分红在本次利润分配中所占比例最低应达到</w:t>
            </w:r>
            <w:r>
              <w:rPr>
                <w:rFonts w:ascii="宋体" w:hAnsi="宋体" w:cs="宋体" w:eastAsia="宋体" w:hint="default"/>
                <w:spacing w:val="-11"/>
                <w:sz w:val="18"/>
                <w:szCs w:val="18"/>
              </w:rPr>
              <w:t> </w:t>
            </w:r>
            <w:r>
              <w:rPr>
                <w:rFonts w:ascii="Times New Roman" w:hAnsi="Times New Roman" w:cs="Times New Roman" w:eastAsia="Times New Roman" w:hint="default"/>
                <w:spacing w:val="-1"/>
                <w:sz w:val="18"/>
                <w:szCs w:val="18"/>
              </w:rPr>
              <w:t>20</w:t>
            </w:r>
            <w:r>
              <w:rPr>
                <w:rFonts w:ascii="宋体" w:hAnsi="宋体" w:cs="宋体" w:eastAsia="宋体" w:hint="default"/>
                <w:spacing w:val="-1"/>
                <w:sz w:val="18"/>
                <w:szCs w:val="18"/>
              </w:rPr>
              <w:t>％</w:t>
            </w:r>
          </w:p>
        </w:tc>
      </w:tr>
      <w:tr>
        <w:trPr>
          <w:trHeight w:val="401"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90"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339"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日第三届董事</w:t>
            </w:r>
            <w:r>
              <w:rPr>
                <w:rFonts w:ascii="宋体" w:hAnsi="宋体" w:cs="宋体" w:eastAsia="宋体" w:hint="default"/>
                <w:spacing w:val="-3"/>
                <w:sz w:val="18"/>
                <w:szCs w:val="18"/>
              </w:rPr>
              <w:t>会</w:t>
            </w:r>
            <w:r>
              <w:rPr>
                <w:rFonts w:ascii="宋体" w:hAnsi="宋体" w:cs="宋体" w:eastAsia="宋体" w:hint="default"/>
                <w:sz w:val="18"/>
                <w:szCs w:val="18"/>
              </w:rPr>
              <w:t>第二十七次会议审议通过了《</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年度公司利润分配预案</w:t>
            </w:r>
            <w:r>
              <w:rPr>
                <w:rFonts w:ascii="宋体" w:hAnsi="宋体" w:cs="宋体" w:eastAsia="宋体" w:hint="default"/>
                <w:spacing w:val="-92"/>
                <w:sz w:val="18"/>
                <w:szCs w:val="18"/>
              </w:rPr>
              <w:t>》</w:t>
            </w:r>
            <w:r>
              <w:rPr>
                <w:rFonts w:ascii="宋体" w:hAnsi="宋体" w:cs="宋体" w:eastAsia="宋体" w:hint="default"/>
                <w:sz w:val="18"/>
                <w:szCs w:val="18"/>
              </w:rPr>
              <w:t>，拟以公司</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日总</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股本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316,472,493 </w:t>
            </w:r>
            <w:r>
              <w:rPr>
                <w:rFonts w:ascii="宋体" w:hAnsi="宋体" w:cs="宋体" w:eastAsia="宋体" w:hint="default"/>
                <w:sz w:val="18"/>
                <w:szCs w:val="18"/>
              </w:rPr>
              <w:t>股扣除经</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日召开的第三届董事会第二十七次董事会审议通过的拟回购注销的限制性股票</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15</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股的股本</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49</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股为基数，向全体股东每</w:t>
            </w:r>
            <w:r>
              <w:rPr>
                <w:rFonts w:ascii="宋体" w:hAnsi="宋体" w:cs="宋体" w:eastAsia="宋体" w:hint="default"/>
                <w:spacing w:val="-44"/>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股派发现金股利人民币</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元</w:t>
            </w:r>
            <w:r>
              <w:rPr>
                <w:rFonts w:ascii="宋体" w:hAnsi="宋体" w:cs="宋体" w:eastAsia="宋体" w:hint="default"/>
                <w:sz w:val="18"/>
                <w:szCs w:val="18"/>
              </w:rPr>
              <w:t>（含税</w:t>
            </w:r>
            <w:r>
              <w:rPr>
                <w:rFonts w:ascii="宋体" w:hAnsi="宋体" w:cs="宋体" w:eastAsia="宋体" w:hint="default"/>
                <w:spacing w:val="-92"/>
                <w:sz w:val="18"/>
                <w:szCs w:val="18"/>
              </w:rPr>
              <w:t>）</w:t>
            </w:r>
            <w:r>
              <w:rPr>
                <w:rFonts w:ascii="宋体" w:hAnsi="宋体" w:cs="宋体" w:eastAsia="宋体" w:hint="default"/>
                <w:sz w:val="18"/>
                <w:szCs w:val="18"/>
              </w:rPr>
              <w:t>，合计派发现金</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21,942,024.51 </w:t>
            </w:r>
            <w:r>
              <w:rPr>
                <w:rFonts w:ascii="宋体" w:hAnsi="宋体" w:cs="宋体" w:eastAsia="宋体" w:hint="default"/>
                <w:sz w:val="18"/>
                <w:szCs w:val="18"/>
              </w:rPr>
              <w:t>元；</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年度，不转增不送股。该议案尚需提交</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年度股东大会审议。</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年（包括本报告期</w:t>
      </w:r>
      <w:r>
        <w:rPr>
          <w:rFonts w:ascii="宋体" w:hAnsi="宋体" w:cs="宋体" w:eastAsia="宋体" w:hint="default"/>
          <w:spacing w:val="-3"/>
          <w:sz w:val="18"/>
          <w:szCs w:val="18"/>
        </w:rPr>
        <w:t>）</w:t>
      </w:r>
      <w:r>
        <w:rPr>
          <w:rFonts w:ascii="宋体" w:hAnsi="宋体" w:cs="宋体" w:eastAsia="宋体" w:hint="default"/>
          <w:sz w:val="18"/>
          <w:szCs w:val="18"/>
        </w:rPr>
        <w:t>的普通股股利分配方案（预案</w:t>
      </w:r>
      <w:r>
        <w:rPr>
          <w:rFonts w:ascii="宋体" w:hAnsi="宋体" w:cs="宋体" w:eastAsia="宋体" w:hint="default"/>
          <w:spacing w:val="-89"/>
          <w:sz w:val="18"/>
          <w:szCs w:val="18"/>
        </w:rPr>
        <w:t>）</w:t>
      </w:r>
      <w:r>
        <w:rPr>
          <w:rFonts w:ascii="宋体" w:hAnsi="宋体" w:cs="宋体" w:eastAsia="宋体" w:hint="default"/>
          <w:sz w:val="18"/>
          <w:szCs w:val="18"/>
        </w:rPr>
        <w:t>、资本公积金转增股本方案（预案）情况</w:t>
      </w:r>
    </w:p>
    <w:p>
      <w:pPr>
        <w:pStyle w:val="BodyText"/>
        <w:spacing w:line="240" w:lineRule="auto" w:before="157"/>
        <w:ind w:right="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2015</w:t>
      </w:r>
      <w:r>
        <w:rPr/>
        <w:t>年利润分配情况</w:t>
      </w:r>
    </w:p>
    <w:p>
      <w:pPr>
        <w:pStyle w:val="BodyText"/>
        <w:spacing w:line="386" w:lineRule="auto" w:before="177"/>
        <w:ind w:right="0" w:firstLine="336"/>
        <w:jc w:val="left"/>
      </w:pP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9</w:t>
      </w:r>
      <w:r>
        <w:rPr>
          <w:spacing w:val="-3"/>
        </w:rPr>
        <w:t>日第三届董事会第三次会议审议通过了《</w:t>
      </w:r>
      <w:r>
        <w:rPr>
          <w:rFonts w:ascii="Times New Roman" w:hAnsi="Times New Roman" w:cs="Times New Roman" w:eastAsia="Times New Roman" w:hint="default"/>
          <w:spacing w:val="-3"/>
        </w:rPr>
        <w:t>2015</w:t>
      </w:r>
      <w:r>
        <w:rPr>
          <w:spacing w:val="-3"/>
        </w:rPr>
        <w:t>年度公司利润分配预案》，拟以公司</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3</w:t>
      </w:r>
      <w:r>
        <w:rPr>
          <w:rFonts w:ascii="Times New Roman" w:hAnsi="Times New Roman" w:cs="Times New Roman" w:eastAsia="Times New Roman" w:hint="default"/>
          <w:w w:val="100"/>
        </w:rPr>
        <w:t> </w:t>
      </w:r>
      <w:r>
        <w:rPr/>
        <w:t>月</w:t>
      </w:r>
      <w:r>
        <w:rPr>
          <w:rFonts w:ascii="Times New Roman" w:hAnsi="Times New Roman" w:cs="Times New Roman" w:eastAsia="Times New Roman" w:hint="default"/>
        </w:rPr>
        <w:t>9</w:t>
      </w:r>
      <w:r>
        <w:rPr/>
        <w:t>日总股本</w:t>
      </w:r>
      <w:r>
        <w:rPr>
          <w:rFonts w:ascii="Times New Roman" w:hAnsi="Times New Roman" w:cs="Times New Roman" w:eastAsia="Times New Roman" w:hint="default"/>
        </w:rPr>
        <w:t>272,216,295</w:t>
      </w:r>
      <w:r>
        <w:rPr/>
        <w:t>股扣除经</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9</w:t>
      </w:r>
      <w:r>
        <w:rPr/>
        <w:t>日召开的第三届董事会第三董事会审议通过的拟回购注销的</w:t>
      </w:r>
      <w:r>
        <w:rPr>
          <w:w w:val="100"/>
        </w:rPr>
        <w:t> </w:t>
      </w:r>
      <w:r>
        <w:rPr>
          <w:spacing w:val="-1"/>
        </w:rPr>
        <w:t>限制性股票</w:t>
      </w:r>
      <w:r>
        <w:rPr>
          <w:rFonts w:ascii="Times New Roman" w:hAnsi="Times New Roman" w:cs="Times New Roman" w:eastAsia="Times New Roman" w:hint="default"/>
          <w:spacing w:val="-1"/>
        </w:rPr>
        <w:t>4,270,500</w:t>
      </w:r>
      <w:r>
        <w:rPr>
          <w:spacing w:val="-1"/>
        </w:rPr>
        <w:t>股后的股本</w:t>
      </w:r>
      <w:r>
        <w:rPr>
          <w:rFonts w:ascii="Times New Roman" w:hAnsi="Times New Roman" w:cs="Times New Roman" w:eastAsia="Times New Roman" w:hint="default"/>
          <w:spacing w:val="-1"/>
        </w:rPr>
        <w:t>267,945,795</w:t>
      </w:r>
      <w:r>
        <w:rPr>
          <w:spacing w:val="-1"/>
        </w:rPr>
        <w:t>股为基数，向全体股东每</w:t>
      </w:r>
      <w:r>
        <w:rPr>
          <w:rFonts w:ascii="Times New Roman" w:hAnsi="Times New Roman" w:cs="Times New Roman" w:eastAsia="Times New Roman" w:hint="default"/>
          <w:spacing w:val="-1"/>
        </w:rPr>
        <w:t>10</w:t>
      </w:r>
      <w:r>
        <w:rPr>
          <w:spacing w:val="-1"/>
        </w:rPr>
        <w:t>股派发现金股利人民币</w:t>
      </w:r>
      <w:r>
        <w:rPr>
          <w:rFonts w:ascii="Times New Roman" w:hAnsi="Times New Roman" w:cs="Times New Roman" w:eastAsia="Times New Roman" w:hint="default"/>
          <w:spacing w:val="-1"/>
        </w:rPr>
        <w:t>0.35</w:t>
      </w:r>
      <w:r>
        <w:rPr>
          <w:spacing w:val="-1"/>
        </w:rPr>
        <w:t>元（含</w:t>
      </w:r>
      <w:r>
        <w:rPr>
          <w:spacing w:val="-51"/>
        </w:rPr>
        <w:t> </w:t>
      </w:r>
      <w:r>
        <w:rPr>
          <w:spacing w:val="-51"/>
        </w:rPr>
      </w:r>
      <w:r>
        <w:rPr>
          <w:spacing w:val="-3"/>
        </w:rPr>
        <w:t>税），合计派发现金</w:t>
      </w:r>
      <w:r>
        <w:rPr>
          <w:rFonts w:ascii="Times New Roman" w:hAnsi="Times New Roman" w:cs="Times New Roman" w:eastAsia="Times New Roman" w:hint="default"/>
          <w:spacing w:val="-3"/>
        </w:rPr>
        <w:t>9,378,102.83</w:t>
      </w:r>
      <w:r>
        <w:rPr>
          <w:spacing w:val="-3"/>
        </w:rPr>
        <w:t>元；本年度，不转增不送股。由于在权益分派实施前公司完成了</w:t>
      </w:r>
      <w:r>
        <w:rPr>
          <w:rFonts w:ascii="Times New Roman" w:hAnsi="Times New Roman" w:cs="Times New Roman" w:eastAsia="Times New Roman" w:hint="default"/>
          <w:spacing w:val="-3"/>
        </w:rPr>
        <w:t>2016</w:t>
      </w:r>
      <w:r>
        <w:rPr>
          <w:spacing w:val="-3"/>
        </w:rPr>
        <w:t>年度</w:t>
      </w:r>
      <w:r>
        <w:rPr>
          <w:spacing w:val="-30"/>
        </w:rPr>
        <w:t> </w:t>
      </w:r>
      <w:r>
        <w:rPr>
          <w:spacing w:val="-2"/>
        </w:rPr>
        <w:t>股权激励限制性股票的授予登记，致使公司总股本由</w:t>
      </w:r>
      <w:r>
        <w:rPr>
          <w:rFonts w:ascii="Times New Roman" w:hAnsi="Times New Roman" w:cs="Times New Roman" w:eastAsia="Times New Roman" w:hint="default"/>
          <w:spacing w:val="-2"/>
        </w:rPr>
        <w:t>267,945,795</w:t>
      </w:r>
      <w:r>
        <w:rPr>
          <w:spacing w:val="-2"/>
        </w:rPr>
        <w:t>股变更为现在的</w:t>
      </w:r>
      <w:r>
        <w:rPr>
          <w:rFonts w:ascii="Times New Roman" w:hAnsi="Times New Roman" w:cs="Times New Roman" w:eastAsia="Times New Roman" w:hint="default"/>
          <w:spacing w:val="-2"/>
        </w:rPr>
        <w:t>275,090,795</w:t>
      </w:r>
      <w:r>
        <w:rPr>
          <w:spacing w:val="-2"/>
        </w:rPr>
        <w:t>股。根据《深</w:t>
      </w:r>
      <w:r>
        <w:rPr>
          <w:spacing w:val="-18"/>
        </w:rPr>
        <w:t> </w:t>
      </w:r>
      <w:r>
        <w:rPr>
          <w:spacing w:val="-18"/>
        </w:rPr>
      </w:r>
      <w:r>
        <w:rPr>
          <w:spacing w:val="-2"/>
        </w:rPr>
        <w:t>圳证券交易所创业板上市公司规范运作指引》中</w:t>
      </w:r>
      <w:r>
        <w:rPr>
          <w:rFonts w:ascii="Times New Roman" w:hAnsi="Times New Roman" w:cs="Times New Roman" w:eastAsia="Times New Roman" w:hint="default"/>
          <w:spacing w:val="-2"/>
        </w:rPr>
        <w:t>“</w:t>
      </w:r>
      <w:r>
        <w:rPr>
          <w:spacing w:val="-2"/>
        </w:rPr>
        <w:t>现金分红总额、送红股总额、转增股本总额固定不变</w:t>
      </w:r>
      <w:r>
        <w:rPr>
          <w:rFonts w:ascii="Times New Roman" w:hAnsi="Times New Roman" w:cs="Times New Roman" w:eastAsia="Times New Roman" w:hint="default"/>
          <w:spacing w:val="-2"/>
        </w:rPr>
        <w:t>”</w:t>
      </w:r>
      <w:r>
        <w:rPr>
          <w:spacing w:val="-2"/>
        </w:rPr>
        <w:t>的</w:t>
      </w:r>
      <w:r>
        <w:rPr>
          <w:spacing w:val="-22"/>
        </w:rPr>
        <w:t> </w:t>
      </w:r>
      <w:r>
        <w:rPr>
          <w:spacing w:val="-2"/>
        </w:rPr>
        <w:t>原则，公司需按最新总股本重新计算分配比例。公司按最新股本计算的</w:t>
      </w:r>
      <w:r>
        <w:rPr>
          <w:rFonts w:ascii="Times New Roman" w:hAnsi="Times New Roman" w:cs="Times New Roman" w:eastAsia="Times New Roman" w:hint="default"/>
          <w:spacing w:val="-2"/>
        </w:rPr>
        <w:t>2015</w:t>
      </w:r>
      <w:r>
        <w:rPr>
          <w:spacing w:val="-2"/>
        </w:rPr>
        <w:t>年年度权益分派方案为：以公</w:t>
      </w:r>
      <w:r>
        <w:rPr>
          <w:spacing w:val="-40"/>
        </w:rPr>
        <w:t> </w:t>
      </w:r>
      <w:r>
        <w:rPr>
          <w:spacing w:val="-40"/>
        </w:rPr>
      </w:r>
      <w:r>
        <w:rPr>
          <w:spacing w:val="-2"/>
        </w:rPr>
        <w:t>司现有总股本</w:t>
      </w:r>
      <w:r>
        <w:rPr>
          <w:rFonts w:ascii="Times New Roman" w:hAnsi="Times New Roman" w:cs="Times New Roman" w:eastAsia="Times New Roman" w:hint="default"/>
          <w:spacing w:val="-2"/>
        </w:rPr>
        <w:t>275,090,795</w:t>
      </w:r>
      <w:r>
        <w:rPr>
          <w:spacing w:val="-2"/>
        </w:rPr>
        <w:t>股为基数，向全体股东每</w:t>
      </w:r>
      <w:r>
        <w:rPr>
          <w:rFonts w:ascii="Times New Roman" w:hAnsi="Times New Roman" w:cs="Times New Roman" w:eastAsia="Times New Roman" w:hint="default"/>
          <w:spacing w:val="-2"/>
        </w:rPr>
        <w:t>10</w:t>
      </w:r>
      <w:r>
        <w:rPr>
          <w:spacing w:val="-2"/>
        </w:rPr>
        <w:t>股派</w:t>
      </w:r>
      <w:r>
        <w:rPr>
          <w:rFonts w:ascii="Times New Roman" w:hAnsi="Times New Roman" w:cs="Times New Roman" w:eastAsia="Times New Roman" w:hint="default"/>
          <w:spacing w:val="-2"/>
        </w:rPr>
        <w:t>0.340909</w:t>
      </w:r>
      <w:r>
        <w:rPr>
          <w:spacing w:val="-2"/>
        </w:rPr>
        <w:t>元人民币现金，共计派发现金股利人民 </w:t>
      </w:r>
      <w:r>
        <w:rPr/>
        <w:t>币</w:t>
      </w:r>
      <w:r>
        <w:rPr>
          <w:rFonts w:ascii="Times New Roman" w:hAnsi="Times New Roman" w:cs="Times New Roman" w:eastAsia="Times New Roman" w:hint="default"/>
        </w:rPr>
        <w:t>9,378,043.44</w:t>
      </w:r>
      <w:r>
        <w:rPr/>
        <w:t>元。上述利润分配方案已于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26</w:t>
      </w:r>
      <w:r>
        <w:rPr/>
        <w:t>日实施完毕。</w:t>
      </w:r>
    </w:p>
    <w:p>
      <w:pPr>
        <w:pStyle w:val="BodyText"/>
        <w:spacing w:line="240" w:lineRule="auto" w:before="35"/>
        <w:ind w:right="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2016</w:t>
      </w:r>
      <w:r>
        <w:rPr/>
        <w:t>年利润分配情况</w:t>
      </w:r>
    </w:p>
    <w:p>
      <w:pPr>
        <w:pStyle w:val="BodyText"/>
        <w:spacing w:line="386" w:lineRule="auto" w:before="177"/>
        <w:ind w:right="0" w:firstLine="420"/>
        <w:jc w:val="left"/>
      </w:pP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4</w:t>
      </w:r>
      <w:r>
        <w:rPr>
          <w:spacing w:val="-4"/>
        </w:rPr>
        <w:t>月</w:t>
      </w:r>
      <w:r>
        <w:rPr>
          <w:rFonts w:ascii="Times New Roman" w:hAnsi="Times New Roman" w:cs="Times New Roman" w:eastAsia="Times New Roman" w:hint="default"/>
          <w:spacing w:val="-4"/>
        </w:rPr>
        <w:t>19</w:t>
      </w:r>
      <w:r>
        <w:rPr>
          <w:spacing w:val="-4"/>
        </w:rPr>
        <w:t>日第三届董事会第十六次会议审议通过了《</w:t>
      </w:r>
      <w:r>
        <w:rPr>
          <w:rFonts w:ascii="Times New Roman" w:hAnsi="Times New Roman" w:cs="Times New Roman" w:eastAsia="Times New Roman" w:hint="default"/>
          <w:spacing w:val="-4"/>
        </w:rPr>
        <w:t>2016</w:t>
      </w:r>
      <w:r>
        <w:rPr>
          <w:spacing w:val="-4"/>
        </w:rPr>
        <w:t>年度公司利润分配预案》，拟以公司</w:t>
      </w:r>
      <w:r>
        <w:rPr>
          <w:rFonts w:ascii="Times New Roman" w:hAnsi="Times New Roman" w:cs="Times New Roman" w:eastAsia="Times New Roman" w:hint="default"/>
          <w:spacing w:val="-4"/>
        </w:rPr>
        <w:t>2017</w:t>
      </w:r>
      <w:r>
        <w:rPr>
          <w:rFonts w:ascii="Times New Roman" w:hAnsi="Times New Roman" w:cs="Times New Roman" w:eastAsia="Times New Roman" w:hint="default"/>
          <w:w w:val="100"/>
        </w:rPr>
        <w:t> </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19</w:t>
      </w:r>
      <w:r>
        <w:rPr/>
        <w:t>日总股本</w:t>
      </w:r>
      <w:r>
        <w:rPr>
          <w:rFonts w:ascii="Times New Roman" w:hAnsi="Times New Roman" w:cs="Times New Roman" w:eastAsia="Times New Roman" w:hint="default"/>
        </w:rPr>
        <w:t>274,081,795</w:t>
      </w:r>
      <w:r>
        <w:rPr/>
        <w:t>股扣除经</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19</w:t>
      </w:r>
      <w:r>
        <w:rPr/>
        <w:t>日召开的第三届董事会第十六次董事会审议通过的拟</w:t>
      </w:r>
      <w:r>
        <w:rPr>
          <w:w w:val="100"/>
        </w:rPr>
        <w:t> </w:t>
      </w:r>
      <w:r>
        <w:rPr>
          <w:spacing w:val="-2"/>
        </w:rPr>
        <w:t>回购注销的限制性股票</w:t>
      </w:r>
      <w:r>
        <w:rPr>
          <w:rFonts w:ascii="Times New Roman" w:hAnsi="Times New Roman" w:cs="Times New Roman" w:eastAsia="Times New Roman" w:hint="default"/>
          <w:spacing w:val="-2"/>
        </w:rPr>
        <w:t>2,454,400</w:t>
      </w:r>
      <w:r>
        <w:rPr>
          <w:spacing w:val="-2"/>
        </w:rPr>
        <w:t>股后的股本</w:t>
      </w:r>
      <w:r>
        <w:rPr>
          <w:rFonts w:ascii="Times New Roman" w:hAnsi="Times New Roman" w:cs="Times New Roman" w:eastAsia="Times New Roman" w:hint="default"/>
          <w:spacing w:val="-2"/>
        </w:rPr>
        <w:t>271,627,395</w:t>
      </w:r>
      <w:r>
        <w:rPr>
          <w:spacing w:val="-2"/>
        </w:rPr>
        <w:t>股为基数，向全体股东每</w:t>
      </w:r>
      <w:r>
        <w:rPr>
          <w:rFonts w:ascii="Times New Roman" w:hAnsi="Times New Roman" w:cs="Times New Roman" w:eastAsia="Times New Roman" w:hint="default"/>
          <w:spacing w:val="-2"/>
        </w:rPr>
        <w:t>10</w:t>
      </w:r>
      <w:r>
        <w:rPr>
          <w:spacing w:val="-2"/>
        </w:rPr>
        <w:t>股派发现金股利人民币</w:t>
      </w:r>
      <w:r>
        <w:rPr>
          <w:spacing w:val="-26"/>
        </w:rPr>
        <w:t> </w:t>
      </w:r>
      <w:r>
        <w:rPr>
          <w:spacing w:val="-26"/>
        </w:rPr>
      </w:r>
      <w:r>
        <w:rPr>
          <w:rFonts w:ascii="Times New Roman" w:hAnsi="Times New Roman" w:cs="Times New Roman" w:eastAsia="Times New Roman" w:hint="default"/>
        </w:rPr>
        <w:t>0.5</w:t>
      </w:r>
      <w:r>
        <w:rPr/>
        <w:t>元（含税），合计派发现金</w:t>
      </w:r>
      <w:r>
        <w:rPr>
          <w:rFonts w:ascii="Times New Roman" w:hAnsi="Times New Roman" w:cs="Times New Roman" w:eastAsia="Times New Roman" w:hint="default"/>
        </w:rPr>
        <w:t>13,581,369.75</w:t>
      </w:r>
      <w:r>
        <w:rPr/>
        <w:t>元；</w:t>
      </w:r>
      <w:r>
        <w:rPr>
          <w:rFonts w:ascii="Times New Roman" w:hAnsi="Times New Roman" w:cs="Times New Roman" w:eastAsia="Times New Roman" w:hint="default"/>
        </w:rPr>
        <w:t>2016</w:t>
      </w:r>
      <w:r>
        <w:rPr/>
        <w:t>年度，不转增不送股。并于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12</w:t>
      </w:r>
      <w:r>
        <w:rPr/>
        <w:t>日</w:t>
      </w:r>
      <w:r>
        <w:rPr>
          <w:rFonts w:ascii="Times New Roman" w:hAnsi="Times New Roman" w:cs="Times New Roman" w:eastAsia="Times New Roman" w:hint="default"/>
        </w:rPr>
        <w:t>2016</w:t>
      </w:r>
      <w:r>
        <w:rPr/>
        <w:t>年度</w:t>
      </w:r>
      <w:r>
        <w:rPr>
          <w:spacing w:val="-3"/>
          <w:w w:val="100"/>
        </w:rPr>
        <w:t> </w:t>
      </w:r>
      <w:r>
        <w:rPr/>
        <w:t>股东大会审议通过。上述利润分配方案已于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20</w:t>
      </w:r>
      <w:r>
        <w:rPr/>
        <w:t>日实施完毕。</w:t>
      </w:r>
    </w:p>
    <w:p>
      <w:pPr>
        <w:pStyle w:val="BodyText"/>
        <w:spacing w:line="240" w:lineRule="auto" w:before="35"/>
        <w:ind w:right="0"/>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2017</w:t>
      </w:r>
      <w:r>
        <w:rPr/>
        <w:t>年利润分配情况</w:t>
      </w:r>
    </w:p>
    <w:p>
      <w:pPr>
        <w:pStyle w:val="BodyText"/>
        <w:spacing w:line="386" w:lineRule="auto" w:before="177"/>
        <w:ind w:right="0" w:firstLine="420"/>
        <w:jc w:val="left"/>
      </w:pPr>
      <w:r>
        <w:rPr>
          <w:rFonts w:ascii="Times New Roman" w:hAnsi="Times New Roman" w:cs="Times New Roman" w:eastAsia="Times New Roman" w:hint="default"/>
          <w:spacing w:val="-6"/>
        </w:rPr>
        <w:t>2018</w:t>
      </w:r>
      <w:r>
        <w:rPr>
          <w:spacing w:val="-6"/>
        </w:rPr>
        <w:t>年</w:t>
      </w:r>
      <w:r>
        <w:rPr>
          <w:rFonts w:ascii="Times New Roman" w:hAnsi="Times New Roman" w:cs="Times New Roman" w:eastAsia="Times New Roman" w:hint="default"/>
          <w:spacing w:val="-6"/>
        </w:rPr>
        <w:t>4</w:t>
      </w:r>
      <w:r>
        <w:rPr>
          <w:spacing w:val="-6"/>
        </w:rPr>
        <w:t>月</w:t>
      </w:r>
      <w:r>
        <w:rPr>
          <w:rFonts w:ascii="Times New Roman" w:hAnsi="Times New Roman" w:cs="Times New Roman" w:eastAsia="Times New Roman" w:hint="default"/>
          <w:spacing w:val="-6"/>
        </w:rPr>
        <w:t>9</w:t>
      </w:r>
      <w:r>
        <w:rPr>
          <w:spacing w:val="-6"/>
        </w:rPr>
        <w:t>日第三届董事会第二十七次会议审议通过了《</w:t>
      </w:r>
      <w:r>
        <w:rPr>
          <w:rFonts w:ascii="Times New Roman" w:hAnsi="Times New Roman" w:cs="Times New Roman" w:eastAsia="Times New Roman" w:hint="default"/>
          <w:spacing w:val="-6"/>
        </w:rPr>
        <w:t>2017</w:t>
      </w:r>
      <w:r>
        <w:rPr>
          <w:spacing w:val="-6"/>
        </w:rPr>
        <w:t>年度公司利润分配预案》，拟以公司</w:t>
      </w:r>
      <w:r>
        <w:rPr>
          <w:rFonts w:ascii="Times New Roman" w:hAnsi="Times New Roman" w:cs="Times New Roman" w:eastAsia="Times New Roman" w:hint="default"/>
          <w:spacing w:val="-6"/>
        </w:rPr>
        <w:t>2018</w:t>
      </w:r>
      <w:r>
        <w:rPr>
          <w:rFonts w:ascii="Times New Roman" w:hAnsi="Times New Roman" w:cs="Times New Roman" w:eastAsia="Times New Roman" w:hint="default"/>
          <w:w w:val="100"/>
        </w:rPr>
        <w:t> </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9</w:t>
      </w:r>
      <w:r>
        <w:rPr/>
        <w:t>日总股本</w:t>
      </w:r>
      <w:r>
        <w:rPr>
          <w:rFonts w:ascii="Times New Roman" w:hAnsi="Times New Roman" w:cs="Times New Roman" w:eastAsia="Times New Roman" w:hint="default"/>
        </w:rPr>
        <w:t>316,472,493</w:t>
      </w:r>
      <w:r>
        <w:rPr/>
        <w:t>股扣除经</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9</w:t>
      </w:r>
      <w:r>
        <w:rPr/>
        <w:t>日召开的第三届董事会第二十七次董事会审议通过的拟</w:t>
      </w:r>
      <w:r>
        <w:rPr>
          <w:w w:val="100"/>
        </w:rPr>
        <w:t> </w:t>
      </w:r>
      <w:r>
        <w:rPr>
          <w:spacing w:val="-3"/>
        </w:rPr>
        <w:t>回购注销的限制性股票</w:t>
      </w:r>
      <w:r>
        <w:rPr>
          <w:rFonts w:ascii="Times New Roman" w:hAnsi="Times New Roman" w:cs="Times New Roman" w:eastAsia="Times New Roman" w:hint="default"/>
          <w:spacing w:val="-3"/>
        </w:rPr>
        <w:t>3,015,000</w:t>
      </w:r>
      <w:r>
        <w:rPr>
          <w:spacing w:val="-3"/>
        </w:rPr>
        <w:t>股的股本</w:t>
      </w:r>
      <w:r>
        <w:rPr>
          <w:rFonts w:ascii="Times New Roman" w:hAnsi="Times New Roman" w:cs="Times New Roman" w:eastAsia="Times New Roman" w:hint="default"/>
          <w:spacing w:val="-3"/>
        </w:rPr>
        <w:t>313,457,493</w:t>
      </w:r>
      <w:r>
        <w:rPr>
          <w:spacing w:val="-3"/>
        </w:rPr>
        <w:t>股为基数，向全体股东每</w:t>
      </w:r>
      <w:r>
        <w:rPr>
          <w:rFonts w:ascii="Times New Roman" w:hAnsi="Times New Roman" w:cs="Times New Roman" w:eastAsia="Times New Roman" w:hint="default"/>
          <w:spacing w:val="-3"/>
        </w:rPr>
        <w:t>10</w:t>
      </w:r>
      <w:r>
        <w:rPr>
          <w:spacing w:val="-3"/>
        </w:rPr>
        <w:t>股派发现金股利人民币</w:t>
      </w:r>
      <w:r>
        <w:rPr>
          <w:rFonts w:ascii="Times New Roman" w:hAnsi="Times New Roman" w:cs="Times New Roman" w:eastAsia="Times New Roman" w:hint="default"/>
          <w:spacing w:val="-3"/>
        </w:rPr>
        <w:t>0.7</w:t>
      </w:r>
      <w:r>
        <w:rPr>
          <w:rFonts w:ascii="Times New Roman" w:hAnsi="Times New Roman" w:cs="Times New Roman" w:eastAsia="Times New Roman" w:hint="default"/>
          <w:spacing w:val="35"/>
        </w:rPr>
        <w:t> </w:t>
      </w:r>
      <w:r>
        <w:rPr>
          <w:rFonts w:ascii="Times New Roman" w:hAnsi="Times New Roman" w:cs="Times New Roman" w:eastAsia="Times New Roman" w:hint="default"/>
          <w:spacing w:val="35"/>
        </w:rPr>
      </w:r>
      <w:r>
        <w:rPr>
          <w:spacing w:val="-2"/>
        </w:rPr>
        <w:t>元（含税），合计派发现金</w:t>
      </w:r>
      <w:r>
        <w:rPr>
          <w:rFonts w:ascii="Times New Roman" w:hAnsi="Times New Roman" w:cs="Times New Roman" w:eastAsia="Times New Roman" w:hint="default"/>
          <w:spacing w:val="-2"/>
        </w:rPr>
        <w:t>21,942,024.51</w:t>
      </w:r>
      <w:r>
        <w:rPr>
          <w:spacing w:val="-2"/>
        </w:rPr>
        <w:t>元；</w:t>
      </w:r>
      <w:r>
        <w:rPr>
          <w:rFonts w:ascii="Times New Roman" w:hAnsi="Times New Roman" w:cs="Times New Roman" w:eastAsia="Times New Roman" w:hint="default"/>
          <w:spacing w:val="-2"/>
        </w:rPr>
        <w:t>2017</w:t>
      </w:r>
      <w:r>
        <w:rPr>
          <w:spacing w:val="-2"/>
        </w:rPr>
        <w:t>年度，不转增不送股。该议案尚需提交</w:t>
      </w:r>
      <w:r>
        <w:rPr>
          <w:rFonts w:ascii="Times New Roman" w:hAnsi="Times New Roman" w:cs="Times New Roman" w:eastAsia="Times New Roman" w:hint="default"/>
          <w:spacing w:val="-2"/>
        </w:rPr>
        <w:t>2017</w:t>
      </w:r>
      <w:r>
        <w:rPr>
          <w:spacing w:val="-2"/>
        </w:rPr>
        <w:t>年度股东大</w:t>
      </w:r>
      <w:r>
        <w:rPr>
          <w:spacing w:val="4"/>
        </w:rPr>
        <w:t> </w:t>
      </w:r>
      <w:r>
        <w:rPr>
          <w:spacing w:val="4"/>
        </w:rPr>
      </w:r>
      <w:r>
        <w:rPr/>
        <w:t>会审议。</w:t>
      </w:r>
    </w:p>
    <w:p>
      <w:pPr>
        <w:spacing w:after="0" w:line="386"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5"/>
          <w:szCs w:val="25"/>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公司近三年（包括本报告期）普通股现金分红情况表</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317"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71" w:right="71"/>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普通股股东的净利 润</w:t>
            </w:r>
          </w:p>
        </w:tc>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71" w:right="72"/>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于上市公司普通股 股东的净利润的比 率</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431" w:right="70"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432"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156"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612" w:right="70"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4" w:type="dxa"/>
            <w:vMerge/>
            <w:tcBorders>
              <w:left w:val="single" w:sz="4" w:space="0" w:color="000000"/>
              <w:right w:val="single" w:sz="4" w:space="0" w:color="000000"/>
            </w:tcBorders>
            <w:shd w:val="clear" w:color="auto" w:fill="D2D2D2"/>
          </w:tcPr>
          <w:p>
            <w:pPr/>
          </w:p>
        </w:tc>
        <w:tc>
          <w:tcPr>
            <w:tcW w:w="1596"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r>
      <w:tr>
        <w:trPr>
          <w:trHeight w:val="394"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6"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r>
      <w:tr>
        <w:trPr>
          <w:trHeight w:val="156"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6"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r>
      <w:tr>
        <w:trPr>
          <w:trHeight w:val="317"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21,942,024.51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54,954,319.42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39.93%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13,581,369.75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57,773,537.53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23.51%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9,378,043.44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45,302,096.37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公司报告期内盈利且母公司可供普通股股东分配利润为正但未提出普通股现金红利分配预案</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二、承诺事项履行情况</w:t>
      </w:r>
      <w:r>
        <w:rPr>
          <w:b w:val="0"/>
          <w:bCs w:val="0"/>
        </w:rPr>
      </w:r>
    </w:p>
    <w:p>
      <w:pPr>
        <w:spacing w:line="240" w:lineRule="auto" w:before="12"/>
        <w:rPr>
          <w:rFonts w:ascii="宋体" w:hAnsi="宋体" w:cs="宋体" w:eastAsia="宋体" w:hint="default"/>
          <w:b/>
          <w:bCs/>
          <w:sz w:val="24"/>
          <w:szCs w:val="24"/>
        </w:rPr>
      </w:pPr>
    </w:p>
    <w:p>
      <w:pPr>
        <w:pStyle w:val="Heading3"/>
        <w:spacing w:line="259" w:lineRule="auto"/>
        <w:ind w:right="0"/>
        <w:jc w:val="left"/>
        <w:rPr>
          <w:b w:val="0"/>
          <w:bCs w:val="0"/>
        </w:rPr>
      </w:pP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65"/>
        </w:rPr>
        <w:t> </w:t>
      </w:r>
      <w:r>
        <w:rPr>
          <w:spacing w:val="-65"/>
        </w:rPr>
      </w:r>
      <w:r>
        <w:rPr/>
        <w:t>尚未履行完毕的承诺事项</w:t>
      </w:r>
      <w:r>
        <w:rPr>
          <w:b w:val="0"/>
          <w:bCs w:val="0"/>
        </w:rPr>
      </w:r>
    </w:p>
    <w:p>
      <w:pPr>
        <w:spacing w:line="240" w:lineRule="auto" w:before="1"/>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pict>
          <v:shape style="position:absolute;margin-left:361.630005pt;margin-top:93.691719pt;width:61.8pt;height:78pt;mso-position-horizontal-relative:page;mso-position-vertical-relative:paragraph;z-index:-1016680"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6"/>
                      <w:szCs w:val="26"/>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838"/>
        <w:gridCol w:w="1123"/>
        <w:gridCol w:w="1128"/>
        <w:gridCol w:w="1126"/>
        <w:gridCol w:w="1126"/>
        <w:gridCol w:w="1121"/>
        <w:gridCol w:w="1106"/>
      </w:tblGrid>
      <w:tr>
        <w:trPr>
          <w:trHeight w:val="403"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承诺来源</w:t>
            </w:r>
          </w:p>
        </w:tc>
        <w:tc>
          <w:tcPr>
            <w:tcW w:w="1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7"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9"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713"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102"/>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1123" w:type="dxa"/>
            <w:tcBorders>
              <w:top w:val="single" w:sz="4" w:space="0" w:color="000000"/>
              <w:left w:val="single" w:sz="13" w:space="0" w:color="D2D2D2"/>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23" w:type="dxa"/>
            <w:tcBorders>
              <w:top w:val="single" w:sz="4" w:space="0" w:color="000000"/>
              <w:left w:val="single" w:sz="13" w:space="0" w:color="D2D2D2"/>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2837" w:hRule="exact"/>
        </w:trPr>
        <w:tc>
          <w:tcPr>
            <w:tcW w:w="283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3"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陆文雄</w:t>
            </w:r>
          </w:p>
        </w:tc>
        <w:tc>
          <w:tcPr>
            <w:tcW w:w="112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126" w:type="dxa"/>
            <w:vMerge w:val="restart"/>
            <w:tcBorders>
              <w:top w:val="single" w:sz="4" w:space="0" w:color="000000"/>
              <w:left w:val="single" w:sz="4" w:space="0" w:color="000000"/>
              <w:right w:val="single" w:sz="4" w:space="0" w:color="000000"/>
            </w:tcBorders>
          </w:tcPr>
          <w:p>
            <w:pPr>
              <w:pStyle w:val="TableParagraph"/>
              <w:spacing w:line="314"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公司控股股 东陆文雄承 </w:t>
            </w:r>
            <w:r>
              <w:rPr>
                <w:rFonts w:ascii="宋体" w:hAnsi="宋体" w:cs="宋体" w:eastAsia="宋体" w:hint="default"/>
                <w:spacing w:val="-2"/>
                <w:sz w:val="18"/>
                <w:szCs w:val="18"/>
              </w:rPr>
              <w:t>诺：自公司股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票上市之日 起</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个月内 不转让或者 委托他人管 理其现持有</w:t>
            </w:r>
          </w:p>
          <w:p>
            <w:pPr>
              <w:pStyle w:val="TableParagraph"/>
              <w:spacing w:line="316" w:lineRule="auto" w:before="20"/>
              <w:ind w:left="23" w:right="10"/>
              <w:jc w:val="left"/>
              <w:rPr>
                <w:rFonts w:ascii="宋体" w:hAnsi="宋体" w:cs="宋体" w:eastAsia="宋体" w:hint="default"/>
                <w:sz w:val="18"/>
                <w:szCs w:val="18"/>
              </w:rPr>
            </w:pPr>
            <w:r>
              <w:rPr>
                <w:rFonts w:ascii="宋体" w:hAnsi="宋体" w:cs="宋体" w:eastAsia="宋体" w:hint="default"/>
                <w:sz w:val="18"/>
                <w:szCs w:val="18"/>
              </w:rPr>
              <w:t>的公司股份， 也不由公司 回购该部分 股份。</w:t>
            </w:r>
          </w:p>
        </w:tc>
        <w:tc>
          <w:tcPr>
            <w:tcW w:w="1126" w:type="dxa"/>
            <w:vMerge w:val="restart"/>
            <w:tcBorders>
              <w:top w:val="single" w:sz="4" w:space="0" w:color="000000"/>
              <w:left w:val="single" w:sz="4" w:space="0" w:color="000000"/>
              <w:right w:val="single" w:sz="4" w:space="0" w:color="000000"/>
            </w:tcBorders>
          </w:tcPr>
          <w:p>
            <w:pPr>
              <w:pStyle w:val="TableParagraph"/>
              <w:spacing w:line="1560" w:lineRule="exact"/>
              <w:ind w:right="-50"/>
              <w:jc w:val="left"/>
              <w:rPr>
                <w:rFonts w:ascii="宋体" w:hAnsi="宋体" w:cs="宋体" w:eastAsia="宋体" w:hint="default"/>
                <w:sz w:val="20"/>
                <w:szCs w:val="20"/>
              </w:rPr>
            </w:pPr>
            <w:r>
              <w:rPr>
                <w:rFonts w:ascii="宋体" w:hAnsi="宋体" w:cs="宋体" w:eastAsia="宋体" w:hint="default"/>
                <w:position w:val="-30"/>
                <w:sz w:val="20"/>
                <w:szCs w:val="20"/>
              </w:rPr>
              <w:pict>
                <v:group style="width:55.8pt;height:78pt;mso-position-horizontal-relative:char;mso-position-vertical-relative:line" coordorigin="0,0" coordsize="1116,1560">
                  <v:group style="position:absolute;left:0;top:0;width:1116;height:1560" coordorigin="0,0" coordsize="1116,1560">
                    <v:shape style="position:absolute;left:0;top:0;width:1116;height:1560" coordorigin="0,0" coordsize="1116,1560" path="m0,1560l1116,1560,1116,0,0,0,0,1560xe" filled="true" fillcolor="#ffffff" stroked="false">
                      <v:path arrowok="t"/>
                      <v:fill type="solid"/>
                    </v:shape>
                  </v:group>
                </v:group>
              </w:pict>
            </w:r>
            <w:r>
              <w:rPr>
                <w:rFonts w:ascii="宋体" w:hAnsi="宋体" w:cs="宋体" w:eastAsia="宋体" w:hint="default"/>
                <w:position w:val="-30"/>
                <w:sz w:val="20"/>
                <w:szCs w:val="20"/>
              </w:rPr>
            </w:r>
          </w:p>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6"/>
                <w:szCs w:val="16"/>
              </w:rPr>
            </w:pPr>
          </w:p>
        </w:tc>
        <w:tc>
          <w:tcPr>
            <w:tcW w:w="11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p>
          <w:p>
            <w:pPr>
              <w:pStyle w:val="TableParagraph"/>
              <w:spacing w:line="300" w:lineRule="auto" w:before="60"/>
              <w:ind w:left="23" w:right="91"/>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日解禁 并上市流通</w:t>
            </w:r>
          </w:p>
        </w:tc>
        <w:tc>
          <w:tcPr>
            <w:tcW w:w="110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履行完毕</w:t>
            </w:r>
          </w:p>
        </w:tc>
      </w:tr>
      <w:tr>
        <w:trPr>
          <w:trHeight w:val="394" w:hRule="exact"/>
        </w:trPr>
        <w:tc>
          <w:tcPr>
            <w:tcW w:w="28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123" w:type="dxa"/>
            <w:vMerge/>
            <w:tcBorders>
              <w:left w:val="single" w:sz="10" w:space="0" w:color="D2D2D2"/>
              <w:right w:val="single" w:sz="4" w:space="0" w:color="000000"/>
            </w:tcBorders>
          </w:tcPr>
          <w:p>
            <w:pP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602" w:hRule="exact"/>
        </w:trPr>
        <w:tc>
          <w:tcPr>
            <w:tcW w:w="2838" w:type="dxa"/>
            <w:vMerge w:val="restart"/>
            <w:tcBorders>
              <w:top w:val="nil" w:sz="6" w:space="0" w:color="auto"/>
              <w:left w:val="single" w:sz="4" w:space="0" w:color="000000"/>
              <w:right w:val="single" w:sz="4" w:space="0" w:color="000000"/>
            </w:tcBorders>
            <w:shd w:val="clear" w:color="auto" w:fill="D2D2D2"/>
          </w:tcPr>
          <w:p>
            <w:pPr/>
          </w:p>
        </w:tc>
        <w:tc>
          <w:tcPr>
            <w:tcW w:w="1123" w:type="dxa"/>
            <w:vMerge/>
            <w:tcBorders>
              <w:left w:val="single" w:sz="10" w:space="0" w:color="D2D2D2"/>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nil" w:sz="6" w:space="0" w:color="auto"/>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r>
        <w:trPr>
          <w:trHeight w:val="2235" w:hRule="exact"/>
        </w:trPr>
        <w:tc>
          <w:tcPr>
            <w:tcW w:w="2838"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陈宏科</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公司股东陈 </w:t>
            </w:r>
            <w:r>
              <w:rPr>
                <w:rFonts w:ascii="宋体" w:hAnsi="宋体" w:cs="宋体" w:eastAsia="宋体" w:hint="default"/>
                <w:spacing w:val="-2"/>
                <w:sz w:val="18"/>
                <w:szCs w:val="18"/>
              </w:rPr>
              <w:t>宏科承诺：自</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公司股票上 市之日起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pacing w:val="-2"/>
                <w:sz w:val="18"/>
                <w:szCs w:val="18"/>
              </w:rPr>
              <w:t>个月内，不转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让或者委托 他人管理其</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p>
          <w:p>
            <w:pPr>
              <w:pStyle w:val="TableParagraph"/>
              <w:spacing w:line="300" w:lineRule="auto" w:before="63"/>
              <w:ind w:left="23" w:right="91"/>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日解禁 并上市流通</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履行完毕</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1299"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0"/>
              <w:jc w:val="left"/>
              <w:rPr>
                <w:rFonts w:ascii="宋体" w:hAnsi="宋体" w:cs="宋体" w:eastAsia="宋体" w:hint="default"/>
                <w:sz w:val="18"/>
                <w:szCs w:val="18"/>
              </w:rPr>
            </w:pPr>
            <w:r>
              <w:rPr>
                <w:rFonts w:ascii="宋体" w:hAnsi="宋体" w:cs="宋体" w:eastAsia="宋体" w:hint="default"/>
                <w:sz w:val="18"/>
                <w:szCs w:val="18"/>
              </w:rPr>
              <w:t>现持有的公 司股份，也不 由公司回购 该部分股份。</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3209" w:hRule="exact"/>
        </w:trPr>
        <w:tc>
          <w:tcPr>
            <w:tcW w:w="2837"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杜力耘</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
              <w:jc w:val="left"/>
              <w:rPr>
                <w:rFonts w:ascii="宋体" w:hAnsi="宋体" w:cs="宋体" w:eastAsia="宋体" w:hint="default"/>
                <w:sz w:val="18"/>
                <w:szCs w:val="18"/>
              </w:rPr>
            </w:pPr>
            <w:r>
              <w:rPr>
                <w:rFonts w:ascii="宋体" w:hAnsi="宋体" w:cs="宋体" w:eastAsia="宋体" w:hint="default"/>
                <w:sz w:val="18"/>
                <w:szCs w:val="18"/>
              </w:rPr>
              <w:t>自公司股票 上市之日起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5"/>
                <w:sz w:val="18"/>
                <w:szCs w:val="18"/>
              </w:rPr>
              <w:t> </w:t>
            </w:r>
            <w:r>
              <w:rPr>
                <w:rFonts w:ascii="宋体" w:hAnsi="宋体" w:cs="宋体" w:eastAsia="宋体" w:hint="default"/>
                <w:spacing w:val="-12"/>
                <w:sz w:val="18"/>
                <w:szCs w:val="18"/>
              </w:rPr>
              <w:t>个月内，不</w:t>
            </w:r>
            <w:r>
              <w:rPr>
                <w:rFonts w:ascii="宋体" w:hAnsi="宋体" w:cs="宋体" w:eastAsia="宋体" w:hint="default"/>
                <w:sz w:val="18"/>
                <w:szCs w:val="18"/>
              </w:rPr>
              <w:t> 转让或者委 托他人管理 其现持有的 公司股份，也 不由公司回 购该部分股 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p>
          <w:p>
            <w:pPr>
              <w:pStyle w:val="TableParagraph"/>
              <w:spacing w:line="300" w:lineRule="auto" w:before="63"/>
              <w:ind w:left="23" w:right="91"/>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日解禁 并上市流通</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已履行完毕</w:t>
            </w:r>
          </w:p>
        </w:tc>
      </w:tr>
      <w:tr>
        <w:trPr>
          <w:trHeight w:val="9412"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7"/>
              <w:ind w:left="23" w:right="17"/>
              <w:jc w:val="left"/>
              <w:rPr>
                <w:rFonts w:ascii="宋体" w:hAnsi="宋体" w:cs="宋体" w:eastAsia="宋体" w:hint="default"/>
                <w:sz w:val="18"/>
                <w:szCs w:val="18"/>
              </w:rPr>
            </w:pPr>
            <w:r>
              <w:rPr>
                <w:rFonts w:ascii="宋体" w:hAnsi="宋体" w:cs="宋体" w:eastAsia="宋体" w:hint="default"/>
                <w:sz w:val="18"/>
                <w:szCs w:val="18"/>
              </w:rPr>
              <w:t>公司实际控 </w:t>
            </w:r>
            <w:r>
              <w:rPr>
                <w:rFonts w:ascii="宋体" w:hAnsi="宋体" w:cs="宋体" w:eastAsia="宋体" w:hint="default"/>
                <w:spacing w:val="-3"/>
                <w:sz w:val="18"/>
                <w:szCs w:val="18"/>
              </w:rPr>
              <w:t>制人、控股股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东陆文雄、持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 份的股东陈 宏科、杜力 </w:t>
            </w:r>
            <w:r>
              <w:rPr>
                <w:rFonts w:ascii="宋体" w:hAnsi="宋体" w:cs="宋体" w:eastAsia="宋体" w:hint="default"/>
                <w:spacing w:val="-2"/>
                <w:sz w:val="18"/>
                <w:szCs w:val="18"/>
              </w:rPr>
              <w:t>耘、楼晔、姜</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蓓蓓以及全 体董事、监 </w:t>
            </w:r>
            <w:r>
              <w:rPr>
                <w:rFonts w:ascii="宋体" w:hAnsi="宋体" w:cs="宋体" w:eastAsia="宋体" w:hint="default"/>
                <w:spacing w:val="-3"/>
                <w:sz w:val="18"/>
                <w:szCs w:val="18"/>
              </w:rPr>
              <w:t>事、高级管理</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人员、核心人</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员</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关于避免同 业竞争的承 诺 为避免同业 竞争损害公 司及其他股 </w:t>
            </w:r>
            <w:r>
              <w:rPr>
                <w:rFonts w:ascii="宋体" w:hAnsi="宋体" w:cs="宋体" w:eastAsia="宋体" w:hint="default"/>
                <w:spacing w:val="-2"/>
                <w:sz w:val="18"/>
                <w:szCs w:val="18"/>
              </w:rPr>
              <w:t>东的利益，公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司实际控制 </w:t>
            </w:r>
            <w:r>
              <w:rPr>
                <w:rFonts w:ascii="宋体" w:hAnsi="宋体" w:cs="宋体" w:eastAsia="宋体" w:hint="default"/>
                <w:spacing w:val="-2"/>
                <w:sz w:val="18"/>
                <w:szCs w:val="18"/>
              </w:rPr>
              <w:t>人、控股股东</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陆文雄、持有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以上股份 的股东陈宏</w:t>
            </w:r>
          </w:p>
          <w:p>
            <w:pPr>
              <w:pStyle w:val="TableParagraph"/>
              <w:spacing w:line="319" w:lineRule="auto" w:before="19"/>
              <w:ind w:left="23" w:right="10"/>
              <w:jc w:val="left"/>
              <w:rPr>
                <w:rFonts w:ascii="宋体" w:hAnsi="宋体" w:cs="宋体" w:eastAsia="宋体" w:hint="default"/>
                <w:sz w:val="18"/>
                <w:szCs w:val="18"/>
              </w:rPr>
            </w:pPr>
            <w:r>
              <w:rPr>
                <w:rFonts w:ascii="宋体" w:hAnsi="宋体" w:cs="宋体" w:eastAsia="宋体" w:hint="default"/>
                <w:sz w:val="18"/>
                <w:szCs w:val="18"/>
              </w:rPr>
              <w:t>科、杜力耘、 楼晔、姜蓓蓓 以及全体董 事、监事、高 级管理人员、 核心人员均</w:t>
            </w:r>
          </w:p>
          <w:p>
            <w:pPr>
              <w:pStyle w:val="TableParagraph"/>
              <w:spacing w:line="240" w:lineRule="auto" w:before="17"/>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p>
          <w:p>
            <w:pPr>
              <w:pStyle w:val="TableParagraph"/>
              <w:spacing w:line="316" w:lineRule="auto" w:before="63"/>
              <w:ind w:left="23" w:right="19"/>
              <w:jc w:val="left"/>
              <w:rPr>
                <w:rFonts w:ascii="宋体" w:hAnsi="宋体" w:cs="宋体" w:eastAsia="宋体" w:hint="default"/>
                <w:sz w:val="18"/>
                <w:szCs w:val="18"/>
              </w:rPr>
            </w:pPr>
            <w:r>
              <w:rPr>
                <w:rFonts w:ascii="宋体" w:hAnsi="宋体" w:cs="宋体" w:eastAsia="宋体" w:hint="default"/>
                <w:spacing w:val="-2"/>
                <w:sz w:val="18"/>
                <w:szCs w:val="18"/>
              </w:rPr>
              <w:t>月出具了《避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免同业竞争 </w:t>
            </w:r>
            <w:r>
              <w:rPr>
                <w:rFonts w:ascii="宋体" w:hAnsi="宋体" w:cs="宋体" w:eastAsia="宋体" w:hint="default"/>
                <w:spacing w:val="-16"/>
                <w:sz w:val="18"/>
                <w:szCs w:val="18"/>
              </w:rPr>
              <w:t>承诺函》，承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3"/>
                <w:w w:val="99"/>
                <w:sz w:val="18"/>
                <w:szCs w:val="18"/>
              </w:rPr>
              <w:t>诺：</w:t>
            </w:r>
            <w:r>
              <w:rPr>
                <w:rFonts w:ascii="Times New Roman" w:hAnsi="Times New Roman" w:cs="Times New Roman" w:eastAsia="Times New Roman" w:hint="default"/>
                <w:spacing w:val="-13"/>
                <w:w w:val="99"/>
                <w:sz w:val="18"/>
                <w:szCs w:val="18"/>
              </w:rPr>
              <w:t>"</w:t>
            </w:r>
            <w:r>
              <w:rPr>
                <w:rFonts w:ascii="宋体" w:hAnsi="宋体" w:cs="宋体" w:eastAsia="宋体" w:hint="default"/>
                <w:spacing w:val="-13"/>
                <w:w w:val="99"/>
                <w:sz w:val="18"/>
                <w:szCs w:val="18"/>
              </w:rPr>
              <w:t>本人和本</w:t>
            </w:r>
            <w:r>
              <w:rPr>
                <w:rFonts w:ascii="宋体" w:hAnsi="宋体" w:cs="宋体" w:eastAsia="宋体" w:hint="default"/>
                <w:spacing w:val="-85"/>
                <w:w w:val="99"/>
                <w:sz w:val="18"/>
                <w:szCs w:val="18"/>
              </w:rPr>
              <w:t> </w:t>
            </w:r>
            <w:r>
              <w:rPr>
                <w:rFonts w:ascii="宋体" w:hAnsi="宋体" w:cs="宋体" w:eastAsia="宋体" w:hint="default"/>
                <w:sz w:val="18"/>
                <w:szCs w:val="18"/>
              </w:rPr>
              <w:t>人的近亲属 </w:t>
            </w:r>
            <w:r>
              <w:rPr>
                <w:rFonts w:ascii="宋体" w:hAnsi="宋体" w:cs="宋体" w:eastAsia="宋体" w:hint="default"/>
                <w:spacing w:val="-2"/>
                <w:sz w:val="18"/>
                <w:szCs w:val="18"/>
              </w:rPr>
              <w:t>目前没有、并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且今后也不 会在与天玑 科技及其控 股子公司从 事相同或相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185"/>
              <w:jc w:val="both"/>
              <w:rPr>
                <w:rFonts w:ascii="宋体" w:hAnsi="宋体" w:cs="宋体" w:eastAsia="宋体" w:hint="default"/>
                <w:sz w:val="18"/>
                <w:szCs w:val="18"/>
              </w:rPr>
            </w:pPr>
            <w:r>
              <w:rPr>
                <w:rFonts w:ascii="宋体" w:hAnsi="宋体" w:cs="宋体" w:eastAsia="宋体" w:hint="default"/>
                <w:sz w:val="18"/>
                <w:szCs w:val="18"/>
              </w:rPr>
              <w:t>作出承诺时 至承诺履行 完毕</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319" w:lineRule="auto"/>
              <w:ind w:left="23" w:right="-5"/>
              <w:jc w:val="left"/>
              <w:rPr>
                <w:rFonts w:ascii="宋体" w:hAnsi="宋体" w:cs="宋体" w:eastAsia="宋体" w:hint="default"/>
                <w:sz w:val="18"/>
                <w:szCs w:val="18"/>
              </w:rPr>
            </w:pPr>
            <w:r>
              <w:rPr>
                <w:rFonts w:ascii="宋体" w:hAnsi="宋体" w:cs="宋体" w:eastAsia="宋体" w:hint="default"/>
                <w:sz w:val="18"/>
                <w:szCs w:val="18"/>
              </w:rPr>
              <w:t>截止到报告 </w:t>
            </w:r>
            <w:r>
              <w:rPr>
                <w:rFonts w:ascii="宋体" w:hAnsi="宋体" w:cs="宋体" w:eastAsia="宋体" w:hint="default"/>
                <w:spacing w:val="-5"/>
                <w:sz w:val="18"/>
                <w:szCs w:val="18"/>
              </w:rPr>
              <w:t>期末，上述承</w:t>
            </w:r>
            <w:r>
              <w:rPr>
                <w:rFonts w:ascii="宋体" w:hAnsi="宋体" w:cs="宋体" w:eastAsia="宋体" w:hint="default"/>
                <w:sz w:val="18"/>
                <w:szCs w:val="18"/>
              </w:rPr>
              <w:t> 诺人严格信 </w:t>
            </w:r>
            <w:r>
              <w:rPr>
                <w:rFonts w:ascii="宋体" w:hAnsi="宋体" w:cs="宋体" w:eastAsia="宋体" w:hint="default"/>
                <w:spacing w:val="-5"/>
                <w:sz w:val="18"/>
                <w:szCs w:val="18"/>
              </w:rPr>
              <w:t>守承诺，未出</w:t>
            </w:r>
            <w:r>
              <w:rPr>
                <w:rFonts w:ascii="宋体" w:hAnsi="宋体" w:cs="宋体" w:eastAsia="宋体" w:hint="default"/>
                <w:sz w:val="18"/>
                <w:szCs w:val="18"/>
              </w:rPr>
              <w:t> 现违反承诺 的情况发生。</w:t>
            </w:r>
          </w:p>
        </w:tc>
      </w:tr>
    </w:tbl>
    <w:p>
      <w:pPr>
        <w:spacing w:after="0" w:line="319"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5979"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0"/>
              <w:jc w:val="left"/>
              <w:rPr>
                <w:rFonts w:ascii="宋体" w:hAnsi="宋体" w:cs="宋体" w:eastAsia="宋体" w:hint="default"/>
                <w:sz w:val="18"/>
                <w:szCs w:val="18"/>
              </w:rPr>
            </w:pPr>
            <w:r>
              <w:rPr>
                <w:rFonts w:ascii="宋体" w:hAnsi="宋体" w:cs="宋体" w:eastAsia="宋体" w:hint="default"/>
                <w:sz w:val="18"/>
                <w:szCs w:val="18"/>
              </w:rPr>
              <w:t>近似业务的 企业、单位进 行投资或任 职；本人和本 人的近亲属 目前没有、并 且今后也不 会直接或通 过其他任何 方式间接从 事与天玑科 技及其控股 子公司业务 相同或相近 似的经营活 动。若违背上 述承诺，本人 愿承担相应 的法律责任。</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7852"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314" w:lineRule="auto"/>
              <w:ind w:left="23" w:right="7"/>
              <w:jc w:val="left"/>
              <w:rPr>
                <w:rFonts w:ascii="宋体" w:hAnsi="宋体" w:cs="宋体" w:eastAsia="宋体" w:hint="default"/>
                <w:sz w:val="18"/>
                <w:szCs w:val="18"/>
              </w:rPr>
            </w:pPr>
            <w:r>
              <w:rPr>
                <w:rFonts w:ascii="宋体" w:hAnsi="宋体" w:cs="宋体" w:eastAsia="宋体" w:hint="default"/>
                <w:sz w:val="18"/>
                <w:szCs w:val="18"/>
              </w:rPr>
              <w:t>公司实际控 </w:t>
            </w:r>
            <w:r>
              <w:rPr>
                <w:rFonts w:ascii="宋体" w:hAnsi="宋体" w:cs="宋体" w:eastAsia="宋体" w:hint="default"/>
                <w:spacing w:val="-3"/>
                <w:sz w:val="18"/>
                <w:szCs w:val="18"/>
              </w:rPr>
              <w:t>制人、控股股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东陆文雄、持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 份的股东以 及全体董事、 </w:t>
            </w:r>
            <w:r>
              <w:rPr>
                <w:rFonts w:ascii="宋体" w:hAnsi="宋体" w:cs="宋体" w:eastAsia="宋体" w:hint="default"/>
                <w:spacing w:val="-3"/>
                <w:sz w:val="18"/>
                <w:szCs w:val="18"/>
              </w:rPr>
              <w:t>监事、高级管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理人员</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0"/>
              <w:ind w:left="26" w:right="191"/>
              <w:jc w:val="both"/>
              <w:rPr>
                <w:rFonts w:ascii="宋体" w:hAnsi="宋体" w:cs="宋体" w:eastAsia="宋体" w:hint="default"/>
                <w:sz w:val="18"/>
                <w:szCs w:val="18"/>
              </w:rPr>
            </w:pPr>
            <w:r>
              <w:rPr>
                <w:rFonts w:ascii="宋体" w:hAnsi="宋体" w:cs="宋体" w:eastAsia="宋体" w:hint="default"/>
                <w:sz w:val="18"/>
                <w:szCs w:val="18"/>
              </w:rPr>
              <w:t>关于关联交 易问题的承 诺函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
              <w:jc w:val="left"/>
              <w:rPr>
                <w:rFonts w:ascii="宋体" w:hAnsi="宋体" w:cs="宋体" w:eastAsia="宋体" w:hint="default"/>
                <w:sz w:val="18"/>
                <w:szCs w:val="18"/>
              </w:rPr>
            </w:pPr>
            <w:r>
              <w:rPr>
                <w:rFonts w:ascii="宋体" w:hAnsi="宋体" w:cs="宋体" w:eastAsia="宋体" w:hint="default"/>
                <w:sz w:val="18"/>
                <w:szCs w:val="18"/>
              </w:rPr>
              <w:t>关于关联交 易问题的承 诺函 公司实际控 制人、控股股 东陆文雄、持 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 份的股东以 及全体董事、 监事、高级管 理人员于</w:t>
            </w:r>
          </w:p>
          <w:p>
            <w:pPr>
              <w:pStyle w:val="TableParagraph"/>
              <w:spacing w:line="314" w:lineRule="auto" w:before="19"/>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月签 署了关于关 联交易问题 的承诺函，承 诺：</w:t>
            </w:r>
            <w:r>
              <w:rPr>
                <w:rFonts w:ascii="Times New Roman" w:hAnsi="Times New Roman" w:cs="Times New Roman" w:eastAsia="Times New Roman" w:hint="default"/>
                <w:sz w:val="18"/>
                <w:szCs w:val="18"/>
              </w:rPr>
              <w:t>1</w:t>
            </w:r>
            <w:r>
              <w:rPr>
                <w:rFonts w:ascii="宋体" w:hAnsi="宋体" w:cs="宋体" w:eastAsia="宋体" w:hint="default"/>
                <w:sz w:val="18"/>
                <w:szCs w:val="18"/>
              </w:rPr>
              <w:t>、本人 及本人近亲 属将尽量避 免和减少与 天玑科技之 间的关联交 易，对于天玑 科技能够通 过市场与独 立第三方之</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0"/>
              <w:ind w:left="23" w:right="185"/>
              <w:jc w:val="both"/>
              <w:rPr>
                <w:rFonts w:ascii="宋体" w:hAnsi="宋体" w:cs="宋体" w:eastAsia="宋体" w:hint="default"/>
                <w:sz w:val="18"/>
                <w:szCs w:val="18"/>
              </w:rPr>
            </w:pPr>
            <w:r>
              <w:rPr>
                <w:rFonts w:ascii="宋体" w:hAnsi="宋体" w:cs="宋体" w:eastAsia="宋体" w:hint="default"/>
                <w:sz w:val="18"/>
                <w:szCs w:val="18"/>
              </w:rPr>
              <w:t>作出承诺时 至承诺履行 完毕</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316" w:lineRule="auto"/>
              <w:ind w:left="23" w:right="-5"/>
              <w:jc w:val="left"/>
              <w:rPr>
                <w:rFonts w:ascii="宋体" w:hAnsi="宋体" w:cs="宋体" w:eastAsia="宋体" w:hint="default"/>
                <w:sz w:val="18"/>
                <w:szCs w:val="18"/>
              </w:rPr>
            </w:pPr>
            <w:r>
              <w:rPr>
                <w:rFonts w:ascii="宋体" w:hAnsi="宋体" w:cs="宋体" w:eastAsia="宋体" w:hint="default"/>
                <w:sz w:val="18"/>
                <w:szCs w:val="18"/>
              </w:rPr>
              <w:t>截止到报告 </w:t>
            </w:r>
            <w:r>
              <w:rPr>
                <w:rFonts w:ascii="宋体" w:hAnsi="宋体" w:cs="宋体" w:eastAsia="宋体" w:hint="default"/>
                <w:spacing w:val="-5"/>
                <w:sz w:val="18"/>
                <w:szCs w:val="18"/>
              </w:rPr>
              <w:t>期末，上述承</w:t>
            </w:r>
            <w:r>
              <w:rPr>
                <w:rFonts w:ascii="宋体" w:hAnsi="宋体" w:cs="宋体" w:eastAsia="宋体" w:hint="default"/>
                <w:sz w:val="18"/>
                <w:szCs w:val="18"/>
              </w:rPr>
              <w:t> 诺人严格信 </w:t>
            </w:r>
            <w:r>
              <w:rPr>
                <w:rFonts w:ascii="宋体" w:hAnsi="宋体" w:cs="宋体" w:eastAsia="宋体" w:hint="default"/>
                <w:spacing w:val="-5"/>
                <w:sz w:val="18"/>
                <w:szCs w:val="18"/>
              </w:rPr>
              <w:t>守承诺，未出</w:t>
            </w:r>
            <w:r>
              <w:rPr>
                <w:rFonts w:ascii="宋体" w:hAnsi="宋体" w:cs="宋体" w:eastAsia="宋体" w:hint="default"/>
                <w:sz w:val="18"/>
                <w:szCs w:val="18"/>
              </w:rPr>
              <w:t> 现违反承诺 的情况发生。</w:t>
            </w:r>
          </w:p>
        </w:tc>
      </w:tr>
    </w:tbl>
    <w:p>
      <w:pPr>
        <w:spacing w:after="0" w:line="316"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间发生的交</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易，将由天玑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科技与独立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第三方进行。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本人及本人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近亲属将严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格避免向天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玑科技拆借、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占用天玑科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技资金或采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取由天玑科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技代垫款、代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偿债务等方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式侵占天玑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科技资金。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、对于本人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及本人近亲</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属与天玑科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技及其子公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司之间必需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的一切交易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行为，均将严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格遵守市场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原则，本着平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等互利、等价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有偿的一般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原则，公平合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理地进行。交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易定价有政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府定价的，执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行政府定价；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没有政府定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价的，执行市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场公允价格；</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没有政府定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价且无可参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考市场价格</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的，按照成本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加可比较的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合理利润水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平确定成本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价执行。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、与天玑科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4"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技及其子公</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13156"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0"/>
              <w:jc w:val="left"/>
              <w:rPr>
                <w:rFonts w:ascii="宋体" w:hAnsi="宋体" w:cs="宋体" w:eastAsia="宋体" w:hint="default"/>
                <w:sz w:val="18"/>
                <w:szCs w:val="18"/>
              </w:rPr>
            </w:pPr>
            <w:r>
              <w:rPr>
                <w:rFonts w:ascii="宋体" w:hAnsi="宋体" w:cs="宋体" w:eastAsia="宋体" w:hint="default"/>
                <w:sz w:val="18"/>
                <w:szCs w:val="18"/>
              </w:rPr>
              <w:t>司之间的关 联交易均以 签订书面合 同或协议形 式明确规定， 并将严格遵 守天玑科技 公司章程、关 联交易管理 制度等规定 履行必要的 法定程序，在 公司权力机 构审议有关 关联交易事 项时主动依 法履行回避 义务；对须报 经有权机构 审议的关联 交易事项，在 有权机构审 议通过后方 可执行。 </w:t>
            </w:r>
            <w:r>
              <w:rPr>
                <w:rFonts w:ascii="Times New Roman" w:hAnsi="Times New Roman" w:cs="Times New Roman" w:eastAsia="Times New Roman" w:hint="default"/>
                <w:sz w:val="18"/>
                <w:szCs w:val="18"/>
              </w:rPr>
              <w:t>4</w:t>
            </w:r>
            <w:r>
              <w:rPr>
                <w:rFonts w:ascii="宋体" w:hAnsi="宋体" w:cs="宋体" w:eastAsia="宋体" w:hint="default"/>
                <w:sz w:val="18"/>
                <w:szCs w:val="18"/>
              </w:rPr>
              <w:t>、保证不通 过关联交易 取得任何不 正当的利益 或使天玑科 技及其子公 司承担任何 不正当的义 务。如果因违 反上述承诺 导致天玑科 技损失或利 用关联交易 侵占天玑科 技利益的，天 玑科技的损 失由本人承 担。</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3" w:right="7"/>
              <w:jc w:val="left"/>
              <w:rPr>
                <w:rFonts w:ascii="宋体" w:hAnsi="宋体" w:cs="宋体" w:eastAsia="宋体" w:hint="default"/>
                <w:sz w:val="18"/>
                <w:szCs w:val="18"/>
              </w:rPr>
            </w:pPr>
            <w:r>
              <w:rPr>
                <w:rFonts w:ascii="宋体" w:hAnsi="宋体" w:cs="宋体" w:eastAsia="宋体" w:hint="default"/>
                <w:sz w:val="18"/>
                <w:szCs w:val="18"/>
              </w:rPr>
              <w:t>实际控制人、 控股股东陆</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6" w:right="191"/>
              <w:jc w:val="left"/>
              <w:rPr>
                <w:rFonts w:ascii="宋体" w:hAnsi="宋体" w:cs="宋体" w:eastAsia="宋体" w:hint="default"/>
                <w:sz w:val="18"/>
                <w:szCs w:val="18"/>
              </w:rPr>
            </w:pPr>
            <w:r>
              <w:rPr>
                <w:rFonts w:ascii="宋体" w:hAnsi="宋体" w:cs="宋体" w:eastAsia="宋体" w:hint="default"/>
                <w:sz w:val="18"/>
                <w:szCs w:val="18"/>
              </w:rPr>
              <w:t>资金占用情 况的说明及</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3" w:right="190"/>
              <w:jc w:val="left"/>
              <w:rPr>
                <w:rFonts w:ascii="宋体" w:hAnsi="宋体" w:cs="宋体" w:eastAsia="宋体" w:hint="default"/>
                <w:sz w:val="18"/>
                <w:szCs w:val="18"/>
              </w:rPr>
            </w:pPr>
            <w:r>
              <w:rPr>
                <w:rFonts w:ascii="宋体" w:hAnsi="宋体" w:cs="宋体" w:eastAsia="宋体" w:hint="default"/>
                <w:sz w:val="18"/>
                <w:szCs w:val="18"/>
              </w:rPr>
              <w:t>资金占用情 况的说明及</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3" w:right="185"/>
              <w:jc w:val="left"/>
              <w:rPr>
                <w:rFonts w:ascii="宋体" w:hAnsi="宋体" w:cs="宋体" w:eastAsia="宋体" w:hint="default"/>
                <w:sz w:val="18"/>
                <w:szCs w:val="18"/>
              </w:rPr>
            </w:pPr>
            <w:r>
              <w:rPr>
                <w:rFonts w:ascii="宋体" w:hAnsi="宋体" w:cs="宋体" w:eastAsia="宋体" w:hint="default"/>
                <w:sz w:val="18"/>
                <w:szCs w:val="18"/>
              </w:rPr>
              <w:t>作出承诺时 至承诺履行</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3" w:right="22"/>
              <w:jc w:val="left"/>
              <w:rPr>
                <w:rFonts w:ascii="宋体" w:hAnsi="宋体" w:cs="宋体" w:eastAsia="宋体" w:hint="default"/>
                <w:sz w:val="18"/>
                <w:szCs w:val="18"/>
              </w:rPr>
            </w:pPr>
            <w:r>
              <w:rPr>
                <w:rFonts w:ascii="宋体" w:hAnsi="宋体" w:cs="宋体" w:eastAsia="宋体" w:hint="default"/>
                <w:sz w:val="18"/>
                <w:szCs w:val="18"/>
              </w:rPr>
              <w:t>截止到报告 </w:t>
            </w:r>
            <w:r>
              <w:rPr>
                <w:rFonts w:ascii="宋体" w:hAnsi="宋体" w:cs="宋体" w:eastAsia="宋体" w:hint="default"/>
                <w:spacing w:val="-5"/>
                <w:sz w:val="18"/>
                <w:szCs w:val="18"/>
              </w:rPr>
              <w:t>期末，上述承</w:t>
            </w:r>
          </w:p>
        </w:tc>
      </w:tr>
    </w:tbl>
    <w:p>
      <w:pPr>
        <w:spacing w:after="0" w:line="316"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10660"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87"/>
              <w:jc w:val="both"/>
              <w:rPr>
                <w:rFonts w:ascii="宋体" w:hAnsi="宋体" w:cs="宋体" w:eastAsia="宋体" w:hint="default"/>
                <w:sz w:val="18"/>
                <w:szCs w:val="18"/>
              </w:rPr>
            </w:pPr>
            <w:r>
              <w:rPr>
                <w:rFonts w:ascii="宋体" w:hAnsi="宋体" w:cs="宋体" w:eastAsia="宋体" w:hint="default"/>
                <w:sz w:val="18"/>
                <w:szCs w:val="18"/>
              </w:rPr>
              <w:t>文雄以及陈 宏科、杜力 耘、滕长春</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承诺</w:t>
            </w:r>
          </w:p>
          <w:p>
            <w:pPr>
              <w:pStyle w:val="TableParagraph"/>
              <w:spacing w:line="314" w:lineRule="auto" w:before="76"/>
              <w:ind w:left="23" w:right="-29"/>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 实际控制人、 控股股东陆 文雄以及陈 宏科、杜力 耘、滕长春等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人分别签署 了《关于资金 占用情况的 说明及承 </w:t>
            </w:r>
            <w:r>
              <w:rPr>
                <w:rFonts w:ascii="宋体" w:hAnsi="宋体" w:cs="宋体" w:eastAsia="宋体" w:hint="default"/>
                <w:spacing w:val="-14"/>
                <w:w w:val="99"/>
                <w:sz w:val="18"/>
                <w:szCs w:val="18"/>
              </w:rPr>
              <w:t>诺》，承诺：</w:t>
            </w:r>
            <w:r>
              <w:rPr>
                <w:rFonts w:ascii="Times New Roman" w:hAnsi="Times New Roman" w:cs="Times New Roman" w:eastAsia="Times New Roman" w:hint="default"/>
                <w:spacing w:val="-14"/>
                <w:w w:val="99"/>
                <w:sz w:val="18"/>
                <w:szCs w:val="18"/>
              </w:rPr>
              <w:t>"</w:t>
            </w:r>
            <w:r>
              <w:rPr>
                <w:rFonts w:ascii="Times New Roman" w:hAnsi="Times New Roman" w:cs="Times New Roman" w:eastAsia="Times New Roman" w:hint="default"/>
                <w:spacing w:val="-39"/>
                <w:w w:val="99"/>
                <w:sz w:val="18"/>
                <w:szCs w:val="18"/>
              </w:rPr>
              <w:t> </w:t>
            </w:r>
            <w:r>
              <w:rPr>
                <w:rFonts w:ascii="宋体" w:hAnsi="宋体" w:cs="宋体" w:eastAsia="宋体" w:hint="default"/>
                <w:sz w:val="18"/>
                <w:szCs w:val="18"/>
              </w:rPr>
              <w:t>自</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p>
          <w:p>
            <w:pPr>
              <w:pStyle w:val="TableParagraph"/>
              <w:spacing w:line="316" w:lineRule="auto" w:before="1"/>
              <w:ind w:left="23" w:right="19"/>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月起，本人已</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不存在以借 款、代偿债 </w:t>
            </w:r>
            <w:r>
              <w:rPr>
                <w:rFonts w:ascii="宋体" w:hAnsi="宋体" w:cs="宋体" w:eastAsia="宋体" w:hint="default"/>
                <w:spacing w:val="-2"/>
                <w:sz w:val="18"/>
                <w:szCs w:val="18"/>
              </w:rPr>
              <w:t>务、代垫款项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或者其他方 式违规占用 </w:t>
            </w:r>
            <w:r>
              <w:rPr>
                <w:rFonts w:ascii="宋体" w:hAnsi="宋体" w:cs="宋体" w:eastAsia="宋体" w:hint="default"/>
                <w:spacing w:val="-2"/>
                <w:sz w:val="18"/>
                <w:szCs w:val="18"/>
              </w:rPr>
              <w:t>天玑科技、天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玑有限资金 的情形。并 </w:t>
            </w:r>
            <w:r>
              <w:rPr>
                <w:rFonts w:ascii="宋体" w:hAnsi="宋体" w:cs="宋体" w:eastAsia="宋体" w:hint="default"/>
                <w:spacing w:val="-2"/>
                <w:sz w:val="18"/>
                <w:szCs w:val="18"/>
              </w:rPr>
              <w:t>且，本人承诺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将加强相关 法律法规学 </w:t>
            </w:r>
            <w:r>
              <w:rPr>
                <w:rFonts w:ascii="宋体" w:hAnsi="宋体" w:cs="宋体" w:eastAsia="宋体" w:hint="default"/>
                <w:spacing w:val="-2"/>
                <w:sz w:val="18"/>
                <w:szCs w:val="18"/>
              </w:rPr>
              <w:t>习，未来不再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发生类似违 规资金占用 </w:t>
            </w:r>
            <w:r>
              <w:rPr>
                <w:rFonts w:ascii="宋体" w:hAnsi="宋体" w:cs="宋体" w:eastAsia="宋体" w:hint="default"/>
                <w:spacing w:val="-2"/>
                <w:sz w:val="18"/>
                <w:szCs w:val="18"/>
              </w:rPr>
              <w:t>行为，若违背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承诺，本人将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承担由此导 致的一切法 律后果及相 应责任。</w:t>
            </w:r>
            <w:r>
              <w:rPr>
                <w:rFonts w:ascii="Times New Roman" w:hAnsi="Times New Roman" w:cs="Times New Roman" w:eastAsia="Times New Roman"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0650"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12"/>
                <w:sz w:val="20"/>
                <w:szCs w:val="20"/>
              </w:rPr>
              <w:pict>
                <v:group style="width:55.8pt;height:532.550pt;mso-position-horizontal-relative:char;mso-position-vertical-relative:line" coordorigin="0,0" coordsize="1116,10651">
                  <v:group style="position:absolute;left:0;top:0;width:1116;height:10651" coordorigin="0,0" coordsize="1116,10651">
                    <v:shape style="position:absolute;left:0;top:0;width:1116;height:10651" coordorigin="0,0" coordsize="1116,10651" path="m0,10651l1116,10651,1116,0,0,0,0,10651xe" filled="true" fillcolor="#ffffff" stroked="false">
                      <v:path arrowok="t"/>
                      <v:fill type="solid"/>
                    </v:shape>
                  </v:group>
                </v:group>
              </w:pict>
            </w:r>
            <w:r>
              <w:rPr>
                <w:rFonts w:ascii="Times New Roman" w:hAnsi="Times New Roman" w:cs="Times New Roman" w:eastAsia="Times New Roman" w:hint="default"/>
                <w:position w:val="-212"/>
                <w:sz w:val="20"/>
                <w:szCs w:val="20"/>
              </w:rPr>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完毕</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5"/>
              <w:jc w:val="left"/>
              <w:rPr>
                <w:rFonts w:ascii="宋体" w:hAnsi="宋体" w:cs="宋体" w:eastAsia="宋体" w:hint="default"/>
                <w:sz w:val="18"/>
                <w:szCs w:val="18"/>
              </w:rPr>
            </w:pPr>
            <w:r>
              <w:rPr>
                <w:rFonts w:ascii="宋体" w:hAnsi="宋体" w:cs="宋体" w:eastAsia="宋体" w:hint="default"/>
                <w:sz w:val="18"/>
                <w:szCs w:val="18"/>
              </w:rPr>
              <w:t>诺人严格信 </w:t>
            </w:r>
            <w:r>
              <w:rPr>
                <w:rFonts w:ascii="宋体" w:hAnsi="宋体" w:cs="宋体" w:eastAsia="宋体" w:hint="default"/>
                <w:spacing w:val="-5"/>
                <w:sz w:val="18"/>
                <w:szCs w:val="18"/>
              </w:rPr>
              <w:t>守承诺，未出</w:t>
            </w:r>
            <w:r>
              <w:rPr>
                <w:rFonts w:ascii="宋体" w:hAnsi="宋体" w:cs="宋体" w:eastAsia="宋体" w:hint="default"/>
                <w:sz w:val="18"/>
                <w:szCs w:val="18"/>
              </w:rPr>
              <w:t> 现违反承诺 的情况发生。</w:t>
            </w:r>
          </w:p>
        </w:tc>
      </w:tr>
      <w:tr>
        <w:trPr>
          <w:trHeight w:val="3171"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316" w:lineRule="auto"/>
              <w:ind w:left="23" w:right="7"/>
              <w:jc w:val="left"/>
              <w:rPr>
                <w:rFonts w:ascii="宋体" w:hAnsi="宋体" w:cs="宋体" w:eastAsia="宋体" w:hint="default"/>
                <w:sz w:val="18"/>
                <w:szCs w:val="18"/>
              </w:rPr>
            </w:pPr>
            <w:r>
              <w:rPr>
                <w:rFonts w:ascii="宋体" w:hAnsi="宋体" w:cs="宋体" w:eastAsia="宋体" w:hint="default"/>
                <w:sz w:val="18"/>
                <w:szCs w:val="18"/>
              </w:rPr>
              <w:t>实际控制人、 控股股东陆 文雄</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4"/>
              <w:ind w:left="26" w:right="19"/>
              <w:jc w:val="left"/>
              <w:rPr>
                <w:rFonts w:ascii="宋体" w:hAnsi="宋体" w:cs="宋体" w:eastAsia="宋体" w:hint="default"/>
                <w:sz w:val="18"/>
                <w:szCs w:val="18"/>
              </w:rPr>
            </w:pPr>
            <w:r>
              <w:rPr>
                <w:rFonts w:ascii="宋体" w:hAnsi="宋体" w:cs="宋体" w:eastAsia="宋体" w:hint="default"/>
                <w:sz w:val="18"/>
                <w:szCs w:val="18"/>
              </w:rPr>
              <w:t>首次公开发 </w:t>
            </w:r>
            <w:r>
              <w:rPr>
                <w:rFonts w:ascii="宋体" w:hAnsi="宋体" w:cs="宋体" w:eastAsia="宋体" w:hint="default"/>
                <w:spacing w:val="-2"/>
                <w:sz w:val="18"/>
                <w:szCs w:val="18"/>
              </w:rPr>
              <w:t>行股票前，控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股股东就上 市前已注销 的控股子公 司若发生税 收补缴作出 的承诺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首次公开发 </w:t>
            </w:r>
            <w:r>
              <w:rPr>
                <w:rFonts w:ascii="宋体" w:hAnsi="宋体" w:cs="宋体" w:eastAsia="宋体" w:hint="default"/>
                <w:spacing w:val="-2"/>
                <w:sz w:val="18"/>
                <w:szCs w:val="18"/>
              </w:rPr>
              <w:t>行股票前，控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股股东就上 市前已注销 的控股子公 司若发生税 收补缴作出 的承诺 控股股东陆 文雄先生出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316" w:lineRule="auto"/>
              <w:ind w:left="23" w:right="185"/>
              <w:jc w:val="both"/>
              <w:rPr>
                <w:rFonts w:ascii="宋体" w:hAnsi="宋体" w:cs="宋体" w:eastAsia="宋体" w:hint="default"/>
                <w:sz w:val="18"/>
                <w:szCs w:val="18"/>
              </w:rPr>
            </w:pPr>
            <w:r>
              <w:rPr>
                <w:rFonts w:ascii="宋体" w:hAnsi="宋体" w:cs="宋体" w:eastAsia="宋体" w:hint="default"/>
                <w:sz w:val="18"/>
                <w:szCs w:val="18"/>
              </w:rPr>
              <w:t>作出承诺时 至承诺履行 完毕</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316" w:lineRule="auto"/>
              <w:ind w:left="23" w:right="-5"/>
              <w:jc w:val="left"/>
              <w:rPr>
                <w:rFonts w:ascii="宋体" w:hAnsi="宋体" w:cs="宋体" w:eastAsia="宋体" w:hint="default"/>
                <w:sz w:val="18"/>
                <w:szCs w:val="18"/>
              </w:rPr>
            </w:pPr>
            <w:r>
              <w:rPr>
                <w:rFonts w:ascii="宋体" w:hAnsi="宋体" w:cs="宋体" w:eastAsia="宋体" w:hint="default"/>
                <w:sz w:val="18"/>
                <w:szCs w:val="18"/>
              </w:rPr>
              <w:t>截止到报告 </w:t>
            </w:r>
            <w:r>
              <w:rPr>
                <w:rFonts w:ascii="宋体" w:hAnsi="宋体" w:cs="宋体" w:eastAsia="宋体" w:hint="default"/>
                <w:spacing w:val="-5"/>
                <w:sz w:val="18"/>
                <w:szCs w:val="18"/>
              </w:rPr>
              <w:t>期末，上述承</w:t>
            </w:r>
            <w:r>
              <w:rPr>
                <w:rFonts w:ascii="宋体" w:hAnsi="宋体" w:cs="宋体" w:eastAsia="宋体" w:hint="default"/>
                <w:sz w:val="18"/>
                <w:szCs w:val="18"/>
              </w:rPr>
              <w:t> 诺人严格信 </w:t>
            </w:r>
            <w:r>
              <w:rPr>
                <w:rFonts w:ascii="宋体" w:hAnsi="宋体" w:cs="宋体" w:eastAsia="宋体" w:hint="default"/>
                <w:spacing w:val="-5"/>
                <w:sz w:val="18"/>
                <w:szCs w:val="18"/>
              </w:rPr>
              <w:t>守承诺，未出</w:t>
            </w:r>
            <w:r>
              <w:rPr>
                <w:rFonts w:ascii="宋体" w:hAnsi="宋体" w:cs="宋体" w:eastAsia="宋体" w:hint="default"/>
                <w:sz w:val="18"/>
                <w:szCs w:val="18"/>
              </w:rPr>
              <w:t> 现违反承诺 的情况发生。</w:t>
            </w:r>
          </w:p>
        </w:tc>
      </w:tr>
    </w:tbl>
    <w:p>
      <w:pPr>
        <w:spacing w:after="0" w:line="316"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7852"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9"/>
              <w:jc w:val="left"/>
              <w:rPr>
                <w:rFonts w:ascii="宋体" w:hAnsi="宋体" w:cs="宋体" w:eastAsia="宋体" w:hint="default"/>
                <w:sz w:val="18"/>
                <w:szCs w:val="18"/>
              </w:rPr>
            </w:pPr>
            <w:r>
              <w:rPr>
                <w:rFonts w:ascii="宋体" w:hAnsi="宋体" w:cs="宋体" w:eastAsia="宋体" w:hint="default"/>
                <w:spacing w:val="-2"/>
                <w:sz w:val="18"/>
                <w:szCs w:val="18"/>
              </w:rPr>
              <w:t>具承诺函，承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诺一旦发行 人因上市前 已注销控股 子公司存在 税收被追缴 </w:t>
            </w:r>
            <w:r>
              <w:rPr>
                <w:rFonts w:ascii="宋体" w:hAnsi="宋体" w:cs="宋体" w:eastAsia="宋体" w:hint="default"/>
                <w:spacing w:val="-2"/>
                <w:sz w:val="18"/>
                <w:szCs w:val="18"/>
              </w:rPr>
              <w:t>的风险，而需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由发行人承 担相应法律 </w:t>
            </w:r>
            <w:r>
              <w:rPr>
                <w:rFonts w:ascii="宋体" w:hAnsi="宋体" w:cs="宋体" w:eastAsia="宋体" w:hint="default"/>
                <w:spacing w:val="-2"/>
                <w:sz w:val="18"/>
                <w:szCs w:val="18"/>
              </w:rPr>
              <w:t>责任，且导致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发行人遭受 经济损失及 其他重大风 </w:t>
            </w:r>
            <w:r>
              <w:rPr>
                <w:rFonts w:ascii="宋体" w:hAnsi="宋体" w:cs="宋体" w:eastAsia="宋体" w:hint="default"/>
                <w:spacing w:val="-2"/>
                <w:sz w:val="18"/>
                <w:szCs w:val="18"/>
              </w:rPr>
              <w:t>险的，则发行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人控股股东 陆文雄先生 将予以全额 </w:t>
            </w:r>
            <w:r>
              <w:rPr>
                <w:rFonts w:ascii="宋体" w:hAnsi="宋体" w:cs="宋体" w:eastAsia="宋体" w:hint="default"/>
                <w:spacing w:val="-2"/>
                <w:sz w:val="18"/>
                <w:szCs w:val="18"/>
              </w:rPr>
              <w:t>承担，并根据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发行人的要 </w:t>
            </w:r>
            <w:r>
              <w:rPr>
                <w:rFonts w:ascii="宋体" w:hAnsi="宋体" w:cs="宋体" w:eastAsia="宋体" w:hint="default"/>
                <w:spacing w:val="-2"/>
                <w:sz w:val="18"/>
                <w:szCs w:val="18"/>
              </w:rPr>
              <w:t>求，对发行人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由此遭受的 直接和间接 损失无条件 给予足额现 金补偿。</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597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316" w:lineRule="auto"/>
              <w:ind w:left="23" w:right="7"/>
              <w:jc w:val="left"/>
              <w:rPr>
                <w:rFonts w:ascii="宋体" w:hAnsi="宋体" w:cs="宋体" w:eastAsia="宋体" w:hint="default"/>
                <w:sz w:val="18"/>
                <w:szCs w:val="18"/>
              </w:rPr>
            </w:pPr>
            <w:r>
              <w:rPr>
                <w:rFonts w:ascii="宋体" w:hAnsi="宋体" w:cs="宋体" w:eastAsia="宋体" w:hint="default"/>
                <w:sz w:val="18"/>
                <w:szCs w:val="18"/>
              </w:rPr>
              <w:t>实际控制人、 控股股东陆 文雄</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4"/>
              <w:ind w:left="26" w:right="19"/>
              <w:jc w:val="left"/>
              <w:rPr>
                <w:rFonts w:ascii="宋体" w:hAnsi="宋体" w:cs="宋体" w:eastAsia="宋体" w:hint="default"/>
                <w:sz w:val="18"/>
                <w:szCs w:val="18"/>
              </w:rPr>
            </w:pPr>
            <w:r>
              <w:rPr>
                <w:rFonts w:ascii="宋体" w:hAnsi="宋体" w:cs="宋体" w:eastAsia="宋体" w:hint="default"/>
                <w:sz w:val="18"/>
                <w:szCs w:val="18"/>
              </w:rPr>
              <w:t>首次公开发 </w:t>
            </w:r>
            <w:r>
              <w:rPr>
                <w:rFonts w:ascii="宋体" w:hAnsi="宋体" w:cs="宋体" w:eastAsia="宋体" w:hint="default"/>
                <w:spacing w:val="-2"/>
                <w:sz w:val="18"/>
                <w:szCs w:val="18"/>
              </w:rPr>
              <w:t>行股票前，补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缴社会保险 或住房公积 金的承诺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
              <w:jc w:val="left"/>
              <w:rPr>
                <w:rFonts w:ascii="宋体" w:hAnsi="宋体" w:cs="宋体" w:eastAsia="宋体" w:hint="default"/>
                <w:sz w:val="18"/>
                <w:szCs w:val="18"/>
              </w:rPr>
            </w:pPr>
            <w:r>
              <w:rPr>
                <w:rFonts w:ascii="宋体" w:hAnsi="宋体" w:cs="宋体" w:eastAsia="宋体" w:hint="default"/>
                <w:sz w:val="18"/>
                <w:szCs w:val="18"/>
              </w:rPr>
              <w:t>首次公开发 行股票前，补 缴社会保险 或住房公积 金的承诺控 股股东陆文 雄出具书面 承诺函，承诺 在任何期间， 若由于发行 人及其控股 子公司、分公 司的各项社 会保险和住 房公积金缴 纳事宜存在 或可能存在 的瑕疵问题， 而给发行人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316" w:lineRule="auto"/>
              <w:ind w:left="23" w:right="185"/>
              <w:jc w:val="both"/>
              <w:rPr>
                <w:rFonts w:ascii="宋体" w:hAnsi="宋体" w:cs="宋体" w:eastAsia="宋体" w:hint="default"/>
                <w:sz w:val="18"/>
                <w:szCs w:val="18"/>
              </w:rPr>
            </w:pPr>
            <w:r>
              <w:rPr>
                <w:rFonts w:ascii="宋体" w:hAnsi="宋体" w:cs="宋体" w:eastAsia="宋体" w:hint="default"/>
                <w:sz w:val="18"/>
                <w:szCs w:val="18"/>
              </w:rPr>
              <w:t>作出承诺时 至承诺履行 完毕</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316" w:lineRule="auto"/>
              <w:ind w:left="23" w:right="-5"/>
              <w:jc w:val="left"/>
              <w:rPr>
                <w:rFonts w:ascii="宋体" w:hAnsi="宋体" w:cs="宋体" w:eastAsia="宋体" w:hint="default"/>
                <w:sz w:val="18"/>
                <w:szCs w:val="18"/>
              </w:rPr>
            </w:pPr>
            <w:r>
              <w:rPr>
                <w:rFonts w:ascii="宋体" w:hAnsi="宋体" w:cs="宋体" w:eastAsia="宋体" w:hint="default"/>
                <w:sz w:val="18"/>
                <w:szCs w:val="18"/>
              </w:rPr>
              <w:t>截止到报告 </w:t>
            </w:r>
            <w:r>
              <w:rPr>
                <w:rFonts w:ascii="宋体" w:hAnsi="宋体" w:cs="宋体" w:eastAsia="宋体" w:hint="default"/>
                <w:spacing w:val="-5"/>
                <w:sz w:val="18"/>
                <w:szCs w:val="18"/>
              </w:rPr>
              <w:t>期末，上述承</w:t>
            </w:r>
            <w:r>
              <w:rPr>
                <w:rFonts w:ascii="宋体" w:hAnsi="宋体" w:cs="宋体" w:eastAsia="宋体" w:hint="default"/>
                <w:sz w:val="18"/>
                <w:szCs w:val="18"/>
              </w:rPr>
              <w:t> 诺人严格信 </w:t>
            </w:r>
            <w:r>
              <w:rPr>
                <w:rFonts w:ascii="宋体" w:hAnsi="宋体" w:cs="宋体" w:eastAsia="宋体" w:hint="default"/>
                <w:spacing w:val="-5"/>
                <w:sz w:val="18"/>
                <w:szCs w:val="18"/>
              </w:rPr>
              <w:t>守承诺，未出</w:t>
            </w:r>
            <w:r>
              <w:rPr>
                <w:rFonts w:ascii="宋体" w:hAnsi="宋体" w:cs="宋体" w:eastAsia="宋体" w:hint="default"/>
                <w:sz w:val="18"/>
                <w:szCs w:val="18"/>
              </w:rPr>
              <w:t> 现违反承诺 的情况发生。</w:t>
            </w:r>
          </w:p>
        </w:tc>
      </w:tr>
    </w:tbl>
    <w:p>
      <w:pPr>
        <w:spacing w:after="0" w:line="316"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4419"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9"/>
              <w:jc w:val="left"/>
              <w:rPr>
                <w:rFonts w:ascii="宋体" w:hAnsi="宋体" w:cs="宋体" w:eastAsia="宋体" w:hint="default"/>
                <w:sz w:val="18"/>
                <w:szCs w:val="18"/>
              </w:rPr>
            </w:pPr>
            <w:r>
              <w:rPr>
                <w:rFonts w:ascii="宋体" w:hAnsi="宋体" w:cs="宋体" w:eastAsia="宋体" w:hint="default"/>
                <w:sz w:val="18"/>
                <w:szCs w:val="18"/>
              </w:rPr>
              <w:t>及其控股子 </w:t>
            </w:r>
            <w:r>
              <w:rPr>
                <w:rFonts w:ascii="宋体" w:hAnsi="宋体" w:cs="宋体" w:eastAsia="宋体" w:hint="default"/>
                <w:spacing w:val="-2"/>
                <w:sz w:val="18"/>
                <w:szCs w:val="18"/>
              </w:rPr>
              <w:t>公司、分公司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造成直接和 间接损失及</w:t>
            </w:r>
            <w:r>
              <w:rPr>
                <w:rFonts w:ascii="Times New Roman" w:hAnsi="Times New Roman" w:cs="Times New Roman" w:eastAsia="Times New Roman" w:hint="default"/>
                <w:sz w:val="18"/>
                <w:szCs w:val="18"/>
              </w:rPr>
              <w:t>/ </w:t>
            </w:r>
            <w:r>
              <w:rPr>
                <w:rFonts w:ascii="宋体" w:hAnsi="宋体" w:cs="宋体" w:eastAsia="宋体" w:hint="default"/>
                <w:sz w:val="18"/>
                <w:szCs w:val="18"/>
              </w:rPr>
              <w:t>或因此产生 </w:t>
            </w:r>
            <w:r>
              <w:rPr>
                <w:rFonts w:ascii="宋体" w:hAnsi="宋体" w:cs="宋体" w:eastAsia="宋体" w:hint="default"/>
                <w:spacing w:val="-2"/>
                <w:sz w:val="18"/>
                <w:szCs w:val="18"/>
              </w:rPr>
              <w:t>相关费用（包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括但不限于 被有权部门 </w:t>
            </w:r>
            <w:r>
              <w:rPr>
                <w:rFonts w:ascii="宋体" w:hAnsi="宋体" w:cs="宋体" w:eastAsia="宋体" w:hint="default"/>
                <w:spacing w:val="-2"/>
                <w:sz w:val="18"/>
                <w:szCs w:val="18"/>
              </w:rPr>
              <w:t>要求补缴、被</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处罚）的，陆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文雄本人将 无条件地予 以全额承担 和补偿。</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9412"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7"/>
              <w:jc w:val="left"/>
              <w:rPr>
                <w:rFonts w:ascii="宋体" w:hAnsi="宋体" w:cs="宋体" w:eastAsia="宋体" w:hint="default"/>
                <w:sz w:val="18"/>
                <w:szCs w:val="18"/>
              </w:rPr>
            </w:pPr>
            <w:r>
              <w:rPr>
                <w:rFonts w:ascii="宋体" w:hAnsi="宋体" w:cs="宋体" w:eastAsia="宋体" w:hint="default"/>
                <w:spacing w:val="-3"/>
                <w:sz w:val="18"/>
                <w:szCs w:val="18"/>
              </w:rPr>
              <w:t>陆文雄、杜力</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耘、陈宏科、 楼晔、姜蓓 蓓、武雪松、 陆廷洁</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4" w:lineRule="auto"/>
              <w:ind w:left="26" w:right="191"/>
              <w:jc w:val="left"/>
              <w:rPr>
                <w:rFonts w:ascii="宋体" w:hAnsi="宋体" w:cs="宋体" w:eastAsia="宋体" w:hint="default"/>
                <w:sz w:val="18"/>
                <w:szCs w:val="18"/>
              </w:rPr>
            </w:pPr>
            <w:r>
              <w:rPr>
                <w:rFonts w:ascii="宋体" w:hAnsi="宋体" w:cs="宋体" w:eastAsia="宋体" w:hint="default"/>
                <w:sz w:val="18"/>
                <w:szCs w:val="18"/>
              </w:rPr>
              <w:t>股份增持承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
              <w:jc w:val="left"/>
              <w:rPr>
                <w:rFonts w:ascii="宋体" w:hAnsi="宋体" w:cs="宋体" w:eastAsia="宋体" w:hint="default"/>
                <w:sz w:val="18"/>
                <w:szCs w:val="18"/>
              </w:rPr>
            </w:pPr>
            <w:r>
              <w:rPr>
                <w:rFonts w:ascii="宋体" w:hAnsi="宋体" w:cs="宋体" w:eastAsia="宋体" w:hint="default"/>
                <w:sz w:val="18"/>
                <w:szCs w:val="18"/>
              </w:rPr>
              <w:t>一、为维护公 司股价稳定， 切实维护广 大投资者权 益，同时基于 对公司未来 发展和长期 投资价值的 信心，公司控 股股东及部 分董事、高级 管理人员计 划自公司复 牌之日起六 个月内，根据 中国证监会 和深圳证券 交易所的有 关规定，通过 在二级市场 或者证券公 司、基金管理 公司定向资 产管理等方 式购买本公 司股票，具体 增持计划如 下。</w:t>
            </w:r>
          </w:p>
          <w:p>
            <w:pPr>
              <w:pStyle w:val="TableParagraph"/>
              <w:spacing w:line="300" w:lineRule="auto" w:before="19"/>
              <w:ind w:left="23" w:right="19"/>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）杜力耘 </w:t>
            </w:r>
            <w:r>
              <w:rPr>
                <w:rFonts w:ascii="宋体" w:hAnsi="宋体" w:cs="宋体" w:eastAsia="宋体" w:hint="default"/>
                <w:spacing w:val="-2"/>
                <w:sz w:val="18"/>
                <w:szCs w:val="18"/>
              </w:rPr>
              <w:t>董事、总经理</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已增持完毕</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316" w:lineRule="auto"/>
              <w:ind w:left="23" w:right="-5"/>
              <w:jc w:val="left"/>
              <w:rPr>
                <w:rFonts w:ascii="宋体" w:hAnsi="宋体" w:cs="宋体" w:eastAsia="宋体" w:hint="default"/>
                <w:sz w:val="18"/>
                <w:szCs w:val="18"/>
              </w:rPr>
            </w:pPr>
            <w:r>
              <w:rPr>
                <w:rFonts w:ascii="宋体" w:hAnsi="宋体" w:cs="宋体" w:eastAsia="宋体" w:hint="default"/>
                <w:sz w:val="18"/>
                <w:szCs w:val="18"/>
              </w:rPr>
              <w:t>截止到报告 </w:t>
            </w:r>
            <w:r>
              <w:rPr>
                <w:rFonts w:ascii="宋体" w:hAnsi="宋体" w:cs="宋体" w:eastAsia="宋体" w:hint="default"/>
                <w:spacing w:val="-5"/>
                <w:sz w:val="18"/>
                <w:szCs w:val="18"/>
              </w:rPr>
              <w:t>期末，上述承</w:t>
            </w:r>
            <w:r>
              <w:rPr>
                <w:rFonts w:ascii="宋体" w:hAnsi="宋体" w:cs="宋体" w:eastAsia="宋体" w:hint="default"/>
                <w:sz w:val="18"/>
                <w:szCs w:val="18"/>
              </w:rPr>
              <w:t> 诺人严格信 </w:t>
            </w:r>
            <w:r>
              <w:rPr>
                <w:rFonts w:ascii="宋体" w:hAnsi="宋体" w:cs="宋体" w:eastAsia="宋体" w:hint="default"/>
                <w:spacing w:val="-5"/>
                <w:sz w:val="18"/>
                <w:szCs w:val="18"/>
              </w:rPr>
              <w:t>守承诺，未出</w:t>
            </w:r>
            <w:r>
              <w:rPr>
                <w:rFonts w:ascii="宋体" w:hAnsi="宋体" w:cs="宋体" w:eastAsia="宋体" w:hint="default"/>
                <w:sz w:val="18"/>
                <w:szCs w:val="18"/>
              </w:rPr>
              <w:t> 现违反承诺 的情况发生。</w:t>
            </w:r>
          </w:p>
        </w:tc>
      </w:tr>
    </w:tbl>
    <w:p>
      <w:pPr>
        <w:spacing w:after="0" w:line="316"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增持金额不</w:t>
            </w:r>
          </w:p>
        </w:tc>
        <w:tc>
          <w:tcPr>
            <w:tcW w:w="1126" w:type="dxa"/>
            <w:vMerge w:val="restart"/>
            <w:tcBorders>
              <w:top w:val="single" w:sz="4" w:space="0" w:color="000000"/>
              <w:left w:val="single" w:sz="4" w:space="0" w:color="000000"/>
              <w:right w:val="single" w:sz="4" w:space="0" w:color="000000"/>
            </w:tcBorders>
          </w:tcPr>
          <w:p>
            <w:pPr>
              <w:pStyle w:val="TableParagraph"/>
              <w:spacing w:line="13730"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pt;height:686.55pt;mso-position-horizontal-relative:char;mso-position-vertical-relative:line" coordorigin="0,0" coordsize="1116,13731">
                  <v:group style="position:absolute;left:0;top:0;width:1116;height:13731" coordorigin="0,0" coordsize="1116,13731">
                    <v:shape style="position:absolute;left:0;top:0;width:1116;height:13731" coordorigin="0,0" coordsize="1116,13731" path="m0,13730l1116,13730,1116,0,0,0,0,13730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低于人民币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37"/>
              <w:jc w:val="left"/>
              <w:rPr>
                <w:rFonts w:ascii="宋体" w:hAnsi="宋体" w:cs="宋体" w:eastAsia="宋体" w:hint="default"/>
                <w:sz w:val="18"/>
                <w:szCs w:val="18"/>
              </w:rPr>
            </w:pPr>
            <w:r>
              <w:rPr>
                <w:rFonts w:ascii="Times New Roman" w:hAnsi="Times New Roman" w:cs="Times New Roman" w:eastAsia="Times New Roman" w:hint="default"/>
                <w:sz w:val="18"/>
                <w:szCs w:val="18"/>
              </w:rPr>
              <w:t>8,000,000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）陈宏科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董事、副总经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理增持金额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不低于人民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9,000,000</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）楼晔董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事增持金额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不低于人民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8,000,000</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）武雪松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董事武雪松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董事增持金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额不低于人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180,000</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）陆廷洁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副总经理</w:t>
            </w:r>
            <w:r>
              <w:rPr>
                <w:rFonts w:ascii="宋体" w:hAnsi="宋体" w:cs="宋体" w:eastAsia="宋体" w:hint="default"/>
                <w:spacing w:val="1"/>
                <w:sz w:val="18"/>
                <w:szCs w:val="18"/>
              </w:rPr>
              <w:t> </w:t>
            </w:r>
            <w:r>
              <w:rPr>
                <w:rFonts w:ascii="宋体" w:hAnsi="宋体" w:cs="宋体" w:eastAsia="宋体" w:hint="default"/>
                <w:sz w:val="18"/>
                <w:szCs w:val="18"/>
              </w:rPr>
              <w:t>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持金额不低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于人民币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320,000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、公司控股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股东、董事长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陆文雄及董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事、副总经理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姜蓓蓓虽未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在过去六个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月内减持过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本公司股票，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但基于对公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司未来发展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和长期投资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价值的信心，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同时为维护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公司股价稳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定，切实维护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广大投资者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权益，承诺自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公司复牌之</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日起六个月</w:t>
            </w:r>
          </w:p>
        </w:tc>
        <w:tc>
          <w:tcPr>
            <w:tcW w:w="1126" w:type="dxa"/>
            <w:vMerge w:val="restart"/>
            <w:tcBorders>
              <w:top w:val="single" w:sz="4" w:space="0" w:color="000000"/>
              <w:left w:val="single" w:sz="4" w:space="0" w:color="000000"/>
              <w:right w:val="single" w:sz="4" w:space="0" w:color="000000"/>
            </w:tcBorders>
          </w:tcPr>
          <w:p>
            <w:pPr>
              <w:pStyle w:val="TableParagraph"/>
              <w:spacing w:line="13730"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pt;height:686.55pt;mso-position-horizontal-relative:char;mso-position-vertical-relative:line" coordorigin="0,0" coordsize="1116,13731">
                  <v:group style="position:absolute;left:0;top:0;width:1116;height:13731" coordorigin="0,0" coordsize="1116,13731">
                    <v:shape style="position:absolute;left:0;top:0;width:1116;height:13731" coordorigin="0,0" coordsize="1116,13731" path="m0,13730l1116,13730,1116,0,0,0,0,13730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内，根据中国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证监会和深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圳证券交易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所的有关规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定，通过在二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级市场或者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证券公司、基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金管理公司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定向资产管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理等方式购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买本公司股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票，增持金额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均不低于人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民币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37"/>
              <w:jc w:val="left"/>
              <w:rPr>
                <w:rFonts w:ascii="宋体" w:hAnsi="宋体" w:cs="宋体" w:eastAsia="宋体" w:hint="default"/>
                <w:sz w:val="18"/>
                <w:szCs w:val="18"/>
              </w:rPr>
            </w:pPr>
            <w:r>
              <w:rPr>
                <w:rFonts w:ascii="Times New Roman" w:hAnsi="Times New Roman" w:cs="Times New Roman" w:eastAsia="Times New Roman" w:hint="default"/>
                <w:sz w:val="18"/>
                <w:szCs w:val="18"/>
              </w:rPr>
              <w:t>1,000,000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二、本次增持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属公司控股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股东及部分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董事、高级管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理人员个人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行为，增持所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需资金由其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自筹取得。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三、参与本次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增持的控股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股东及部分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董事、高级管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理人员承诺：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在增持期间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及在增持完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成后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不减持通过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上述方式购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买的本公司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四、公司将采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取一切可行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措施积极维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护股价，充分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保护投资者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利益，持续关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注增持事项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的进展情况，</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987"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0"/>
              <w:jc w:val="left"/>
              <w:rPr>
                <w:rFonts w:ascii="宋体" w:hAnsi="宋体" w:cs="宋体" w:eastAsia="宋体" w:hint="default"/>
                <w:sz w:val="18"/>
                <w:szCs w:val="18"/>
              </w:rPr>
            </w:pPr>
            <w:r>
              <w:rPr>
                <w:rFonts w:ascii="宋体" w:hAnsi="宋体" w:cs="宋体" w:eastAsia="宋体" w:hint="default"/>
                <w:sz w:val="18"/>
                <w:szCs w:val="18"/>
              </w:rPr>
              <w:t>并依据相关 规定履行信 息披露义务。</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12844"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3" w:right="7"/>
              <w:jc w:val="left"/>
              <w:rPr>
                <w:rFonts w:ascii="宋体" w:hAnsi="宋体" w:cs="宋体" w:eastAsia="宋体" w:hint="default"/>
                <w:sz w:val="18"/>
                <w:szCs w:val="18"/>
              </w:rPr>
            </w:pPr>
            <w:r>
              <w:rPr>
                <w:rFonts w:ascii="宋体" w:hAnsi="宋体" w:cs="宋体" w:eastAsia="宋体" w:hint="default"/>
                <w:sz w:val="18"/>
                <w:szCs w:val="18"/>
              </w:rPr>
              <w:t>实际控制人、 控股股东陆 文雄</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2"/>
              <w:ind w:left="26" w:right="191"/>
              <w:jc w:val="left"/>
              <w:rPr>
                <w:rFonts w:ascii="宋体" w:hAnsi="宋体" w:cs="宋体" w:eastAsia="宋体" w:hint="default"/>
                <w:sz w:val="18"/>
                <w:szCs w:val="18"/>
              </w:rPr>
            </w:pPr>
            <w:r>
              <w:rPr>
                <w:rFonts w:ascii="宋体" w:hAnsi="宋体" w:cs="宋体" w:eastAsia="宋体" w:hint="default"/>
                <w:sz w:val="18"/>
                <w:szCs w:val="18"/>
              </w:rPr>
              <w:t>非公开发行 股票</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
              <w:jc w:val="left"/>
              <w:rPr>
                <w:rFonts w:ascii="宋体" w:hAnsi="宋体" w:cs="宋体" w:eastAsia="宋体" w:hint="default"/>
                <w:sz w:val="18"/>
                <w:szCs w:val="18"/>
              </w:rPr>
            </w:pPr>
            <w:r>
              <w:rPr>
                <w:rFonts w:ascii="宋体" w:hAnsi="宋体" w:cs="宋体" w:eastAsia="宋体" w:hint="default"/>
                <w:sz w:val="18"/>
                <w:szCs w:val="18"/>
              </w:rPr>
              <w:t>关于切实履 行公司非公 开发行股票 摊薄即期回 报填补措施 的承诺； 一、本人承诺 不越权干预 公司经营管 理活动</w:t>
            </w:r>
            <w:r>
              <w:rPr>
                <w:rFonts w:ascii="Times New Roman" w:hAnsi="Times New Roman" w:cs="Times New Roman" w:eastAsia="Times New Roman" w:hint="default"/>
                <w:sz w:val="18"/>
                <w:szCs w:val="18"/>
              </w:rPr>
              <w:t>,</w:t>
            </w:r>
            <w:r>
              <w:rPr>
                <w:rFonts w:ascii="宋体" w:hAnsi="宋体" w:cs="宋体" w:eastAsia="宋体" w:hint="default"/>
                <w:sz w:val="18"/>
                <w:szCs w:val="18"/>
              </w:rPr>
              <w:t>不会 侵占公司利 益； 二、自本承诺 出具日至公 司本次非公 开发行股票 实施完毕前， 若中国证监 会作出关于 填补回报措 施及其承诺 的其他新的 监管规定的， 且上述承诺 不能满足中 国证监会该 等规定时，本 人承诺届时 将按照中国 证监会的最 新规定出具 补充承诺； 三、本人承诺 切实履行公 司制定的有 关填补回报 措施以及本 人对此作出 的任何有关 填补回报措 施的承诺，若</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316" w:lineRule="auto"/>
              <w:ind w:left="23" w:right="185"/>
              <w:jc w:val="both"/>
              <w:rPr>
                <w:rFonts w:ascii="宋体" w:hAnsi="宋体" w:cs="宋体" w:eastAsia="宋体" w:hint="default"/>
                <w:sz w:val="18"/>
                <w:szCs w:val="18"/>
              </w:rPr>
            </w:pPr>
            <w:r>
              <w:rPr>
                <w:rFonts w:ascii="宋体" w:hAnsi="宋体" w:cs="宋体" w:eastAsia="宋体" w:hint="default"/>
                <w:sz w:val="18"/>
                <w:szCs w:val="18"/>
              </w:rPr>
              <w:t>至公司本次 非公开发行 股票实施完 毕</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23" w:right="-5"/>
              <w:jc w:val="left"/>
              <w:rPr>
                <w:rFonts w:ascii="宋体" w:hAnsi="宋体" w:cs="宋体" w:eastAsia="宋体" w:hint="default"/>
                <w:sz w:val="18"/>
                <w:szCs w:val="18"/>
              </w:rPr>
            </w:pPr>
            <w:r>
              <w:rPr>
                <w:rFonts w:ascii="宋体" w:hAnsi="宋体" w:cs="宋体" w:eastAsia="宋体" w:hint="default"/>
                <w:sz w:val="18"/>
                <w:szCs w:val="18"/>
              </w:rPr>
              <w:t>截止到报告 </w:t>
            </w:r>
            <w:r>
              <w:rPr>
                <w:rFonts w:ascii="宋体" w:hAnsi="宋体" w:cs="宋体" w:eastAsia="宋体" w:hint="default"/>
                <w:spacing w:val="-5"/>
                <w:sz w:val="18"/>
                <w:szCs w:val="18"/>
              </w:rPr>
              <w:t>期末，上述承</w:t>
            </w:r>
            <w:r>
              <w:rPr>
                <w:rFonts w:ascii="宋体" w:hAnsi="宋体" w:cs="宋体" w:eastAsia="宋体" w:hint="default"/>
                <w:sz w:val="18"/>
                <w:szCs w:val="18"/>
              </w:rPr>
              <w:t> 诺人严格信 </w:t>
            </w:r>
            <w:r>
              <w:rPr>
                <w:rFonts w:ascii="宋体" w:hAnsi="宋体" w:cs="宋体" w:eastAsia="宋体" w:hint="default"/>
                <w:spacing w:val="-5"/>
                <w:sz w:val="18"/>
                <w:szCs w:val="18"/>
              </w:rPr>
              <w:t>守承诺，未出</w:t>
            </w:r>
            <w:r>
              <w:rPr>
                <w:rFonts w:ascii="宋体" w:hAnsi="宋体" w:cs="宋体" w:eastAsia="宋体" w:hint="default"/>
                <w:sz w:val="18"/>
                <w:szCs w:val="18"/>
              </w:rPr>
              <w:t> 现违反承诺 的情况发生。</w:t>
            </w:r>
          </w:p>
        </w:tc>
      </w:tr>
    </w:tbl>
    <w:p>
      <w:pPr>
        <w:spacing w:after="0" w:line="316"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2859"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9"/>
              <w:jc w:val="left"/>
              <w:rPr>
                <w:rFonts w:ascii="宋体" w:hAnsi="宋体" w:cs="宋体" w:eastAsia="宋体" w:hint="default"/>
                <w:sz w:val="18"/>
                <w:szCs w:val="18"/>
              </w:rPr>
            </w:pPr>
            <w:r>
              <w:rPr>
                <w:rFonts w:ascii="宋体" w:hAnsi="宋体" w:cs="宋体" w:eastAsia="宋体" w:hint="default"/>
                <w:sz w:val="18"/>
                <w:szCs w:val="18"/>
              </w:rPr>
              <w:t>本人违反该 等承诺并给 公司或者投 资者造成损 </w:t>
            </w:r>
            <w:r>
              <w:rPr>
                <w:rFonts w:ascii="宋体" w:hAnsi="宋体" w:cs="宋体" w:eastAsia="宋体" w:hint="default"/>
                <w:spacing w:val="-2"/>
                <w:sz w:val="18"/>
                <w:szCs w:val="18"/>
              </w:rPr>
              <w:t>失的，本人愿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意依法承担 对公司或者 投资者的补 偿责任。</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10972"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19"/>
              <w:jc w:val="left"/>
              <w:rPr>
                <w:rFonts w:ascii="宋体" w:hAnsi="宋体" w:cs="宋体" w:eastAsia="宋体" w:hint="default"/>
                <w:sz w:val="18"/>
                <w:szCs w:val="18"/>
              </w:rPr>
            </w:pPr>
            <w:r>
              <w:rPr>
                <w:rFonts w:ascii="宋体" w:hAnsi="宋体" w:cs="宋体" w:eastAsia="宋体" w:hint="default"/>
                <w:sz w:val="18"/>
                <w:szCs w:val="18"/>
              </w:rPr>
              <w:t>上海天玑科 技股份有限 </w:t>
            </w:r>
            <w:r>
              <w:rPr>
                <w:rFonts w:ascii="宋体" w:hAnsi="宋体" w:cs="宋体" w:eastAsia="宋体" w:hint="default"/>
                <w:spacing w:val="-3"/>
                <w:sz w:val="18"/>
                <w:szCs w:val="18"/>
              </w:rPr>
              <w:t>公司董事、监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事、高级管理</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人员</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4" w:lineRule="auto"/>
              <w:ind w:left="26" w:right="191"/>
              <w:jc w:val="left"/>
              <w:rPr>
                <w:rFonts w:ascii="宋体" w:hAnsi="宋体" w:cs="宋体" w:eastAsia="宋体" w:hint="default"/>
                <w:sz w:val="18"/>
                <w:szCs w:val="18"/>
              </w:rPr>
            </w:pPr>
            <w:r>
              <w:rPr>
                <w:rFonts w:ascii="宋体" w:hAnsi="宋体" w:cs="宋体" w:eastAsia="宋体" w:hint="default"/>
                <w:sz w:val="18"/>
                <w:szCs w:val="18"/>
              </w:rPr>
              <w:t>非公开发行 股票</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规范关联交 </w:t>
            </w:r>
            <w:r>
              <w:rPr>
                <w:rFonts w:ascii="宋体" w:hAnsi="宋体" w:cs="宋体" w:eastAsia="宋体" w:hint="default"/>
                <w:spacing w:val="-2"/>
                <w:sz w:val="18"/>
                <w:szCs w:val="18"/>
              </w:rPr>
              <w:t>易承诺一、本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人及本人近 亲属目前没 </w:t>
            </w:r>
            <w:r>
              <w:rPr>
                <w:rFonts w:ascii="宋体" w:hAnsi="宋体" w:cs="宋体" w:eastAsia="宋体" w:hint="default"/>
                <w:spacing w:val="-2"/>
                <w:sz w:val="18"/>
                <w:szCs w:val="18"/>
              </w:rPr>
              <w:t>有、并且今后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也不会在与 上海天玑科 技股份有限 公司（简称</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pacing w:val="-25"/>
                <w:w w:val="99"/>
                <w:sz w:val="18"/>
                <w:szCs w:val="18"/>
              </w:rPr>
              <w:t>天玑科技</w:t>
            </w:r>
            <w:r>
              <w:rPr>
                <w:rFonts w:ascii="Times New Roman" w:hAnsi="Times New Roman" w:cs="Times New Roman" w:eastAsia="Times New Roman" w:hint="default"/>
                <w:spacing w:val="-25"/>
                <w:w w:val="99"/>
                <w:sz w:val="18"/>
                <w:szCs w:val="18"/>
              </w:rPr>
              <w:t>"</w:t>
            </w:r>
            <w:r>
              <w:rPr>
                <w:rFonts w:ascii="宋体" w:hAnsi="宋体" w:cs="宋体" w:eastAsia="宋体" w:hint="default"/>
                <w:spacing w:val="-25"/>
                <w:w w:val="99"/>
                <w:sz w:val="18"/>
                <w:szCs w:val="18"/>
              </w:rPr>
              <w:t>）及</w:t>
            </w:r>
            <w:r>
              <w:rPr>
                <w:rFonts w:ascii="宋体" w:hAnsi="宋体" w:cs="宋体" w:eastAsia="宋体" w:hint="default"/>
                <w:spacing w:val="-85"/>
                <w:w w:val="99"/>
                <w:sz w:val="18"/>
                <w:szCs w:val="18"/>
              </w:rPr>
              <w:t> </w:t>
            </w:r>
            <w:r>
              <w:rPr>
                <w:rFonts w:ascii="宋体" w:hAnsi="宋体" w:cs="宋体" w:eastAsia="宋体" w:hint="default"/>
                <w:sz w:val="18"/>
                <w:szCs w:val="18"/>
              </w:rPr>
              <w:t>其控股子公</w:t>
            </w:r>
            <w:r>
              <w:rPr>
                <w:rFonts w:ascii="宋体" w:hAnsi="宋体" w:cs="宋体" w:eastAsia="宋体" w:hint="default"/>
                <w:sz w:val="18"/>
                <w:szCs w:val="18"/>
              </w:rPr>
              <w:t> 司从事相同 或相近似业 </w:t>
            </w:r>
            <w:r>
              <w:rPr>
                <w:rFonts w:ascii="宋体" w:hAnsi="宋体" w:cs="宋体" w:eastAsia="宋体" w:hint="default"/>
                <w:spacing w:val="-2"/>
                <w:sz w:val="18"/>
                <w:szCs w:val="18"/>
              </w:rPr>
              <w:t>务的企业、单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位进行投资 和经营或担 </w:t>
            </w:r>
            <w:r>
              <w:rPr>
                <w:rFonts w:ascii="宋体" w:hAnsi="宋体" w:cs="宋体" w:eastAsia="宋体" w:hint="default"/>
                <w:spacing w:val="-2"/>
                <w:sz w:val="18"/>
                <w:szCs w:val="18"/>
              </w:rPr>
              <w:t>任董事、监事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或高级管理 人员。 </w:t>
            </w:r>
            <w:r>
              <w:rPr>
                <w:rFonts w:ascii="宋体" w:hAnsi="宋体" w:cs="宋体" w:eastAsia="宋体" w:hint="default"/>
                <w:spacing w:val="-2"/>
                <w:sz w:val="18"/>
                <w:szCs w:val="18"/>
              </w:rPr>
              <w:t>二、本人及本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人近亲属控 制的其他公 </w:t>
            </w:r>
            <w:r>
              <w:rPr>
                <w:rFonts w:ascii="宋体" w:hAnsi="宋体" w:cs="宋体" w:eastAsia="宋体" w:hint="default"/>
                <w:spacing w:val="-2"/>
                <w:sz w:val="18"/>
                <w:szCs w:val="18"/>
              </w:rPr>
              <w:t>司、经济组织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目前没有、并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且今后也不 会直接或通 过其他任何 方式间接从 事与天玑科 技及其控股 子公司业务 相同或相近 似的经济活 </w:t>
            </w:r>
            <w:r>
              <w:rPr>
                <w:rFonts w:ascii="宋体" w:hAnsi="宋体" w:cs="宋体" w:eastAsia="宋体" w:hint="default"/>
                <w:spacing w:val="-2"/>
                <w:sz w:val="18"/>
                <w:szCs w:val="18"/>
              </w:rPr>
              <w:t>动和业务，包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括不投资、收</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3" w:right="185"/>
              <w:jc w:val="both"/>
              <w:rPr>
                <w:rFonts w:ascii="宋体" w:hAnsi="宋体" w:cs="宋体" w:eastAsia="宋体" w:hint="default"/>
                <w:sz w:val="18"/>
                <w:szCs w:val="18"/>
              </w:rPr>
            </w:pPr>
            <w:r>
              <w:rPr>
                <w:rFonts w:ascii="宋体" w:hAnsi="宋体" w:cs="宋体" w:eastAsia="宋体" w:hint="default"/>
                <w:sz w:val="18"/>
                <w:szCs w:val="18"/>
              </w:rPr>
              <w:t>作出承诺时 至承诺履行 完毕</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3" w:right="-5"/>
              <w:jc w:val="left"/>
              <w:rPr>
                <w:rFonts w:ascii="宋体" w:hAnsi="宋体" w:cs="宋体" w:eastAsia="宋体" w:hint="default"/>
                <w:sz w:val="18"/>
                <w:szCs w:val="18"/>
              </w:rPr>
            </w:pPr>
            <w:r>
              <w:rPr>
                <w:rFonts w:ascii="宋体" w:hAnsi="宋体" w:cs="宋体" w:eastAsia="宋体" w:hint="default"/>
                <w:sz w:val="18"/>
                <w:szCs w:val="18"/>
              </w:rPr>
              <w:t>截止到报告 </w:t>
            </w:r>
            <w:r>
              <w:rPr>
                <w:rFonts w:ascii="宋体" w:hAnsi="宋体" w:cs="宋体" w:eastAsia="宋体" w:hint="default"/>
                <w:spacing w:val="-5"/>
                <w:sz w:val="18"/>
                <w:szCs w:val="18"/>
              </w:rPr>
              <w:t>期末，上述承</w:t>
            </w:r>
            <w:r>
              <w:rPr>
                <w:rFonts w:ascii="宋体" w:hAnsi="宋体" w:cs="宋体" w:eastAsia="宋体" w:hint="default"/>
                <w:sz w:val="18"/>
                <w:szCs w:val="18"/>
              </w:rPr>
              <w:t> 诺人严格信 </w:t>
            </w:r>
            <w:r>
              <w:rPr>
                <w:rFonts w:ascii="宋体" w:hAnsi="宋体" w:cs="宋体" w:eastAsia="宋体" w:hint="default"/>
                <w:spacing w:val="-5"/>
                <w:sz w:val="18"/>
                <w:szCs w:val="18"/>
              </w:rPr>
              <w:t>守承诺，未出</w:t>
            </w:r>
            <w:r>
              <w:rPr>
                <w:rFonts w:ascii="宋体" w:hAnsi="宋体" w:cs="宋体" w:eastAsia="宋体" w:hint="default"/>
                <w:sz w:val="18"/>
                <w:szCs w:val="18"/>
              </w:rPr>
              <w:t> 现违反承诺 的情况发生。</w:t>
            </w:r>
          </w:p>
        </w:tc>
      </w:tr>
    </w:tbl>
    <w:p>
      <w:pPr>
        <w:spacing w:after="0" w:line="316"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2547"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9"/>
              <w:jc w:val="left"/>
              <w:rPr>
                <w:rFonts w:ascii="宋体" w:hAnsi="宋体" w:cs="宋体" w:eastAsia="宋体" w:hint="default"/>
                <w:sz w:val="18"/>
                <w:szCs w:val="18"/>
              </w:rPr>
            </w:pPr>
            <w:r>
              <w:rPr>
                <w:rFonts w:ascii="宋体" w:hAnsi="宋体" w:cs="宋体" w:eastAsia="宋体" w:hint="default"/>
                <w:spacing w:val="-2"/>
                <w:sz w:val="18"/>
                <w:szCs w:val="18"/>
              </w:rPr>
              <w:t>购、兼并与天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玑科技及其 控股子公司 现有主要业 务有竞争关 系的公司或 者其他经济 组织。</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11284"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3" w:right="19"/>
              <w:jc w:val="left"/>
              <w:rPr>
                <w:rFonts w:ascii="宋体" w:hAnsi="宋体" w:cs="宋体" w:eastAsia="宋体" w:hint="default"/>
                <w:sz w:val="18"/>
                <w:szCs w:val="18"/>
              </w:rPr>
            </w:pPr>
            <w:r>
              <w:rPr>
                <w:rFonts w:ascii="宋体" w:hAnsi="宋体" w:cs="宋体" w:eastAsia="宋体" w:hint="default"/>
                <w:sz w:val="18"/>
                <w:szCs w:val="18"/>
              </w:rPr>
              <w:t>上海天玑科 技股份有限 </w:t>
            </w:r>
            <w:r>
              <w:rPr>
                <w:rFonts w:ascii="宋体" w:hAnsi="宋体" w:cs="宋体" w:eastAsia="宋体" w:hint="default"/>
                <w:spacing w:val="-3"/>
                <w:sz w:val="18"/>
                <w:szCs w:val="18"/>
              </w:rPr>
              <w:t>公司董事、监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事、高级管理</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人员</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60"/>
              <w:ind w:left="26" w:right="191"/>
              <w:jc w:val="left"/>
              <w:rPr>
                <w:rFonts w:ascii="宋体" w:hAnsi="宋体" w:cs="宋体" w:eastAsia="宋体" w:hint="default"/>
                <w:sz w:val="18"/>
                <w:szCs w:val="18"/>
              </w:rPr>
            </w:pPr>
            <w:r>
              <w:rPr>
                <w:rFonts w:ascii="宋体" w:hAnsi="宋体" w:cs="宋体" w:eastAsia="宋体" w:hint="default"/>
                <w:sz w:val="18"/>
                <w:szCs w:val="18"/>
              </w:rPr>
              <w:t>非公开发行 股票</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
              <w:jc w:val="left"/>
              <w:rPr>
                <w:rFonts w:ascii="宋体" w:hAnsi="宋体" w:cs="宋体" w:eastAsia="宋体" w:hint="default"/>
                <w:sz w:val="18"/>
                <w:szCs w:val="18"/>
              </w:rPr>
            </w:pPr>
            <w:r>
              <w:rPr>
                <w:rFonts w:ascii="宋体" w:hAnsi="宋体" w:cs="宋体" w:eastAsia="宋体" w:hint="default"/>
                <w:sz w:val="18"/>
                <w:szCs w:val="18"/>
              </w:rPr>
              <w:t>关于避免同 业竞争的承 诺； 一、本人及本 人近亲属目 前没有、并且 今后也不会 在与上海天 玑科技股份 有限公司（简 称</w:t>
            </w:r>
            <w:r>
              <w:rPr>
                <w:rFonts w:ascii="Times New Roman" w:hAnsi="Times New Roman" w:cs="Times New Roman" w:eastAsia="Times New Roman" w:hint="default"/>
                <w:sz w:val="18"/>
                <w:szCs w:val="18"/>
              </w:rPr>
              <w:t>"</w:t>
            </w:r>
            <w:r>
              <w:rPr>
                <w:rFonts w:ascii="宋体" w:hAnsi="宋体" w:cs="宋体" w:eastAsia="宋体" w:hint="default"/>
                <w:sz w:val="18"/>
                <w:szCs w:val="18"/>
              </w:rPr>
              <w:t>天玑科技 </w:t>
            </w:r>
            <w:r>
              <w:rPr>
                <w:rFonts w:ascii="Times New Roman" w:hAnsi="Times New Roman" w:cs="Times New Roman" w:eastAsia="Times New Roman" w:hint="default"/>
                <w:spacing w:val="-13"/>
                <w:w w:val="99"/>
                <w:sz w:val="18"/>
                <w:szCs w:val="18"/>
              </w:rPr>
              <w:t>"</w:t>
            </w:r>
            <w:r>
              <w:rPr>
                <w:rFonts w:ascii="宋体" w:hAnsi="宋体" w:cs="宋体" w:eastAsia="宋体" w:hint="default"/>
                <w:spacing w:val="-13"/>
                <w:w w:val="99"/>
                <w:sz w:val="18"/>
                <w:szCs w:val="18"/>
              </w:rPr>
              <w:t>）及其控股子</w:t>
            </w:r>
            <w:r>
              <w:rPr>
                <w:rFonts w:ascii="宋体" w:hAnsi="宋体" w:cs="宋体" w:eastAsia="宋体" w:hint="default"/>
                <w:spacing w:val="-86"/>
                <w:w w:val="99"/>
                <w:sz w:val="18"/>
                <w:szCs w:val="18"/>
              </w:rPr>
              <w:t> </w:t>
            </w:r>
            <w:r>
              <w:rPr>
                <w:rFonts w:ascii="宋体" w:hAnsi="宋体" w:cs="宋体" w:eastAsia="宋体" w:hint="default"/>
                <w:spacing w:val="-86"/>
                <w:w w:val="99"/>
                <w:sz w:val="18"/>
                <w:szCs w:val="18"/>
              </w:rPr>
            </w:r>
            <w:r>
              <w:rPr>
                <w:rFonts w:ascii="宋体" w:hAnsi="宋体" w:cs="宋体" w:eastAsia="宋体" w:hint="default"/>
                <w:sz w:val="18"/>
                <w:szCs w:val="18"/>
              </w:rPr>
              <w:t>公司从事相 同或相近似 业务的企业、 单位进行投 资和经营或 担任董事、监</w:t>
            </w:r>
            <w:r>
              <w:rPr>
                <w:rFonts w:ascii="宋体" w:hAnsi="宋体" w:cs="宋体" w:eastAsia="宋体" w:hint="default"/>
                <w:sz w:val="18"/>
                <w:szCs w:val="18"/>
              </w:rPr>
              <w:t> 事或高级管 理人员。 二、本人及本 人近亲属控 制的其他公 司、经济组织 目前没有、并 且今后也不 会直接或通 过其他任何 方式间接从 事与天玑科 技及其控股 子公司业务 相同或相近 似的经济活 动和业务，包 括不投资、收</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3" w:right="185"/>
              <w:jc w:val="both"/>
              <w:rPr>
                <w:rFonts w:ascii="宋体" w:hAnsi="宋体" w:cs="宋体" w:eastAsia="宋体" w:hint="default"/>
                <w:sz w:val="18"/>
                <w:szCs w:val="18"/>
              </w:rPr>
            </w:pPr>
            <w:r>
              <w:rPr>
                <w:rFonts w:ascii="宋体" w:hAnsi="宋体" w:cs="宋体" w:eastAsia="宋体" w:hint="default"/>
                <w:sz w:val="18"/>
                <w:szCs w:val="18"/>
              </w:rPr>
              <w:t>作出承诺时 至承诺履行 完毕</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5"/>
              <w:jc w:val="left"/>
              <w:rPr>
                <w:rFonts w:ascii="宋体" w:hAnsi="宋体" w:cs="宋体" w:eastAsia="宋体" w:hint="default"/>
                <w:sz w:val="18"/>
                <w:szCs w:val="18"/>
              </w:rPr>
            </w:pPr>
            <w:r>
              <w:rPr>
                <w:rFonts w:ascii="宋体" w:hAnsi="宋体" w:cs="宋体" w:eastAsia="宋体" w:hint="default"/>
                <w:sz w:val="18"/>
                <w:szCs w:val="18"/>
              </w:rPr>
              <w:t>截止到报告 </w:t>
            </w:r>
            <w:r>
              <w:rPr>
                <w:rFonts w:ascii="宋体" w:hAnsi="宋体" w:cs="宋体" w:eastAsia="宋体" w:hint="default"/>
                <w:spacing w:val="-5"/>
                <w:sz w:val="18"/>
                <w:szCs w:val="18"/>
              </w:rPr>
              <w:t>期末，上述承</w:t>
            </w:r>
            <w:r>
              <w:rPr>
                <w:rFonts w:ascii="宋体" w:hAnsi="宋体" w:cs="宋体" w:eastAsia="宋体" w:hint="default"/>
                <w:sz w:val="18"/>
                <w:szCs w:val="18"/>
              </w:rPr>
              <w:t> 诺人严格信 </w:t>
            </w:r>
            <w:r>
              <w:rPr>
                <w:rFonts w:ascii="宋体" w:hAnsi="宋体" w:cs="宋体" w:eastAsia="宋体" w:hint="default"/>
                <w:spacing w:val="-5"/>
                <w:sz w:val="18"/>
                <w:szCs w:val="18"/>
              </w:rPr>
              <w:t>守承诺，未出</w:t>
            </w:r>
            <w:r>
              <w:rPr>
                <w:rFonts w:ascii="宋体" w:hAnsi="宋体" w:cs="宋体" w:eastAsia="宋体" w:hint="default"/>
                <w:sz w:val="18"/>
                <w:szCs w:val="18"/>
              </w:rPr>
              <w:t> 现违反承诺 的情况发生。</w:t>
            </w:r>
          </w:p>
        </w:tc>
      </w:tr>
    </w:tbl>
    <w:p>
      <w:pPr>
        <w:spacing w:after="0" w:line="316"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2547"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9"/>
              <w:jc w:val="left"/>
              <w:rPr>
                <w:rFonts w:ascii="宋体" w:hAnsi="宋体" w:cs="宋体" w:eastAsia="宋体" w:hint="default"/>
                <w:sz w:val="18"/>
                <w:szCs w:val="18"/>
              </w:rPr>
            </w:pPr>
            <w:r>
              <w:rPr>
                <w:rFonts w:ascii="宋体" w:hAnsi="宋体" w:cs="宋体" w:eastAsia="宋体" w:hint="default"/>
                <w:spacing w:val="-2"/>
                <w:sz w:val="18"/>
                <w:szCs w:val="18"/>
              </w:rPr>
              <w:t>购、兼并与天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玑科技及其 控股子公司 现有主要业 务有竞争关 系的公司或 者其他经济 组织。</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11284"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57"/>
              <w:ind w:left="23" w:right="127"/>
              <w:jc w:val="both"/>
              <w:rPr>
                <w:rFonts w:ascii="宋体" w:hAnsi="宋体" w:cs="宋体" w:eastAsia="宋体" w:hint="default"/>
                <w:sz w:val="18"/>
                <w:szCs w:val="18"/>
              </w:rPr>
            </w:pPr>
            <w:r>
              <w:rPr>
                <w:rFonts w:ascii="宋体" w:hAnsi="宋体" w:cs="宋体" w:eastAsia="宋体" w:hint="default"/>
                <w:sz w:val="18"/>
                <w:szCs w:val="18"/>
              </w:rPr>
              <w:t>鹏华资产</w:t>
            </w:r>
            <w:r>
              <w:rPr>
                <w:rFonts w:ascii="Times New Roman" w:hAnsi="Times New Roman" w:cs="Times New Roman" w:eastAsia="Times New Roman" w:hint="default"/>
                <w:sz w:val="18"/>
                <w:szCs w:val="18"/>
              </w:rPr>
              <w:t>-</w:t>
            </w:r>
            <w:r>
              <w:rPr>
                <w:rFonts w:ascii="宋体" w:hAnsi="宋体" w:cs="宋体" w:eastAsia="宋体" w:hint="default"/>
                <w:sz w:val="18"/>
                <w:szCs w:val="18"/>
              </w:rPr>
              <w:t>浦 发银行</w:t>
            </w:r>
            <w:r>
              <w:rPr>
                <w:rFonts w:ascii="Times New Roman" w:hAnsi="Times New Roman" w:cs="Times New Roman" w:eastAsia="Times New Roman" w:hint="default"/>
                <w:sz w:val="18"/>
                <w:szCs w:val="18"/>
              </w:rPr>
              <w:t>-</w:t>
            </w:r>
            <w:r>
              <w:rPr>
                <w:rFonts w:ascii="宋体" w:hAnsi="宋体" w:cs="宋体" w:eastAsia="宋体" w:hint="default"/>
                <w:sz w:val="18"/>
                <w:szCs w:val="18"/>
              </w:rPr>
              <w:t>云南 国际信托</w:t>
            </w:r>
            <w:r>
              <w:rPr>
                <w:rFonts w:ascii="Times New Roman" w:hAnsi="Times New Roman" w:cs="Times New Roman" w:eastAsia="Times New Roman" w:hint="default"/>
                <w:sz w:val="18"/>
                <w:szCs w:val="18"/>
              </w:rPr>
              <w:t>-</w:t>
            </w:r>
            <w:r>
              <w:rPr>
                <w:rFonts w:ascii="宋体" w:hAnsi="宋体" w:cs="宋体" w:eastAsia="宋体" w:hint="default"/>
                <w:sz w:val="18"/>
                <w:szCs w:val="18"/>
              </w:rPr>
              <w:t>云 信智兴</w:t>
            </w:r>
          </w:p>
          <w:p>
            <w:pPr>
              <w:pStyle w:val="TableParagraph"/>
              <w:spacing w:line="240" w:lineRule="auto" w:before="31"/>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2017-2005 </w:t>
            </w:r>
            <w:r>
              <w:rPr>
                <w:rFonts w:ascii="宋体" w:hAnsi="宋体" w:cs="宋体" w:eastAsia="宋体" w:hint="default"/>
                <w:sz w:val="18"/>
                <w:szCs w:val="18"/>
              </w:rPr>
              <w:t>号</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单一资金</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6" w:right="191"/>
              <w:jc w:val="both"/>
              <w:rPr>
                <w:rFonts w:ascii="宋体" w:hAnsi="宋体" w:cs="宋体" w:eastAsia="宋体" w:hint="default"/>
                <w:sz w:val="18"/>
                <w:szCs w:val="18"/>
              </w:rPr>
            </w:pPr>
            <w:r>
              <w:rPr>
                <w:rFonts w:ascii="宋体" w:hAnsi="宋体" w:cs="宋体" w:eastAsia="宋体" w:hint="default"/>
                <w:sz w:val="18"/>
                <w:szCs w:val="18"/>
              </w:rPr>
              <w:t>非公开发行 股票股份承 诺锁定</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
              <w:jc w:val="left"/>
              <w:rPr>
                <w:rFonts w:ascii="宋体" w:hAnsi="宋体" w:cs="宋体" w:eastAsia="宋体" w:hint="default"/>
                <w:sz w:val="18"/>
                <w:szCs w:val="18"/>
              </w:rPr>
            </w:pPr>
            <w:r>
              <w:rPr>
                <w:rFonts w:ascii="宋体" w:hAnsi="宋体" w:cs="宋体" w:eastAsia="宋体" w:hint="default"/>
                <w:sz w:val="18"/>
                <w:szCs w:val="18"/>
              </w:rPr>
              <w:t>自上海天玑 科技股份有 限公司本次 非公开发行 股票上市之 日起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 内，锁定本单 位</w:t>
            </w:r>
            <w:r>
              <w:rPr>
                <w:rFonts w:ascii="Times New Roman" w:hAnsi="Times New Roman" w:cs="Times New Roman" w:eastAsia="Times New Roman" w:hint="default"/>
                <w:sz w:val="18"/>
                <w:szCs w:val="18"/>
              </w:rPr>
              <w:t>/</w:t>
            </w:r>
            <w:r>
              <w:rPr>
                <w:rFonts w:ascii="宋体" w:hAnsi="宋体" w:cs="宋体" w:eastAsia="宋体" w:hint="default"/>
                <w:sz w:val="18"/>
                <w:szCs w:val="18"/>
              </w:rPr>
              <w:t>本人所认 购的上述股 份，不得进行 流动转让。本 单位</w:t>
            </w:r>
            <w:r>
              <w:rPr>
                <w:rFonts w:ascii="Times New Roman" w:hAnsi="Times New Roman" w:cs="Times New Roman" w:eastAsia="Times New Roman" w:hint="default"/>
                <w:sz w:val="18"/>
                <w:szCs w:val="18"/>
              </w:rPr>
              <w:t>/</w:t>
            </w:r>
            <w:r>
              <w:rPr>
                <w:rFonts w:ascii="宋体" w:hAnsi="宋体" w:cs="宋体" w:eastAsia="宋体" w:hint="default"/>
                <w:sz w:val="18"/>
                <w:szCs w:val="18"/>
              </w:rPr>
              <w:t>本人所 认购的上述 公司股份在 锁定期届满 后减持还将 遵守《公司 </w:t>
            </w:r>
            <w:r>
              <w:rPr>
                <w:rFonts w:ascii="宋体" w:hAnsi="宋体" w:cs="宋体" w:eastAsia="宋体" w:hint="default"/>
                <w:spacing w:val="-31"/>
                <w:sz w:val="18"/>
                <w:szCs w:val="18"/>
              </w:rPr>
              <w:t>法》、《证券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8"/>
                <w:sz w:val="18"/>
                <w:szCs w:val="18"/>
              </w:rPr>
              <w:t>法》、《深圳证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券交易所股 票上市规 </w:t>
            </w:r>
            <w:r>
              <w:rPr>
                <w:rFonts w:ascii="宋体" w:hAnsi="宋体" w:cs="宋体" w:eastAsia="宋体" w:hint="default"/>
                <w:spacing w:val="-28"/>
                <w:sz w:val="18"/>
                <w:szCs w:val="18"/>
              </w:rPr>
              <w:t>则》、《上市公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司股东、董监</w:t>
            </w:r>
            <w:r>
              <w:rPr>
                <w:rFonts w:ascii="宋体" w:hAnsi="宋体" w:cs="宋体" w:eastAsia="宋体" w:hint="default"/>
                <w:sz w:val="18"/>
                <w:szCs w:val="18"/>
              </w:rPr>
              <w:t> 高减持股份 的若干规定》</w:t>
            </w:r>
          </w:p>
          <w:p>
            <w:pPr>
              <w:pStyle w:val="TableParagraph"/>
              <w:spacing w:line="316" w:lineRule="auto" w:before="19"/>
              <w:ind w:left="23" w:right="190"/>
              <w:jc w:val="left"/>
              <w:rPr>
                <w:rFonts w:ascii="Times New Roman" w:hAnsi="Times New Roman" w:cs="Times New Roman" w:eastAsia="Times New Roman" w:hint="default"/>
                <w:sz w:val="18"/>
                <w:szCs w:val="18"/>
              </w:rPr>
            </w:pPr>
            <w:r>
              <w:rPr>
                <w:rFonts w:ascii="宋体" w:hAnsi="宋体" w:cs="宋体" w:eastAsia="宋体" w:hint="default"/>
                <w:sz w:val="18"/>
                <w:szCs w:val="18"/>
              </w:rPr>
              <w:t>（证监会公 告</w:t>
            </w:r>
            <w:r>
              <w:rPr>
                <w:rFonts w:ascii="Times New Roman" w:hAnsi="Times New Roman" w:cs="Times New Roman" w:eastAsia="Times New Roman" w:hint="default"/>
                <w:sz w:val="18"/>
                <w:szCs w:val="18"/>
              </w:rPr>
              <w:t>[2017]9</w:t>
            </w:r>
          </w:p>
          <w:p>
            <w:pPr>
              <w:pStyle w:val="TableParagraph"/>
              <w:spacing w:line="316" w:lineRule="auto"/>
              <w:ind w:left="23" w:right="10"/>
              <w:jc w:val="left"/>
              <w:rPr>
                <w:rFonts w:ascii="宋体" w:hAnsi="宋体" w:cs="宋体" w:eastAsia="宋体" w:hint="default"/>
                <w:sz w:val="18"/>
                <w:szCs w:val="18"/>
              </w:rPr>
            </w:pPr>
            <w:r>
              <w:rPr>
                <w:rFonts w:ascii="宋体" w:hAnsi="宋体" w:cs="宋体" w:eastAsia="宋体" w:hint="default"/>
                <w:sz w:val="18"/>
                <w:szCs w:val="18"/>
              </w:rPr>
              <w:t>号）等法律、 法规、规章、 规范性文件、 深圳证券交 易所相关规 </w:t>
            </w:r>
            <w:r>
              <w:rPr>
                <w:rFonts w:ascii="宋体" w:hAnsi="宋体" w:cs="宋体" w:eastAsia="宋体" w:hint="default"/>
                <w:spacing w:val="-16"/>
                <w:sz w:val="18"/>
                <w:szCs w:val="18"/>
              </w:rPr>
              <w:t>则（《深圳证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券交易所上 市公司股东 及董事、监</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日解锁</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5"/>
              <w:jc w:val="left"/>
              <w:rPr>
                <w:rFonts w:ascii="宋体" w:hAnsi="宋体" w:cs="宋体" w:eastAsia="宋体" w:hint="default"/>
                <w:sz w:val="18"/>
                <w:szCs w:val="18"/>
              </w:rPr>
            </w:pPr>
            <w:r>
              <w:rPr>
                <w:rFonts w:ascii="宋体" w:hAnsi="宋体" w:cs="宋体" w:eastAsia="宋体" w:hint="default"/>
                <w:sz w:val="18"/>
                <w:szCs w:val="18"/>
              </w:rPr>
              <w:t>截止到报告 </w:t>
            </w:r>
            <w:r>
              <w:rPr>
                <w:rFonts w:ascii="宋体" w:hAnsi="宋体" w:cs="宋体" w:eastAsia="宋体" w:hint="default"/>
                <w:spacing w:val="-5"/>
                <w:sz w:val="18"/>
                <w:szCs w:val="18"/>
              </w:rPr>
              <w:t>期末，上述承</w:t>
            </w:r>
            <w:r>
              <w:rPr>
                <w:rFonts w:ascii="宋体" w:hAnsi="宋体" w:cs="宋体" w:eastAsia="宋体" w:hint="default"/>
                <w:sz w:val="18"/>
                <w:szCs w:val="18"/>
              </w:rPr>
              <w:t> 诺人严格信 </w:t>
            </w:r>
            <w:r>
              <w:rPr>
                <w:rFonts w:ascii="宋体" w:hAnsi="宋体" w:cs="宋体" w:eastAsia="宋体" w:hint="default"/>
                <w:spacing w:val="-5"/>
                <w:sz w:val="18"/>
                <w:szCs w:val="18"/>
              </w:rPr>
              <w:t>守承诺，未出</w:t>
            </w:r>
            <w:r>
              <w:rPr>
                <w:rFonts w:ascii="宋体" w:hAnsi="宋体" w:cs="宋体" w:eastAsia="宋体" w:hint="default"/>
                <w:sz w:val="18"/>
                <w:szCs w:val="18"/>
              </w:rPr>
              <w:t> 现违反承诺 的情况发生。</w:t>
            </w:r>
          </w:p>
        </w:tc>
      </w:tr>
    </w:tbl>
    <w:p>
      <w:pPr>
        <w:spacing w:after="0" w:line="316"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1923"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0"/>
              <w:jc w:val="left"/>
              <w:rPr>
                <w:rFonts w:ascii="宋体" w:hAnsi="宋体" w:cs="宋体" w:eastAsia="宋体" w:hint="default"/>
                <w:sz w:val="18"/>
                <w:szCs w:val="18"/>
              </w:rPr>
            </w:pPr>
            <w:r>
              <w:rPr>
                <w:rFonts w:ascii="宋体" w:hAnsi="宋体" w:cs="宋体" w:eastAsia="宋体" w:hint="default"/>
                <w:sz w:val="18"/>
                <w:szCs w:val="18"/>
              </w:rPr>
              <w:t>事、高级管理 人员减持股 份实施细则》 等）以及《公 司章程》的相 关规定。</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11908"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00" w:lineRule="auto"/>
              <w:ind w:left="23" w:right="127"/>
              <w:jc w:val="both"/>
              <w:rPr>
                <w:rFonts w:ascii="宋体" w:hAnsi="宋体" w:cs="宋体" w:eastAsia="宋体" w:hint="default"/>
                <w:sz w:val="18"/>
                <w:szCs w:val="18"/>
              </w:rPr>
            </w:pPr>
            <w:r>
              <w:rPr>
                <w:rFonts w:ascii="宋体" w:hAnsi="宋体" w:cs="宋体" w:eastAsia="宋体" w:hint="default"/>
                <w:sz w:val="18"/>
                <w:szCs w:val="18"/>
              </w:rPr>
              <w:t>新华基金</w:t>
            </w:r>
            <w:r>
              <w:rPr>
                <w:rFonts w:ascii="Times New Roman" w:hAnsi="Times New Roman" w:cs="Times New Roman" w:eastAsia="Times New Roman" w:hint="default"/>
                <w:sz w:val="18"/>
                <w:szCs w:val="18"/>
              </w:rPr>
              <w:t>-</w:t>
            </w:r>
            <w:r>
              <w:rPr>
                <w:rFonts w:ascii="宋体" w:hAnsi="宋体" w:cs="宋体" w:eastAsia="宋体" w:hint="default"/>
                <w:sz w:val="18"/>
                <w:szCs w:val="18"/>
              </w:rPr>
              <w:t>浦 发银行</w:t>
            </w:r>
            <w:r>
              <w:rPr>
                <w:rFonts w:ascii="Times New Roman" w:hAnsi="Times New Roman" w:cs="Times New Roman" w:eastAsia="Times New Roman" w:hint="default"/>
                <w:sz w:val="18"/>
                <w:szCs w:val="18"/>
              </w:rPr>
              <w:t>-</w:t>
            </w:r>
            <w:r>
              <w:rPr>
                <w:rFonts w:ascii="宋体" w:hAnsi="宋体" w:cs="宋体" w:eastAsia="宋体" w:hint="default"/>
                <w:sz w:val="18"/>
                <w:szCs w:val="18"/>
              </w:rPr>
              <w:t>粤财 信托</w:t>
            </w:r>
            <w:r>
              <w:rPr>
                <w:rFonts w:ascii="Times New Roman" w:hAnsi="Times New Roman" w:cs="Times New Roman" w:eastAsia="Times New Roman" w:hint="default"/>
                <w:sz w:val="18"/>
                <w:szCs w:val="18"/>
              </w:rPr>
              <w:t>•</w:t>
            </w:r>
            <w:r>
              <w:rPr>
                <w:rFonts w:ascii="宋体" w:hAnsi="宋体" w:cs="宋体" w:eastAsia="宋体" w:hint="default"/>
                <w:sz w:val="18"/>
                <w:szCs w:val="18"/>
              </w:rPr>
              <w:t>弘盛</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号单</w:t>
            </w:r>
            <w:r>
              <w:rPr>
                <w:rFonts w:ascii="Times New Roman" w:hAnsi="Times New Roman" w:cs="Times New Roman" w:eastAsia="Times New Roman" w:hint="default"/>
                <w:sz w:val="18"/>
                <w:szCs w:val="18"/>
              </w:rPr>
              <w:t>-</w:t>
            </w:r>
            <w:r>
              <w:rPr>
                <w:rFonts w:ascii="宋体" w:hAnsi="宋体" w:cs="宋体" w:eastAsia="宋体" w:hint="default"/>
                <w:sz w:val="18"/>
                <w:szCs w:val="18"/>
              </w:rPr>
              <w:t>资金信 托计划</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26" w:right="191"/>
              <w:jc w:val="both"/>
              <w:rPr>
                <w:rFonts w:ascii="宋体" w:hAnsi="宋体" w:cs="宋体" w:eastAsia="宋体" w:hint="default"/>
                <w:sz w:val="18"/>
                <w:szCs w:val="18"/>
              </w:rPr>
            </w:pPr>
            <w:r>
              <w:rPr>
                <w:rFonts w:ascii="宋体" w:hAnsi="宋体" w:cs="宋体" w:eastAsia="宋体" w:hint="default"/>
                <w:sz w:val="18"/>
                <w:szCs w:val="18"/>
              </w:rPr>
              <w:t>非公开发行 股票股份承 诺锁定</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
              <w:jc w:val="left"/>
              <w:rPr>
                <w:rFonts w:ascii="宋体" w:hAnsi="宋体" w:cs="宋体" w:eastAsia="宋体" w:hint="default"/>
                <w:sz w:val="18"/>
                <w:szCs w:val="18"/>
              </w:rPr>
            </w:pPr>
            <w:r>
              <w:rPr>
                <w:rFonts w:ascii="宋体" w:hAnsi="宋体" w:cs="宋体" w:eastAsia="宋体" w:hint="default"/>
                <w:sz w:val="18"/>
                <w:szCs w:val="18"/>
              </w:rPr>
              <w:t>自上海天玑 科技股份有 限公司本次 非公开发行 股票上市之 日起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 内，锁定本单 位</w:t>
            </w:r>
            <w:r>
              <w:rPr>
                <w:rFonts w:ascii="Times New Roman" w:hAnsi="Times New Roman" w:cs="Times New Roman" w:eastAsia="Times New Roman" w:hint="default"/>
                <w:sz w:val="18"/>
                <w:szCs w:val="18"/>
              </w:rPr>
              <w:t>/</w:t>
            </w:r>
            <w:r>
              <w:rPr>
                <w:rFonts w:ascii="宋体" w:hAnsi="宋体" w:cs="宋体" w:eastAsia="宋体" w:hint="default"/>
                <w:sz w:val="18"/>
                <w:szCs w:val="18"/>
              </w:rPr>
              <w:t>本人所认 购的上述股 份，不得进行 流动转让。本 单位</w:t>
            </w:r>
            <w:r>
              <w:rPr>
                <w:rFonts w:ascii="Times New Roman" w:hAnsi="Times New Roman" w:cs="Times New Roman" w:eastAsia="Times New Roman" w:hint="default"/>
                <w:sz w:val="18"/>
                <w:szCs w:val="18"/>
              </w:rPr>
              <w:t>/</w:t>
            </w:r>
            <w:r>
              <w:rPr>
                <w:rFonts w:ascii="宋体" w:hAnsi="宋体" w:cs="宋体" w:eastAsia="宋体" w:hint="default"/>
                <w:sz w:val="18"/>
                <w:szCs w:val="18"/>
              </w:rPr>
              <w:t>本人所 认购的上述 公司股份在 锁定期届满 后减持还将 遵守《公司 </w:t>
            </w:r>
            <w:r>
              <w:rPr>
                <w:rFonts w:ascii="宋体" w:hAnsi="宋体" w:cs="宋体" w:eastAsia="宋体" w:hint="default"/>
                <w:spacing w:val="-31"/>
                <w:sz w:val="18"/>
                <w:szCs w:val="18"/>
              </w:rPr>
              <w:t>法》、《证券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8"/>
                <w:sz w:val="18"/>
                <w:szCs w:val="18"/>
              </w:rPr>
              <w:t>法》、《深圳证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券交易所股 票上市规 </w:t>
            </w:r>
            <w:r>
              <w:rPr>
                <w:rFonts w:ascii="宋体" w:hAnsi="宋体" w:cs="宋体" w:eastAsia="宋体" w:hint="default"/>
                <w:spacing w:val="-28"/>
                <w:sz w:val="18"/>
                <w:szCs w:val="18"/>
              </w:rPr>
              <w:t>则》、《上市公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司股东、董监</w:t>
            </w:r>
            <w:r>
              <w:rPr>
                <w:rFonts w:ascii="宋体" w:hAnsi="宋体" w:cs="宋体" w:eastAsia="宋体" w:hint="default"/>
                <w:sz w:val="18"/>
                <w:szCs w:val="18"/>
              </w:rPr>
              <w:t> 高减持股份 的若干规定》</w:t>
            </w:r>
          </w:p>
          <w:p>
            <w:pPr>
              <w:pStyle w:val="TableParagraph"/>
              <w:spacing w:line="319" w:lineRule="auto" w:before="19"/>
              <w:ind w:left="23" w:right="190"/>
              <w:jc w:val="left"/>
              <w:rPr>
                <w:rFonts w:ascii="Times New Roman" w:hAnsi="Times New Roman" w:cs="Times New Roman" w:eastAsia="Times New Roman" w:hint="default"/>
                <w:sz w:val="18"/>
                <w:szCs w:val="18"/>
              </w:rPr>
            </w:pPr>
            <w:r>
              <w:rPr>
                <w:rFonts w:ascii="宋体" w:hAnsi="宋体" w:cs="宋体" w:eastAsia="宋体" w:hint="default"/>
                <w:sz w:val="18"/>
                <w:szCs w:val="18"/>
              </w:rPr>
              <w:t>（证监会公 告</w:t>
            </w:r>
            <w:r>
              <w:rPr>
                <w:rFonts w:ascii="Times New Roman" w:hAnsi="Times New Roman" w:cs="Times New Roman" w:eastAsia="Times New Roman" w:hint="default"/>
                <w:sz w:val="18"/>
                <w:szCs w:val="18"/>
              </w:rPr>
              <w:t>[2017]9</w:t>
            </w:r>
          </w:p>
          <w:p>
            <w:pPr>
              <w:pStyle w:val="TableParagraph"/>
              <w:spacing w:line="316" w:lineRule="auto"/>
              <w:ind w:left="23" w:right="10"/>
              <w:jc w:val="left"/>
              <w:rPr>
                <w:rFonts w:ascii="宋体" w:hAnsi="宋体" w:cs="宋体" w:eastAsia="宋体" w:hint="default"/>
                <w:sz w:val="18"/>
                <w:szCs w:val="18"/>
              </w:rPr>
            </w:pPr>
            <w:r>
              <w:rPr>
                <w:rFonts w:ascii="宋体" w:hAnsi="宋体" w:cs="宋体" w:eastAsia="宋体" w:hint="default"/>
                <w:sz w:val="18"/>
                <w:szCs w:val="18"/>
              </w:rPr>
              <w:t>号）等法律、 法规、规章、 规范性文件、 深圳证券交 易所相关规 </w:t>
            </w:r>
            <w:r>
              <w:rPr>
                <w:rFonts w:ascii="宋体" w:hAnsi="宋体" w:cs="宋体" w:eastAsia="宋体" w:hint="default"/>
                <w:spacing w:val="-16"/>
                <w:sz w:val="18"/>
                <w:szCs w:val="18"/>
              </w:rPr>
              <w:t>则（《深圳证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券交易所上 市公司股东 及董事、监 事、高级管理</w:t>
            </w:r>
            <w:r>
              <w:rPr>
                <w:rFonts w:ascii="宋体" w:hAnsi="宋体" w:cs="宋体" w:eastAsia="宋体" w:hint="default"/>
                <w:sz w:val="18"/>
                <w:szCs w:val="18"/>
              </w:rPr>
              <w:t> 人员减持股</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日解锁</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3" w:right="-5"/>
              <w:jc w:val="left"/>
              <w:rPr>
                <w:rFonts w:ascii="宋体" w:hAnsi="宋体" w:cs="宋体" w:eastAsia="宋体" w:hint="default"/>
                <w:sz w:val="18"/>
                <w:szCs w:val="18"/>
              </w:rPr>
            </w:pPr>
            <w:r>
              <w:rPr>
                <w:rFonts w:ascii="宋体" w:hAnsi="宋体" w:cs="宋体" w:eastAsia="宋体" w:hint="default"/>
                <w:sz w:val="18"/>
                <w:szCs w:val="18"/>
              </w:rPr>
              <w:t>截止到报告 </w:t>
            </w:r>
            <w:r>
              <w:rPr>
                <w:rFonts w:ascii="宋体" w:hAnsi="宋体" w:cs="宋体" w:eastAsia="宋体" w:hint="default"/>
                <w:spacing w:val="-5"/>
                <w:sz w:val="18"/>
                <w:szCs w:val="18"/>
              </w:rPr>
              <w:t>期末，上述承</w:t>
            </w:r>
            <w:r>
              <w:rPr>
                <w:rFonts w:ascii="宋体" w:hAnsi="宋体" w:cs="宋体" w:eastAsia="宋体" w:hint="default"/>
                <w:sz w:val="18"/>
                <w:szCs w:val="18"/>
              </w:rPr>
              <w:t> 诺人严格信 </w:t>
            </w:r>
            <w:r>
              <w:rPr>
                <w:rFonts w:ascii="宋体" w:hAnsi="宋体" w:cs="宋体" w:eastAsia="宋体" w:hint="default"/>
                <w:spacing w:val="-5"/>
                <w:sz w:val="18"/>
                <w:szCs w:val="18"/>
              </w:rPr>
              <w:t>守承诺，未出</w:t>
            </w:r>
            <w:r>
              <w:rPr>
                <w:rFonts w:ascii="宋体" w:hAnsi="宋体" w:cs="宋体" w:eastAsia="宋体" w:hint="default"/>
                <w:sz w:val="18"/>
                <w:szCs w:val="18"/>
              </w:rPr>
              <w:t> 现违反承诺 的情况发生。</w:t>
            </w:r>
          </w:p>
        </w:tc>
      </w:tr>
    </w:tbl>
    <w:p>
      <w:pPr>
        <w:spacing w:after="0" w:line="316"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1299"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0"/>
              <w:jc w:val="both"/>
              <w:rPr>
                <w:rFonts w:ascii="宋体" w:hAnsi="宋体" w:cs="宋体" w:eastAsia="宋体" w:hint="default"/>
                <w:sz w:val="18"/>
                <w:szCs w:val="18"/>
              </w:rPr>
            </w:pPr>
            <w:r>
              <w:rPr>
                <w:rFonts w:ascii="宋体" w:hAnsi="宋体" w:cs="宋体" w:eastAsia="宋体" w:hint="default"/>
                <w:sz w:val="18"/>
                <w:szCs w:val="18"/>
              </w:rPr>
              <w:t>份实施细则》 等）以及《公 司章程》的相 关规定。</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12532"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3" w:right="0"/>
              <w:jc w:val="left"/>
              <w:rPr>
                <w:rFonts w:ascii="宋体" w:hAnsi="宋体" w:cs="宋体" w:eastAsia="宋体" w:hint="default"/>
                <w:sz w:val="18"/>
                <w:szCs w:val="18"/>
              </w:rPr>
            </w:pPr>
            <w:r>
              <w:rPr>
                <w:rFonts w:ascii="宋体" w:hAnsi="宋体" w:cs="宋体" w:eastAsia="宋体" w:hint="default"/>
                <w:sz w:val="18"/>
                <w:szCs w:val="18"/>
              </w:rPr>
              <w:t>苏博</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316" w:lineRule="auto"/>
              <w:ind w:left="26" w:right="191"/>
              <w:jc w:val="both"/>
              <w:rPr>
                <w:rFonts w:ascii="宋体" w:hAnsi="宋体" w:cs="宋体" w:eastAsia="宋体" w:hint="default"/>
                <w:sz w:val="18"/>
                <w:szCs w:val="18"/>
              </w:rPr>
            </w:pPr>
            <w:r>
              <w:rPr>
                <w:rFonts w:ascii="宋体" w:hAnsi="宋体" w:cs="宋体" w:eastAsia="宋体" w:hint="default"/>
                <w:sz w:val="18"/>
                <w:szCs w:val="18"/>
              </w:rPr>
              <w:t>非公开发行 股票股份承 诺锁定</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
              <w:jc w:val="left"/>
              <w:rPr>
                <w:rFonts w:ascii="宋体" w:hAnsi="宋体" w:cs="宋体" w:eastAsia="宋体" w:hint="default"/>
                <w:sz w:val="18"/>
                <w:szCs w:val="18"/>
              </w:rPr>
            </w:pPr>
            <w:r>
              <w:rPr>
                <w:rFonts w:ascii="宋体" w:hAnsi="宋体" w:cs="宋体" w:eastAsia="宋体" w:hint="default"/>
                <w:sz w:val="18"/>
                <w:szCs w:val="18"/>
              </w:rPr>
              <w:t>自上海天玑 科技股份有 限公司本次 非公开发行 股票上市之 日起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 内，锁定本单 位</w:t>
            </w:r>
            <w:r>
              <w:rPr>
                <w:rFonts w:ascii="Times New Roman" w:hAnsi="Times New Roman" w:cs="Times New Roman" w:eastAsia="Times New Roman" w:hint="default"/>
                <w:sz w:val="18"/>
                <w:szCs w:val="18"/>
              </w:rPr>
              <w:t>/</w:t>
            </w:r>
            <w:r>
              <w:rPr>
                <w:rFonts w:ascii="宋体" w:hAnsi="宋体" w:cs="宋体" w:eastAsia="宋体" w:hint="default"/>
                <w:sz w:val="18"/>
                <w:szCs w:val="18"/>
              </w:rPr>
              <w:t>本人所认 购的上述股 份，不得进行 流动转让。本 单位</w:t>
            </w:r>
            <w:r>
              <w:rPr>
                <w:rFonts w:ascii="Times New Roman" w:hAnsi="Times New Roman" w:cs="Times New Roman" w:eastAsia="Times New Roman" w:hint="default"/>
                <w:sz w:val="18"/>
                <w:szCs w:val="18"/>
              </w:rPr>
              <w:t>/</w:t>
            </w:r>
            <w:r>
              <w:rPr>
                <w:rFonts w:ascii="宋体" w:hAnsi="宋体" w:cs="宋体" w:eastAsia="宋体" w:hint="default"/>
                <w:sz w:val="18"/>
                <w:szCs w:val="18"/>
              </w:rPr>
              <w:t>本人所 认购的上述 公司股份在 锁定期届满 后减持还将 遵守《公司 </w:t>
            </w:r>
            <w:r>
              <w:rPr>
                <w:rFonts w:ascii="宋体" w:hAnsi="宋体" w:cs="宋体" w:eastAsia="宋体" w:hint="default"/>
                <w:spacing w:val="-31"/>
                <w:sz w:val="18"/>
                <w:szCs w:val="18"/>
              </w:rPr>
              <w:t>法》、《证券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8"/>
                <w:sz w:val="18"/>
                <w:szCs w:val="18"/>
              </w:rPr>
              <w:t>法》、《深圳证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券交易所股 票上市规 </w:t>
            </w:r>
            <w:r>
              <w:rPr>
                <w:rFonts w:ascii="宋体" w:hAnsi="宋体" w:cs="宋体" w:eastAsia="宋体" w:hint="default"/>
                <w:spacing w:val="-28"/>
                <w:sz w:val="18"/>
                <w:szCs w:val="18"/>
              </w:rPr>
              <w:t>则》、《上市公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司股东、董监</w:t>
            </w:r>
            <w:r>
              <w:rPr>
                <w:rFonts w:ascii="宋体" w:hAnsi="宋体" w:cs="宋体" w:eastAsia="宋体" w:hint="default"/>
                <w:sz w:val="18"/>
                <w:szCs w:val="18"/>
              </w:rPr>
              <w:t> 高减持股份 的若干规定》</w:t>
            </w:r>
          </w:p>
          <w:p>
            <w:pPr>
              <w:pStyle w:val="TableParagraph"/>
              <w:spacing w:line="316" w:lineRule="auto" w:before="19"/>
              <w:ind w:left="23" w:right="190"/>
              <w:jc w:val="left"/>
              <w:rPr>
                <w:rFonts w:ascii="Times New Roman" w:hAnsi="Times New Roman" w:cs="Times New Roman" w:eastAsia="Times New Roman" w:hint="default"/>
                <w:sz w:val="18"/>
                <w:szCs w:val="18"/>
              </w:rPr>
            </w:pPr>
            <w:r>
              <w:rPr>
                <w:rFonts w:ascii="宋体" w:hAnsi="宋体" w:cs="宋体" w:eastAsia="宋体" w:hint="default"/>
                <w:sz w:val="18"/>
                <w:szCs w:val="18"/>
              </w:rPr>
              <w:t>（证监会公 告</w:t>
            </w:r>
            <w:r>
              <w:rPr>
                <w:rFonts w:ascii="Times New Roman" w:hAnsi="Times New Roman" w:cs="Times New Roman" w:eastAsia="Times New Roman" w:hint="default"/>
                <w:sz w:val="18"/>
                <w:szCs w:val="18"/>
              </w:rPr>
              <w:t>[2017]9</w:t>
            </w:r>
          </w:p>
          <w:p>
            <w:pPr>
              <w:pStyle w:val="TableParagraph"/>
              <w:spacing w:line="316" w:lineRule="auto"/>
              <w:ind w:left="23" w:right="10"/>
              <w:jc w:val="left"/>
              <w:rPr>
                <w:rFonts w:ascii="宋体" w:hAnsi="宋体" w:cs="宋体" w:eastAsia="宋体" w:hint="default"/>
                <w:sz w:val="18"/>
                <w:szCs w:val="18"/>
              </w:rPr>
            </w:pPr>
            <w:r>
              <w:rPr>
                <w:rFonts w:ascii="宋体" w:hAnsi="宋体" w:cs="宋体" w:eastAsia="宋体" w:hint="default"/>
                <w:sz w:val="18"/>
                <w:szCs w:val="18"/>
              </w:rPr>
              <w:t>号）等法律、 法规、规章、 规范性文件、 深圳证券交 易所相关规 </w:t>
            </w:r>
            <w:r>
              <w:rPr>
                <w:rFonts w:ascii="宋体" w:hAnsi="宋体" w:cs="宋体" w:eastAsia="宋体" w:hint="default"/>
                <w:spacing w:val="-16"/>
                <w:sz w:val="18"/>
                <w:szCs w:val="18"/>
              </w:rPr>
              <w:t>则（《深圳证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券交易所上 市公司股东 及董事、监 事、高级管理</w:t>
            </w:r>
            <w:r>
              <w:rPr>
                <w:rFonts w:ascii="宋体" w:hAnsi="宋体" w:cs="宋体" w:eastAsia="宋体" w:hint="default"/>
                <w:sz w:val="18"/>
                <w:szCs w:val="18"/>
              </w:rPr>
              <w:t> 人员减持股 份实施细则》 等）以及《公</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日解锁</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3" w:right="-5"/>
              <w:jc w:val="left"/>
              <w:rPr>
                <w:rFonts w:ascii="宋体" w:hAnsi="宋体" w:cs="宋体" w:eastAsia="宋体" w:hint="default"/>
                <w:sz w:val="18"/>
                <w:szCs w:val="18"/>
              </w:rPr>
            </w:pPr>
            <w:r>
              <w:rPr>
                <w:rFonts w:ascii="宋体" w:hAnsi="宋体" w:cs="宋体" w:eastAsia="宋体" w:hint="default"/>
                <w:sz w:val="18"/>
                <w:szCs w:val="18"/>
              </w:rPr>
              <w:t>截止到报告 </w:t>
            </w:r>
            <w:r>
              <w:rPr>
                <w:rFonts w:ascii="宋体" w:hAnsi="宋体" w:cs="宋体" w:eastAsia="宋体" w:hint="default"/>
                <w:spacing w:val="-5"/>
                <w:sz w:val="18"/>
                <w:szCs w:val="18"/>
              </w:rPr>
              <w:t>期末，上述承</w:t>
            </w:r>
            <w:r>
              <w:rPr>
                <w:rFonts w:ascii="宋体" w:hAnsi="宋体" w:cs="宋体" w:eastAsia="宋体" w:hint="default"/>
                <w:sz w:val="18"/>
                <w:szCs w:val="18"/>
              </w:rPr>
              <w:t> 诺人严格信 </w:t>
            </w:r>
            <w:r>
              <w:rPr>
                <w:rFonts w:ascii="宋体" w:hAnsi="宋体" w:cs="宋体" w:eastAsia="宋体" w:hint="default"/>
                <w:spacing w:val="-5"/>
                <w:sz w:val="18"/>
                <w:szCs w:val="18"/>
              </w:rPr>
              <w:t>守承诺，未出</w:t>
            </w:r>
            <w:r>
              <w:rPr>
                <w:rFonts w:ascii="宋体" w:hAnsi="宋体" w:cs="宋体" w:eastAsia="宋体" w:hint="default"/>
                <w:sz w:val="18"/>
                <w:szCs w:val="18"/>
              </w:rPr>
              <w:t> 现违反承诺 的情况发生。</w:t>
            </w:r>
          </w:p>
        </w:tc>
      </w:tr>
    </w:tbl>
    <w:p>
      <w:pPr>
        <w:spacing w:after="0" w:line="316"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67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9"/>
              <w:jc w:val="left"/>
              <w:rPr>
                <w:rFonts w:ascii="宋体" w:hAnsi="宋体" w:cs="宋体" w:eastAsia="宋体" w:hint="default"/>
                <w:sz w:val="18"/>
                <w:szCs w:val="18"/>
              </w:rPr>
            </w:pPr>
            <w:r>
              <w:rPr>
                <w:rFonts w:ascii="宋体" w:hAnsi="宋体" w:cs="宋体" w:eastAsia="宋体" w:hint="default"/>
                <w:spacing w:val="-2"/>
                <w:sz w:val="18"/>
                <w:szCs w:val="18"/>
              </w:rPr>
              <w:t>司章程》的相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关规定。</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13195"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邹月普</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1"/>
              <w:ind w:left="26" w:right="191"/>
              <w:jc w:val="both"/>
              <w:rPr>
                <w:rFonts w:ascii="宋体" w:hAnsi="宋体" w:cs="宋体" w:eastAsia="宋体" w:hint="default"/>
                <w:sz w:val="18"/>
                <w:szCs w:val="18"/>
              </w:rPr>
            </w:pPr>
            <w:r>
              <w:rPr>
                <w:rFonts w:ascii="宋体" w:hAnsi="宋体" w:cs="宋体" w:eastAsia="宋体" w:hint="default"/>
                <w:sz w:val="18"/>
                <w:szCs w:val="18"/>
              </w:rPr>
              <w:t>非公开发行 股票股份承 诺锁定</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
              <w:jc w:val="left"/>
              <w:rPr>
                <w:rFonts w:ascii="宋体" w:hAnsi="宋体" w:cs="宋体" w:eastAsia="宋体" w:hint="default"/>
                <w:sz w:val="18"/>
                <w:szCs w:val="18"/>
              </w:rPr>
            </w:pPr>
            <w:r>
              <w:rPr>
                <w:rFonts w:ascii="宋体" w:hAnsi="宋体" w:cs="宋体" w:eastAsia="宋体" w:hint="default"/>
                <w:sz w:val="18"/>
                <w:szCs w:val="18"/>
              </w:rPr>
              <w:t>自上海天玑 科技股份有 限公司本次 非公开发行 股票上市之 日起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 内，锁定本单 位</w:t>
            </w:r>
            <w:r>
              <w:rPr>
                <w:rFonts w:ascii="Times New Roman" w:hAnsi="Times New Roman" w:cs="Times New Roman" w:eastAsia="Times New Roman" w:hint="default"/>
                <w:sz w:val="18"/>
                <w:szCs w:val="18"/>
              </w:rPr>
              <w:t>/</w:t>
            </w:r>
            <w:r>
              <w:rPr>
                <w:rFonts w:ascii="宋体" w:hAnsi="宋体" w:cs="宋体" w:eastAsia="宋体" w:hint="default"/>
                <w:sz w:val="18"/>
                <w:szCs w:val="18"/>
              </w:rPr>
              <w:t>本人所认 购的上述股 份，不得进行 流动转让。本 单位</w:t>
            </w:r>
            <w:r>
              <w:rPr>
                <w:rFonts w:ascii="Times New Roman" w:hAnsi="Times New Roman" w:cs="Times New Roman" w:eastAsia="Times New Roman" w:hint="default"/>
                <w:sz w:val="18"/>
                <w:szCs w:val="18"/>
              </w:rPr>
              <w:t>/</w:t>
            </w:r>
            <w:r>
              <w:rPr>
                <w:rFonts w:ascii="宋体" w:hAnsi="宋体" w:cs="宋体" w:eastAsia="宋体" w:hint="default"/>
                <w:sz w:val="18"/>
                <w:szCs w:val="18"/>
              </w:rPr>
              <w:t>本人所 认购的上述 公司股份在 锁定期届满 后减持还将 遵守《公司 </w:t>
            </w:r>
            <w:r>
              <w:rPr>
                <w:rFonts w:ascii="宋体" w:hAnsi="宋体" w:cs="宋体" w:eastAsia="宋体" w:hint="default"/>
                <w:spacing w:val="-31"/>
                <w:sz w:val="18"/>
                <w:szCs w:val="18"/>
              </w:rPr>
              <w:t>法》、《证券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8"/>
                <w:sz w:val="18"/>
                <w:szCs w:val="18"/>
              </w:rPr>
              <w:t>法》、《深圳证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券交易所股 票上市规 </w:t>
            </w:r>
            <w:r>
              <w:rPr>
                <w:rFonts w:ascii="宋体" w:hAnsi="宋体" w:cs="宋体" w:eastAsia="宋体" w:hint="default"/>
                <w:spacing w:val="-28"/>
                <w:sz w:val="18"/>
                <w:szCs w:val="18"/>
              </w:rPr>
              <w:t>则》、《上市公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司股东、董监</w:t>
            </w:r>
            <w:r>
              <w:rPr>
                <w:rFonts w:ascii="宋体" w:hAnsi="宋体" w:cs="宋体" w:eastAsia="宋体" w:hint="default"/>
                <w:sz w:val="18"/>
                <w:szCs w:val="18"/>
              </w:rPr>
              <w:t> 高减持股份 的若干规定》</w:t>
            </w:r>
          </w:p>
          <w:p>
            <w:pPr>
              <w:pStyle w:val="TableParagraph"/>
              <w:spacing w:line="316" w:lineRule="auto" w:before="19"/>
              <w:ind w:left="23" w:right="190"/>
              <w:jc w:val="left"/>
              <w:rPr>
                <w:rFonts w:ascii="Times New Roman" w:hAnsi="Times New Roman" w:cs="Times New Roman" w:eastAsia="Times New Roman" w:hint="default"/>
                <w:sz w:val="18"/>
                <w:szCs w:val="18"/>
              </w:rPr>
            </w:pPr>
            <w:r>
              <w:rPr>
                <w:rFonts w:ascii="宋体" w:hAnsi="宋体" w:cs="宋体" w:eastAsia="宋体" w:hint="default"/>
                <w:sz w:val="18"/>
                <w:szCs w:val="18"/>
              </w:rPr>
              <w:t>（证监会公 告</w:t>
            </w:r>
            <w:r>
              <w:rPr>
                <w:rFonts w:ascii="Times New Roman" w:hAnsi="Times New Roman" w:cs="Times New Roman" w:eastAsia="Times New Roman" w:hint="default"/>
                <w:sz w:val="18"/>
                <w:szCs w:val="18"/>
              </w:rPr>
              <w:t>[2017]9</w:t>
            </w:r>
          </w:p>
          <w:p>
            <w:pPr>
              <w:pStyle w:val="TableParagraph"/>
              <w:spacing w:line="316" w:lineRule="auto"/>
              <w:ind w:left="23" w:right="10"/>
              <w:jc w:val="left"/>
              <w:rPr>
                <w:rFonts w:ascii="宋体" w:hAnsi="宋体" w:cs="宋体" w:eastAsia="宋体" w:hint="default"/>
                <w:sz w:val="18"/>
                <w:szCs w:val="18"/>
              </w:rPr>
            </w:pPr>
            <w:r>
              <w:rPr>
                <w:rFonts w:ascii="宋体" w:hAnsi="宋体" w:cs="宋体" w:eastAsia="宋体" w:hint="default"/>
                <w:sz w:val="18"/>
                <w:szCs w:val="18"/>
              </w:rPr>
              <w:t>号）等法律、 法规、规章、 规范性文件、 深圳证券交 易所相关规 </w:t>
            </w:r>
            <w:r>
              <w:rPr>
                <w:rFonts w:ascii="宋体" w:hAnsi="宋体" w:cs="宋体" w:eastAsia="宋体" w:hint="default"/>
                <w:spacing w:val="-16"/>
                <w:sz w:val="18"/>
                <w:szCs w:val="18"/>
              </w:rPr>
              <w:t>则（《深圳证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券交易所上 市公司股东 及董事、监 事、高级管理</w:t>
            </w:r>
            <w:r>
              <w:rPr>
                <w:rFonts w:ascii="宋体" w:hAnsi="宋体" w:cs="宋体" w:eastAsia="宋体" w:hint="default"/>
                <w:sz w:val="18"/>
                <w:szCs w:val="18"/>
              </w:rPr>
              <w:t> 人员减持股 份实施细则》 等）以及《公 司章程》的相 关规定。</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日解锁</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316" w:lineRule="auto"/>
              <w:ind w:left="23" w:right="-5"/>
              <w:jc w:val="left"/>
              <w:rPr>
                <w:rFonts w:ascii="宋体" w:hAnsi="宋体" w:cs="宋体" w:eastAsia="宋体" w:hint="default"/>
                <w:sz w:val="18"/>
                <w:szCs w:val="18"/>
              </w:rPr>
            </w:pPr>
            <w:r>
              <w:rPr>
                <w:rFonts w:ascii="宋体" w:hAnsi="宋体" w:cs="宋体" w:eastAsia="宋体" w:hint="default"/>
                <w:sz w:val="18"/>
                <w:szCs w:val="18"/>
              </w:rPr>
              <w:t>截止到报告 </w:t>
            </w:r>
            <w:r>
              <w:rPr>
                <w:rFonts w:ascii="宋体" w:hAnsi="宋体" w:cs="宋体" w:eastAsia="宋体" w:hint="default"/>
                <w:spacing w:val="-5"/>
                <w:sz w:val="18"/>
                <w:szCs w:val="18"/>
              </w:rPr>
              <w:t>期末，上述承</w:t>
            </w:r>
            <w:r>
              <w:rPr>
                <w:rFonts w:ascii="宋体" w:hAnsi="宋体" w:cs="宋体" w:eastAsia="宋体" w:hint="default"/>
                <w:sz w:val="18"/>
                <w:szCs w:val="18"/>
              </w:rPr>
              <w:t> 诺人严格信 </w:t>
            </w:r>
            <w:r>
              <w:rPr>
                <w:rFonts w:ascii="宋体" w:hAnsi="宋体" w:cs="宋体" w:eastAsia="宋体" w:hint="default"/>
                <w:spacing w:val="-5"/>
                <w:sz w:val="18"/>
                <w:szCs w:val="18"/>
              </w:rPr>
              <w:t>守承诺，未出</w:t>
            </w:r>
            <w:r>
              <w:rPr>
                <w:rFonts w:ascii="宋体" w:hAnsi="宋体" w:cs="宋体" w:eastAsia="宋体" w:hint="default"/>
                <w:sz w:val="18"/>
                <w:szCs w:val="18"/>
              </w:rPr>
              <w:t> 现违反承诺 的情况发生。</w:t>
            </w:r>
          </w:p>
        </w:tc>
      </w:tr>
    </w:tbl>
    <w:p>
      <w:pPr>
        <w:spacing w:after="0" w:line="316"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838"/>
        <w:gridCol w:w="1123"/>
        <w:gridCol w:w="1128"/>
        <w:gridCol w:w="1126"/>
        <w:gridCol w:w="1126"/>
        <w:gridCol w:w="1121"/>
        <w:gridCol w:w="1106"/>
      </w:tblGrid>
      <w:tr>
        <w:trPr>
          <w:trHeight w:val="2273" w:hRule="exact"/>
        </w:trPr>
        <w:tc>
          <w:tcPr>
            <w:tcW w:w="2838"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3" w:right="187"/>
              <w:jc w:val="both"/>
              <w:rPr>
                <w:rFonts w:ascii="宋体" w:hAnsi="宋体" w:cs="宋体" w:eastAsia="宋体" w:hint="default"/>
                <w:sz w:val="18"/>
                <w:szCs w:val="18"/>
              </w:rPr>
            </w:pPr>
            <w:r>
              <w:rPr>
                <w:rFonts w:ascii="宋体" w:hAnsi="宋体" w:cs="宋体" w:eastAsia="宋体" w:hint="default"/>
                <w:sz w:val="18"/>
                <w:szCs w:val="18"/>
              </w:rPr>
              <w:t>上海天玑科 技股份有限 公司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6" w:right="0"/>
              <w:jc w:val="left"/>
              <w:rPr>
                <w:rFonts w:ascii="宋体" w:hAnsi="宋体" w:cs="宋体" w:eastAsia="宋体" w:hint="default"/>
                <w:sz w:val="18"/>
                <w:szCs w:val="18"/>
              </w:rPr>
            </w:pPr>
            <w:r>
              <w:rPr>
                <w:rFonts w:ascii="宋体" w:hAnsi="宋体" w:cs="宋体" w:eastAsia="宋体" w:hint="default"/>
                <w:sz w:val="18"/>
                <w:szCs w:val="18"/>
              </w:rPr>
              <w:t>股权激励</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 的主要股东 或实际控制 人及其配偶、 直系近亲属 未参与本激 励计划。</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9</w:t>
            </w:r>
          </w:p>
          <w:p>
            <w:pPr>
              <w:pStyle w:val="TableParagraph"/>
              <w:spacing w:line="316" w:lineRule="auto" w:before="63"/>
              <w:ind w:left="23" w:right="185"/>
              <w:jc w:val="both"/>
              <w:rPr>
                <w:rFonts w:ascii="宋体" w:hAnsi="宋体" w:cs="宋体" w:eastAsia="宋体" w:hint="default"/>
                <w:sz w:val="18"/>
                <w:szCs w:val="18"/>
              </w:rPr>
            </w:pPr>
            <w:r>
              <w:rPr>
                <w:rFonts w:ascii="宋体" w:hAnsi="宋体" w:cs="宋体" w:eastAsia="宋体" w:hint="default"/>
                <w:sz w:val="18"/>
                <w:szCs w:val="18"/>
              </w:rPr>
              <w:t>日至本次股 权激励计划 终止或有效 期结束</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3" w:right="-8"/>
              <w:jc w:val="left"/>
              <w:rPr>
                <w:rFonts w:ascii="宋体" w:hAnsi="宋体" w:cs="宋体" w:eastAsia="宋体" w:hint="default"/>
                <w:sz w:val="18"/>
                <w:szCs w:val="18"/>
              </w:rPr>
            </w:pPr>
            <w:r>
              <w:rPr>
                <w:rFonts w:ascii="宋体" w:hAnsi="宋体" w:cs="宋体" w:eastAsia="宋体" w:hint="default"/>
                <w:sz w:val="18"/>
                <w:szCs w:val="18"/>
              </w:rPr>
              <w:t>截止到报告 </w:t>
            </w:r>
            <w:r>
              <w:rPr>
                <w:rFonts w:ascii="宋体" w:hAnsi="宋体" w:cs="宋体" w:eastAsia="宋体" w:hint="default"/>
                <w:spacing w:val="-5"/>
                <w:sz w:val="18"/>
                <w:szCs w:val="18"/>
              </w:rPr>
              <w:t>期末，完全履</w:t>
            </w:r>
            <w:r>
              <w:rPr>
                <w:rFonts w:ascii="宋体" w:hAnsi="宋体" w:cs="宋体" w:eastAsia="宋体" w:hint="default"/>
                <w:sz w:val="18"/>
                <w:szCs w:val="18"/>
              </w:rPr>
              <w:t> 行上述承诺。</w:t>
            </w:r>
          </w:p>
        </w:tc>
      </w:tr>
      <w:tr>
        <w:trPr>
          <w:trHeight w:val="274" w:hRule="exact"/>
        </w:trPr>
        <w:tc>
          <w:tcPr>
            <w:tcW w:w="2838" w:type="dxa"/>
            <w:vMerge/>
            <w:tcBorders>
              <w:left w:val="single" w:sz="4" w:space="0" w:color="000000"/>
              <w:bottom w:val="nil" w:sz="6" w:space="0" w:color="auto"/>
              <w:right w:val="single" w:sz="4" w:space="0" w:color="000000"/>
            </w:tcBorders>
            <w:shd w:val="clear" w:color="auto" w:fill="D2D2D2"/>
          </w:tcPr>
          <w:p>
            <w:pPr/>
          </w:p>
        </w:tc>
        <w:tc>
          <w:tcPr>
            <w:tcW w:w="1123"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16" w:right="187"/>
              <w:jc w:val="both"/>
              <w:rPr>
                <w:rFonts w:ascii="宋体" w:hAnsi="宋体" w:cs="宋体" w:eastAsia="宋体" w:hint="default"/>
                <w:sz w:val="18"/>
                <w:szCs w:val="18"/>
              </w:rPr>
            </w:pPr>
            <w:r>
              <w:rPr>
                <w:rFonts w:ascii="宋体" w:hAnsi="宋体" w:cs="宋体" w:eastAsia="宋体" w:hint="default"/>
                <w:sz w:val="18"/>
                <w:szCs w:val="18"/>
              </w:rPr>
              <w:t>上海天玑科 技股份有限 公司</w:t>
            </w:r>
          </w:p>
        </w:tc>
        <w:tc>
          <w:tcPr>
            <w:tcW w:w="112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股权激励</w:t>
            </w:r>
          </w:p>
        </w:tc>
        <w:tc>
          <w:tcPr>
            <w:tcW w:w="1126" w:type="dxa"/>
            <w:vMerge w:val="restart"/>
            <w:tcBorders>
              <w:top w:val="single" w:sz="4" w:space="0" w:color="000000"/>
              <w:left w:val="single" w:sz="4" w:space="0" w:color="000000"/>
              <w:right w:val="single" w:sz="4" w:space="0" w:color="000000"/>
            </w:tcBorders>
          </w:tcPr>
          <w:p>
            <w:pPr>
              <w:pStyle w:val="TableParagraph"/>
              <w:spacing w:line="316" w:lineRule="auto" w:before="51"/>
              <w:ind w:left="23" w:right="19"/>
              <w:jc w:val="left"/>
              <w:rPr>
                <w:rFonts w:ascii="宋体" w:hAnsi="宋体" w:cs="宋体" w:eastAsia="宋体" w:hint="default"/>
                <w:sz w:val="18"/>
                <w:szCs w:val="18"/>
              </w:rPr>
            </w:pPr>
            <w:r>
              <w:rPr>
                <w:rFonts w:ascii="宋体" w:hAnsi="宋体" w:cs="宋体" w:eastAsia="宋体" w:hint="default"/>
                <w:sz w:val="18"/>
                <w:szCs w:val="18"/>
              </w:rPr>
              <w:t>不为激励对 象依本激励 计划获取有 关限制性股 票提供贷款 以及其他任 何形式的财 </w:t>
            </w:r>
            <w:r>
              <w:rPr>
                <w:rFonts w:ascii="宋体" w:hAnsi="宋体" w:cs="宋体" w:eastAsia="宋体" w:hint="default"/>
                <w:spacing w:val="-2"/>
                <w:sz w:val="18"/>
                <w:szCs w:val="18"/>
              </w:rPr>
              <w:t>务资助，包括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为其贷款提 供担保。</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9</w:t>
            </w:r>
          </w:p>
          <w:p>
            <w:pPr>
              <w:pStyle w:val="TableParagraph"/>
              <w:spacing w:line="316" w:lineRule="auto" w:before="61"/>
              <w:ind w:left="23" w:right="185"/>
              <w:jc w:val="both"/>
              <w:rPr>
                <w:rFonts w:ascii="宋体" w:hAnsi="宋体" w:cs="宋体" w:eastAsia="宋体" w:hint="default"/>
                <w:sz w:val="18"/>
                <w:szCs w:val="18"/>
              </w:rPr>
            </w:pPr>
            <w:r>
              <w:rPr>
                <w:rFonts w:ascii="宋体" w:hAnsi="宋体" w:cs="宋体" w:eastAsia="宋体" w:hint="default"/>
                <w:sz w:val="18"/>
                <w:szCs w:val="18"/>
              </w:rPr>
              <w:t>日至本次股 权激励计划 终止或有效 期结束</w:t>
            </w:r>
          </w:p>
        </w:tc>
        <w:tc>
          <w:tcPr>
            <w:tcW w:w="110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23" w:right="-8"/>
              <w:jc w:val="left"/>
              <w:rPr>
                <w:rFonts w:ascii="宋体" w:hAnsi="宋体" w:cs="宋体" w:eastAsia="宋体" w:hint="default"/>
                <w:sz w:val="18"/>
                <w:szCs w:val="18"/>
              </w:rPr>
            </w:pPr>
            <w:r>
              <w:rPr>
                <w:rFonts w:ascii="宋体" w:hAnsi="宋体" w:cs="宋体" w:eastAsia="宋体" w:hint="default"/>
                <w:sz w:val="18"/>
                <w:szCs w:val="18"/>
              </w:rPr>
              <w:t>截止到报告 </w:t>
            </w:r>
            <w:r>
              <w:rPr>
                <w:rFonts w:ascii="宋体" w:hAnsi="宋体" w:cs="宋体" w:eastAsia="宋体" w:hint="default"/>
                <w:spacing w:val="-5"/>
                <w:sz w:val="18"/>
                <w:szCs w:val="18"/>
              </w:rPr>
              <w:t>期末，完全履</w:t>
            </w:r>
            <w:r>
              <w:rPr>
                <w:rFonts w:ascii="宋体" w:hAnsi="宋体" w:cs="宋体" w:eastAsia="宋体" w:hint="default"/>
                <w:sz w:val="18"/>
                <w:szCs w:val="18"/>
              </w:rPr>
              <w:t> 行上述承诺。</w:t>
            </w:r>
          </w:p>
        </w:tc>
      </w:tr>
      <w:tr>
        <w:trPr>
          <w:trHeight w:val="391" w:hRule="exact"/>
        </w:trPr>
        <w:tc>
          <w:tcPr>
            <w:tcW w:w="28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3" w:type="dxa"/>
            <w:vMerge/>
            <w:tcBorders>
              <w:left w:val="single" w:sz="10" w:space="0" w:color="D2D2D2"/>
              <w:right w:val="single" w:sz="4" w:space="0" w:color="000000"/>
            </w:tcBorders>
          </w:tcPr>
          <w:p>
            <w:pP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2547" w:hRule="exact"/>
        </w:trPr>
        <w:tc>
          <w:tcPr>
            <w:tcW w:w="283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3" w:type="dxa"/>
            <w:vMerge/>
            <w:tcBorders>
              <w:left w:val="single" w:sz="10" w:space="0" w:color="D2D2D2"/>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r>
        <w:trPr>
          <w:trHeight w:val="401"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3" w:type="dxa"/>
            <w:tcBorders>
              <w:top w:val="single" w:sz="4" w:space="0" w:color="000000"/>
              <w:left w:val="single" w:sz="13" w:space="0" w:color="D2D2D2"/>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1123" w:type="dxa"/>
            <w:tcBorders>
              <w:top w:val="single" w:sz="4" w:space="0" w:color="000000"/>
              <w:left w:val="single" w:sz="13" w:space="0" w:color="D2D2D2"/>
              <w:bottom w:val="single" w:sz="4" w:space="0" w:color="000000"/>
              <w:right w:val="single" w:sz="14" w:space="0" w:color="D2D2D2"/>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2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0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731" w:type="dxa"/>
            <w:gridSpan w:val="6"/>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11"/>
        <w:rPr>
          <w:rFonts w:ascii="Times New Roman" w:hAnsi="Times New Roman" w:cs="Times New Roman" w:eastAsia="Times New Roman" w:hint="default"/>
          <w:sz w:val="21"/>
          <w:szCs w:val="21"/>
        </w:rPr>
      </w:pPr>
    </w:p>
    <w:p>
      <w:pPr>
        <w:pStyle w:val="Heading3"/>
        <w:spacing w:line="256" w:lineRule="auto" w:before="36"/>
        <w:ind w:right="0"/>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spacing w:line="240" w:lineRule="auto" w:before="5"/>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三、控股股东及其关联方对上市公司的非经营性占用资金情况</w:t>
      </w:r>
      <w:r>
        <w:rPr>
          <w:b w:val="0"/>
          <w:bCs w:val="0"/>
        </w:rPr>
      </w:r>
    </w:p>
    <w:p>
      <w:pPr>
        <w:spacing w:line="240" w:lineRule="auto" w:before="6"/>
        <w:rPr>
          <w:rFonts w:ascii="宋体" w:hAnsi="宋体" w:cs="宋体" w:eastAsia="宋体" w:hint="default"/>
          <w:b/>
          <w:bCs/>
          <w:sz w:val="26"/>
          <w:szCs w:val="26"/>
        </w:rPr>
      </w:pPr>
    </w:p>
    <w:p>
      <w:pPr>
        <w:spacing w:line="340" w:lineRule="auto" w:before="0"/>
        <w:ind w:left="152" w:right="40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公司报告期不存在控股股东及其关联方对上市公司的非经营性占用资金。</w:t>
      </w:r>
    </w:p>
    <w:p>
      <w:pPr>
        <w:spacing w:line="240" w:lineRule="auto" w:before="7"/>
        <w:rPr>
          <w:rFonts w:ascii="宋体" w:hAnsi="宋体" w:cs="宋体" w:eastAsia="宋体" w:hint="default"/>
          <w:sz w:val="19"/>
          <w:szCs w:val="19"/>
        </w:rPr>
      </w:pPr>
    </w:p>
    <w:p>
      <w:pPr>
        <w:pStyle w:val="Heading2"/>
        <w:spacing w:line="240" w:lineRule="auto"/>
        <w:ind w:right="0"/>
        <w:jc w:val="left"/>
        <w:rPr>
          <w:b w:val="0"/>
          <w:bCs w:val="0"/>
        </w:rPr>
      </w:pP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12"/>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5"/>
          <w:szCs w:val="25"/>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六、董事会关于报告期会计政策、会计估计变更或重大会计差错更正的说明</w:t>
      </w:r>
      <w:r>
        <w:rPr>
          <w:b w:val="0"/>
          <w:bCs w:val="0"/>
        </w:rPr>
      </w:r>
    </w:p>
    <w:p>
      <w:pPr>
        <w:spacing w:line="240" w:lineRule="auto" w:before="7"/>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94"/>
        <w:jc w:val="left"/>
        <w:rPr>
          <w:b w:val="0"/>
          <w:bCs w:val="0"/>
        </w:rPr>
      </w:pPr>
      <w:r>
        <w:rPr/>
        <w:t>七、与上年度财务报告相比，合并报表范围发生变化的情况说明</w:t>
      </w:r>
      <w:r>
        <w:rPr>
          <w:b w:val="0"/>
          <w:bCs w:val="0"/>
        </w:rPr>
      </w:r>
    </w:p>
    <w:p>
      <w:pPr>
        <w:spacing w:line="240" w:lineRule="auto" w:before="6"/>
        <w:rPr>
          <w:rFonts w:ascii="宋体" w:hAnsi="宋体" w:cs="宋体" w:eastAsia="宋体" w:hint="default"/>
          <w:b/>
          <w:bCs/>
          <w:sz w:val="26"/>
          <w:szCs w:val="26"/>
        </w:rPr>
      </w:pPr>
    </w:p>
    <w:p>
      <w:pPr>
        <w:spacing w:line="319" w:lineRule="auto" w:before="0"/>
        <w:ind w:left="152" w:right="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sz w:val="18"/>
          <w:szCs w:val="18"/>
        </w:rPr>
        <w:t>1</w:t>
      </w:r>
      <w:r>
        <w:rPr>
          <w:rFonts w:ascii="宋体" w:hAnsi="宋体" w:cs="宋体" w:eastAsia="宋体" w:hint="default"/>
          <w:sz w:val="18"/>
          <w:szCs w:val="18"/>
        </w:rPr>
        <w:t>、上海天玑科技股份有限公司</w:t>
      </w:r>
      <w:r>
        <w:rPr>
          <w:rFonts w:ascii="Times New Roman" w:hAnsi="Times New Roman" w:cs="Times New Roman" w:eastAsia="Times New Roman" w:hint="default"/>
          <w:sz w:val="18"/>
          <w:szCs w:val="18"/>
        </w:rPr>
        <w:t>2017</w:t>
      </w:r>
      <w:r>
        <w:rPr>
          <w:rFonts w:ascii="宋体" w:hAnsi="宋体" w:cs="宋体" w:eastAsia="宋体" w:hint="default"/>
          <w:sz w:val="18"/>
          <w:szCs w:val="18"/>
        </w:rPr>
        <w:t>年第二次总经理会议同意，公司与上海嗣承投资管理中心（有限合伙）共同对上海缔塔 科技有限公司进行减资，减资完成后以人民币</w:t>
      </w:r>
      <w:r>
        <w:rPr>
          <w:rFonts w:ascii="Times New Roman" w:hAnsi="Times New Roman" w:cs="Times New Roman" w:eastAsia="Times New Roman" w:hint="default"/>
          <w:sz w:val="18"/>
          <w:szCs w:val="18"/>
        </w:rPr>
        <w:t>1</w:t>
      </w:r>
      <w:r>
        <w:rPr>
          <w:rFonts w:ascii="宋体" w:hAnsi="宋体" w:cs="宋体" w:eastAsia="宋体" w:hint="default"/>
          <w:sz w:val="18"/>
          <w:szCs w:val="18"/>
        </w:rPr>
        <w:t>元将所持有的上海缔塔科技有限公司</w:t>
      </w:r>
      <w:r>
        <w:rPr>
          <w:rFonts w:ascii="Times New Roman" w:hAnsi="Times New Roman" w:cs="Times New Roman" w:eastAsia="Times New Roman" w:hint="default"/>
          <w:sz w:val="18"/>
          <w:szCs w:val="18"/>
        </w:rPr>
        <w:t>60%</w:t>
      </w:r>
      <w:r>
        <w:rPr>
          <w:rFonts w:ascii="宋体" w:hAnsi="宋体" w:cs="宋体" w:eastAsia="宋体" w:hint="default"/>
          <w:sz w:val="18"/>
          <w:szCs w:val="18"/>
        </w:rPr>
        <w:t>的股权转让给上海嗣承投资管理中</w:t>
      </w:r>
    </w:p>
    <w:p>
      <w:pPr>
        <w:spacing w:line="304" w:lineRule="auto" w:before="0"/>
        <w:ind w:left="152" w:right="94" w:firstLine="0"/>
        <w:jc w:val="left"/>
        <w:rPr>
          <w:rFonts w:ascii="宋体" w:hAnsi="宋体" w:cs="宋体" w:eastAsia="宋体" w:hint="default"/>
          <w:sz w:val="18"/>
          <w:szCs w:val="18"/>
        </w:rPr>
      </w:pPr>
      <w:r>
        <w:rPr>
          <w:rFonts w:ascii="宋体" w:hAnsi="宋体" w:cs="宋体" w:eastAsia="宋体" w:hint="default"/>
          <w:spacing w:val="-2"/>
          <w:sz w:val="18"/>
          <w:szCs w:val="18"/>
        </w:rPr>
        <w:t>心（有限合伙）。公司已于</w:t>
      </w: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31</w:t>
      </w:r>
      <w:r>
        <w:rPr>
          <w:rFonts w:ascii="宋体" w:hAnsi="宋体" w:cs="宋体" w:eastAsia="宋体" w:hint="default"/>
          <w:spacing w:val="-2"/>
          <w:sz w:val="18"/>
          <w:szCs w:val="18"/>
        </w:rPr>
        <w:t>日收到上述全部的股权转让款并完成股权交割。故不再并入公司财务报表合并范围。</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Times New Roman" w:hAnsi="Times New Roman" w:cs="Times New Roman" w:eastAsia="Times New Roman" w:hint="default"/>
          <w:sz w:val="18"/>
          <w:szCs w:val="18"/>
        </w:rPr>
        <w:t>2</w:t>
      </w:r>
      <w:r>
        <w:rPr>
          <w:rFonts w:ascii="宋体" w:hAnsi="宋体" w:cs="宋体" w:eastAsia="宋体" w:hint="default"/>
          <w:sz w:val="18"/>
          <w:szCs w:val="18"/>
        </w:rPr>
        <w:t>、上海天玑科技股份有限公司</w:t>
      </w:r>
      <w:r>
        <w:rPr>
          <w:rFonts w:ascii="Times New Roman" w:hAnsi="Times New Roman" w:cs="Times New Roman" w:eastAsia="Times New Roman" w:hint="default"/>
          <w:sz w:val="18"/>
          <w:szCs w:val="18"/>
        </w:rPr>
        <w:t>2017</w:t>
      </w:r>
      <w:r>
        <w:rPr>
          <w:rFonts w:ascii="宋体" w:hAnsi="宋体" w:cs="宋体" w:eastAsia="宋体" w:hint="default"/>
          <w:sz w:val="18"/>
          <w:szCs w:val="18"/>
        </w:rPr>
        <w:t>年第三次总经理会议同意，公司与董涛共同投资设立西安天玑力拓信息技术有限公司， 合资公司注册资本</w:t>
      </w:r>
      <w:r>
        <w:rPr>
          <w:rFonts w:ascii="Times New Roman" w:hAnsi="Times New Roman" w:cs="Times New Roman" w:eastAsia="Times New Roman" w:hint="default"/>
          <w:sz w:val="18"/>
          <w:szCs w:val="18"/>
        </w:rPr>
        <w:t>100</w:t>
      </w:r>
      <w:r>
        <w:rPr>
          <w:rFonts w:ascii="宋体" w:hAnsi="宋体" w:cs="宋体" w:eastAsia="宋体" w:hint="default"/>
          <w:sz w:val="18"/>
          <w:szCs w:val="18"/>
        </w:rPr>
        <w:t>万元，天玑科技以自有资金出资</w:t>
      </w:r>
      <w:r>
        <w:rPr>
          <w:rFonts w:ascii="Times New Roman" w:hAnsi="Times New Roman" w:cs="Times New Roman" w:eastAsia="Times New Roman" w:hint="default"/>
          <w:sz w:val="18"/>
          <w:szCs w:val="18"/>
        </w:rPr>
        <w:t>60</w:t>
      </w:r>
      <w:r>
        <w:rPr>
          <w:rFonts w:ascii="宋体" w:hAnsi="宋体" w:cs="宋体" w:eastAsia="宋体" w:hint="default"/>
          <w:sz w:val="18"/>
          <w:szCs w:val="18"/>
        </w:rPr>
        <w:t>万元，占公司出资比例的</w:t>
      </w:r>
      <w:r>
        <w:rPr>
          <w:rFonts w:ascii="Times New Roman" w:hAnsi="Times New Roman" w:cs="Times New Roman" w:eastAsia="Times New Roman" w:hint="default"/>
          <w:sz w:val="18"/>
          <w:szCs w:val="18"/>
        </w:rPr>
        <w:t>60%</w:t>
      </w:r>
      <w:r>
        <w:rPr>
          <w:rFonts w:ascii="宋体" w:hAnsi="宋体" w:cs="宋体" w:eastAsia="宋体" w:hint="default"/>
          <w:sz w:val="18"/>
          <w:szCs w:val="18"/>
        </w:rPr>
        <w:t>。并于</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日完成工商注册， 为天玑科技控股子公司，故并入公司合并报表范围。 </w:t>
      </w:r>
      <w:r>
        <w:rPr>
          <w:rFonts w:ascii="Times New Roman" w:hAnsi="Times New Roman" w:cs="Times New Roman" w:eastAsia="Times New Roman" w:hint="default"/>
          <w:sz w:val="18"/>
          <w:szCs w:val="18"/>
        </w:rPr>
        <w:t>3</w:t>
      </w:r>
      <w:r>
        <w:rPr>
          <w:rFonts w:ascii="宋体" w:hAnsi="宋体" w:cs="宋体" w:eastAsia="宋体" w:hint="default"/>
          <w:sz w:val="18"/>
          <w:szCs w:val="18"/>
        </w:rPr>
        <w:t>、上海天玑科技股份有限公司第三届董事会第二十四次会议审议通过《关于注销控股子公司上海卓之联信息科技有限公司 的议案》，决定清算并注销控股子公司上海卓之联信息科技有限公司。</w:t>
      </w:r>
    </w:p>
    <w:p>
      <w:pPr>
        <w:spacing w:line="240" w:lineRule="auto" w:before="8"/>
        <w:rPr>
          <w:rFonts w:ascii="宋体" w:hAnsi="宋体" w:cs="宋体" w:eastAsia="宋体" w:hint="default"/>
          <w:sz w:val="21"/>
          <w:szCs w:val="21"/>
        </w:rPr>
      </w:pPr>
    </w:p>
    <w:p>
      <w:pPr>
        <w:pStyle w:val="Heading2"/>
        <w:spacing w:line="240" w:lineRule="auto"/>
        <w:ind w:right="94"/>
        <w:jc w:val="left"/>
        <w:rPr>
          <w:b w:val="0"/>
          <w:bCs w:val="0"/>
        </w:rPr>
      </w:pPr>
      <w:r>
        <w:rPr/>
        <w:t>八、聘任、解聘会计师事务所情况</w:t>
      </w:r>
      <w:r>
        <w:rPr>
          <w:b w:val="0"/>
          <w:bCs w:val="0"/>
        </w:rPr>
      </w:r>
    </w:p>
    <w:p>
      <w:pPr>
        <w:spacing w:line="240" w:lineRule="auto" w:before="6"/>
        <w:rPr>
          <w:rFonts w:ascii="宋体" w:hAnsi="宋体" w:cs="宋体" w:eastAsia="宋体" w:hint="default"/>
          <w:b/>
          <w:bCs/>
          <w:sz w:val="26"/>
          <w:szCs w:val="26"/>
        </w:rPr>
      </w:pPr>
    </w:p>
    <w:p>
      <w:pPr>
        <w:spacing w:before="0"/>
        <w:ind w:left="152" w:right="94" w:firstLine="0"/>
        <w:jc w:val="left"/>
        <w:rPr>
          <w:rFonts w:ascii="宋体" w:hAnsi="宋体" w:cs="宋体" w:eastAsia="宋体" w:hint="default"/>
          <w:sz w:val="18"/>
          <w:szCs w:val="18"/>
        </w:rPr>
      </w:pPr>
      <w:r>
        <w:rPr>
          <w:rFonts w:ascii="宋体" w:hAnsi="宋体" w:cs="宋体" w:eastAsia="宋体" w:hint="default"/>
          <w:sz w:val="18"/>
          <w:szCs w:val="18"/>
        </w:rPr>
        <w:t>现聘任的会计事务所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90"/>
        <w:gridCol w:w="4779"/>
      </w:tblGrid>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w:t>
            </w:r>
          </w:p>
        </w:tc>
      </w:tr>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 w:right="0"/>
              <w:jc w:val="lef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朱育勤、鲍列仑</w:t>
            </w:r>
          </w:p>
        </w:tc>
      </w:tr>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 w:right="0"/>
              <w:jc w:val="left"/>
              <w:rPr>
                <w:rFonts w:ascii="Times New Roman" w:hAnsi="Times New Roman" w:cs="Times New Roman" w:eastAsia="Times New Roman" w:hint="default"/>
                <w:sz w:val="18"/>
                <w:szCs w:val="18"/>
              </w:rPr>
            </w:pPr>
            <w:r>
              <w:rPr>
                <w:rFonts w:ascii="Times New Roman"/>
                <w:sz w:val="18"/>
              </w:rPr>
              <w:t>5</w:t>
            </w:r>
          </w:p>
        </w:tc>
      </w:tr>
    </w:tbl>
    <w:p>
      <w:pPr>
        <w:spacing w:before="49"/>
        <w:ind w:left="152" w:right="94" w:firstLine="0"/>
        <w:jc w:val="left"/>
        <w:rPr>
          <w:rFonts w:ascii="宋体" w:hAnsi="宋体" w:cs="宋体" w:eastAsia="宋体" w:hint="default"/>
          <w:sz w:val="18"/>
          <w:szCs w:val="18"/>
        </w:rPr>
      </w:pPr>
      <w:r>
        <w:rPr>
          <w:rFonts w:ascii="宋体" w:hAnsi="宋体" w:cs="宋体" w:eastAsia="宋体" w:hint="default"/>
          <w:sz w:val="18"/>
          <w:szCs w:val="18"/>
        </w:rPr>
        <w:t>是否改聘会计师事务所</w:t>
      </w:r>
    </w:p>
    <w:p>
      <w:pPr>
        <w:spacing w:line="340" w:lineRule="auto" w:before="115"/>
        <w:ind w:left="152" w:right="53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聘请内部控制审计会计师事务所、财务顾问或保荐人情况</w:t>
      </w:r>
    </w:p>
    <w:p>
      <w:pPr>
        <w:spacing w:line="328" w:lineRule="auto" w:before="41"/>
        <w:ind w:left="152" w:right="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w:t>
      </w:r>
      <w:r>
        <w:rPr>
          <w:rFonts w:ascii="宋体" w:hAnsi="宋体" w:cs="宋体" w:eastAsia="宋体" w:hint="default"/>
          <w:spacing w:val="-2"/>
          <w:sz w:val="18"/>
          <w:szCs w:val="18"/>
        </w:rPr>
        <w:t>公司因非公开发行事项，指定华泰联合有限责任公司为公司保荐机构，本年度完成非公开发行工作并支付保荐机构保荐及承</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销费用</w:t>
      </w:r>
      <w:r>
        <w:rPr>
          <w:rFonts w:ascii="Times New Roman" w:hAnsi="Times New Roman" w:cs="Times New Roman" w:eastAsia="Times New Roman" w:hint="default"/>
          <w:sz w:val="18"/>
          <w:szCs w:val="18"/>
        </w:rPr>
        <w:t>11,919,237.48</w:t>
      </w:r>
      <w:r>
        <w:rPr>
          <w:rFonts w:ascii="宋体" w:hAnsi="宋体" w:cs="宋体" w:eastAsia="宋体" w:hint="default"/>
          <w:sz w:val="18"/>
          <w:szCs w:val="18"/>
        </w:rPr>
        <w:t>元。</w:t>
      </w:r>
    </w:p>
    <w:p>
      <w:pPr>
        <w:spacing w:line="240" w:lineRule="auto" w:before="7"/>
        <w:rPr>
          <w:rFonts w:ascii="宋体" w:hAnsi="宋体" w:cs="宋体" w:eastAsia="宋体" w:hint="default"/>
          <w:sz w:val="18"/>
          <w:szCs w:val="18"/>
        </w:rPr>
      </w:pPr>
    </w:p>
    <w:p>
      <w:pPr>
        <w:pStyle w:val="Heading2"/>
        <w:spacing w:line="240" w:lineRule="auto"/>
        <w:ind w:right="94"/>
        <w:jc w:val="left"/>
        <w:rPr>
          <w:b w:val="0"/>
          <w:bCs w:val="0"/>
        </w:rPr>
      </w:pPr>
      <w:r>
        <w:rPr/>
        <w:t>九、年度报告披露后面临暂停上市和终止上市情况</w:t>
      </w:r>
      <w:r>
        <w:rPr>
          <w:b w:val="0"/>
          <w:bCs w:val="0"/>
        </w:rPr>
      </w:r>
    </w:p>
    <w:p>
      <w:pPr>
        <w:spacing w:line="240" w:lineRule="auto" w:before="6"/>
        <w:rPr>
          <w:rFonts w:ascii="宋体" w:hAnsi="宋体" w:cs="宋体" w:eastAsia="宋体" w:hint="default"/>
          <w:b/>
          <w:bCs/>
          <w:sz w:val="26"/>
          <w:szCs w:val="26"/>
        </w:rPr>
      </w:pPr>
    </w:p>
    <w:p>
      <w:pPr>
        <w:spacing w:before="0"/>
        <w:ind w:left="152" w:right="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94"/>
        <w:jc w:val="left"/>
        <w:rPr>
          <w:b w:val="0"/>
          <w:bCs w:val="0"/>
        </w:rPr>
      </w:pPr>
      <w:r>
        <w:rPr/>
        <w:t>十、破产重整相关事项</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67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公司报告期未发生破产重整相关事项。</w:t>
      </w:r>
    </w:p>
    <w:p>
      <w:pPr>
        <w:spacing w:line="240" w:lineRule="auto" w:before="6"/>
        <w:rPr>
          <w:rFonts w:ascii="宋体" w:hAnsi="宋体" w:cs="宋体" w:eastAsia="宋体" w:hint="default"/>
          <w:sz w:val="19"/>
          <w:szCs w:val="19"/>
        </w:rPr>
      </w:pPr>
    </w:p>
    <w:p>
      <w:pPr>
        <w:pStyle w:val="Heading2"/>
        <w:spacing w:line="240" w:lineRule="auto"/>
        <w:ind w:right="94"/>
        <w:jc w:val="left"/>
        <w:rPr>
          <w:b w:val="0"/>
          <w:bCs w:val="0"/>
        </w:rPr>
      </w:pPr>
      <w:r>
        <w:rPr/>
        <w:t>十一、重大诉讼、仲裁事项</w:t>
      </w:r>
      <w:r>
        <w:rPr>
          <w:b w:val="0"/>
          <w:bCs w:val="0"/>
        </w:rPr>
      </w:r>
    </w:p>
    <w:p>
      <w:pPr>
        <w:spacing w:line="240" w:lineRule="auto" w:before="6"/>
        <w:rPr>
          <w:rFonts w:ascii="宋体" w:hAnsi="宋体" w:cs="宋体" w:eastAsia="宋体" w:hint="default"/>
          <w:b/>
          <w:bCs/>
          <w:sz w:val="26"/>
          <w:szCs w:val="26"/>
        </w:rPr>
      </w:pPr>
    </w:p>
    <w:p>
      <w:pPr>
        <w:spacing w:line="338" w:lineRule="auto" w:before="0"/>
        <w:ind w:left="152" w:right="69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本年度公司无重大诉讼、仲裁事项。</w:t>
      </w:r>
    </w:p>
    <w:p>
      <w:pPr>
        <w:spacing w:after="0" w:line="338" w:lineRule="auto"/>
        <w:jc w:val="left"/>
        <w:rPr>
          <w:rFonts w:ascii="宋体" w:hAnsi="宋体" w:cs="宋体" w:eastAsia="宋体" w:hint="default"/>
          <w:sz w:val="18"/>
          <w:szCs w:val="18"/>
        </w:rPr>
        <w:sectPr>
          <w:pgSz w:w="11910" w:h="16840"/>
          <w:pgMar w:header="745" w:footer="979" w:top="1060" w:bottom="1160" w:left="980" w:right="940"/>
        </w:sectPr>
      </w:pPr>
    </w:p>
    <w:p>
      <w:pPr>
        <w:spacing w:line="240" w:lineRule="auto" w:before="8"/>
        <w:rPr>
          <w:rFonts w:ascii="宋体" w:hAnsi="宋体" w:cs="宋体" w:eastAsia="宋体" w:hint="default"/>
          <w:sz w:val="23"/>
          <w:szCs w:val="23"/>
        </w:rPr>
      </w:pPr>
    </w:p>
    <w:p>
      <w:pPr>
        <w:pStyle w:val="Heading2"/>
        <w:spacing w:line="240" w:lineRule="auto" w:before="26"/>
        <w:ind w:right="94"/>
        <w:jc w:val="left"/>
        <w:rPr>
          <w:b w:val="0"/>
          <w:bCs w:val="0"/>
        </w:rPr>
      </w:pPr>
      <w:r>
        <w:rPr/>
        <w:t>十二、处罚及整改情况</w:t>
      </w:r>
      <w:r>
        <w:rPr>
          <w:b w:val="0"/>
          <w:bCs w:val="0"/>
        </w:rPr>
      </w:r>
    </w:p>
    <w:p>
      <w:pPr>
        <w:spacing w:line="240" w:lineRule="auto" w:before="6"/>
        <w:rPr>
          <w:rFonts w:ascii="宋体" w:hAnsi="宋体" w:cs="宋体" w:eastAsia="宋体" w:hint="default"/>
          <w:b/>
          <w:bCs/>
          <w:sz w:val="26"/>
          <w:szCs w:val="26"/>
        </w:rPr>
      </w:pPr>
    </w:p>
    <w:p>
      <w:pPr>
        <w:spacing w:line="338" w:lineRule="auto" w:before="0"/>
        <w:ind w:left="152" w:right="69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公司报告期不存在处罚及整改情况。</w:t>
      </w:r>
    </w:p>
    <w:p>
      <w:pPr>
        <w:spacing w:line="240" w:lineRule="auto" w:before="8"/>
        <w:rPr>
          <w:rFonts w:ascii="宋体" w:hAnsi="宋体" w:cs="宋体" w:eastAsia="宋体" w:hint="default"/>
          <w:sz w:val="19"/>
          <w:szCs w:val="19"/>
        </w:rPr>
      </w:pPr>
    </w:p>
    <w:p>
      <w:pPr>
        <w:pStyle w:val="Heading2"/>
        <w:spacing w:line="240" w:lineRule="auto"/>
        <w:ind w:right="94"/>
        <w:jc w:val="left"/>
        <w:rPr>
          <w:b w:val="0"/>
          <w:bCs w:val="0"/>
        </w:rPr>
      </w:pPr>
      <w:r>
        <w:rPr/>
        <w:t>十三、公司及其控股股东、实际控制人的诚信状况</w:t>
      </w:r>
      <w:r>
        <w:rPr>
          <w:b w:val="0"/>
          <w:bCs w:val="0"/>
        </w:rPr>
      </w:r>
    </w:p>
    <w:p>
      <w:pPr>
        <w:spacing w:line="240" w:lineRule="auto" w:before="6"/>
        <w:rPr>
          <w:rFonts w:ascii="宋体" w:hAnsi="宋体" w:cs="宋体" w:eastAsia="宋体" w:hint="default"/>
          <w:b/>
          <w:bCs/>
          <w:sz w:val="26"/>
          <w:szCs w:val="26"/>
        </w:rPr>
      </w:pPr>
    </w:p>
    <w:p>
      <w:pPr>
        <w:spacing w:before="0"/>
        <w:ind w:left="152" w:right="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94"/>
        <w:jc w:val="left"/>
        <w:rPr>
          <w:b w:val="0"/>
          <w:bCs w:val="0"/>
        </w:rPr>
      </w:pPr>
      <w:r>
        <w:rPr/>
        <w:t>十四、公司股权激励计划、员工持股计划或其他员工激励措施的实施情况</w:t>
      </w:r>
      <w:r>
        <w:rPr>
          <w:b w:val="0"/>
          <w:bCs w:val="0"/>
        </w:rPr>
      </w:r>
    </w:p>
    <w:p>
      <w:pPr>
        <w:spacing w:line="240" w:lineRule="auto" w:before="7"/>
        <w:rPr>
          <w:rFonts w:ascii="宋体" w:hAnsi="宋体" w:cs="宋体" w:eastAsia="宋体" w:hint="default"/>
          <w:b/>
          <w:bCs/>
          <w:sz w:val="26"/>
          <w:szCs w:val="26"/>
        </w:rPr>
      </w:pPr>
    </w:p>
    <w:p>
      <w:pPr>
        <w:spacing w:line="319" w:lineRule="auto" w:before="0"/>
        <w:ind w:left="152" w:right="94"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24</w:t>
      </w:r>
      <w:r>
        <w:rPr>
          <w:rFonts w:ascii="宋体" w:hAnsi="宋体" w:cs="宋体" w:eastAsia="宋体" w:hint="default"/>
          <w:spacing w:val="-2"/>
          <w:sz w:val="18"/>
          <w:szCs w:val="18"/>
        </w:rPr>
        <w:t>日，公司召开第三届董事会第十四次临时会议，审议通过了《关于回购注销已不符合激励条件的激励对象已</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pacing w:val="-2"/>
          <w:sz w:val="18"/>
          <w:szCs w:val="18"/>
        </w:rPr>
        <w:t>获授但尚未解锁的限制性股票的议案》，公司</w:t>
      </w:r>
      <w:r>
        <w:rPr>
          <w:rFonts w:ascii="Times New Roman" w:hAnsi="Times New Roman" w:cs="Times New Roman" w:eastAsia="Times New Roman" w:hint="default"/>
          <w:spacing w:val="-2"/>
          <w:sz w:val="18"/>
          <w:szCs w:val="18"/>
        </w:rPr>
        <w:t>2016</w:t>
      </w:r>
      <w:r>
        <w:rPr>
          <w:rFonts w:ascii="宋体" w:hAnsi="宋体" w:cs="宋体" w:eastAsia="宋体" w:hint="default"/>
          <w:spacing w:val="-2"/>
          <w:sz w:val="18"/>
          <w:szCs w:val="18"/>
        </w:rPr>
        <w:t>年限制性股票原授予的激励对象黄小云、雷潍、沈星、肖文清、余彬等</w:t>
      </w:r>
      <w:r>
        <w:rPr>
          <w:rFonts w:ascii="Times New Roman" w:hAnsi="Times New Roman" w:cs="Times New Roman" w:eastAsia="Times New Roman" w:hint="default"/>
          <w:spacing w:val="-2"/>
          <w:sz w:val="18"/>
          <w:szCs w:val="18"/>
        </w:rPr>
        <w:t>16</w:t>
      </w:r>
      <w:r>
        <w:rPr>
          <w:rFonts w:ascii="Times New Roman" w:hAnsi="Times New Roman" w:cs="Times New Roman" w:eastAsia="Times New Roman" w:hint="default"/>
          <w:sz w:val="18"/>
          <w:szCs w:val="18"/>
        </w:rPr>
      </w:r>
    </w:p>
    <w:p>
      <w:pPr>
        <w:spacing w:line="302" w:lineRule="auto" w:before="0"/>
        <w:ind w:left="152" w:right="179" w:firstLine="0"/>
        <w:jc w:val="left"/>
        <w:rPr>
          <w:rFonts w:ascii="宋体" w:hAnsi="宋体" w:cs="宋体" w:eastAsia="宋体" w:hint="default"/>
          <w:sz w:val="18"/>
          <w:szCs w:val="18"/>
        </w:rPr>
      </w:pPr>
      <w:r>
        <w:rPr>
          <w:rFonts w:ascii="宋体" w:hAnsi="宋体" w:cs="宋体" w:eastAsia="宋体" w:hint="default"/>
          <w:spacing w:val="-2"/>
          <w:sz w:val="18"/>
          <w:szCs w:val="18"/>
        </w:rPr>
        <w:t>人已离职，且已办理完毕离职手续。根据《上市公司股权激励管理办法》、《上海天玑科技股份有限公司</w:t>
      </w:r>
      <w:r>
        <w:rPr>
          <w:rFonts w:ascii="Times New Roman" w:hAnsi="Times New Roman" w:cs="Times New Roman" w:eastAsia="Times New Roman" w:hint="default"/>
          <w:spacing w:val="-2"/>
          <w:sz w:val="18"/>
          <w:szCs w:val="18"/>
        </w:rPr>
        <w:t>2016</w:t>
      </w:r>
      <w:r>
        <w:rPr>
          <w:rFonts w:ascii="宋体" w:hAnsi="宋体" w:cs="宋体" w:eastAsia="宋体" w:hint="default"/>
          <w:spacing w:val="-2"/>
          <w:sz w:val="18"/>
          <w:szCs w:val="18"/>
        </w:rPr>
        <w:t>年限制性股票</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激励计划（草案）》等有关法律、法规和规范性文件以及《公司章程》的规定，上述</w:t>
      </w:r>
      <w:r>
        <w:rPr>
          <w:rFonts w:ascii="Times New Roman" w:hAnsi="Times New Roman" w:cs="Times New Roman" w:eastAsia="Times New Roman" w:hint="default"/>
          <w:spacing w:val="-2"/>
          <w:sz w:val="18"/>
          <w:szCs w:val="18"/>
        </w:rPr>
        <w:t>16</w:t>
      </w:r>
      <w:r>
        <w:rPr>
          <w:rFonts w:ascii="宋体" w:hAnsi="宋体" w:cs="宋体" w:eastAsia="宋体" w:hint="default"/>
          <w:spacing w:val="-2"/>
          <w:sz w:val="18"/>
          <w:szCs w:val="18"/>
        </w:rPr>
        <w:t>人已不符合股权激励对象的条件，现</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对其持有的已获授但尚未解锁的共计</w:t>
      </w:r>
      <w:r>
        <w:rPr>
          <w:rFonts w:ascii="Times New Roman" w:hAnsi="Times New Roman" w:cs="Times New Roman" w:eastAsia="Times New Roman" w:hint="default"/>
          <w:sz w:val="18"/>
          <w:szCs w:val="18"/>
        </w:rPr>
        <w:t>1,104,000</w:t>
      </w:r>
      <w:r>
        <w:rPr>
          <w:rFonts w:ascii="宋体" w:hAnsi="宋体" w:cs="宋体" w:eastAsia="宋体" w:hint="default"/>
          <w:sz w:val="18"/>
          <w:szCs w:val="18"/>
        </w:rPr>
        <w:t>股限制性股票进行回购注销。回购价格为</w:t>
      </w:r>
      <w:r>
        <w:rPr>
          <w:rFonts w:ascii="Times New Roman" w:hAnsi="Times New Roman" w:cs="Times New Roman" w:eastAsia="Times New Roman" w:hint="default"/>
          <w:sz w:val="18"/>
          <w:szCs w:val="18"/>
        </w:rPr>
        <w:t>10.8259</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股（回购价格依据《股权 </w:t>
      </w:r>
      <w:r>
        <w:rPr>
          <w:rFonts w:ascii="宋体" w:hAnsi="宋体" w:cs="宋体" w:eastAsia="宋体" w:hint="default"/>
          <w:spacing w:val="-2"/>
          <w:sz w:val="18"/>
          <w:szCs w:val="18"/>
        </w:rPr>
        <w:t>激励计划》及公司</w:t>
      </w: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年度权益分派方案进行相应调整）。同日，公司召开第三届监事会第十五次临时会议，监事会审核认</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为董事会本次关于回购注销部分限制性股票的程序符合相关规定，合法有效。 公司上述限制性股票的注销事宜已经于</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日完成。 </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19</w:t>
      </w:r>
      <w:r>
        <w:rPr>
          <w:rFonts w:ascii="宋体" w:hAnsi="宋体" w:cs="宋体" w:eastAsia="宋体" w:hint="default"/>
          <w:spacing w:val="-2"/>
          <w:sz w:val="18"/>
          <w:szCs w:val="18"/>
        </w:rPr>
        <w:t>日，公司召开第三届董事会第十六次会议，审议通过了《关于回购注销未达到</w:t>
      </w:r>
      <w:r>
        <w:rPr>
          <w:rFonts w:ascii="Times New Roman" w:hAnsi="Times New Roman" w:cs="Times New Roman" w:eastAsia="Times New Roman" w:hint="default"/>
          <w:spacing w:val="-2"/>
          <w:sz w:val="18"/>
          <w:szCs w:val="18"/>
        </w:rPr>
        <w:t>2016</w:t>
      </w:r>
      <w:r>
        <w:rPr>
          <w:rFonts w:ascii="宋体" w:hAnsi="宋体" w:cs="宋体" w:eastAsia="宋体" w:hint="default"/>
          <w:spacing w:val="-2"/>
          <w:sz w:val="18"/>
          <w:szCs w:val="18"/>
        </w:rPr>
        <w:t>年限制性股票激励计划规</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2"/>
          <w:sz w:val="18"/>
          <w:szCs w:val="18"/>
        </w:rPr>
        <w:t>定第一期解锁条件已授予未解锁的限制性股票的议案》，因公司</w:t>
      </w:r>
      <w:r>
        <w:rPr>
          <w:rFonts w:ascii="Times New Roman" w:hAnsi="Times New Roman" w:cs="Times New Roman" w:eastAsia="Times New Roman" w:hint="default"/>
          <w:spacing w:val="-2"/>
          <w:sz w:val="18"/>
          <w:szCs w:val="18"/>
        </w:rPr>
        <w:t>2016</w:t>
      </w:r>
      <w:r>
        <w:rPr>
          <w:rFonts w:ascii="宋体" w:hAnsi="宋体" w:cs="宋体" w:eastAsia="宋体" w:hint="default"/>
          <w:spacing w:val="-2"/>
          <w:sz w:val="18"/>
          <w:szCs w:val="18"/>
        </w:rPr>
        <w:t>年度业绩未达到</w:t>
      </w:r>
      <w:r>
        <w:rPr>
          <w:rFonts w:ascii="Times New Roman" w:hAnsi="Times New Roman" w:cs="Times New Roman" w:eastAsia="Times New Roman" w:hint="default"/>
          <w:spacing w:val="-2"/>
          <w:sz w:val="18"/>
          <w:szCs w:val="18"/>
        </w:rPr>
        <w:t>2016</w:t>
      </w:r>
      <w:r>
        <w:rPr>
          <w:rFonts w:ascii="宋体" w:hAnsi="宋体" w:cs="宋体" w:eastAsia="宋体" w:hint="default"/>
          <w:spacing w:val="-2"/>
          <w:sz w:val="18"/>
          <w:szCs w:val="18"/>
        </w:rPr>
        <w:t>年限制性股票激励计划规定的第一</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pacing w:val="-2"/>
          <w:sz w:val="18"/>
          <w:szCs w:val="18"/>
        </w:rPr>
        <w:t>期限制性股票的解锁条件，根据《上市公司股权激励管理办法》、《上海天玑科技股份有限公司</w:t>
      </w:r>
      <w:r>
        <w:rPr>
          <w:rFonts w:ascii="Times New Roman" w:hAnsi="Times New Roman" w:cs="Times New Roman" w:eastAsia="Times New Roman" w:hint="default"/>
          <w:spacing w:val="-2"/>
          <w:sz w:val="18"/>
          <w:szCs w:val="18"/>
        </w:rPr>
        <w:t>2016</w:t>
      </w:r>
      <w:r>
        <w:rPr>
          <w:rFonts w:ascii="宋体" w:hAnsi="宋体" w:cs="宋体" w:eastAsia="宋体" w:hint="default"/>
          <w:spacing w:val="-2"/>
          <w:sz w:val="18"/>
          <w:szCs w:val="18"/>
        </w:rPr>
        <w:t>年限制性股票激励计划</w:t>
      </w:r>
    </w:p>
    <w:p>
      <w:pPr>
        <w:spacing w:line="300" w:lineRule="auto" w:before="11"/>
        <w:ind w:left="152" w:right="94" w:firstLine="0"/>
        <w:jc w:val="left"/>
        <w:rPr>
          <w:rFonts w:ascii="宋体" w:hAnsi="宋体" w:cs="宋体" w:eastAsia="宋体" w:hint="default"/>
          <w:sz w:val="18"/>
          <w:szCs w:val="18"/>
        </w:rPr>
      </w:pPr>
      <w:r>
        <w:rPr>
          <w:rFonts w:ascii="宋体" w:hAnsi="宋体" w:cs="宋体" w:eastAsia="宋体" w:hint="default"/>
          <w:spacing w:val="-2"/>
          <w:sz w:val="18"/>
          <w:szCs w:val="18"/>
        </w:rPr>
        <w:t>（草案）》等有关法律、法规和规范性文件以及《公司章程》的规定，公司董事会一致同意将未达到</w:t>
      </w:r>
      <w:r>
        <w:rPr>
          <w:rFonts w:ascii="Times New Roman" w:hAnsi="Times New Roman" w:cs="Times New Roman" w:eastAsia="Times New Roman" w:hint="default"/>
          <w:spacing w:val="-2"/>
          <w:sz w:val="18"/>
          <w:szCs w:val="18"/>
        </w:rPr>
        <w:t>2016</w:t>
      </w:r>
      <w:r>
        <w:rPr>
          <w:rFonts w:ascii="宋体" w:hAnsi="宋体" w:cs="宋体" w:eastAsia="宋体" w:hint="default"/>
          <w:spacing w:val="-2"/>
          <w:sz w:val="18"/>
          <w:szCs w:val="18"/>
        </w:rPr>
        <w:t>年限制性股票激励</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计划规定的第一期解锁条件已授予未解锁的限制性股票</w:t>
      </w:r>
      <w:r>
        <w:rPr>
          <w:rFonts w:ascii="Times New Roman" w:hAnsi="Times New Roman" w:cs="Times New Roman" w:eastAsia="Times New Roman" w:hint="default"/>
          <w:sz w:val="18"/>
          <w:szCs w:val="18"/>
        </w:rPr>
        <w:t>2,454,400</w:t>
      </w:r>
      <w:r>
        <w:rPr>
          <w:rFonts w:ascii="宋体" w:hAnsi="宋体" w:cs="宋体" w:eastAsia="宋体" w:hint="default"/>
          <w:sz w:val="18"/>
          <w:szCs w:val="18"/>
        </w:rPr>
        <w:t>股进行回购注销，共计</w:t>
      </w:r>
      <w:r>
        <w:rPr>
          <w:rFonts w:ascii="Times New Roman" w:hAnsi="Times New Roman" w:cs="Times New Roman" w:eastAsia="Times New Roman" w:hint="default"/>
          <w:sz w:val="18"/>
          <w:szCs w:val="18"/>
        </w:rPr>
        <w:t>135</w:t>
      </w:r>
      <w:r>
        <w:rPr>
          <w:rFonts w:ascii="宋体" w:hAnsi="宋体" w:cs="宋体" w:eastAsia="宋体" w:hint="default"/>
          <w:sz w:val="18"/>
          <w:szCs w:val="18"/>
        </w:rPr>
        <w:t>名激励对象。其中激励对象杨凯 因其股权激励授予日期为</w:t>
      </w: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日，故其回购价格为授予价格即</w:t>
      </w:r>
      <w:r>
        <w:rPr>
          <w:rFonts w:ascii="Times New Roman" w:hAnsi="Times New Roman" w:cs="Times New Roman" w:eastAsia="Times New Roman" w:hint="default"/>
          <w:sz w:val="18"/>
          <w:szCs w:val="18"/>
        </w:rPr>
        <w:t>10.83</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股；其余</w:t>
      </w:r>
      <w:r>
        <w:rPr>
          <w:rFonts w:ascii="Times New Roman" w:hAnsi="Times New Roman" w:cs="Times New Roman" w:eastAsia="Times New Roman" w:hint="default"/>
          <w:sz w:val="18"/>
          <w:szCs w:val="18"/>
        </w:rPr>
        <w:t>134</w:t>
      </w:r>
      <w:r>
        <w:rPr>
          <w:rFonts w:ascii="宋体" w:hAnsi="宋体" w:cs="宋体" w:eastAsia="宋体" w:hint="default"/>
          <w:sz w:val="18"/>
          <w:szCs w:val="18"/>
        </w:rPr>
        <w:t>名激励对象股权激励授予日期为 </w:t>
      </w:r>
      <w:r>
        <w:rPr>
          <w:rFonts w:ascii="Times New Roman" w:hAnsi="Times New Roman" w:cs="Times New Roman" w:eastAsia="Times New Roman" w:hint="default"/>
          <w:spacing w:val="-3"/>
          <w:sz w:val="18"/>
          <w:szCs w:val="18"/>
        </w:rPr>
        <w:t>2016</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22</w:t>
      </w:r>
      <w:r>
        <w:rPr>
          <w:rFonts w:ascii="宋体" w:hAnsi="宋体" w:cs="宋体" w:eastAsia="宋体" w:hint="default"/>
          <w:spacing w:val="-3"/>
          <w:sz w:val="18"/>
          <w:szCs w:val="18"/>
        </w:rPr>
        <w:t>日，故回购价格为</w:t>
      </w:r>
      <w:r>
        <w:rPr>
          <w:rFonts w:ascii="Times New Roman" w:hAnsi="Times New Roman" w:cs="Times New Roman" w:eastAsia="Times New Roman" w:hint="default"/>
          <w:spacing w:val="-3"/>
          <w:sz w:val="18"/>
          <w:szCs w:val="18"/>
        </w:rPr>
        <w:t>10.8259</w:t>
      </w:r>
      <w:r>
        <w:rPr>
          <w:rFonts w:ascii="宋体" w:hAnsi="宋体" w:cs="宋体" w:eastAsia="宋体" w:hint="default"/>
          <w:spacing w:val="-3"/>
          <w:sz w:val="18"/>
          <w:szCs w:val="18"/>
        </w:rPr>
        <w:t>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股（回购价格依据《股权激励计划》及公司</w:t>
      </w:r>
      <w:r>
        <w:rPr>
          <w:rFonts w:ascii="Times New Roman" w:hAnsi="Times New Roman" w:cs="Times New Roman" w:eastAsia="Times New Roman" w:hint="default"/>
          <w:spacing w:val="-3"/>
          <w:sz w:val="18"/>
          <w:szCs w:val="18"/>
        </w:rPr>
        <w:t>2015</w:t>
      </w:r>
      <w:r>
        <w:rPr>
          <w:rFonts w:ascii="宋体" w:hAnsi="宋体" w:cs="宋体" w:eastAsia="宋体" w:hint="default"/>
          <w:spacing w:val="-3"/>
          <w:sz w:val="18"/>
          <w:szCs w:val="18"/>
        </w:rPr>
        <w:t>年度权益分派方案进行相应调整）。</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公司上述限制性股票的注销事宜已经于</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9</w:t>
      </w:r>
      <w:r>
        <w:rPr>
          <w:rFonts w:ascii="宋体" w:hAnsi="宋体" w:cs="宋体" w:eastAsia="宋体" w:hint="default"/>
          <w:sz w:val="18"/>
          <w:szCs w:val="18"/>
        </w:rPr>
        <w:t>日完成。</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4"/>
          <w:szCs w:val="14"/>
        </w:rPr>
      </w:pPr>
    </w:p>
    <w:p>
      <w:pPr>
        <w:pStyle w:val="Heading2"/>
        <w:spacing w:line="240" w:lineRule="auto"/>
        <w:ind w:right="94"/>
        <w:jc w:val="left"/>
        <w:rPr>
          <w:b w:val="0"/>
          <w:bCs w:val="0"/>
        </w:rPr>
      </w:pPr>
      <w:r>
        <w:rPr/>
        <w:t>十五、重大关联交易</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4"/>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4"/>
        <w:rPr>
          <w:rFonts w:ascii="宋体" w:hAnsi="宋体" w:cs="宋体" w:eastAsia="宋体" w:hint="default"/>
          <w:b/>
          <w:bCs/>
          <w:sz w:val="26"/>
          <w:szCs w:val="26"/>
        </w:rPr>
      </w:pPr>
    </w:p>
    <w:p>
      <w:pPr>
        <w:spacing w:before="0"/>
        <w:ind w:left="152" w:right="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800"/>
        <w:gridCol w:w="677"/>
        <w:gridCol w:w="677"/>
        <w:gridCol w:w="704"/>
        <w:gridCol w:w="679"/>
        <w:gridCol w:w="674"/>
        <w:gridCol w:w="674"/>
        <w:gridCol w:w="675"/>
        <w:gridCol w:w="674"/>
        <w:gridCol w:w="674"/>
        <w:gridCol w:w="672"/>
        <w:gridCol w:w="675"/>
        <w:gridCol w:w="670"/>
        <w:gridCol w:w="646"/>
      </w:tblGrid>
      <w:tr>
        <w:trPr>
          <w:trHeight w:val="1337"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05" w:right="32" w:hanging="270"/>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4" w:right="60"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64" w:right="60"/>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76" w:right="75"/>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4" w:right="62"/>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62" w:right="60"/>
              <w:jc w:val="left"/>
              <w:rPr>
                <w:rFonts w:ascii="宋体" w:hAnsi="宋体" w:cs="宋体" w:eastAsia="宋体" w:hint="default"/>
                <w:sz w:val="18"/>
                <w:szCs w:val="18"/>
              </w:rPr>
            </w:pPr>
            <w:r>
              <w:rPr>
                <w:rFonts w:ascii="宋体" w:hAnsi="宋体" w:cs="宋体" w:eastAsia="宋体" w:hint="default"/>
                <w:sz w:val="18"/>
                <w:szCs w:val="18"/>
              </w:rPr>
              <w:t>关联交 易价格</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2" w:right="60"/>
              <w:jc w:val="left"/>
              <w:rPr>
                <w:rFonts w:ascii="宋体" w:hAnsi="宋体" w:cs="宋体" w:eastAsia="宋体" w:hint="default"/>
                <w:sz w:val="18"/>
                <w:szCs w:val="18"/>
              </w:rPr>
            </w:pPr>
            <w:r>
              <w:rPr>
                <w:rFonts w:ascii="宋体" w:hAnsi="宋体" w:cs="宋体" w:eastAsia="宋体" w:hint="default"/>
                <w:sz w:val="18"/>
                <w:szCs w:val="18"/>
              </w:rPr>
              <w:t>关联交 易金额</w:t>
            </w:r>
          </w:p>
          <w:p>
            <w:pPr>
              <w:pStyle w:val="TableParagraph"/>
              <w:spacing w:line="316" w:lineRule="auto" w:before="19"/>
              <w:ind w:left="151" w:right="151"/>
              <w:jc w:val="left"/>
              <w:rPr>
                <w:rFonts w:ascii="宋体" w:hAnsi="宋体" w:cs="宋体" w:eastAsia="宋体" w:hint="default"/>
                <w:sz w:val="18"/>
                <w:szCs w:val="18"/>
              </w:rPr>
            </w:pPr>
            <w:r>
              <w:rPr>
                <w:rFonts w:ascii="宋体" w:hAnsi="宋体" w:cs="宋体" w:eastAsia="宋体" w:hint="default"/>
                <w:sz w:val="18"/>
                <w:szCs w:val="18"/>
              </w:rPr>
              <w:t>（万 元）</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2" w:right="60"/>
              <w:jc w:val="center"/>
              <w:rPr>
                <w:rFonts w:ascii="宋体" w:hAnsi="宋体" w:cs="宋体" w:eastAsia="宋体" w:hint="default"/>
                <w:sz w:val="18"/>
                <w:szCs w:val="18"/>
              </w:rPr>
            </w:pPr>
            <w:r>
              <w:rPr>
                <w:rFonts w:ascii="宋体" w:hAnsi="宋体" w:cs="宋体" w:eastAsia="宋体" w:hint="default"/>
                <w:sz w:val="18"/>
                <w:szCs w:val="18"/>
              </w:rPr>
              <w:t>占同类 交易金 额的比 例</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2" w:right="60"/>
              <w:jc w:val="both"/>
              <w:rPr>
                <w:rFonts w:ascii="宋体" w:hAnsi="宋体" w:cs="宋体" w:eastAsia="宋体" w:hint="default"/>
                <w:sz w:val="18"/>
                <w:szCs w:val="18"/>
              </w:rPr>
            </w:pPr>
            <w:r>
              <w:rPr>
                <w:rFonts w:ascii="宋体" w:hAnsi="宋体" w:cs="宋体" w:eastAsia="宋体" w:hint="default"/>
                <w:sz w:val="18"/>
                <w:szCs w:val="18"/>
              </w:rPr>
              <w:t>获批的 交易额 度（万 元）</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2" w:right="60"/>
              <w:jc w:val="both"/>
              <w:rPr>
                <w:rFonts w:ascii="宋体" w:hAnsi="宋体" w:cs="宋体" w:eastAsia="宋体" w:hint="default"/>
                <w:sz w:val="18"/>
                <w:szCs w:val="18"/>
              </w:rPr>
            </w:pPr>
            <w:r>
              <w:rPr>
                <w:rFonts w:ascii="宋体" w:hAnsi="宋体" w:cs="宋体" w:eastAsia="宋体" w:hint="default"/>
                <w:sz w:val="18"/>
                <w:szCs w:val="18"/>
              </w:rPr>
              <w:t>是否超 过获批 额度</w:t>
            </w:r>
          </w:p>
        </w:tc>
        <w:tc>
          <w:tcPr>
            <w:tcW w:w="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2" w:right="59"/>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2" w:right="62"/>
              <w:jc w:val="center"/>
              <w:rPr>
                <w:rFonts w:ascii="宋体" w:hAnsi="宋体" w:cs="宋体" w:eastAsia="宋体" w:hint="default"/>
                <w:sz w:val="18"/>
                <w:szCs w:val="18"/>
              </w:rPr>
            </w:pPr>
            <w:r>
              <w:rPr>
                <w:rFonts w:ascii="宋体" w:hAnsi="宋体" w:cs="宋体" w:eastAsia="宋体" w:hint="default"/>
                <w:sz w:val="18"/>
                <w:szCs w:val="18"/>
              </w:rPr>
              <w:t>可获得 的同类 交易市 价</w:t>
            </w:r>
          </w:p>
        </w:tc>
        <w:tc>
          <w:tcPr>
            <w:tcW w:w="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9" w:right="59"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27" w:right="47"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1340"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43"/>
              <w:jc w:val="both"/>
              <w:rPr>
                <w:rFonts w:ascii="宋体" w:hAnsi="宋体" w:cs="宋体" w:eastAsia="宋体" w:hint="default"/>
                <w:sz w:val="18"/>
                <w:szCs w:val="18"/>
              </w:rPr>
            </w:pPr>
            <w:r>
              <w:rPr>
                <w:rFonts w:ascii="宋体" w:hAnsi="宋体" w:cs="宋体" w:eastAsia="宋体" w:hint="default"/>
                <w:sz w:val="18"/>
                <w:szCs w:val="18"/>
              </w:rPr>
              <w:t>上海复深 蓝软件股 份有限公 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23" w:right="101"/>
              <w:jc w:val="both"/>
              <w:rPr>
                <w:rFonts w:ascii="宋体" w:hAnsi="宋体" w:cs="宋体" w:eastAsia="宋体" w:hint="default"/>
                <w:sz w:val="18"/>
                <w:szCs w:val="18"/>
              </w:rPr>
            </w:pPr>
            <w:r>
              <w:rPr>
                <w:rFonts w:ascii="宋体" w:hAnsi="宋体" w:cs="宋体" w:eastAsia="宋体" w:hint="default"/>
                <w:sz w:val="18"/>
                <w:szCs w:val="18"/>
              </w:rPr>
              <w:t>公司董 事杜力 耘先生 在关联</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24" w:right="101"/>
              <w:jc w:val="both"/>
              <w:rPr>
                <w:rFonts w:ascii="宋体" w:hAnsi="宋体" w:cs="宋体" w:eastAsia="宋体" w:hint="default"/>
                <w:sz w:val="18"/>
                <w:szCs w:val="18"/>
              </w:rPr>
            </w:pPr>
            <w:r>
              <w:rPr>
                <w:rFonts w:ascii="宋体" w:hAnsi="宋体" w:cs="宋体" w:eastAsia="宋体" w:hint="default"/>
                <w:sz w:val="18"/>
                <w:szCs w:val="18"/>
              </w:rPr>
              <w:t>向关联 人购买 商品或 接受劳</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23" w:right="128"/>
              <w:jc w:val="both"/>
              <w:rPr>
                <w:rFonts w:ascii="宋体" w:hAnsi="宋体" w:cs="宋体" w:eastAsia="宋体" w:hint="default"/>
                <w:sz w:val="18"/>
                <w:szCs w:val="18"/>
              </w:rPr>
            </w:pPr>
            <w:r>
              <w:rPr>
                <w:rFonts w:ascii="宋体" w:hAnsi="宋体" w:cs="宋体" w:eastAsia="宋体" w:hint="default"/>
                <w:sz w:val="18"/>
                <w:szCs w:val="18"/>
              </w:rPr>
              <w:t>向关联 人购买 商品或 接受劳</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3" w:right="98"/>
              <w:jc w:val="both"/>
              <w:rPr>
                <w:rFonts w:ascii="宋体" w:hAnsi="宋体" w:cs="宋体" w:eastAsia="宋体" w:hint="default"/>
                <w:sz w:val="18"/>
                <w:szCs w:val="18"/>
              </w:rPr>
            </w:pPr>
            <w:r>
              <w:rPr>
                <w:rFonts w:ascii="宋体" w:hAnsi="宋体" w:cs="宋体" w:eastAsia="宋体" w:hint="default"/>
                <w:sz w:val="18"/>
                <w:szCs w:val="18"/>
              </w:rPr>
              <w:t>参照非 关联方 报价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1,753.0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675"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3,000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3" w:right="96"/>
              <w:jc w:val="left"/>
              <w:rPr>
                <w:rFonts w:ascii="宋体" w:hAnsi="宋体" w:cs="宋体" w:eastAsia="宋体" w:hint="default"/>
                <w:sz w:val="18"/>
                <w:szCs w:val="18"/>
              </w:rPr>
            </w:pPr>
            <w:r>
              <w:rPr>
                <w:rFonts w:ascii="宋体" w:hAnsi="宋体" w:cs="宋体" w:eastAsia="宋体" w:hint="default"/>
                <w:sz w:val="18"/>
                <w:szCs w:val="18"/>
              </w:rPr>
              <w:t>货币资 金结算</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1,753.0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9</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48"/>
              <w:jc w:val="left"/>
              <w:rPr>
                <w:rFonts w:ascii="Times New Roman" w:hAnsi="Times New Roman" w:cs="Times New Roman" w:eastAsia="Times New Roman" w:hint="default"/>
                <w:sz w:val="18"/>
                <w:szCs w:val="18"/>
              </w:rPr>
            </w:pPr>
            <w:hyperlink r:id="rId17">
              <w:r>
                <w:rPr>
                  <w:rFonts w:ascii="Times New Roman"/>
                  <w:sz w:val="18"/>
                </w:rPr>
                <w:t>http://w</w:t>
              </w:r>
            </w:hyperlink>
            <w:r>
              <w:rPr>
                <w:rFonts w:ascii="Times New Roman"/>
                <w:w w:val="99"/>
                <w:sz w:val="18"/>
              </w:rPr>
              <w:t> </w:t>
            </w:r>
            <w:r>
              <w:rPr>
                <w:rFonts w:ascii="Times New Roman"/>
                <w:spacing w:val="-3"/>
                <w:sz w:val="18"/>
              </w:rPr>
              <w:t>ww.cni</w:t>
            </w:r>
            <w:r>
              <w:rPr>
                <w:rFonts w:ascii="Times New Roman"/>
                <w:spacing w:val="-42"/>
                <w:sz w:val="18"/>
              </w:rPr>
              <w:t> </w:t>
            </w:r>
            <w:r>
              <w:rPr>
                <w:rFonts w:ascii="Times New Roman"/>
                <w:spacing w:val="-42"/>
                <w:sz w:val="18"/>
              </w:rPr>
            </w:r>
            <w:r>
              <w:rPr>
                <w:rFonts w:ascii="Times New Roman"/>
                <w:sz w:val="18"/>
              </w:rPr>
              <w:t>nfo.co</w:t>
            </w:r>
            <w:r>
              <w:rPr>
                <w:rFonts w:ascii="Times New Roman"/>
                <w:sz w:val="18"/>
              </w:rPr>
              <w:t> m.cn</w:t>
            </w:r>
          </w:p>
        </w:tc>
      </w:tr>
    </w:tbl>
    <w:p>
      <w:pPr>
        <w:spacing w:after="0" w:line="362" w:lineRule="auto"/>
        <w:jc w:val="left"/>
        <w:rPr>
          <w:rFonts w:ascii="Times New Roman" w:hAnsi="Times New Roman" w:cs="Times New Roman" w:eastAsia="Times New Roman" w:hint="default"/>
          <w:sz w:val="18"/>
          <w:szCs w:val="18"/>
        </w:rPr>
        <w:sectPr>
          <w:pgSz w:w="11910" w:h="16840"/>
          <w:pgMar w:header="745" w:footer="979" w:top="1060" w:bottom="1160" w:left="980" w:right="940"/>
        </w:sectPr>
      </w:pPr>
    </w:p>
    <w:p>
      <w:pPr>
        <w:spacing w:line="240" w:lineRule="auto" w:before="6"/>
        <w:rPr>
          <w:rFonts w:ascii="宋体" w:hAnsi="宋体" w:cs="宋体" w:eastAsia="宋体" w:hint="default"/>
          <w:sz w:val="28"/>
          <w:szCs w:val="28"/>
        </w:rPr>
      </w:pPr>
      <w:r>
        <w:rPr/>
        <w:pict>
          <v:group style="position:absolute;margin-left:199.850006pt;margin-top:72.47998pt;width:33.5pt;height:126.9pt;mso-position-horizontal-relative:page;mso-position-vertical-relative:page;z-index:-1016584" coordorigin="3997,1450" coordsize="670,2538">
            <v:shape style="position:absolute;left:3997;top:1450;width:670;height:2538" coordorigin="3997,1450" coordsize="670,2538" path="m3997,3987l4667,3987,4667,1450,3997,1450,3997,3987xe" filled="true" fillcolor="#ffffff" stroked="false">
              <v:path arrowok="t"/>
              <v:fill type="solid"/>
            </v:shape>
            <w10:wrap type="none"/>
          </v:group>
        </w:pict>
      </w:r>
      <w:r>
        <w:rPr/>
        <w:pict>
          <v:group style="position:absolute;margin-left:199.850006pt;margin-top:281.809998pt;width:33.5pt;height:62.4pt;mso-position-horizontal-relative:page;mso-position-vertical-relative:page;z-index:-1016560" coordorigin="3997,5636" coordsize="670,1248">
            <v:shape style="position:absolute;left:3997;top:5636;width:670;height:1248" coordorigin="3997,5636" coordsize="670,1248" path="m3997,6884l4667,6884,4667,5636,3997,5636,3997,6884xe" filled="true" fillcolor="#ffffff" stroked="false">
              <v:path arrowok="t"/>
              <v:fill type="solid"/>
            </v:shape>
            <w10:wrap type="none"/>
          </v:group>
        </w:pict>
      </w:r>
    </w:p>
    <w:tbl>
      <w:tblPr>
        <w:tblW w:w="0" w:type="auto"/>
        <w:jc w:val="left"/>
        <w:tblInd w:w="148" w:type="dxa"/>
        <w:tblLayout w:type="fixed"/>
        <w:tblCellMar>
          <w:top w:w="0" w:type="dxa"/>
          <w:left w:w="0" w:type="dxa"/>
          <w:bottom w:w="0" w:type="dxa"/>
          <w:right w:w="0" w:type="dxa"/>
        </w:tblCellMar>
        <w:tblLook w:val="01E0"/>
      </w:tblPr>
      <w:tblGrid>
        <w:gridCol w:w="800"/>
        <w:gridCol w:w="677"/>
        <w:gridCol w:w="677"/>
        <w:gridCol w:w="704"/>
        <w:gridCol w:w="679"/>
        <w:gridCol w:w="674"/>
        <w:gridCol w:w="674"/>
        <w:gridCol w:w="675"/>
        <w:gridCol w:w="674"/>
        <w:gridCol w:w="674"/>
        <w:gridCol w:w="672"/>
        <w:gridCol w:w="675"/>
        <w:gridCol w:w="670"/>
        <w:gridCol w:w="646"/>
      </w:tblGrid>
      <w:tr>
        <w:trPr>
          <w:trHeight w:val="2547" w:hRule="exact"/>
        </w:trPr>
        <w:tc>
          <w:tcPr>
            <w:tcW w:w="800"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01"/>
              <w:jc w:val="both"/>
              <w:rPr>
                <w:rFonts w:ascii="宋体" w:hAnsi="宋体" w:cs="宋体" w:eastAsia="宋体" w:hint="default"/>
                <w:sz w:val="18"/>
                <w:szCs w:val="18"/>
              </w:rPr>
            </w:pPr>
            <w:r>
              <w:rPr>
                <w:rFonts w:ascii="宋体" w:hAnsi="宋体" w:cs="宋体" w:eastAsia="宋体" w:hint="default"/>
                <w:sz w:val="18"/>
                <w:szCs w:val="18"/>
              </w:rPr>
              <w:t>方担任 董事职 务</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01"/>
              <w:jc w:val="left"/>
              <w:rPr>
                <w:rFonts w:ascii="宋体" w:hAnsi="宋体" w:cs="宋体" w:eastAsia="宋体" w:hint="default"/>
                <w:sz w:val="18"/>
                <w:szCs w:val="18"/>
              </w:rPr>
            </w:pPr>
            <w:r>
              <w:rPr>
                <w:rFonts w:ascii="宋体" w:hAnsi="宋体" w:cs="宋体" w:eastAsia="宋体" w:hint="default"/>
                <w:sz w:val="18"/>
                <w:szCs w:val="18"/>
              </w:rPr>
              <w:t>务包括 人员外 包服 务、测 试服 务、软 件开发 服务等</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20"/>
              <w:jc w:val="left"/>
              <w:rPr>
                <w:rFonts w:ascii="宋体" w:hAnsi="宋体" w:cs="宋体" w:eastAsia="宋体" w:hint="default"/>
                <w:sz w:val="18"/>
                <w:szCs w:val="18"/>
              </w:rPr>
            </w:pPr>
            <w:r>
              <w:rPr>
                <w:rFonts w:ascii="宋体" w:hAnsi="宋体" w:cs="宋体" w:eastAsia="宋体" w:hint="default"/>
                <w:sz w:val="18"/>
                <w:szCs w:val="18"/>
              </w:rPr>
              <w:t>务包括 人员外 包服务 测试服 </w:t>
            </w:r>
            <w:r>
              <w:rPr>
                <w:rFonts w:ascii="宋体" w:hAnsi="宋体" w:cs="宋体" w:eastAsia="宋体" w:hint="default"/>
                <w:spacing w:val="-18"/>
                <w:sz w:val="18"/>
                <w:szCs w:val="18"/>
              </w:rPr>
              <w:t>务、软件</w:t>
            </w:r>
            <w:r>
              <w:rPr>
                <w:rFonts w:ascii="宋体" w:hAnsi="宋体" w:cs="宋体" w:eastAsia="宋体" w:hint="default"/>
                <w:sz w:val="18"/>
                <w:szCs w:val="18"/>
              </w:rPr>
              <w:t> 开发服 务等</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140" w:right="0"/>
              <w:jc w:val="left"/>
              <w:rPr>
                <w:rFonts w:ascii="宋体" w:hAnsi="宋体" w:cs="宋体" w:eastAsia="宋体" w:hint="default"/>
                <w:sz w:val="18"/>
                <w:szCs w:val="18"/>
              </w:rPr>
            </w:pPr>
            <w:r>
              <w:rPr>
                <w:rFonts w:ascii="宋体" w:hAnsi="宋体" w:cs="宋体" w:eastAsia="宋体" w:hint="default"/>
                <w:sz w:val="18"/>
                <w:szCs w:val="18"/>
              </w:rPr>
              <w:t>、</w:t>
            </w: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r>
      <w:tr>
        <w:trPr>
          <w:trHeight w:val="289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4" w:right="44"/>
              <w:jc w:val="both"/>
              <w:rPr>
                <w:rFonts w:ascii="宋体" w:hAnsi="宋体" w:cs="宋体" w:eastAsia="宋体" w:hint="default"/>
                <w:sz w:val="18"/>
                <w:szCs w:val="18"/>
              </w:rPr>
            </w:pPr>
            <w:r>
              <w:rPr>
                <w:rFonts w:ascii="宋体" w:hAnsi="宋体" w:cs="宋体" w:eastAsia="宋体" w:hint="default"/>
                <w:sz w:val="18"/>
                <w:szCs w:val="18"/>
              </w:rPr>
              <w:t>上海缔塔 科技有限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9" w:lineRule="auto"/>
              <w:ind w:left="23" w:right="101"/>
              <w:jc w:val="both"/>
              <w:rPr>
                <w:rFonts w:ascii="宋体" w:hAnsi="宋体" w:cs="宋体" w:eastAsia="宋体" w:hint="default"/>
                <w:sz w:val="18"/>
                <w:szCs w:val="18"/>
              </w:rPr>
            </w:pPr>
            <w:r>
              <w:rPr>
                <w:rFonts w:ascii="宋体" w:hAnsi="宋体" w:cs="宋体" w:eastAsia="宋体" w:hint="default"/>
                <w:sz w:val="18"/>
                <w:szCs w:val="18"/>
              </w:rPr>
              <w:t>公司原 监事陈 建琪在 关联公 司担任 监事</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1"/>
              <w:jc w:val="left"/>
              <w:rPr>
                <w:rFonts w:ascii="宋体" w:hAnsi="宋体" w:cs="宋体" w:eastAsia="宋体" w:hint="default"/>
                <w:sz w:val="18"/>
                <w:szCs w:val="18"/>
              </w:rPr>
            </w:pPr>
            <w:r>
              <w:rPr>
                <w:rFonts w:ascii="宋体" w:hAnsi="宋体" w:cs="宋体" w:eastAsia="宋体" w:hint="default"/>
                <w:sz w:val="18"/>
                <w:szCs w:val="18"/>
              </w:rPr>
              <w:t>向关联 人购买 商品或 接受劳 务包括 人员外 包服 务、测 试服务</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8"/>
              <w:jc w:val="both"/>
              <w:rPr>
                <w:rFonts w:ascii="宋体" w:hAnsi="宋体" w:cs="宋体" w:eastAsia="宋体" w:hint="default"/>
                <w:sz w:val="18"/>
                <w:szCs w:val="18"/>
              </w:rPr>
            </w:pPr>
            <w:r>
              <w:rPr>
                <w:rFonts w:ascii="宋体" w:hAnsi="宋体" w:cs="宋体" w:eastAsia="宋体" w:hint="default"/>
                <w:sz w:val="18"/>
                <w:szCs w:val="18"/>
              </w:rPr>
              <w:t>向关联 人购买 商品或 接受劳 务包括 人员外 包服务 测试服 务</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23" w:right="0"/>
              <w:jc w:val="left"/>
              <w:rPr>
                <w:rFonts w:ascii="宋体" w:hAnsi="宋体" w:cs="宋体" w:eastAsia="宋体" w:hint="default"/>
                <w:sz w:val="18"/>
                <w:szCs w:val="18"/>
              </w:rPr>
            </w:pPr>
            <w:r>
              <w:rPr>
                <w:rFonts w:ascii="宋体" w:hAnsi="宋体" w:cs="宋体" w:eastAsia="宋体" w:hint="default"/>
                <w:sz w:val="18"/>
                <w:szCs w:val="18"/>
              </w:rPr>
              <w:t>市场价</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left="-140" w:right="0"/>
              <w:jc w:val="left"/>
              <w:rPr>
                <w:rFonts w:ascii="宋体" w:hAnsi="宋体" w:cs="宋体" w:eastAsia="宋体" w:hint="default"/>
                <w:sz w:val="18"/>
                <w:szCs w:val="18"/>
              </w:rPr>
            </w:pPr>
            <w:r>
              <w:rPr>
                <w:rFonts w:ascii="宋体" w:hAnsi="宋体" w:cs="宋体" w:eastAsia="宋体" w:hint="default"/>
                <w:sz w:val="18"/>
                <w:szCs w:val="18"/>
              </w:rPr>
              <w:t>、</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3" w:right="98"/>
              <w:jc w:val="both"/>
              <w:rPr>
                <w:rFonts w:ascii="宋体" w:hAnsi="宋体" w:cs="宋体" w:eastAsia="宋体" w:hint="default"/>
                <w:sz w:val="18"/>
                <w:szCs w:val="18"/>
              </w:rPr>
            </w:pPr>
            <w:r>
              <w:rPr>
                <w:rFonts w:ascii="宋体" w:hAnsi="宋体" w:cs="宋体" w:eastAsia="宋体" w:hint="default"/>
                <w:sz w:val="18"/>
                <w:szCs w:val="18"/>
              </w:rPr>
              <w:t>参照非 关联方 报价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638.6</w:t>
            </w:r>
          </w:p>
        </w:tc>
        <w:tc>
          <w:tcPr>
            <w:tcW w:w="675"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3,000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316" w:lineRule="auto"/>
              <w:ind w:left="23" w:right="96"/>
              <w:jc w:val="left"/>
              <w:rPr>
                <w:rFonts w:ascii="宋体" w:hAnsi="宋体" w:cs="宋体" w:eastAsia="宋体" w:hint="default"/>
                <w:sz w:val="18"/>
                <w:szCs w:val="18"/>
              </w:rPr>
            </w:pPr>
            <w:r>
              <w:rPr>
                <w:rFonts w:ascii="宋体" w:hAnsi="宋体" w:cs="宋体" w:eastAsia="宋体" w:hint="default"/>
                <w:sz w:val="18"/>
                <w:szCs w:val="18"/>
              </w:rPr>
              <w:t>货币资 金结算</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638.6</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362" w:lineRule="auto"/>
              <w:ind w:left="23" w:right="48"/>
              <w:jc w:val="left"/>
              <w:rPr>
                <w:rFonts w:ascii="Times New Roman" w:hAnsi="Times New Roman" w:cs="Times New Roman" w:eastAsia="Times New Roman" w:hint="default"/>
                <w:sz w:val="18"/>
                <w:szCs w:val="18"/>
              </w:rPr>
            </w:pPr>
            <w:hyperlink r:id="rId17">
              <w:r>
                <w:rPr>
                  <w:rFonts w:ascii="Times New Roman"/>
                  <w:sz w:val="18"/>
                </w:rPr>
                <w:t>http://w</w:t>
              </w:r>
            </w:hyperlink>
            <w:r>
              <w:rPr>
                <w:rFonts w:ascii="Times New Roman"/>
                <w:w w:val="99"/>
                <w:sz w:val="18"/>
              </w:rPr>
              <w:t> </w:t>
            </w:r>
            <w:r>
              <w:rPr>
                <w:rFonts w:ascii="Times New Roman"/>
                <w:spacing w:val="-3"/>
                <w:sz w:val="18"/>
              </w:rPr>
              <w:t>ww.cni</w:t>
            </w:r>
            <w:r>
              <w:rPr>
                <w:rFonts w:ascii="Times New Roman"/>
                <w:spacing w:val="-42"/>
                <w:sz w:val="18"/>
              </w:rPr>
              <w:t> </w:t>
            </w:r>
            <w:r>
              <w:rPr>
                <w:rFonts w:ascii="Times New Roman"/>
                <w:spacing w:val="-42"/>
                <w:sz w:val="18"/>
              </w:rPr>
            </w:r>
            <w:r>
              <w:rPr>
                <w:rFonts w:ascii="Times New Roman"/>
                <w:sz w:val="18"/>
              </w:rPr>
              <w:t>nfo.co</w:t>
            </w:r>
            <w:r>
              <w:rPr>
                <w:rFonts w:ascii="Times New Roman"/>
                <w:sz w:val="18"/>
              </w:rPr>
              <w:t> m.cn</w:t>
            </w:r>
          </w:p>
        </w:tc>
      </w:tr>
      <w:tr>
        <w:trPr>
          <w:trHeight w:val="161" w:hRule="exact"/>
        </w:trPr>
        <w:tc>
          <w:tcPr>
            <w:tcW w:w="2857"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679" w:type="dxa"/>
            <w:tcBorders>
              <w:top w:val="single" w:sz="4" w:space="0" w:color="000000"/>
              <w:left w:val="single" w:sz="4" w:space="0" w:color="000000"/>
              <w:bottom w:val="nil" w:sz="6" w:space="0" w:color="auto"/>
              <w:right w:val="single" w:sz="4" w:space="0" w:color="000000"/>
            </w:tcBorders>
            <w:shd w:val="clear" w:color="auto" w:fill="D2D2D2"/>
          </w:tcPr>
          <w:p>
            <w:pPr/>
          </w:p>
        </w:tc>
        <w:tc>
          <w:tcPr>
            <w:tcW w:w="674" w:type="dxa"/>
            <w:tcBorders>
              <w:top w:val="single" w:sz="4" w:space="0" w:color="000000"/>
              <w:left w:val="single" w:sz="4" w:space="0" w:color="000000"/>
              <w:bottom w:val="nil" w:sz="6" w:space="0" w:color="auto"/>
              <w:right w:val="single" w:sz="4" w:space="0" w:color="000000"/>
            </w:tcBorders>
            <w:shd w:val="clear" w:color="auto" w:fill="D2D2D2"/>
          </w:tcPr>
          <w:p>
            <w:pPr/>
          </w:p>
        </w:tc>
        <w:tc>
          <w:tcPr>
            <w:tcW w:w="674"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2,391.6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6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6,000</w:t>
            </w:r>
          </w:p>
        </w:tc>
        <w:tc>
          <w:tcPr>
            <w:tcW w:w="6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64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r>
        <w:trPr>
          <w:trHeight w:val="394" w:hRule="exact"/>
        </w:trPr>
        <w:tc>
          <w:tcPr>
            <w:tcW w:w="2857" w:type="dxa"/>
            <w:gridSpan w:val="4"/>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4" w:type="dxa"/>
            <w:vMerge/>
            <w:tcBorders>
              <w:left w:val="single" w:sz="10" w:space="0" w:color="D2D2D2"/>
              <w:right w:val="single" w:sz="4" w:space="0" w:color="000000"/>
            </w:tcBorders>
          </w:tcPr>
          <w:p>
            <w:pPr/>
          </w:p>
        </w:tc>
        <w:tc>
          <w:tcPr>
            <w:tcW w:w="675" w:type="dxa"/>
            <w:vMerge/>
            <w:tcBorders>
              <w:left w:val="single" w:sz="4" w:space="0" w:color="000000"/>
              <w:right w:val="single" w:sz="4" w:space="0" w:color="000000"/>
            </w:tcBorders>
            <w:shd w:val="clear" w:color="auto" w:fill="D2D2D2"/>
          </w:tcPr>
          <w:p>
            <w:pPr/>
          </w:p>
        </w:tc>
        <w:tc>
          <w:tcPr>
            <w:tcW w:w="674" w:type="dxa"/>
            <w:vMerge/>
            <w:tcBorders>
              <w:left w:val="single" w:sz="4" w:space="0" w:color="000000"/>
              <w:right w:val="single" w:sz="4" w:space="0" w:color="000000"/>
            </w:tcBorders>
          </w:tcPr>
          <w:p>
            <w:pPr/>
          </w:p>
        </w:tc>
        <w:tc>
          <w:tcPr>
            <w:tcW w:w="674" w:type="dxa"/>
            <w:vMerge/>
            <w:tcBorders>
              <w:left w:val="single" w:sz="4" w:space="0" w:color="000000"/>
              <w:right w:val="single" w:sz="4" w:space="0" w:color="000000"/>
            </w:tcBorders>
            <w:shd w:val="clear" w:color="auto" w:fill="D2D2D2"/>
          </w:tcPr>
          <w:p>
            <w:pPr/>
          </w:p>
        </w:tc>
        <w:tc>
          <w:tcPr>
            <w:tcW w:w="672" w:type="dxa"/>
            <w:vMerge/>
            <w:tcBorders>
              <w:left w:val="single" w:sz="4" w:space="0" w:color="000000"/>
              <w:right w:val="single" w:sz="4" w:space="0" w:color="000000"/>
            </w:tcBorders>
            <w:shd w:val="clear" w:color="auto" w:fill="D2D2D2"/>
          </w:tcPr>
          <w:p>
            <w:pPr/>
          </w:p>
        </w:tc>
        <w:tc>
          <w:tcPr>
            <w:tcW w:w="675" w:type="dxa"/>
            <w:vMerge/>
            <w:tcBorders>
              <w:left w:val="single" w:sz="4" w:space="0" w:color="000000"/>
              <w:right w:val="single" w:sz="4" w:space="0" w:color="000000"/>
            </w:tcBorders>
            <w:shd w:val="clear" w:color="auto" w:fill="D2D2D2"/>
          </w:tcPr>
          <w:p>
            <w:pPr/>
          </w:p>
        </w:tc>
        <w:tc>
          <w:tcPr>
            <w:tcW w:w="670" w:type="dxa"/>
            <w:vMerge/>
            <w:tcBorders>
              <w:left w:val="single" w:sz="4" w:space="0" w:color="000000"/>
              <w:right w:val="single" w:sz="4" w:space="0" w:color="000000"/>
            </w:tcBorders>
            <w:shd w:val="clear" w:color="auto" w:fill="D2D2D2"/>
          </w:tcPr>
          <w:p>
            <w:pPr/>
          </w:p>
        </w:tc>
        <w:tc>
          <w:tcPr>
            <w:tcW w:w="646" w:type="dxa"/>
            <w:vMerge/>
            <w:tcBorders>
              <w:left w:val="single" w:sz="4" w:space="0" w:color="000000"/>
              <w:right w:val="single" w:sz="4" w:space="0" w:color="000000"/>
            </w:tcBorders>
            <w:shd w:val="clear" w:color="auto" w:fill="D2D2D2"/>
          </w:tcPr>
          <w:p>
            <w:pPr/>
          </w:p>
        </w:tc>
      </w:tr>
      <w:tr>
        <w:trPr>
          <w:trHeight w:val="161" w:hRule="exact"/>
        </w:trPr>
        <w:tc>
          <w:tcPr>
            <w:tcW w:w="2857"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679" w:type="dxa"/>
            <w:tcBorders>
              <w:top w:val="nil" w:sz="6" w:space="0" w:color="auto"/>
              <w:left w:val="single" w:sz="4" w:space="0" w:color="000000"/>
              <w:bottom w:val="single" w:sz="4" w:space="0" w:color="000000"/>
              <w:right w:val="single" w:sz="4" w:space="0" w:color="000000"/>
            </w:tcBorders>
            <w:shd w:val="clear" w:color="auto" w:fill="D2D2D2"/>
          </w:tcPr>
          <w:p>
            <w:pPr/>
          </w:p>
        </w:tc>
        <w:tc>
          <w:tcPr>
            <w:tcW w:w="674" w:type="dxa"/>
            <w:tcBorders>
              <w:top w:val="nil" w:sz="6" w:space="0" w:color="auto"/>
              <w:left w:val="single" w:sz="4" w:space="0" w:color="000000"/>
              <w:bottom w:val="single" w:sz="4" w:space="0" w:color="000000"/>
              <w:right w:val="single" w:sz="4" w:space="0" w:color="000000"/>
            </w:tcBorders>
            <w:shd w:val="clear" w:color="auto" w:fill="D2D2D2"/>
          </w:tcPr>
          <w:p>
            <w:pPr/>
          </w:p>
        </w:tc>
        <w:tc>
          <w:tcPr>
            <w:tcW w:w="674" w:type="dxa"/>
            <w:vMerge/>
            <w:tcBorders>
              <w:left w:val="single" w:sz="10" w:space="0" w:color="D2D2D2"/>
              <w:bottom w:val="single" w:sz="4" w:space="0" w:color="000000"/>
              <w:right w:val="single" w:sz="4" w:space="0" w:color="000000"/>
            </w:tcBorders>
          </w:tcPr>
          <w:p>
            <w:pPr/>
          </w:p>
        </w:tc>
        <w:tc>
          <w:tcPr>
            <w:tcW w:w="675" w:type="dxa"/>
            <w:vMerge/>
            <w:tcBorders>
              <w:left w:val="single" w:sz="4" w:space="0" w:color="000000"/>
              <w:bottom w:val="single" w:sz="4" w:space="0" w:color="000000"/>
              <w:right w:val="single" w:sz="4" w:space="0" w:color="000000"/>
            </w:tcBorders>
            <w:shd w:val="clear" w:color="auto" w:fill="D2D2D2"/>
          </w:tcPr>
          <w:p>
            <w:pPr/>
          </w:p>
        </w:tc>
        <w:tc>
          <w:tcPr>
            <w:tcW w:w="674" w:type="dxa"/>
            <w:vMerge/>
            <w:tcBorders>
              <w:left w:val="single" w:sz="4" w:space="0" w:color="000000"/>
              <w:bottom w:val="single" w:sz="4" w:space="0" w:color="000000"/>
              <w:right w:val="single" w:sz="4" w:space="0" w:color="000000"/>
            </w:tcBorders>
          </w:tcPr>
          <w:p>
            <w:pPr/>
          </w:p>
        </w:tc>
        <w:tc>
          <w:tcPr>
            <w:tcW w:w="674" w:type="dxa"/>
            <w:vMerge/>
            <w:tcBorders>
              <w:left w:val="single" w:sz="4" w:space="0" w:color="000000"/>
              <w:bottom w:val="single" w:sz="4" w:space="0" w:color="000000"/>
              <w:right w:val="single" w:sz="4" w:space="0" w:color="000000"/>
            </w:tcBorders>
            <w:shd w:val="clear" w:color="auto" w:fill="D2D2D2"/>
          </w:tcPr>
          <w:p>
            <w:pPr/>
          </w:p>
        </w:tc>
        <w:tc>
          <w:tcPr>
            <w:tcW w:w="672" w:type="dxa"/>
            <w:vMerge/>
            <w:tcBorders>
              <w:left w:val="single" w:sz="4" w:space="0" w:color="000000"/>
              <w:bottom w:val="single" w:sz="4" w:space="0" w:color="000000"/>
              <w:right w:val="single" w:sz="4" w:space="0" w:color="000000"/>
            </w:tcBorders>
            <w:shd w:val="clear" w:color="auto" w:fill="D2D2D2"/>
          </w:tcPr>
          <w:p>
            <w:pPr/>
          </w:p>
        </w:tc>
        <w:tc>
          <w:tcPr>
            <w:tcW w:w="675" w:type="dxa"/>
            <w:vMerge/>
            <w:tcBorders>
              <w:left w:val="single" w:sz="4" w:space="0" w:color="000000"/>
              <w:bottom w:val="single" w:sz="4" w:space="0" w:color="000000"/>
              <w:right w:val="single" w:sz="4" w:space="0" w:color="000000"/>
            </w:tcBorders>
            <w:shd w:val="clear" w:color="auto" w:fill="D2D2D2"/>
          </w:tcPr>
          <w:p>
            <w:pPr/>
          </w:p>
        </w:tc>
        <w:tc>
          <w:tcPr>
            <w:tcW w:w="670" w:type="dxa"/>
            <w:vMerge/>
            <w:tcBorders>
              <w:left w:val="single" w:sz="4" w:space="0" w:color="000000"/>
              <w:bottom w:val="single" w:sz="4" w:space="0" w:color="000000"/>
              <w:right w:val="single" w:sz="4" w:space="0" w:color="000000"/>
            </w:tcBorders>
            <w:shd w:val="clear" w:color="auto" w:fill="D2D2D2"/>
          </w:tcPr>
          <w:p>
            <w:pPr/>
          </w:p>
        </w:tc>
        <w:tc>
          <w:tcPr>
            <w:tcW w:w="64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8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714" w:type="dxa"/>
            <w:gridSpan w:val="10"/>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807" w:hRule="exact"/>
        </w:trPr>
        <w:tc>
          <w:tcPr>
            <w:tcW w:w="2857"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6714" w:type="dxa"/>
            <w:gridSpan w:val="10"/>
            <w:vMerge w:val="restart"/>
            <w:tcBorders>
              <w:top w:val="single" w:sz="4" w:space="0" w:color="000000"/>
              <w:left w:val="single" w:sz="9" w:space="0" w:color="D2D2D2"/>
              <w:right w:val="single" w:sz="4" w:space="0" w:color="000000"/>
            </w:tcBorders>
          </w:tcPr>
          <w:p>
            <w:pPr>
              <w:pStyle w:val="TableParagraph"/>
              <w:spacing w:line="240" w:lineRule="auto" w:before="49"/>
              <w:ind w:left="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日公司召开第三届董事会第十六次会议审议通过《关于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年度</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日常关联交易情况及</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3"/>
                <w:sz w:val="18"/>
                <w:szCs w:val="18"/>
              </w:rPr>
              <w:t>度</w:t>
            </w:r>
            <w:r>
              <w:rPr>
                <w:rFonts w:ascii="宋体" w:hAnsi="宋体" w:cs="宋体" w:eastAsia="宋体" w:hint="default"/>
                <w:sz w:val="18"/>
                <w:szCs w:val="18"/>
              </w:rPr>
              <w:t>日常关联交易预计的议案</w:t>
            </w:r>
            <w:r>
              <w:rPr>
                <w:rFonts w:ascii="宋体" w:hAnsi="宋体" w:cs="宋体" w:eastAsia="宋体" w:hint="default"/>
                <w:spacing w:val="-92"/>
                <w:sz w:val="18"/>
                <w:szCs w:val="18"/>
              </w:rPr>
              <w:t>》</w:t>
            </w:r>
            <w:r>
              <w:rPr>
                <w:rFonts w:ascii="宋体" w:hAnsi="宋体" w:cs="宋体" w:eastAsia="宋体" w:hint="default"/>
                <w:spacing w:val="-3"/>
                <w:sz w:val="18"/>
                <w:szCs w:val="18"/>
              </w:rPr>
              <w:t>，</w:t>
            </w:r>
            <w:r>
              <w:rPr>
                <w:rFonts w:ascii="宋体" w:hAnsi="宋体" w:cs="宋体" w:eastAsia="宋体" w:hint="default"/>
                <w:sz w:val="18"/>
                <w:szCs w:val="18"/>
              </w:rPr>
              <w:t>同意公司与关联方上海复</w:t>
            </w:r>
          </w:p>
          <w:p>
            <w:pPr>
              <w:pStyle w:val="TableParagraph"/>
              <w:spacing w:line="240" w:lineRule="auto" w:before="63"/>
              <w:ind w:left="1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深蓝软件股份有限公司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年度的日常关联交易总额不超过</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3,000 </w:t>
            </w:r>
            <w:r>
              <w:rPr>
                <w:rFonts w:ascii="宋体" w:hAnsi="宋体" w:cs="宋体" w:eastAsia="宋体" w:hint="default"/>
                <w:sz w:val="18"/>
                <w:szCs w:val="18"/>
              </w:rPr>
              <w:t>万元，截止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日双方实际关联交易金额为人民币</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1753.09 </w:t>
            </w:r>
            <w:r>
              <w:rPr>
                <w:rFonts w:ascii="宋体" w:hAnsi="宋体" w:cs="宋体" w:eastAsia="宋体" w:hint="default"/>
                <w:sz w:val="18"/>
                <w:szCs w:val="18"/>
              </w:rPr>
              <w:t>万元。</w:t>
            </w:r>
          </w:p>
          <w:p>
            <w:pPr>
              <w:pStyle w:val="TableParagraph"/>
              <w:spacing w:line="309" w:lineRule="auto" w:before="103"/>
              <w:ind w:left="17" w:right="18"/>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日，公司召开第三届董事会第二十二次会议审议通过《关于公司与 </w:t>
            </w:r>
            <w:r>
              <w:rPr>
                <w:rFonts w:ascii="宋体" w:hAnsi="宋体" w:cs="宋体" w:eastAsia="宋体" w:hint="default"/>
                <w:spacing w:val="-3"/>
                <w:sz w:val="18"/>
                <w:szCs w:val="18"/>
              </w:rPr>
              <w:t>关联人上海缔塔科技有限公司日常关联交易预计的议案》，同意公司与关联方上海缔</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塔科技有限公司</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日至</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日的日常关联交易总额不超过</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3,000</w:t>
            </w:r>
          </w:p>
          <w:p>
            <w:pPr>
              <w:pStyle w:val="TableParagraph"/>
              <w:spacing w:line="240" w:lineRule="auto" w:before="5"/>
              <w:ind w:left="17" w:right="0"/>
              <w:jc w:val="left"/>
              <w:rPr>
                <w:rFonts w:ascii="宋体" w:hAnsi="宋体" w:cs="宋体" w:eastAsia="宋体" w:hint="default"/>
                <w:sz w:val="18"/>
                <w:szCs w:val="18"/>
              </w:rPr>
            </w:pPr>
            <w:r>
              <w:rPr>
                <w:rFonts w:ascii="宋体" w:hAnsi="宋体" w:cs="宋体" w:eastAsia="宋体" w:hint="default"/>
                <w:sz w:val="18"/>
                <w:szCs w:val="18"/>
              </w:rPr>
              <w:t>万元，截止董事会审议通过日双方实际关联交易金额为人民币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638.6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1015" w:hRule="exact"/>
        </w:trPr>
        <w:tc>
          <w:tcPr>
            <w:tcW w:w="2857" w:type="dxa"/>
            <w:gridSpan w:val="4"/>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按类别对本期将发生的日常关联交 </w:t>
            </w:r>
            <w:r>
              <w:rPr>
                <w:rFonts w:ascii="宋体" w:hAnsi="宋体" w:cs="宋体" w:eastAsia="宋体" w:hint="default"/>
                <w:spacing w:val="-5"/>
                <w:sz w:val="18"/>
                <w:szCs w:val="18"/>
              </w:rPr>
              <w:t>易进行总金额预计的，在报告期内的</w:t>
            </w:r>
            <w:r>
              <w:rPr>
                <w:rFonts w:ascii="宋体" w:hAnsi="宋体" w:cs="宋体" w:eastAsia="宋体" w:hint="default"/>
                <w:sz w:val="18"/>
                <w:szCs w:val="18"/>
              </w:rPr>
              <w:t> 实际履行情况（如有）</w:t>
            </w:r>
          </w:p>
        </w:tc>
        <w:tc>
          <w:tcPr>
            <w:tcW w:w="6714" w:type="dxa"/>
            <w:gridSpan w:val="10"/>
            <w:vMerge/>
            <w:tcBorders>
              <w:left w:val="single" w:sz="9" w:space="0" w:color="D2D2D2"/>
              <w:right w:val="single" w:sz="4" w:space="0" w:color="000000"/>
            </w:tcBorders>
          </w:tcPr>
          <w:p>
            <w:pPr/>
          </w:p>
        </w:tc>
      </w:tr>
      <w:tr>
        <w:trPr>
          <w:trHeight w:val="804" w:hRule="exact"/>
        </w:trPr>
        <w:tc>
          <w:tcPr>
            <w:tcW w:w="2857"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6714" w:type="dxa"/>
            <w:gridSpan w:val="10"/>
            <w:vMerge/>
            <w:tcBorders>
              <w:left w:val="single" w:sz="9" w:space="0" w:color="D2D2D2"/>
              <w:bottom w:val="single" w:sz="4" w:space="0" w:color="000000"/>
              <w:right w:val="single" w:sz="4" w:space="0" w:color="000000"/>
            </w:tcBorders>
          </w:tcPr>
          <w:p>
            <w:pPr/>
          </w:p>
        </w:tc>
      </w:tr>
      <w:tr>
        <w:trPr>
          <w:trHeight w:val="715" w:hRule="exact"/>
        </w:trPr>
        <w:tc>
          <w:tcPr>
            <w:tcW w:w="28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21"/>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 的原因（如适用）</w:t>
            </w:r>
          </w:p>
        </w:tc>
        <w:tc>
          <w:tcPr>
            <w:tcW w:w="6714" w:type="dxa"/>
            <w:gridSpan w:val="10"/>
            <w:tcBorders>
              <w:top w:val="single" w:sz="4" w:space="0" w:color="000000"/>
              <w:left w:val="single" w:sz="12"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850"/>
        <w:gridCol w:w="751"/>
        <w:gridCol w:w="799"/>
        <w:gridCol w:w="802"/>
        <w:gridCol w:w="797"/>
        <w:gridCol w:w="797"/>
        <w:gridCol w:w="797"/>
        <w:gridCol w:w="797"/>
        <w:gridCol w:w="797"/>
        <w:gridCol w:w="795"/>
        <w:gridCol w:w="799"/>
        <w:gridCol w:w="792"/>
      </w:tblGrid>
      <w:tr>
        <w:trPr>
          <w:trHeight w:val="1026" w:hRule="exact"/>
        </w:trPr>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51"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80" w:right="98"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关联交易 类型</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15" w:right="34" w:hanging="180"/>
              <w:jc w:val="left"/>
              <w:rPr>
                <w:rFonts w:ascii="宋体" w:hAnsi="宋体" w:cs="宋体" w:eastAsia="宋体" w:hint="default"/>
                <w:sz w:val="18"/>
                <w:szCs w:val="18"/>
              </w:rPr>
            </w:pPr>
            <w:r>
              <w:rPr>
                <w:rFonts w:ascii="宋体" w:hAnsi="宋体" w:cs="宋体" w:eastAsia="宋体" w:hint="default"/>
                <w:sz w:val="18"/>
                <w:szCs w:val="18"/>
              </w:rPr>
              <w:t>关联交易 内容</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33" w:right="31"/>
              <w:jc w:val="left"/>
              <w:rPr>
                <w:rFonts w:ascii="宋体" w:hAnsi="宋体" w:cs="宋体" w:eastAsia="宋体" w:hint="default"/>
                <w:sz w:val="18"/>
                <w:szCs w:val="18"/>
              </w:rPr>
            </w:pPr>
            <w:r>
              <w:rPr>
                <w:rFonts w:ascii="宋体" w:hAnsi="宋体" w:cs="宋体" w:eastAsia="宋体" w:hint="default"/>
                <w:sz w:val="18"/>
                <w:szCs w:val="18"/>
              </w:rPr>
              <w:t>关联交易 定价原则</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4" w:right="-34" w:firstLine="9"/>
              <w:jc w:val="both"/>
              <w:rPr>
                <w:rFonts w:ascii="宋体" w:hAnsi="宋体" w:cs="宋体" w:eastAsia="宋体" w:hint="default"/>
                <w:sz w:val="18"/>
                <w:szCs w:val="18"/>
              </w:rPr>
            </w:pPr>
            <w:r>
              <w:rPr>
                <w:rFonts w:ascii="宋体" w:hAnsi="宋体" w:cs="宋体" w:eastAsia="宋体" w:hint="default"/>
                <w:sz w:val="18"/>
                <w:szCs w:val="18"/>
              </w:rPr>
              <w:t>转让资产 的账面价 </w:t>
            </w:r>
            <w:r>
              <w:rPr>
                <w:rFonts w:ascii="宋体" w:hAnsi="宋体" w:cs="宋体" w:eastAsia="宋体" w:hint="default"/>
                <w:spacing w:val="-21"/>
                <w:sz w:val="18"/>
                <w:szCs w:val="18"/>
              </w:rPr>
              <w:t>值（万元）</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4" w:right="36" w:firstLine="9"/>
              <w:jc w:val="both"/>
              <w:rPr>
                <w:rFonts w:ascii="宋体" w:hAnsi="宋体" w:cs="宋体" w:eastAsia="宋体" w:hint="default"/>
                <w:sz w:val="18"/>
                <w:szCs w:val="18"/>
              </w:rPr>
            </w:pPr>
            <w:r>
              <w:rPr>
                <w:rFonts w:ascii="宋体" w:hAnsi="宋体" w:cs="宋体" w:eastAsia="宋体" w:hint="default"/>
                <w:sz w:val="18"/>
                <w:szCs w:val="18"/>
              </w:rPr>
              <w:t>转让资产 的评估价 </w:t>
            </w:r>
            <w:r>
              <w:rPr>
                <w:rFonts w:ascii="宋体" w:hAnsi="宋体" w:cs="宋体" w:eastAsia="宋体" w:hint="default"/>
                <w:spacing w:val="-17"/>
                <w:sz w:val="18"/>
                <w:szCs w:val="18"/>
              </w:rPr>
              <w:t>值（万元</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转让价格</w:t>
            </w:r>
          </w:p>
          <w:p>
            <w:pPr>
              <w:pStyle w:val="TableParagraph"/>
              <w:spacing w:line="196" w:lineRule="exact" w:before="74"/>
              <w:ind w:left="35" w:right="0"/>
              <w:jc w:val="left"/>
              <w:rPr>
                <w:rFonts w:ascii="宋体" w:hAnsi="宋体" w:cs="宋体" w:eastAsia="宋体" w:hint="default"/>
                <w:sz w:val="18"/>
                <w:szCs w:val="18"/>
              </w:rPr>
            </w:pPr>
            <w:r>
              <w:rPr>
                <w:rFonts w:ascii="宋体" w:hAnsi="宋体" w:cs="宋体" w:eastAsia="宋体" w:hint="default"/>
                <w:sz w:val="18"/>
                <w:szCs w:val="18"/>
              </w:rPr>
              <w:t>（万元）</w:t>
            </w:r>
          </w:p>
          <w:p>
            <w:pPr>
              <w:pStyle w:val="TableParagraph"/>
              <w:spacing w:line="196" w:lineRule="exact"/>
              <w:ind w:left="-121" w:right="0"/>
              <w:jc w:val="left"/>
              <w:rPr>
                <w:rFonts w:ascii="宋体" w:hAnsi="宋体" w:cs="宋体" w:eastAsia="宋体" w:hint="default"/>
                <w:sz w:val="18"/>
                <w:szCs w:val="18"/>
              </w:rPr>
            </w:pPr>
            <w:r>
              <w:rPr>
                <w:rFonts w:ascii="宋体" w:hAnsi="宋体" w:cs="宋体" w:eastAsia="宋体"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33" w:right="31"/>
              <w:jc w:val="left"/>
              <w:rPr>
                <w:rFonts w:ascii="宋体" w:hAnsi="宋体" w:cs="宋体" w:eastAsia="宋体" w:hint="default"/>
                <w:sz w:val="18"/>
                <w:szCs w:val="18"/>
              </w:rPr>
            </w:pPr>
            <w:r>
              <w:rPr>
                <w:rFonts w:ascii="宋体" w:hAnsi="宋体" w:cs="宋体" w:eastAsia="宋体" w:hint="default"/>
                <w:sz w:val="18"/>
                <w:szCs w:val="18"/>
              </w:rPr>
              <w:t>关联交易 结算方式</w:t>
            </w:r>
          </w:p>
        </w:tc>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交易损益</w:t>
            </w:r>
          </w:p>
          <w:p>
            <w:pPr>
              <w:pStyle w:val="TableParagraph"/>
              <w:spacing w:line="240" w:lineRule="auto" w:before="74"/>
              <w:ind w:left="3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5"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1"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649"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4" w:right="95"/>
              <w:jc w:val="both"/>
              <w:rPr>
                <w:rFonts w:ascii="宋体" w:hAnsi="宋体" w:cs="宋体" w:eastAsia="宋体" w:hint="default"/>
                <w:sz w:val="18"/>
                <w:szCs w:val="18"/>
              </w:rPr>
            </w:pPr>
            <w:r>
              <w:rPr>
                <w:rFonts w:ascii="宋体" w:hAnsi="宋体" w:cs="宋体" w:eastAsia="宋体" w:hint="default"/>
                <w:sz w:val="18"/>
                <w:szCs w:val="18"/>
              </w:rPr>
              <w:t>上海炽蓝 企业管理 合伙企业</w:t>
            </w:r>
          </w:p>
          <w:p>
            <w:pPr>
              <w:pStyle w:val="TableParagraph"/>
              <w:spacing w:line="316" w:lineRule="auto" w:before="19"/>
              <w:ind w:left="24" w:right="22"/>
              <w:jc w:val="both"/>
              <w:rPr>
                <w:rFonts w:ascii="宋体" w:hAnsi="宋体" w:cs="宋体" w:eastAsia="宋体" w:hint="default"/>
                <w:sz w:val="18"/>
                <w:szCs w:val="18"/>
              </w:rPr>
            </w:pPr>
            <w:r>
              <w:rPr>
                <w:rFonts w:ascii="宋体" w:hAnsi="宋体" w:cs="宋体" w:eastAsia="宋体" w:hint="default"/>
                <w:sz w:val="18"/>
                <w:szCs w:val="18"/>
              </w:rPr>
              <w:t>（有限合 </w:t>
            </w:r>
            <w:r>
              <w:rPr>
                <w:rFonts w:ascii="宋体" w:hAnsi="宋体" w:cs="宋体" w:eastAsia="宋体" w:hint="default"/>
                <w:spacing w:val="-22"/>
                <w:sz w:val="18"/>
                <w:szCs w:val="18"/>
              </w:rPr>
              <w:t>伙）、上海</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8"/>
              <w:ind w:left="23" w:right="175"/>
              <w:jc w:val="both"/>
              <w:rPr>
                <w:rFonts w:ascii="宋体" w:hAnsi="宋体" w:cs="宋体" w:eastAsia="宋体" w:hint="default"/>
                <w:sz w:val="18"/>
                <w:szCs w:val="18"/>
              </w:rPr>
            </w:pPr>
            <w:r>
              <w:rPr>
                <w:rFonts w:ascii="宋体" w:hAnsi="宋体" w:cs="宋体" w:eastAsia="宋体" w:hint="default"/>
                <w:sz w:val="18"/>
                <w:szCs w:val="18"/>
              </w:rPr>
              <w:t>由于交 易对方 之一上 海炽蓝 企业管</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出售资产</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46"/>
              <w:jc w:val="left"/>
              <w:rPr>
                <w:rFonts w:ascii="宋体" w:hAnsi="宋体" w:cs="宋体" w:eastAsia="宋体" w:hint="default"/>
                <w:sz w:val="18"/>
                <w:szCs w:val="18"/>
              </w:rPr>
            </w:pPr>
            <w:r>
              <w:rPr>
                <w:rFonts w:ascii="宋体" w:hAnsi="宋体" w:cs="宋体" w:eastAsia="宋体" w:hint="default"/>
                <w:sz w:val="18"/>
                <w:szCs w:val="18"/>
              </w:rPr>
              <w:t>出售上海 复深蓝软 件股份有 限公司 </w:t>
            </w:r>
            <w:r>
              <w:rPr>
                <w:rFonts w:ascii="Times New Roman" w:hAnsi="Times New Roman" w:cs="Times New Roman" w:eastAsia="Times New Roman" w:hint="default"/>
                <w:sz w:val="18"/>
                <w:szCs w:val="18"/>
              </w:rPr>
              <w:t>19%</w:t>
            </w:r>
            <w:r>
              <w:rPr>
                <w:rFonts w:ascii="宋体" w:hAnsi="宋体" w:cs="宋体" w:eastAsia="宋体" w:hint="default"/>
                <w:sz w:val="18"/>
                <w:szCs w:val="18"/>
              </w:rPr>
              <w:t>股权</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8"/>
              <w:ind w:left="24" w:right="41"/>
              <w:jc w:val="both"/>
              <w:rPr>
                <w:rFonts w:ascii="宋体" w:hAnsi="宋体" w:cs="宋体" w:eastAsia="宋体" w:hint="default"/>
                <w:sz w:val="18"/>
                <w:szCs w:val="18"/>
              </w:rPr>
            </w:pPr>
            <w:r>
              <w:rPr>
                <w:rFonts w:ascii="宋体" w:hAnsi="宋体" w:cs="宋体" w:eastAsia="宋体" w:hint="default"/>
                <w:sz w:val="18"/>
                <w:szCs w:val="18"/>
              </w:rPr>
              <w:t>本次交易 价格由双 方友好协 商确定， 价格公</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828.01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59" w:right="0"/>
              <w:jc w:val="left"/>
              <w:rPr>
                <w:rFonts w:ascii="Times New Roman" w:hAnsi="Times New Roman" w:cs="Times New Roman" w:eastAsia="Times New Roman" w:hint="default"/>
                <w:sz w:val="18"/>
                <w:szCs w:val="18"/>
              </w:rPr>
            </w:pPr>
            <w:r>
              <w:rPr>
                <w:rFonts w:ascii="Times New Roman"/>
                <w:sz w:val="18"/>
              </w:rPr>
              <w:t>3,420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8"/>
              <w:ind w:left="24" w:right="41"/>
              <w:jc w:val="both"/>
              <w:rPr>
                <w:rFonts w:ascii="宋体" w:hAnsi="宋体" w:cs="宋体" w:eastAsia="宋体" w:hint="default"/>
                <w:sz w:val="18"/>
                <w:szCs w:val="18"/>
              </w:rPr>
            </w:pPr>
            <w:r>
              <w:rPr>
                <w:rFonts w:ascii="宋体" w:hAnsi="宋体" w:cs="宋体" w:eastAsia="宋体" w:hint="default"/>
                <w:sz w:val="18"/>
                <w:szCs w:val="18"/>
              </w:rPr>
              <w:t>通过全国 中小企业 股份转让 系统以协 议转让的</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32" w:right="0"/>
              <w:jc w:val="left"/>
              <w:rPr>
                <w:rFonts w:ascii="Times New Roman" w:hAnsi="Times New Roman" w:cs="Times New Roman" w:eastAsia="Times New Roman" w:hint="default"/>
                <w:sz w:val="18"/>
                <w:szCs w:val="18"/>
              </w:rPr>
            </w:pPr>
            <w:r>
              <w:rPr>
                <w:rFonts w:ascii="Times New Roman"/>
                <w:sz w:val="18"/>
              </w:rPr>
              <w:t>2,586.43</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362" w:lineRule="auto"/>
              <w:ind w:left="23" w:right="65"/>
              <w:jc w:val="both"/>
              <w:rPr>
                <w:rFonts w:ascii="Times New Roman" w:hAnsi="Times New Roman" w:cs="Times New Roman" w:eastAsia="Times New Roman" w:hint="default"/>
                <w:sz w:val="18"/>
                <w:szCs w:val="18"/>
              </w:rPr>
            </w:pPr>
            <w:hyperlink r:id="rId18">
              <w:r>
                <w:rPr>
                  <w:rFonts w:ascii="Times New Roman"/>
                  <w:sz w:val="18"/>
                </w:rPr>
                <w:t>http://ww</w:t>
              </w:r>
            </w:hyperlink>
            <w:r>
              <w:rPr>
                <w:rFonts w:ascii="Times New Roman"/>
                <w:w w:val="99"/>
                <w:sz w:val="18"/>
              </w:rPr>
              <w:t> </w:t>
            </w:r>
            <w:r>
              <w:rPr>
                <w:rFonts w:ascii="Times New Roman"/>
                <w:sz w:val="18"/>
              </w:rPr>
              <w:t>w.cninfo.</w:t>
            </w:r>
            <w:r>
              <w:rPr>
                <w:rFonts w:ascii="Times New Roman"/>
                <w:sz w:val="18"/>
              </w:rPr>
              <w:t> com.cn</w:t>
            </w:r>
          </w:p>
        </w:tc>
      </w:tr>
    </w:tbl>
    <w:p>
      <w:pPr>
        <w:spacing w:after="0" w:line="362" w:lineRule="auto"/>
        <w:jc w:val="both"/>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r>
        <w:rPr/>
        <w:pict>
          <v:group style="position:absolute;margin-left:137.059998pt;margin-top:72.47998pt;width:39.4pt;height:329.7pt;mso-position-horizontal-relative:page;mso-position-vertical-relative:page;z-index:-1016536" coordorigin="2741,1450" coordsize="788,6594">
            <v:shape style="position:absolute;left:2741;top:1450;width:788;height:6594" coordorigin="2741,1450" coordsize="788,6594" path="m2741,8043l3528,8043,3528,1450,2741,1450,2741,8043xe" filled="true" fillcolor="#ffffff" stroked="false">
              <v:path arrowok="t"/>
              <v:fill type="solid"/>
            </v:shape>
            <w10:wrap type="none"/>
          </v:group>
        </w:pict>
      </w:r>
    </w:p>
    <w:tbl>
      <w:tblPr>
        <w:tblW w:w="0" w:type="auto"/>
        <w:jc w:val="left"/>
        <w:tblInd w:w="148" w:type="dxa"/>
        <w:tblLayout w:type="fixed"/>
        <w:tblCellMar>
          <w:top w:w="0" w:type="dxa"/>
          <w:left w:w="0" w:type="dxa"/>
          <w:bottom w:w="0" w:type="dxa"/>
          <w:right w:w="0" w:type="dxa"/>
        </w:tblCellMar>
        <w:tblLook w:val="01E0"/>
      </w:tblPr>
      <w:tblGrid>
        <w:gridCol w:w="850"/>
        <w:gridCol w:w="751"/>
        <w:gridCol w:w="799"/>
        <w:gridCol w:w="802"/>
        <w:gridCol w:w="797"/>
        <w:gridCol w:w="797"/>
        <w:gridCol w:w="797"/>
        <w:gridCol w:w="797"/>
        <w:gridCol w:w="797"/>
        <w:gridCol w:w="795"/>
        <w:gridCol w:w="799"/>
        <w:gridCol w:w="792"/>
      </w:tblGrid>
      <w:tr>
        <w:trPr>
          <w:trHeight w:val="6603"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94"/>
              <w:jc w:val="both"/>
              <w:rPr>
                <w:rFonts w:ascii="宋体" w:hAnsi="宋体" w:cs="宋体" w:eastAsia="宋体" w:hint="default"/>
                <w:sz w:val="18"/>
                <w:szCs w:val="18"/>
              </w:rPr>
            </w:pPr>
            <w:r>
              <w:rPr>
                <w:rFonts w:ascii="宋体" w:hAnsi="宋体" w:cs="宋体" w:eastAsia="宋体" w:hint="default"/>
                <w:sz w:val="18"/>
                <w:szCs w:val="18"/>
              </w:rPr>
              <w:t>瑞力骄阳 投资管理 合伙企业</w:t>
            </w:r>
          </w:p>
          <w:p>
            <w:pPr>
              <w:pStyle w:val="TableParagraph"/>
              <w:spacing w:line="316" w:lineRule="auto" w:before="19"/>
              <w:ind w:left="24" w:right="22"/>
              <w:jc w:val="left"/>
              <w:rPr>
                <w:rFonts w:ascii="宋体" w:hAnsi="宋体" w:cs="宋体" w:eastAsia="宋体" w:hint="default"/>
                <w:sz w:val="18"/>
                <w:szCs w:val="18"/>
              </w:rPr>
            </w:pPr>
            <w:r>
              <w:rPr>
                <w:rFonts w:ascii="宋体" w:hAnsi="宋体" w:cs="宋体" w:eastAsia="宋体" w:hint="default"/>
                <w:sz w:val="18"/>
                <w:szCs w:val="18"/>
              </w:rPr>
              <w:t>（有限合 </w:t>
            </w:r>
            <w:r>
              <w:rPr>
                <w:rFonts w:ascii="宋体" w:hAnsi="宋体" w:cs="宋体" w:eastAsia="宋体" w:hint="default"/>
                <w:spacing w:val="-22"/>
                <w:sz w:val="18"/>
                <w:szCs w:val="18"/>
              </w:rPr>
              <w:t>伙）、南京</w:t>
            </w:r>
            <w:r>
              <w:rPr>
                <w:rFonts w:ascii="宋体" w:hAnsi="宋体" w:cs="宋体" w:eastAsia="宋体" w:hint="default"/>
                <w:sz w:val="18"/>
                <w:szCs w:val="18"/>
              </w:rPr>
              <w:t> 元谷股权 投资合伙 企业（有 限合伙）</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3"/>
              <w:jc w:val="left"/>
              <w:rPr>
                <w:rFonts w:ascii="宋体" w:hAnsi="宋体" w:cs="宋体" w:eastAsia="宋体" w:hint="default"/>
                <w:sz w:val="18"/>
                <w:szCs w:val="18"/>
              </w:rPr>
            </w:pPr>
            <w:r>
              <w:rPr>
                <w:rFonts w:ascii="宋体" w:hAnsi="宋体" w:cs="宋体" w:eastAsia="宋体" w:hint="default"/>
                <w:sz w:val="18"/>
                <w:szCs w:val="18"/>
              </w:rPr>
              <w:t>理合伙 </w:t>
            </w:r>
            <w:r>
              <w:rPr>
                <w:rFonts w:ascii="宋体" w:hAnsi="宋体" w:cs="宋体" w:eastAsia="宋体" w:hint="default"/>
                <w:spacing w:val="-6"/>
                <w:sz w:val="18"/>
                <w:szCs w:val="18"/>
              </w:rPr>
              <w:t>企业（有</w:t>
            </w:r>
            <w:r>
              <w:rPr>
                <w:rFonts w:ascii="宋体" w:hAnsi="宋体" w:cs="宋体" w:eastAsia="宋体" w:hint="default"/>
                <w:sz w:val="18"/>
                <w:szCs w:val="18"/>
              </w:rPr>
              <w:t> 限合伙） 的执行 事务合 伙人杨 万强先 生系原 公司监 </w:t>
            </w:r>
            <w:r>
              <w:rPr>
                <w:rFonts w:ascii="宋体" w:hAnsi="宋体" w:cs="宋体" w:eastAsia="宋体" w:hint="default"/>
                <w:spacing w:val="-6"/>
                <w:sz w:val="18"/>
                <w:szCs w:val="18"/>
              </w:rPr>
              <w:t>事，截止</w:t>
            </w:r>
            <w:r>
              <w:rPr>
                <w:rFonts w:ascii="宋体" w:hAnsi="宋体" w:cs="宋体" w:eastAsia="宋体" w:hint="default"/>
                <w:sz w:val="18"/>
                <w:szCs w:val="18"/>
              </w:rPr>
              <w:t> 公告日 其正式 辞去监 事职务 尚未满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 故本次 与炽蓝 的交易 为关联 交易。</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40" w:right="0"/>
              <w:jc w:val="left"/>
              <w:rPr>
                <w:rFonts w:ascii="宋体" w:hAnsi="宋体" w:cs="宋体" w:eastAsia="宋体" w:hint="default"/>
                <w:sz w:val="18"/>
                <w:szCs w:val="18"/>
              </w:rPr>
            </w:pPr>
            <w:r>
              <w:rPr>
                <w:rFonts w:ascii="宋体" w:hAnsi="宋体" w:cs="宋体" w:eastAsia="宋体" w:hint="default"/>
                <w:sz w:val="18"/>
                <w:szCs w:val="18"/>
              </w:rPr>
              <w:t>，</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41"/>
              <w:jc w:val="both"/>
              <w:rPr>
                <w:rFonts w:ascii="宋体" w:hAnsi="宋体" w:cs="宋体" w:eastAsia="宋体" w:hint="default"/>
                <w:sz w:val="18"/>
                <w:szCs w:val="18"/>
              </w:rPr>
            </w:pPr>
            <w:r>
              <w:rPr>
                <w:rFonts w:ascii="宋体" w:hAnsi="宋体" w:cs="宋体" w:eastAsia="宋体" w:hint="default"/>
                <w:sz w:val="18"/>
                <w:szCs w:val="18"/>
              </w:rPr>
              <w:t>允，不存 在利用关 联关系损 害上市公 司利益的 行为，也 不存在损 害公司合 法利益或 向关联方 输送利益 的情形。</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41"/>
              <w:jc w:val="left"/>
              <w:rPr>
                <w:rFonts w:ascii="宋体" w:hAnsi="宋体" w:cs="宋体" w:eastAsia="宋体" w:hint="default"/>
                <w:sz w:val="18"/>
                <w:szCs w:val="18"/>
              </w:rPr>
            </w:pPr>
            <w:r>
              <w:rPr>
                <w:rFonts w:ascii="宋体" w:hAnsi="宋体" w:cs="宋体" w:eastAsia="宋体" w:hint="default"/>
                <w:sz w:val="18"/>
                <w:szCs w:val="18"/>
              </w:rPr>
              <w:t>方式转让 目标公司 股份，并 由受让方 通过全国 中小企业 股份转让 系统支付 相应对 价。</w:t>
            </w:r>
          </w:p>
        </w:tc>
        <w:tc>
          <w:tcPr>
            <w:tcW w:w="795"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20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08"/>
              <w:jc w:val="left"/>
              <w:rPr>
                <w:rFonts w:ascii="宋体" w:hAnsi="宋体" w:cs="宋体" w:eastAsia="宋体" w:hint="default"/>
                <w:sz w:val="18"/>
                <w:szCs w:val="18"/>
              </w:rPr>
            </w:pPr>
            <w:r>
              <w:rPr>
                <w:rFonts w:ascii="宋体" w:hAnsi="宋体" w:cs="宋体" w:eastAsia="宋体" w:hint="default"/>
                <w:sz w:val="18"/>
                <w:szCs w:val="18"/>
              </w:rPr>
              <w:t>转让价格与账面价值或评估价值差异较 大的原因（如有）</w:t>
            </w:r>
          </w:p>
        </w:tc>
        <w:tc>
          <w:tcPr>
            <w:tcW w:w="6371"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5" w:hRule="exact"/>
        </w:trPr>
        <w:tc>
          <w:tcPr>
            <w:tcW w:w="320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对公司经营成果与财务状况的影响情况</w:t>
            </w:r>
          </w:p>
        </w:tc>
        <w:tc>
          <w:tcPr>
            <w:tcW w:w="6371" w:type="dxa"/>
            <w:gridSpan w:val="8"/>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07"/>
              <w:jc w:val="left"/>
              <w:rPr>
                <w:rFonts w:ascii="宋体" w:hAnsi="宋体" w:cs="宋体" w:eastAsia="宋体" w:hint="default"/>
                <w:sz w:val="18"/>
                <w:szCs w:val="18"/>
              </w:rPr>
            </w:pPr>
            <w:r>
              <w:rPr>
                <w:rFonts w:ascii="宋体" w:hAnsi="宋体" w:cs="宋体" w:eastAsia="宋体" w:hint="default"/>
                <w:sz w:val="18"/>
                <w:szCs w:val="18"/>
              </w:rPr>
              <w:t>该笔交易所产生的净利润占归属于母公司股东的净利润的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47.07</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，对公司的利 润有较大的影响。</w:t>
            </w:r>
          </w:p>
        </w:tc>
      </w:tr>
      <w:tr>
        <w:trPr>
          <w:trHeight w:val="713" w:hRule="exact"/>
        </w:trPr>
        <w:tc>
          <w:tcPr>
            <w:tcW w:w="320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08"/>
              <w:jc w:val="left"/>
              <w:rPr>
                <w:rFonts w:ascii="宋体" w:hAnsi="宋体" w:cs="宋体" w:eastAsia="宋体" w:hint="default"/>
                <w:sz w:val="18"/>
                <w:szCs w:val="18"/>
              </w:rPr>
            </w:pPr>
            <w:r>
              <w:rPr>
                <w:rFonts w:ascii="宋体" w:hAnsi="宋体" w:cs="宋体" w:eastAsia="宋体" w:hint="default"/>
                <w:sz w:val="18"/>
                <w:szCs w:val="18"/>
              </w:rPr>
              <w:t>如相关交易涉及业绩约定的，报告期内 的业绩实现情况</w:t>
            </w:r>
          </w:p>
        </w:tc>
        <w:tc>
          <w:tcPr>
            <w:tcW w:w="6371"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61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公司报告期未发生共同对外投资的关联交易。</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67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公司报告期不存在关联债权债务往来。</w:t>
      </w:r>
    </w:p>
    <w:p>
      <w:pPr>
        <w:spacing w:line="240" w:lineRule="auto" w:before="5"/>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2"/>
        <w:rPr>
          <w:rFonts w:ascii="宋体" w:hAnsi="宋体" w:cs="宋体" w:eastAsia="宋体" w:hint="default"/>
          <w:b/>
          <w:bCs/>
          <w:sz w:val="26"/>
          <w:szCs w:val="26"/>
        </w:rPr>
      </w:pPr>
    </w:p>
    <w:p>
      <w:pPr>
        <w:spacing w:line="340" w:lineRule="auto" w:before="0"/>
        <w:ind w:left="152" w:right="70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公司报告期无其他重大关联交易。</w:t>
      </w:r>
    </w:p>
    <w:p>
      <w:pPr>
        <w:spacing w:after="0" w:line="3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十六、重大合同及其履行情况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4"/>
        <w:rPr>
          <w:rFonts w:ascii="宋体" w:hAnsi="宋体" w:cs="宋体" w:eastAsia="宋体" w:hint="default"/>
          <w:b/>
          <w:bCs/>
          <w:sz w:val="26"/>
          <w:szCs w:val="26"/>
        </w:rPr>
      </w:pPr>
    </w:p>
    <w:p>
      <w:pPr>
        <w:spacing w:line="338" w:lineRule="auto" w:before="0"/>
        <w:ind w:left="152" w:right="74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公司报告期不存在托管情况。</w:t>
      </w:r>
    </w:p>
    <w:p>
      <w:pPr>
        <w:spacing w:line="240" w:lineRule="auto" w:before="7"/>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5"/>
        <w:rPr>
          <w:rFonts w:ascii="宋体" w:hAnsi="宋体" w:cs="宋体" w:eastAsia="宋体" w:hint="default"/>
          <w:b/>
          <w:bCs/>
          <w:sz w:val="26"/>
          <w:szCs w:val="26"/>
        </w:rPr>
      </w:pPr>
    </w:p>
    <w:p>
      <w:pPr>
        <w:spacing w:line="338" w:lineRule="auto" w:before="0"/>
        <w:ind w:left="152" w:right="74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公司报告期不存在承包情况。</w:t>
      </w:r>
    </w:p>
    <w:p>
      <w:pPr>
        <w:spacing w:line="240" w:lineRule="auto" w:before="7"/>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81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租赁情况说明</w:t>
      </w:r>
    </w:p>
    <w:p>
      <w:pPr>
        <w:spacing w:line="300" w:lineRule="auto" w:before="39"/>
        <w:ind w:left="152" w:right="0" w:firstLine="0"/>
        <w:jc w:val="left"/>
        <w:rPr>
          <w:rFonts w:ascii="宋体" w:hAnsi="宋体" w:cs="宋体" w:eastAsia="宋体" w:hint="default"/>
          <w:sz w:val="18"/>
          <w:szCs w:val="18"/>
        </w:rPr>
      </w:pPr>
      <w:r>
        <w:rPr>
          <w:rFonts w:ascii="宋体" w:hAnsi="宋体" w:cs="宋体" w:eastAsia="宋体" w:hint="default"/>
          <w:spacing w:val="-2"/>
          <w:sz w:val="18"/>
          <w:szCs w:val="18"/>
        </w:rPr>
        <w:t>公司于</w:t>
      </w:r>
      <w:r>
        <w:rPr>
          <w:rFonts w:ascii="Times New Roman" w:hAnsi="Times New Roman" w:cs="Times New Roman" w:eastAsia="Times New Roman" w:hint="default"/>
          <w:spacing w:val="-2"/>
          <w:sz w:val="18"/>
          <w:szCs w:val="18"/>
        </w:rPr>
        <w:t>2014</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月，与上海福欣网络科技有限公司签署《租赁合同》，将公司位于上海市桂平路</w:t>
      </w:r>
      <w:r>
        <w:rPr>
          <w:rFonts w:ascii="Times New Roman" w:hAnsi="Times New Roman" w:cs="Times New Roman" w:eastAsia="Times New Roman" w:hint="default"/>
          <w:spacing w:val="-2"/>
          <w:sz w:val="18"/>
          <w:szCs w:val="18"/>
        </w:rPr>
        <w:t>481</w:t>
      </w:r>
      <w:r>
        <w:rPr>
          <w:rFonts w:ascii="宋体" w:hAnsi="宋体" w:cs="宋体" w:eastAsia="宋体" w:hint="default"/>
          <w:spacing w:val="-2"/>
          <w:sz w:val="18"/>
          <w:szCs w:val="18"/>
        </w:rPr>
        <w:t>号</w:t>
      </w:r>
      <w:r>
        <w:rPr>
          <w:rFonts w:ascii="Times New Roman" w:hAnsi="Times New Roman" w:cs="Times New Roman" w:eastAsia="Times New Roman" w:hint="default"/>
          <w:spacing w:val="-2"/>
          <w:sz w:val="18"/>
          <w:szCs w:val="18"/>
        </w:rPr>
        <w:t>18</w:t>
      </w:r>
      <w:r>
        <w:rPr>
          <w:rFonts w:ascii="宋体" w:hAnsi="宋体" w:cs="宋体" w:eastAsia="宋体" w:hint="default"/>
          <w:spacing w:val="-2"/>
          <w:sz w:val="18"/>
          <w:szCs w:val="18"/>
        </w:rPr>
        <w:t>号楼</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楼的房屋出租</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给上海福欣网络科技有限公司，租赁期为</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日至</w:t>
      </w: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p>
    <w:p>
      <w:pPr>
        <w:spacing w:before="130"/>
        <w:ind w:left="152" w:right="0" w:firstLine="0"/>
        <w:jc w:val="left"/>
        <w:rPr>
          <w:rFonts w:ascii="宋体" w:hAnsi="宋体" w:cs="宋体" w:eastAsia="宋体" w:hint="default"/>
          <w:sz w:val="18"/>
          <w:szCs w:val="18"/>
        </w:rPr>
      </w:pPr>
      <w:r>
        <w:rPr>
          <w:rFonts w:ascii="宋体" w:hAnsi="宋体" w:cs="宋体" w:eastAsia="宋体" w:hint="default"/>
          <w:sz w:val="18"/>
          <w:szCs w:val="18"/>
        </w:rPr>
        <w:t>为公司带来的损益达到公司报告期利润总额</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以上的项目</w:t>
      </w:r>
    </w:p>
    <w:p>
      <w:pPr>
        <w:spacing w:before="10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1"/>
        <w:ind w:left="152" w:right="0" w:firstLine="0"/>
        <w:jc w:val="left"/>
        <w:rPr>
          <w:rFonts w:ascii="宋体" w:hAnsi="宋体" w:cs="宋体" w:eastAsia="宋体" w:hint="default"/>
          <w:sz w:val="18"/>
          <w:szCs w:val="18"/>
        </w:rPr>
      </w:pPr>
      <w:r>
        <w:rPr>
          <w:rFonts w:ascii="宋体" w:hAnsi="宋体" w:cs="宋体" w:eastAsia="宋体" w:hint="default"/>
          <w:sz w:val="18"/>
          <w:szCs w:val="18"/>
        </w:rPr>
        <w:t>公司报告期不存在为公司带来的损益达到公司报告期利润总额</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以上的租赁项目。</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67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公司报告期不存在担保情况。</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4"/>
        <w:rPr>
          <w:rFonts w:ascii="宋体" w:hAnsi="宋体" w:cs="宋体" w:eastAsia="宋体" w:hint="default"/>
          <w:b/>
          <w:bCs/>
          <w:sz w:val="26"/>
          <w:szCs w:val="26"/>
        </w:rPr>
      </w:pPr>
    </w:p>
    <w:p>
      <w:pPr>
        <w:spacing w:line="338" w:lineRule="auto" w:before="0"/>
        <w:ind w:left="152" w:right="74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公司报告期不存在委托理财。</w:t>
      </w:r>
    </w:p>
    <w:p>
      <w:pPr>
        <w:spacing w:line="240" w:lineRule="auto" w:before="7"/>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74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公司报告期不存在委托贷款。</w:t>
      </w:r>
    </w:p>
    <w:p>
      <w:pPr>
        <w:spacing w:after="0" w:line="3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4"/>
        <w:rPr>
          <w:rFonts w:ascii="宋体" w:hAnsi="宋体" w:cs="宋体" w:eastAsia="宋体" w:hint="default"/>
          <w:b/>
          <w:bCs/>
          <w:sz w:val="26"/>
          <w:szCs w:val="26"/>
        </w:rPr>
      </w:pPr>
    </w:p>
    <w:p>
      <w:pPr>
        <w:spacing w:line="338" w:lineRule="auto" w:before="0"/>
        <w:ind w:left="152" w:right="70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公司报告期不存在其他重大合同。</w:t>
      </w:r>
    </w:p>
    <w:p>
      <w:pPr>
        <w:spacing w:line="240" w:lineRule="auto" w:before="8"/>
        <w:rPr>
          <w:rFonts w:ascii="宋体" w:hAnsi="宋体" w:cs="宋体" w:eastAsia="宋体" w:hint="default"/>
          <w:sz w:val="19"/>
          <w:szCs w:val="19"/>
        </w:rPr>
      </w:pPr>
    </w:p>
    <w:p>
      <w:pPr>
        <w:spacing w:line="506" w:lineRule="auto" w:before="0"/>
        <w:ind w:left="152" w:right="7605" w:firstLine="0"/>
        <w:jc w:val="left"/>
        <w:rPr>
          <w:rFonts w:ascii="宋体" w:hAnsi="宋体" w:cs="宋体" w:eastAsia="宋体" w:hint="default"/>
          <w:sz w:val="18"/>
          <w:szCs w:val="18"/>
        </w:rPr>
      </w:pPr>
      <w:r>
        <w:rPr>
          <w:rFonts w:ascii="宋体" w:hAnsi="宋体" w:cs="宋体" w:eastAsia="宋体" w:hint="default"/>
          <w:b/>
          <w:bCs/>
          <w:sz w:val="24"/>
          <w:szCs w:val="24"/>
        </w:rPr>
        <w:t>十七、社会责任情况</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、履行社会责任情况</w:t>
      </w:r>
      <w:r>
        <w:rPr>
          <w:rFonts w:ascii="宋体" w:hAnsi="宋体" w:cs="宋体" w:eastAsia="宋体" w:hint="default"/>
          <w:b/>
          <w:bCs/>
          <w:w w:val="100"/>
          <w:sz w:val="21"/>
          <w:szCs w:val="21"/>
        </w:rPr>
        <w:t> </w:t>
      </w:r>
      <w:r>
        <w:rPr>
          <w:rFonts w:ascii="宋体" w:hAnsi="宋体" w:cs="宋体" w:eastAsia="宋体" w:hint="default"/>
          <w:sz w:val="18"/>
          <w:szCs w:val="18"/>
        </w:rPr>
        <w:t>不适用</w:t>
      </w:r>
    </w:p>
    <w:p>
      <w:pPr>
        <w:pStyle w:val="Heading3"/>
        <w:spacing w:line="240" w:lineRule="auto" w:before="156"/>
        <w:ind w:right="0"/>
        <w:jc w:val="left"/>
        <w:rPr>
          <w:b w:val="0"/>
          <w:bCs w:val="0"/>
        </w:rPr>
      </w:pPr>
      <w:r>
        <w:rPr>
          <w:rFonts w:ascii="Times New Roman" w:hAnsi="Times New Roman" w:cs="Times New Roman" w:eastAsia="Times New Roman" w:hint="default"/>
        </w:rPr>
        <w:t>2</w:t>
      </w:r>
      <w:r>
        <w:rPr/>
        <w:t>、履行精准扶贫社会责任情况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）精准扶贫规划</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）年度精准扶贫概要</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）精准扶贫成效</w:t>
      </w:r>
      <w:r>
        <w:rPr>
          <w:b w:val="0"/>
          <w:bCs w:val="0"/>
        </w:rPr>
      </w:r>
    </w:p>
    <w:p>
      <w:pPr>
        <w:spacing w:line="240" w:lineRule="auto" w:before="8"/>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624"/>
        <w:gridCol w:w="1553"/>
        <w:gridCol w:w="4381"/>
      </w:tblGrid>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指标</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计量单位</w:t>
            </w:r>
          </w:p>
        </w:tc>
        <w:tc>
          <w:tcPr>
            <w:tcW w:w="4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 w:right="0"/>
              <w:jc w:val="center"/>
              <w:rPr>
                <w:rFonts w:ascii="宋体" w:hAnsi="宋体" w:cs="宋体" w:eastAsia="宋体" w:hint="default"/>
                <w:sz w:val="18"/>
                <w:szCs w:val="18"/>
              </w:rPr>
            </w:pPr>
            <w:r>
              <w:rPr>
                <w:rFonts w:ascii="宋体" w:hAnsi="宋体" w:cs="宋体" w:eastAsia="宋体" w:hint="default"/>
                <w:sz w:val="18"/>
                <w:szCs w:val="18"/>
              </w:rPr>
              <w:t>数量</w:t>
            </w:r>
            <w:r>
              <w:rPr>
                <w:rFonts w:ascii="Times New Roman" w:hAnsi="Times New Roman" w:cs="Times New Roman" w:eastAsia="Times New Roman" w:hint="default"/>
                <w:sz w:val="18"/>
                <w:szCs w:val="18"/>
              </w:rPr>
              <w:t>/</w:t>
            </w:r>
            <w:r>
              <w:rPr>
                <w:rFonts w:ascii="宋体" w:hAnsi="宋体" w:cs="宋体" w:eastAsia="宋体" w:hint="default"/>
                <w:sz w:val="18"/>
                <w:szCs w:val="18"/>
              </w:rPr>
              <w:t>开展情况</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一、总体情况</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二、分项投入</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产业发展脱贫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转移就业脱贫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易地搬迁脱贫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教育扶贫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健康扶贫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生态保护扶贫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7.</w:t>
            </w:r>
            <w:r>
              <w:rPr>
                <w:rFonts w:ascii="宋体" w:hAnsi="宋体" w:cs="宋体" w:eastAsia="宋体" w:hint="default"/>
                <w:sz w:val="18"/>
                <w:szCs w:val="18"/>
              </w:rPr>
              <w:t>兜底保障</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社会扶贫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其他项目</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三、所获奖项（内容、级别）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4</w:t>
      </w:r>
      <w:r>
        <w:rPr/>
        <w:t>）后续精准扶贫计划</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3</w:t>
      </w:r>
      <w:r>
        <w:rPr/>
        <w:t>、环境保护相关的情况</w:t>
      </w:r>
      <w:r>
        <w:rPr>
          <w:b w:val="0"/>
          <w:bCs w:val="0"/>
        </w:rPr>
      </w:r>
    </w:p>
    <w:p>
      <w:pPr>
        <w:spacing w:line="240" w:lineRule="auto" w:before="2"/>
        <w:rPr>
          <w:rFonts w:ascii="宋体" w:hAnsi="宋体" w:cs="宋体" w:eastAsia="宋体" w:hint="default"/>
          <w:b/>
          <w:bCs/>
          <w:sz w:val="26"/>
          <w:szCs w:val="26"/>
        </w:rPr>
      </w:pPr>
    </w:p>
    <w:p>
      <w:pPr>
        <w:spacing w:line="360" w:lineRule="auto" w:before="0"/>
        <w:ind w:left="152" w:right="4734" w:firstLine="0"/>
        <w:jc w:val="left"/>
        <w:rPr>
          <w:rFonts w:ascii="宋体" w:hAnsi="宋体" w:cs="宋体" w:eastAsia="宋体" w:hint="default"/>
          <w:sz w:val="18"/>
          <w:szCs w:val="18"/>
        </w:rPr>
      </w:pPr>
      <w:r>
        <w:rPr>
          <w:rFonts w:ascii="宋体" w:hAnsi="宋体" w:cs="宋体" w:eastAsia="宋体" w:hint="default"/>
          <w:sz w:val="18"/>
          <w:szCs w:val="18"/>
        </w:rPr>
        <w:t>上市公司及其子公司是否属于环境保护部门公布的重点排污单位 否</w:t>
      </w:r>
    </w:p>
    <w:p>
      <w:pPr>
        <w:spacing w:before="27"/>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十八、其他重大事项的说明</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393" w:lineRule="auto" w:before="157"/>
        <w:ind w:right="0"/>
        <w:jc w:val="left"/>
      </w:pPr>
      <w:r>
        <w:rPr/>
        <w:pict>
          <v:shape style="position:absolute;margin-left:56.279999pt;margin-top:168.463669pt;width:428.05pt;height:198.5pt;mso-position-horizontal-relative:page;mso-position-vertical-relative:paragraph;z-index:1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75"/>
                    <w:gridCol w:w="2554"/>
                    <w:gridCol w:w="2693"/>
                    <w:gridCol w:w="2602"/>
                  </w:tblGrid>
                  <w:tr>
                    <w:trPr>
                      <w:trHeight w:val="511" w:hRule="exact"/>
                    </w:trPr>
                    <w:tc>
                      <w:tcPr>
                        <w:tcW w:w="675" w:type="dxa"/>
                        <w:tcBorders>
                          <w:top w:val="single" w:sz="6" w:space="0" w:color="000000"/>
                          <w:left w:val="single" w:sz="6" w:space="0" w:color="000000"/>
                          <w:bottom w:val="single" w:sz="12" w:space="0" w:color="000000"/>
                          <w:right w:val="single" w:sz="12" w:space="0" w:color="000000"/>
                        </w:tcBorders>
                        <w:shd w:val="clear" w:color="auto" w:fill="D9D9D9"/>
                      </w:tcPr>
                      <w:p>
                        <w:pPr>
                          <w:pStyle w:val="TableParagraph"/>
                          <w:spacing w:line="240" w:lineRule="auto" w:before="76"/>
                          <w:ind w:left="9" w:right="0"/>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2554" w:type="dxa"/>
                        <w:tcBorders>
                          <w:top w:val="single" w:sz="6" w:space="0" w:color="000000"/>
                          <w:left w:val="single" w:sz="12" w:space="0" w:color="000000"/>
                          <w:bottom w:val="single" w:sz="12" w:space="0" w:color="000000"/>
                          <w:right w:val="single" w:sz="12" w:space="0" w:color="000000"/>
                        </w:tcBorders>
                        <w:shd w:val="clear" w:color="auto" w:fill="D9D9D9"/>
                      </w:tcPr>
                      <w:p>
                        <w:pPr>
                          <w:pStyle w:val="TableParagraph"/>
                          <w:spacing w:line="240" w:lineRule="auto" w:before="76"/>
                          <w:ind w:right="3"/>
                          <w:jc w:val="center"/>
                          <w:rPr>
                            <w:rFonts w:ascii="宋体" w:hAnsi="宋体" w:cs="宋体" w:eastAsia="宋体" w:hint="default"/>
                            <w:sz w:val="21"/>
                            <w:szCs w:val="21"/>
                          </w:rPr>
                        </w:pPr>
                        <w:r>
                          <w:rPr>
                            <w:rFonts w:ascii="宋体" w:hAnsi="宋体" w:cs="宋体" w:eastAsia="宋体" w:hint="default"/>
                            <w:b/>
                            <w:bCs/>
                            <w:sz w:val="21"/>
                            <w:szCs w:val="21"/>
                          </w:rPr>
                          <w:t>项目名称</w:t>
                        </w:r>
                        <w:r>
                          <w:rPr>
                            <w:rFonts w:ascii="宋体" w:hAnsi="宋体" w:cs="宋体" w:eastAsia="宋体" w:hint="default"/>
                            <w:sz w:val="21"/>
                            <w:szCs w:val="21"/>
                          </w:rPr>
                        </w:r>
                      </w:p>
                    </w:tc>
                    <w:tc>
                      <w:tcPr>
                        <w:tcW w:w="2693" w:type="dxa"/>
                        <w:tcBorders>
                          <w:top w:val="single" w:sz="6" w:space="0" w:color="000000"/>
                          <w:left w:val="single" w:sz="12" w:space="0" w:color="000000"/>
                          <w:bottom w:val="single" w:sz="12" w:space="0" w:color="000000"/>
                          <w:right w:val="single" w:sz="12" w:space="0" w:color="000000"/>
                        </w:tcBorders>
                        <w:shd w:val="clear" w:color="auto" w:fill="D9D9D9"/>
                      </w:tcPr>
                      <w:p>
                        <w:pPr>
                          <w:pStyle w:val="TableParagraph"/>
                          <w:spacing w:line="240" w:lineRule="auto" w:before="76"/>
                          <w:ind w:left="376" w:right="0"/>
                          <w:jc w:val="left"/>
                          <w:rPr>
                            <w:rFonts w:ascii="宋体" w:hAnsi="宋体" w:cs="宋体" w:eastAsia="宋体" w:hint="default"/>
                            <w:sz w:val="21"/>
                            <w:szCs w:val="21"/>
                          </w:rPr>
                        </w:pPr>
                        <w:r>
                          <w:rPr>
                            <w:rFonts w:ascii="宋体" w:hAnsi="宋体" w:cs="宋体" w:eastAsia="宋体" w:hint="default"/>
                            <w:b/>
                            <w:bCs/>
                            <w:sz w:val="21"/>
                            <w:szCs w:val="21"/>
                          </w:rPr>
                          <w:t>拟投资金额（万元）</w:t>
                        </w:r>
                        <w:r>
                          <w:rPr>
                            <w:rFonts w:ascii="宋体" w:hAnsi="宋体" w:cs="宋体" w:eastAsia="宋体" w:hint="default"/>
                            <w:sz w:val="21"/>
                            <w:szCs w:val="21"/>
                          </w:rPr>
                        </w:r>
                      </w:p>
                    </w:tc>
                    <w:tc>
                      <w:tcPr>
                        <w:tcW w:w="2602" w:type="dxa"/>
                        <w:tcBorders>
                          <w:top w:val="single" w:sz="6" w:space="0" w:color="000000"/>
                          <w:left w:val="single" w:sz="12" w:space="0" w:color="000000"/>
                          <w:bottom w:val="single" w:sz="12" w:space="0" w:color="000000"/>
                          <w:right w:val="single" w:sz="12" w:space="0" w:color="000000"/>
                        </w:tcBorders>
                        <w:shd w:val="clear" w:color="auto" w:fill="D9D9D9"/>
                      </w:tcPr>
                      <w:p>
                        <w:pPr>
                          <w:pStyle w:val="TableParagraph"/>
                          <w:spacing w:line="240" w:lineRule="auto" w:before="76"/>
                          <w:ind w:left="122" w:right="0"/>
                          <w:jc w:val="left"/>
                          <w:rPr>
                            <w:rFonts w:ascii="宋体" w:hAnsi="宋体" w:cs="宋体" w:eastAsia="宋体" w:hint="default"/>
                            <w:sz w:val="21"/>
                            <w:szCs w:val="21"/>
                          </w:rPr>
                        </w:pPr>
                        <w:r>
                          <w:rPr>
                            <w:rFonts w:ascii="宋体" w:hAnsi="宋体" w:cs="宋体" w:eastAsia="宋体" w:hint="default"/>
                            <w:b/>
                            <w:bCs/>
                            <w:sz w:val="21"/>
                            <w:szCs w:val="21"/>
                          </w:rPr>
                          <w:t>拟投入募集资金（万元）</w:t>
                        </w:r>
                        <w:r>
                          <w:rPr>
                            <w:rFonts w:ascii="宋体" w:hAnsi="宋体" w:cs="宋体" w:eastAsia="宋体" w:hint="default"/>
                            <w:sz w:val="21"/>
                            <w:szCs w:val="21"/>
                          </w:rPr>
                        </w:r>
                      </w:p>
                    </w:tc>
                  </w:tr>
                  <w:tr>
                    <w:trPr>
                      <w:trHeight w:val="506" w:hRule="exact"/>
                    </w:trPr>
                    <w:tc>
                      <w:tcPr>
                        <w:tcW w:w="675"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111"/>
                          <w:ind w:left="10" w:right="0"/>
                          <w:jc w:val="center"/>
                          <w:rPr>
                            <w:rFonts w:ascii="Times New Roman" w:hAnsi="Times New Roman" w:cs="Times New Roman" w:eastAsia="Times New Roman" w:hint="default"/>
                            <w:sz w:val="21"/>
                            <w:szCs w:val="21"/>
                          </w:rPr>
                        </w:pPr>
                        <w:r>
                          <w:rPr>
                            <w:rFonts w:ascii="Times New Roman"/>
                            <w:w w:val="100"/>
                            <w:sz w:val="21"/>
                          </w:rPr>
                          <w:t>1</w:t>
                        </w:r>
                      </w:p>
                    </w:tc>
                    <w:tc>
                      <w:tcPr>
                        <w:tcW w:w="255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4"/>
                          <w:ind w:right="5"/>
                          <w:jc w:val="center"/>
                          <w:rPr>
                            <w:rFonts w:ascii="宋体" w:hAnsi="宋体" w:cs="宋体" w:eastAsia="宋体" w:hint="default"/>
                            <w:sz w:val="21"/>
                            <w:szCs w:val="21"/>
                          </w:rPr>
                        </w:pPr>
                        <w:r>
                          <w:rPr>
                            <w:rFonts w:ascii="宋体" w:hAnsi="宋体" w:cs="宋体" w:eastAsia="宋体" w:hint="default"/>
                            <w:sz w:val="21"/>
                            <w:szCs w:val="21"/>
                          </w:rPr>
                          <w:t>智慧数据中心项目</w:t>
                        </w:r>
                      </w:p>
                    </w:tc>
                    <w:tc>
                      <w:tcPr>
                        <w:tcW w:w="269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1"/>
                          <w:ind w:right="0"/>
                          <w:jc w:val="right"/>
                          <w:rPr>
                            <w:rFonts w:ascii="Times New Roman" w:hAnsi="Times New Roman" w:cs="Times New Roman" w:eastAsia="Times New Roman" w:hint="default"/>
                            <w:sz w:val="21"/>
                            <w:szCs w:val="21"/>
                          </w:rPr>
                        </w:pPr>
                        <w:r>
                          <w:rPr>
                            <w:rFonts w:ascii="Times New Roman"/>
                            <w:spacing w:val="-1"/>
                            <w:sz w:val="21"/>
                          </w:rPr>
                          <w:t>18,715.00</w:t>
                        </w:r>
                      </w:p>
                    </w:tc>
                    <w:tc>
                      <w:tcPr>
                        <w:tcW w:w="260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1"/>
                          <w:ind w:right="0"/>
                          <w:jc w:val="right"/>
                          <w:rPr>
                            <w:rFonts w:ascii="Times New Roman" w:hAnsi="Times New Roman" w:cs="Times New Roman" w:eastAsia="Times New Roman" w:hint="default"/>
                            <w:sz w:val="21"/>
                            <w:szCs w:val="21"/>
                          </w:rPr>
                        </w:pPr>
                        <w:r>
                          <w:rPr>
                            <w:rFonts w:ascii="Times New Roman"/>
                            <w:spacing w:val="-1"/>
                            <w:sz w:val="21"/>
                          </w:rPr>
                          <w:t>8,719.00</w:t>
                        </w:r>
                      </w:p>
                    </w:tc>
                  </w:tr>
                  <w:tr>
                    <w:trPr>
                      <w:trHeight w:val="1445" w:hRule="exact"/>
                    </w:trPr>
                    <w:tc>
                      <w:tcPr>
                        <w:tcW w:w="675"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113"/>
                          <w:ind w:left="10" w:right="0"/>
                          <w:jc w:val="center"/>
                          <w:rPr>
                            <w:rFonts w:ascii="Times New Roman" w:hAnsi="Times New Roman" w:cs="Times New Roman" w:eastAsia="Times New Roman" w:hint="default"/>
                            <w:sz w:val="21"/>
                            <w:szCs w:val="21"/>
                          </w:rPr>
                        </w:pPr>
                        <w:r>
                          <w:rPr>
                            <w:rFonts w:ascii="Times New Roman"/>
                            <w:w w:val="100"/>
                            <w:sz w:val="21"/>
                          </w:rPr>
                          <w:t>2</w:t>
                        </w:r>
                      </w:p>
                    </w:tc>
                    <w:tc>
                      <w:tcPr>
                        <w:tcW w:w="2554" w:type="dxa"/>
                        <w:tcBorders>
                          <w:top w:val="single" w:sz="12" w:space="0" w:color="000000"/>
                          <w:left w:val="single" w:sz="12" w:space="0" w:color="000000"/>
                          <w:bottom w:val="single" w:sz="12" w:space="0" w:color="000000"/>
                          <w:right w:val="single" w:sz="12" w:space="0" w:color="000000"/>
                        </w:tcBorders>
                      </w:tcPr>
                      <w:p>
                        <w:pPr>
                          <w:pStyle w:val="TableParagraph"/>
                          <w:spacing w:line="398" w:lineRule="auto" w:before="66"/>
                          <w:ind w:left="-3" w:right="2"/>
                          <w:jc w:val="center"/>
                          <w:rPr>
                            <w:rFonts w:ascii="宋体" w:hAnsi="宋体" w:cs="宋体" w:eastAsia="宋体" w:hint="default"/>
                            <w:sz w:val="21"/>
                            <w:szCs w:val="21"/>
                          </w:rPr>
                        </w:pPr>
                        <w:r>
                          <w:rPr>
                            <w:rFonts w:ascii="宋体" w:hAnsi="宋体" w:cs="宋体" w:eastAsia="宋体" w:hint="default"/>
                            <w:spacing w:val="-2"/>
                            <w:sz w:val="21"/>
                            <w:szCs w:val="21"/>
                          </w:rPr>
                          <w:t>智慧通讯云项目</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基于客</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服需求的企业内部数据</w:t>
                        </w:r>
                        <w:r>
                          <w:rPr>
                            <w:rFonts w:ascii="宋体" w:hAnsi="宋体" w:cs="宋体" w:eastAsia="宋体" w:hint="default"/>
                            <w:w w:val="100"/>
                            <w:sz w:val="21"/>
                            <w:szCs w:val="21"/>
                          </w:rPr>
                          <w:t> </w:t>
                        </w:r>
                        <w:r>
                          <w:rPr>
                            <w:rFonts w:ascii="宋体" w:hAnsi="宋体" w:cs="宋体" w:eastAsia="宋体" w:hint="default"/>
                            <w:sz w:val="21"/>
                            <w:szCs w:val="21"/>
                          </w:rPr>
                          <w:t>分析与整合</w:t>
                        </w:r>
                      </w:p>
                    </w:tc>
                    <w:tc>
                      <w:tcPr>
                        <w:tcW w:w="269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3"/>
                          <w:ind w:right="0"/>
                          <w:jc w:val="right"/>
                          <w:rPr>
                            <w:rFonts w:ascii="Times New Roman" w:hAnsi="Times New Roman" w:cs="Times New Roman" w:eastAsia="Times New Roman" w:hint="default"/>
                            <w:sz w:val="21"/>
                            <w:szCs w:val="21"/>
                          </w:rPr>
                        </w:pPr>
                        <w:r>
                          <w:rPr>
                            <w:rFonts w:ascii="Times New Roman"/>
                            <w:spacing w:val="-1"/>
                            <w:sz w:val="21"/>
                          </w:rPr>
                          <w:t>34,006.00</w:t>
                        </w:r>
                      </w:p>
                    </w:tc>
                    <w:tc>
                      <w:tcPr>
                        <w:tcW w:w="260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3"/>
                          <w:ind w:right="3"/>
                          <w:jc w:val="right"/>
                          <w:rPr>
                            <w:rFonts w:ascii="Times New Roman" w:hAnsi="Times New Roman" w:cs="Times New Roman" w:eastAsia="Times New Roman" w:hint="default"/>
                            <w:sz w:val="21"/>
                            <w:szCs w:val="21"/>
                          </w:rPr>
                        </w:pPr>
                        <w:r>
                          <w:rPr>
                            <w:rFonts w:ascii="Times New Roman"/>
                            <w:spacing w:val="-1"/>
                            <w:sz w:val="21"/>
                          </w:rPr>
                          <w:t>28,584.00</w:t>
                        </w:r>
                      </w:p>
                    </w:tc>
                  </w:tr>
                  <w:tr>
                    <w:trPr>
                      <w:trHeight w:val="977" w:hRule="exact"/>
                    </w:trPr>
                    <w:tc>
                      <w:tcPr>
                        <w:tcW w:w="675"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114"/>
                          <w:ind w:left="10" w:right="0"/>
                          <w:jc w:val="center"/>
                          <w:rPr>
                            <w:rFonts w:ascii="Times New Roman" w:hAnsi="Times New Roman" w:cs="Times New Roman" w:eastAsia="Times New Roman" w:hint="default"/>
                            <w:sz w:val="21"/>
                            <w:szCs w:val="21"/>
                          </w:rPr>
                        </w:pPr>
                        <w:r>
                          <w:rPr>
                            <w:rFonts w:ascii="Times New Roman"/>
                            <w:w w:val="100"/>
                            <w:sz w:val="21"/>
                          </w:rPr>
                          <w:t>3</w:t>
                        </w:r>
                      </w:p>
                    </w:tc>
                    <w:tc>
                      <w:tcPr>
                        <w:tcW w:w="2554" w:type="dxa"/>
                        <w:tcBorders>
                          <w:top w:val="single" w:sz="12" w:space="0" w:color="000000"/>
                          <w:left w:val="single" w:sz="12" w:space="0" w:color="000000"/>
                          <w:bottom w:val="single" w:sz="12" w:space="0" w:color="000000"/>
                          <w:right w:val="single" w:sz="12" w:space="0" w:color="000000"/>
                        </w:tcBorders>
                      </w:tcPr>
                      <w:p>
                        <w:pPr>
                          <w:pStyle w:val="TableParagraph"/>
                          <w:spacing w:line="408" w:lineRule="auto" w:before="67"/>
                          <w:ind w:left="1151" w:right="2" w:hanging="1155"/>
                          <w:jc w:val="left"/>
                          <w:rPr>
                            <w:rFonts w:ascii="宋体" w:hAnsi="宋体" w:cs="宋体" w:eastAsia="宋体" w:hint="default"/>
                            <w:sz w:val="21"/>
                            <w:szCs w:val="21"/>
                          </w:rPr>
                        </w:pPr>
                        <w:r>
                          <w:rPr>
                            <w:rFonts w:ascii="宋体" w:hAnsi="宋体" w:cs="宋体" w:eastAsia="宋体" w:hint="default"/>
                            <w:sz w:val="21"/>
                            <w:szCs w:val="21"/>
                          </w:rPr>
                          <w:t>研发中心及总部办公大楼项</w:t>
                        </w:r>
                        <w:r>
                          <w:rPr>
                            <w:rFonts w:ascii="宋体" w:hAnsi="宋体" w:cs="宋体" w:eastAsia="宋体" w:hint="default"/>
                            <w:w w:val="100"/>
                            <w:sz w:val="21"/>
                            <w:szCs w:val="21"/>
                          </w:rPr>
                          <w:t> </w:t>
                        </w:r>
                        <w:r>
                          <w:rPr>
                            <w:rFonts w:ascii="宋体" w:hAnsi="宋体" w:cs="宋体" w:eastAsia="宋体" w:hint="default"/>
                            <w:sz w:val="21"/>
                            <w:szCs w:val="21"/>
                          </w:rPr>
                          <w:t>目</w:t>
                        </w:r>
                      </w:p>
                    </w:tc>
                    <w:tc>
                      <w:tcPr>
                        <w:tcW w:w="269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4"/>
                          <w:ind w:right="0"/>
                          <w:jc w:val="right"/>
                          <w:rPr>
                            <w:rFonts w:ascii="Times New Roman" w:hAnsi="Times New Roman" w:cs="Times New Roman" w:eastAsia="Times New Roman" w:hint="default"/>
                            <w:sz w:val="21"/>
                            <w:szCs w:val="21"/>
                          </w:rPr>
                        </w:pPr>
                        <w:r>
                          <w:rPr>
                            <w:rFonts w:ascii="Times New Roman"/>
                            <w:spacing w:val="-1"/>
                            <w:sz w:val="21"/>
                          </w:rPr>
                          <w:t>23,000.00</w:t>
                        </w:r>
                      </w:p>
                    </w:tc>
                    <w:tc>
                      <w:tcPr>
                        <w:tcW w:w="260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4"/>
                          <w:ind w:right="0"/>
                          <w:jc w:val="right"/>
                          <w:rPr>
                            <w:rFonts w:ascii="Times New Roman" w:hAnsi="Times New Roman" w:cs="Times New Roman" w:eastAsia="Times New Roman" w:hint="default"/>
                            <w:sz w:val="21"/>
                            <w:szCs w:val="21"/>
                          </w:rPr>
                        </w:pPr>
                        <w:r>
                          <w:rPr>
                            <w:rFonts w:ascii="Times New Roman"/>
                            <w:spacing w:val="-1"/>
                            <w:sz w:val="21"/>
                          </w:rPr>
                          <w:t>23,000.00</w:t>
                        </w:r>
                      </w:p>
                    </w:tc>
                  </w:tr>
                  <w:tr>
                    <w:trPr>
                      <w:trHeight w:val="509" w:hRule="exact"/>
                    </w:trPr>
                    <w:tc>
                      <w:tcPr>
                        <w:tcW w:w="3229" w:type="dxa"/>
                        <w:gridSpan w:val="2"/>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64"/>
                          <w:ind w:left="4"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69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6"/>
                          <w:ind w:right="0"/>
                          <w:jc w:val="right"/>
                          <w:rPr>
                            <w:rFonts w:ascii="Times New Roman" w:hAnsi="Times New Roman" w:cs="Times New Roman" w:eastAsia="Times New Roman" w:hint="default"/>
                            <w:sz w:val="21"/>
                            <w:szCs w:val="21"/>
                          </w:rPr>
                        </w:pPr>
                        <w:r>
                          <w:rPr>
                            <w:rFonts w:ascii="Times New Roman"/>
                            <w:b/>
                            <w:spacing w:val="-1"/>
                            <w:sz w:val="21"/>
                          </w:rPr>
                          <w:t>75,721.00</w:t>
                        </w:r>
                        <w:r>
                          <w:rPr>
                            <w:rFonts w:ascii="Times New Roman"/>
                            <w:spacing w:val="-1"/>
                            <w:sz w:val="21"/>
                          </w:rPr>
                        </w:r>
                      </w:p>
                    </w:tc>
                    <w:tc>
                      <w:tcPr>
                        <w:tcW w:w="260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6"/>
                          <w:ind w:right="0"/>
                          <w:jc w:val="right"/>
                          <w:rPr>
                            <w:rFonts w:ascii="Times New Roman" w:hAnsi="Times New Roman" w:cs="Times New Roman" w:eastAsia="Times New Roman" w:hint="default"/>
                            <w:sz w:val="21"/>
                            <w:szCs w:val="21"/>
                          </w:rPr>
                        </w:pPr>
                        <w:r>
                          <w:rPr>
                            <w:rFonts w:ascii="Times New Roman"/>
                            <w:b/>
                            <w:spacing w:val="-1"/>
                            <w:sz w:val="21"/>
                          </w:rPr>
                          <w:t>60,303.00</w:t>
                        </w:r>
                        <w:r>
                          <w:rPr>
                            <w:rFonts w:ascii="Times New Roman"/>
                            <w:spacing w:val="-1"/>
                            <w:sz w:val="21"/>
                          </w:rPr>
                        </w:r>
                      </w:p>
                    </w:tc>
                  </w:tr>
                </w:tbl>
                <w:p>
                  <w:pPr/>
                </w:p>
              </w:txbxContent>
            </v:textbox>
            <w10:wrap type="none"/>
          </v:shape>
        </w:pict>
      </w:r>
      <w:r>
        <w:rPr/>
        <w:t>一、关于公司非公开发行股票的进展情况</w:t>
      </w:r>
      <w:r>
        <w:rPr>
          <w:w w:val="100"/>
        </w:rPr>
        <w:t> </w:t>
      </w: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17</w:t>
      </w:r>
      <w:r>
        <w:rPr>
          <w:spacing w:val="-2"/>
        </w:rPr>
        <w:t>日，中国证券监督管理委员会发行审核委员会对公司非公开发行股票申请进行了审核。根</w:t>
      </w:r>
      <w:r>
        <w:rPr>
          <w:spacing w:val="-37"/>
        </w:rPr>
        <w:t> </w:t>
      </w:r>
      <w:r>
        <w:rPr>
          <w:spacing w:val="-37"/>
        </w:rPr>
      </w:r>
      <w:r>
        <w:rPr/>
        <w:t>据审核结果，公司非公开发行股票申请获得审核通过。</w:t>
      </w:r>
      <w:r>
        <w:rPr>
          <w:w w:val="100"/>
        </w:rPr>
        <w:t> </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19</w:t>
      </w:r>
      <w:r>
        <w:rPr>
          <w:spacing w:val="-2"/>
        </w:rPr>
        <w:t>日，公司收到中国证券监督管理委员会《关于核准上海天玑科技股份有限公司非公开发行</w:t>
      </w:r>
      <w:r>
        <w:rPr>
          <w:spacing w:val="-36"/>
        </w:rPr>
        <w:t> </w:t>
      </w:r>
      <w:r>
        <w:rPr>
          <w:spacing w:val="-36"/>
        </w:rPr>
      </w:r>
      <w:r>
        <w:rPr/>
        <w:t>股票的批复》（证监许可【</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1147</w:t>
      </w:r>
      <w:r>
        <w:rPr/>
        <w:t>号），核准公司非公开发行不超过</w:t>
      </w:r>
      <w:r>
        <w:rPr>
          <w:rFonts w:ascii="Times New Roman" w:hAnsi="Times New Roman" w:cs="Times New Roman" w:eastAsia="Times New Roman" w:hint="default"/>
        </w:rPr>
        <w:t>5,000</w:t>
      </w:r>
      <w:r>
        <w:rPr/>
        <w:t>万股新股。</w:t>
      </w:r>
      <w:r>
        <w:rPr>
          <w:w w:val="100"/>
        </w:rPr>
        <w:t> </w:t>
      </w:r>
      <w:r>
        <w:rPr>
          <w:rFonts w:ascii="Times New Roman" w:hAnsi="Times New Roman" w:cs="Times New Roman" w:eastAsia="Times New Roman" w:hint="default"/>
          <w:spacing w:val="-2"/>
        </w:rPr>
        <w:t>3</w:t>
      </w:r>
      <w:r>
        <w:rPr>
          <w:spacing w:val="-2"/>
        </w:rPr>
        <w:t>、公司本次非公开发行股票</w:t>
      </w:r>
      <w:r>
        <w:rPr>
          <w:rFonts w:ascii="Times New Roman" w:hAnsi="Times New Roman" w:cs="Times New Roman" w:eastAsia="Times New Roman" w:hint="default"/>
          <w:spacing w:val="-2"/>
        </w:rPr>
        <w:t>45,511,698</w:t>
      </w:r>
      <w:r>
        <w:rPr>
          <w:spacing w:val="-2"/>
        </w:rPr>
        <w:t>股，发行价格为</w:t>
      </w:r>
      <w:r>
        <w:rPr>
          <w:rFonts w:ascii="Times New Roman" w:hAnsi="Times New Roman" w:cs="Times New Roman" w:eastAsia="Times New Roman" w:hint="default"/>
          <w:spacing w:val="-2"/>
        </w:rPr>
        <w:t>13.25</w:t>
      </w:r>
      <w:r>
        <w:rPr>
          <w:spacing w:val="-2"/>
        </w:rPr>
        <w:t>元</w:t>
      </w:r>
      <w:r>
        <w:rPr>
          <w:rFonts w:ascii="Times New Roman" w:hAnsi="Times New Roman" w:cs="Times New Roman" w:eastAsia="Times New Roman" w:hint="default"/>
          <w:spacing w:val="-2"/>
        </w:rPr>
        <w:t>/</w:t>
      </w:r>
      <w:r>
        <w:rPr>
          <w:spacing w:val="-2"/>
        </w:rPr>
        <w:t>股，募集资金总额为</w:t>
      </w:r>
      <w:r>
        <w:rPr>
          <w:rFonts w:ascii="Times New Roman" w:hAnsi="Times New Roman" w:cs="Times New Roman" w:eastAsia="Times New Roman" w:hint="default"/>
          <w:spacing w:val="-2"/>
        </w:rPr>
        <w:t>603,029,998.50</w:t>
      </w:r>
      <w:r>
        <w:rPr>
          <w:spacing w:val="-2"/>
        </w:rPr>
        <w:t>元，募</w:t>
      </w:r>
      <w:r>
        <w:rPr>
          <w:spacing w:val="5"/>
        </w:rPr>
        <w:t> </w:t>
      </w:r>
      <w:r>
        <w:rPr>
          <w:spacing w:val="5"/>
        </w:rPr>
      </w:r>
      <w:r>
        <w:rPr/>
        <w:t>集资金净额为</w:t>
      </w:r>
      <w:r>
        <w:rPr>
          <w:rFonts w:ascii="Times New Roman" w:hAnsi="Times New Roman" w:cs="Times New Roman" w:eastAsia="Times New Roman" w:hint="default"/>
        </w:rPr>
        <w:t>590,163,655.37</w:t>
      </w:r>
      <w:r>
        <w:rPr/>
        <w:t>元，将全部用于以下募投项目：</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2"/>
          <w:szCs w:val="22"/>
        </w:rPr>
      </w:pPr>
    </w:p>
    <w:p>
      <w:pPr>
        <w:pStyle w:val="BodyText"/>
        <w:spacing w:line="386" w:lineRule="auto" w:before="36"/>
        <w:ind w:right="0"/>
        <w:jc w:val="left"/>
      </w:pPr>
      <w:r>
        <w:rPr/>
        <w:t>本次发行新增股份已于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20</w:t>
      </w:r>
      <w:r>
        <w:rPr/>
        <w:t>日在中国证券登记结算有限责任公司深圳分公司办理完毕登记托管</w:t>
      </w:r>
      <w:r>
        <w:rPr>
          <w:w w:val="100"/>
        </w:rPr>
        <w:t> </w:t>
      </w:r>
      <w:r>
        <w:rPr>
          <w:spacing w:val="-2"/>
        </w:rPr>
        <w:t>手续，本次发行新增股份的性质为有限售条件股份，全部</w:t>
      </w:r>
      <w:r>
        <w:rPr>
          <w:rFonts w:ascii="Times New Roman" w:hAnsi="Times New Roman" w:cs="Times New Roman" w:eastAsia="Times New Roman" w:hint="default"/>
          <w:spacing w:val="-2"/>
        </w:rPr>
        <w:t>4</w:t>
      </w:r>
      <w:r>
        <w:rPr>
          <w:spacing w:val="-2"/>
        </w:rPr>
        <w:t>名投资者认购的股份上市流通日为</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11</w:t>
      </w:r>
      <w:r>
        <w:rPr>
          <w:spacing w:val="-2"/>
        </w:rPr>
        <w:t>月</w:t>
      </w:r>
      <w:r>
        <w:rPr>
          <w:spacing w:val="-15"/>
        </w:rPr>
        <w:t> </w:t>
      </w:r>
      <w:r>
        <w:rPr>
          <w:rFonts w:ascii="Times New Roman" w:hAnsi="Times New Roman" w:cs="Times New Roman" w:eastAsia="Times New Roman" w:hint="default"/>
        </w:rPr>
        <w:t>27</w:t>
      </w:r>
      <w:r>
        <w:rPr/>
        <w:t>日。</w:t>
      </w:r>
    </w:p>
    <w:p>
      <w:pPr>
        <w:pStyle w:val="BodyText"/>
        <w:spacing w:line="388" w:lineRule="auto" w:before="35"/>
        <w:ind w:right="0"/>
        <w:jc w:val="left"/>
      </w:pPr>
      <w:r>
        <w:rPr/>
        <w:t>二、关于出售参股公司复深蓝事宜</w:t>
      </w:r>
      <w:r>
        <w:rPr>
          <w:w w:val="100"/>
        </w:rPr>
        <w:t> </w:t>
      </w: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19</w:t>
      </w:r>
      <w:r>
        <w:rPr>
          <w:spacing w:val="-2"/>
        </w:rPr>
        <w:t>日，公司召开第三届董事会第十九次临时会议审议通过《关于出售参股公司部分股权暨关</w:t>
      </w:r>
      <w:r>
        <w:rPr>
          <w:spacing w:val="-36"/>
        </w:rPr>
        <w:t> </w:t>
      </w:r>
      <w:r>
        <w:rPr>
          <w:spacing w:val="-36"/>
        </w:rPr>
      </w:r>
      <w:r>
        <w:rPr>
          <w:spacing w:val="-2"/>
        </w:rPr>
        <w:t>联交易的议案》，同意拟以人民币</w:t>
      </w:r>
      <w:r>
        <w:rPr>
          <w:rFonts w:ascii="Times New Roman" w:hAnsi="Times New Roman" w:cs="Times New Roman" w:eastAsia="Times New Roman" w:hint="default"/>
          <w:spacing w:val="-2"/>
        </w:rPr>
        <w:t>3,420</w:t>
      </w:r>
      <w:r>
        <w:rPr>
          <w:spacing w:val="-2"/>
        </w:rPr>
        <w:t>万元转让公司持有的上海复深蓝软件股份有限公司（以下简称</w:t>
      </w:r>
      <w:r>
        <w:rPr>
          <w:rFonts w:ascii="Times New Roman" w:hAnsi="Times New Roman" w:cs="Times New Roman" w:eastAsia="Times New Roman" w:hint="default"/>
          <w:spacing w:val="-2"/>
        </w:rPr>
        <w:t>“</w:t>
      </w:r>
      <w:r>
        <w:rPr>
          <w:spacing w:val="-2"/>
        </w:rPr>
        <w:t>复</w:t>
      </w:r>
      <w:r>
        <w:rPr>
          <w:spacing w:val="-18"/>
        </w:rPr>
        <w:t> </w:t>
      </w:r>
      <w:r>
        <w:rPr/>
        <w:t>深蓝</w:t>
      </w:r>
      <w:r>
        <w:rPr>
          <w:rFonts w:ascii="Times New Roman" w:hAnsi="Times New Roman" w:cs="Times New Roman" w:eastAsia="Times New Roman" w:hint="default"/>
        </w:rPr>
        <w:t>”</w:t>
      </w:r>
      <w:r>
        <w:rPr/>
        <w:t>）</w:t>
      </w:r>
      <w:r>
        <w:rPr>
          <w:rFonts w:ascii="Times New Roman" w:hAnsi="Times New Roman" w:cs="Times New Roman" w:eastAsia="Times New Roman" w:hint="default"/>
        </w:rPr>
        <w:t>19%</w:t>
      </w:r>
      <w:r>
        <w:rPr/>
        <w:t>的股权。其中以人民币</w:t>
      </w:r>
      <w:r>
        <w:rPr>
          <w:rFonts w:ascii="Times New Roman" w:hAnsi="Times New Roman" w:cs="Times New Roman" w:eastAsia="Times New Roman" w:hint="default"/>
        </w:rPr>
        <w:t>2,520</w:t>
      </w:r>
      <w:r>
        <w:rPr/>
        <w:t>万元的价格向上海炽蓝企业管理合伙企业（有限合伙）及其指定</w:t>
      </w:r>
      <w:r>
        <w:rPr>
          <w:w w:val="100"/>
        </w:rPr>
        <w:t> </w:t>
      </w:r>
      <w:r>
        <w:rPr>
          <w:spacing w:val="-2"/>
        </w:rPr>
        <w:t>的第三方转让本公司持有的复深蓝</w:t>
      </w:r>
      <w:r>
        <w:rPr>
          <w:rFonts w:ascii="Times New Roman" w:hAnsi="Times New Roman" w:cs="Times New Roman" w:eastAsia="Times New Roman" w:hint="default"/>
          <w:spacing w:val="-2"/>
        </w:rPr>
        <w:t>280</w:t>
      </w:r>
      <w:r>
        <w:rPr>
          <w:spacing w:val="-2"/>
        </w:rPr>
        <w:t>万股股份，即复深蓝</w:t>
      </w:r>
      <w:r>
        <w:rPr>
          <w:rFonts w:ascii="Times New Roman" w:hAnsi="Times New Roman" w:cs="Times New Roman" w:eastAsia="Times New Roman" w:hint="default"/>
          <w:spacing w:val="-2"/>
        </w:rPr>
        <w:t>14%</w:t>
      </w:r>
      <w:r>
        <w:rPr>
          <w:spacing w:val="-2"/>
        </w:rPr>
        <w:t>的股权；以人民币</w:t>
      </w:r>
      <w:r>
        <w:rPr>
          <w:rFonts w:ascii="Times New Roman" w:hAnsi="Times New Roman" w:cs="Times New Roman" w:eastAsia="Times New Roman" w:hint="default"/>
          <w:spacing w:val="-2"/>
        </w:rPr>
        <w:t>900</w:t>
      </w:r>
      <w:r>
        <w:rPr>
          <w:spacing w:val="-2"/>
        </w:rPr>
        <w:t>万元的价格向南京元</w:t>
      </w:r>
      <w:r>
        <w:rPr>
          <w:spacing w:val="-20"/>
        </w:rPr>
        <w:t> </w:t>
      </w:r>
      <w:r>
        <w:rPr>
          <w:spacing w:val="-20"/>
        </w:rPr>
      </w:r>
      <w:r>
        <w:rPr/>
        <w:t>谷股权投资合伙企业（有限合伙）转让本公司持有的复深蓝</w:t>
      </w:r>
      <w:r>
        <w:rPr>
          <w:rFonts w:ascii="Times New Roman" w:hAnsi="Times New Roman" w:cs="Times New Roman" w:eastAsia="Times New Roman" w:hint="default"/>
        </w:rPr>
        <w:t>100</w:t>
      </w:r>
      <w:r>
        <w:rPr/>
        <w:t>万股股份，即复深蓝</w:t>
      </w:r>
      <w:r>
        <w:rPr>
          <w:rFonts w:ascii="Times New Roman" w:hAnsi="Times New Roman" w:cs="Times New Roman" w:eastAsia="Times New Roman" w:hint="default"/>
        </w:rPr>
        <w:t>5%</w:t>
      </w:r>
      <w:r>
        <w:rPr/>
        <w:t>的股权。</w:t>
      </w:r>
      <w:r>
        <w:rPr>
          <w:w w:val="100"/>
        </w:rPr>
        <w:t> </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28</w:t>
      </w:r>
      <w:r>
        <w:rPr>
          <w:spacing w:val="-2"/>
        </w:rPr>
        <w:t>日，公司公告了《关于出售参股公司部分股权暨关联交易的进展公告》，根据公司与上海</w:t>
      </w:r>
      <w:r>
        <w:rPr>
          <w:spacing w:val="-36"/>
        </w:rPr>
        <w:t> </w:t>
      </w:r>
      <w:r>
        <w:rPr>
          <w:spacing w:val="-36"/>
        </w:rPr>
      </w:r>
      <w:r>
        <w:rPr>
          <w:spacing w:val="-3"/>
        </w:rPr>
        <w:t>炽蓝企业管理合伙企业（有限合伙）签署的《股权转让协议》约定，公司以人民币</w:t>
      </w:r>
      <w:r>
        <w:rPr>
          <w:rFonts w:ascii="Times New Roman" w:hAnsi="Times New Roman" w:cs="Times New Roman" w:eastAsia="Times New Roman" w:hint="default"/>
          <w:spacing w:val="-3"/>
        </w:rPr>
        <w:t>2,520</w:t>
      </w:r>
      <w:r>
        <w:rPr>
          <w:spacing w:val="-3"/>
        </w:rPr>
        <w:t>万元的价格向上海</w:t>
      </w:r>
      <w:r>
        <w:rPr>
          <w:spacing w:val="-46"/>
        </w:rPr>
        <w:t> </w:t>
      </w:r>
      <w:r>
        <w:rPr>
          <w:spacing w:val="-46"/>
        </w:rPr>
      </w:r>
      <w:r>
        <w:rPr/>
        <w:t>炽蓝企业管理合伙企业（有限合伙）及其指定的第三方转让本公司持有的复深蓝</w:t>
      </w:r>
      <w:r>
        <w:rPr>
          <w:rFonts w:ascii="Times New Roman" w:hAnsi="Times New Roman" w:cs="Times New Roman" w:eastAsia="Times New Roman" w:hint="default"/>
        </w:rPr>
        <w:t>280</w:t>
      </w:r>
      <w:r>
        <w:rPr/>
        <w:t>万股股份。现炽蓝指</w:t>
      </w:r>
    </w:p>
    <w:p>
      <w:pPr>
        <w:spacing w:after="0" w:line="388"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pStyle w:val="BodyText"/>
        <w:spacing w:line="386" w:lineRule="auto" w:before="176"/>
        <w:ind w:right="101"/>
        <w:jc w:val="left"/>
      </w:pPr>
      <w:r>
        <w:rPr>
          <w:spacing w:val="-2"/>
        </w:rPr>
        <w:t>定第三方上海瑞力骄阳投资管理合伙企业（有限合伙）受让公司持有的复深蓝</w:t>
      </w:r>
      <w:r>
        <w:rPr>
          <w:rFonts w:ascii="Times New Roman" w:hAnsi="Times New Roman" w:cs="Times New Roman" w:eastAsia="Times New Roman" w:hint="default"/>
          <w:spacing w:val="-2"/>
        </w:rPr>
        <w:t>60</w:t>
      </w:r>
      <w:r>
        <w:rPr>
          <w:spacing w:val="-2"/>
        </w:rPr>
        <w:t>万股股份，股份转让款为</w:t>
      </w:r>
      <w:r>
        <w:rPr>
          <w:spacing w:val="-41"/>
        </w:rPr>
        <w:t> </w:t>
      </w:r>
      <w:r>
        <w:rPr>
          <w:spacing w:val="-41"/>
        </w:rPr>
      </w:r>
      <w:r>
        <w:rPr/>
        <w:t>人民币</w:t>
      </w:r>
      <w:r>
        <w:rPr>
          <w:rFonts w:ascii="Times New Roman" w:hAnsi="Times New Roman" w:cs="Times New Roman" w:eastAsia="Times New Roman" w:hint="default"/>
        </w:rPr>
        <w:t>540</w:t>
      </w:r>
      <w:r>
        <w:rPr/>
        <w:t>万元。</w:t>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31"/>
          <w:szCs w:val="31"/>
        </w:rPr>
      </w:pPr>
    </w:p>
    <w:p>
      <w:pPr>
        <w:pStyle w:val="Heading2"/>
        <w:spacing w:line="240" w:lineRule="auto"/>
        <w:ind w:right="101"/>
        <w:jc w:val="left"/>
        <w:rPr>
          <w:b w:val="0"/>
          <w:bCs w:val="0"/>
        </w:rPr>
      </w:pPr>
      <w:r>
        <w:rPr/>
        <w:t>十九、公司子公司重大事项</w:t>
      </w:r>
      <w:r>
        <w:rPr>
          <w:b w:val="0"/>
          <w:bCs w:val="0"/>
        </w:rPr>
      </w:r>
    </w:p>
    <w:p>
      <w:pPr>
        <w:spacing w:line="240" w:lineRule="auto" w:before="6"/>
        <w:rPr>
          <w:rFonts w:ascii="宋体" w:hAnsi="宋体" w:cs="宋体" w:eastAsia="宋体" w:hint="default"/>
          <w:b/>
          <w:bCs/>
          <w:sz w:val="26"/>
          <w:szCs w:val="26"/>
        </w:rPr>
      </w:pPr>
    </w:p>
    <w:p>
      <w:pPr>
        <w:pStyle w:val="BodyText"/>
        <w:spacing w:line="388" w:lineRule="auto"/>
        <w:ind w:right="101"/>
        <w:jc w:val="left"/>
      </w:pPr>
      <w:r>
        <w:rPr>
          <w:rFonts w:ascii="Times New Roman" w:hAnsi="Times New Roman" w:cs="Times New Roman" w:eastAsia="Times New Roman" w:hint="default"/>
          <w:sz w:val="18"/>
          <w:szCs w:val="18"/>
        </w:rPr>
        <w:t>√ </w:t>
      </w:r>
      <w:r>
        <w:rPr>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sz w:val="18"/>
          <w:szCs w:val="18"/>
        </w:rPr>
        <w:t>不适用 </w:t>
      </w:r>
      <w:r>
        <w:rPr>
          <w:rFonts w:ascii="Times New Roman" w:hAnsi="Times New Roman" w:cs="Times New Roman" w:eastAsia="Times New Roman" w:hint="default"/>
        </w:rPr>
        <w:t>1</w:t>
      </w:r>
      <w:r>
        <w:rPr/>
        <w:t>、公司</w:t>
      </w:r>
      <w:r>
        <w:rPr>
          <w:rFonts w:ascii="Times New Roman" w:hAnsi="Times New Roman" w:cs="Times New Roman" w:eastAsia="Times New Roman" w:hint="default"/>
        </w:rPr>
        <w:t>2017</w:t>
      </w:r>
      <w:r>
        <w:rPr/>
        <w:t>年第二次总经理会议决议同意对子公司上海缔塔科技有限公司减资及出售</w:t>
      </w:r>
      <w:r>
        <w:rPr>
          <w:rFonts w:ascii="Times New Roman" w:hAnsi="Times New Roman" w:cs="Times New Roman" w:eastAsia="Times New Roman" w:hint="default"/>
        </w:rPr>
        <w:t>60%</w:t>
      </w:r>
      <w:r>
        <w:rPr/>
        <w:t>股权。</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rFonts w:ascii="Times New Roman" w:hAnsi="Times New Roman" w:cs="Times New Roman" w:eastAsia="Times New Roman" w:hint="default"/>
          <w:w w:val="100"/>
        </w:rPr>
        <w:t> </w:t>
      </w:r>
      <w:r>
        <w:rPr/>
        <w:t>月公司与缔塔科技持股</w:t>
      </w:r>
      <w:r>
        <w:rPr>
          <w:rFonts w:ascii="Times New Roman" w:hAnsi="Times New Roman" w:cs="Times New Roman" w:eastAsia="Times New Roman" w:hint="default"/>
        </w:rPr>
        <w:t>40%</w:t>
      </w:r>
      <w:r>
        <w:rPr/>
        <w:t>的股东上海嗣承投资管理中心（有限合伙）签署《关于上海缔塔科技有限公司</w:t>
      </w:r>
      <w:r>
        <w:rPr>
          <w:w w:val="100"/>
        </w:rPr>
        <w:t> </w:t>
      </w:r>
      <w:r>
        <w:rPr/>
        <w:t>减资及出售部分股权之意向协议书》，公司以</w:t>
      </w:r>
      <w:r>
        <w:rPr>
          <w:rFonts w:ascii="Times New Roman" w:hAnsi="Times New Roman" w:cs="Times New Roman" w:eastAsia="Times New Roman" w:hint="default"/>
        </w:rPr>
        <w:t>1</w:t>
      </w:r>
      <w:r>
        <w:rPr/>
        <w:t>元人民币出售缔塔科技</w:t>
      </w:r>
      <w:r>
        <w:rPr>
          <w:rFonts w:ascii="Times New Roman" w:hAnsi="Times New Roman" w:cs="Times New Roman" w:eastAsia="Times New Roman" w:hint="default"/>
        </w:rPr>
        <w:t>60%</w:t>
      </w:r>
      <w:r>
        <w:rPr/>
        <w:t>的股权，并已于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31</w:t>
      </w:r>
      <w:r>
        <w:rPr/>
        <w:t>日</w:t>
      </w:r>
      <w:r>
        <w:rPr>
          <w:w w:val="100"/>
        </w:rPr>
        <w:t> </w:t>
      </w:r>
      <w:r>
        <w:rPr/>
        <w:t>股权交割完成。故本次交割完成后缔塔科技不再为公司的子公司，公司不持有缔塔科技任何股份。</w:t>
      </w:r>
      <w:r>
        <w:rPr>
          <w:w w:val="100"/>
        </w:rPr>
        <w:t> </w:t>
      </w:r>
      <w:r>
        <w:rPr>
          <w:rFonts w:ascii="Times New Roman" w:hAnsi="Times New Roman" w:cs="Times New Roman" w:eastAsia="Times New Roman" w:hint="default"/>
        </w:rPr>
        <w:t>2</w:t>
      </w:r>
      <w:r>
        <w:rPr/>
        <w:t>、上海天玑科技股份有限公司</w:t>
      </w:r>
      <w:r>
        <w:rPr>
          <w:rFonts w:ascii="Times New Roman" w:hAnsi="Times New Roman" w:cs="Times New Roman" w:eastAsia="Times New Roman" w:hint="default"/>
        </w:rPr>
        <w:t>2017</w:t>
      </w:r>
      <w:r>
        <w:rPr/>
        <w:t>年第三次总经理会议同意，公司与董涛共同投资设立西安天玑力拓信</w:t>
      </w:r>
      <w:r>
        <w:rPr>
          <w:w w:val="100"/>
        </w:rPr>
        <w:t> </w:t>
      </w:r>
      <w:r>
        <w:rPr>
          <w:spacing w:val="-2"/>
        </w:rPr>
        <w:t>息技术有限公司，合资公司注册资本</w:t>
      </w:r>
      <w:r>
        <w:rPr>
          <w:rFonts w:ascii="Times New Roman" w:hAnsi="Times New Roman" w:cs="Times New Roman" w:eastAsia="Times New Roman" w:hint="default"/>
          <w:spacing w:val="-2"/>
        </w:rPr>
        <w:t>100</w:t>
      </w:r>
      <w:r>
        <w:rPr>
          <w:spacing w:val="-2"/>
        </w:rPr>
        <w:t>万元，天玑科技以自有资金出资</w:t>
      </w:r>
      <w:r>
        <w:rPr>
          <w:rFonts w:ascii="Times New Roman" w:hAnsi="Times New Roman" w:cs="Times New Roman" w:eastAsia="Times New Roman" w:hint="default"/>
          <w:spacing w:val="-2"/>
        </w:rPr>
        <w:t>60</w:t>
      </w:r>
      <w:r>
        <w:rPr>
          <w:spacing w:val="-2"/>
        </w:rPr>
        <w:t>万元，占公司出资比例的</w:t>
      </w:r>
      <w:r>
        <w:rPr>
          <w:rFonts w:ascii="Times New Roman" w:hAnsi="Times New Roman" w:cs="Times New Roman" w:eastAsia="Times New Roman" w:hint="default"/>
          <w:spacing w:val="-2"/>
        </w:rPr>
        <w:t>60%</w:t>
      </w:r>
      <w:r>
        <w:rPr>
          <w:spacing w:val="-2"/>
        </w:rPr>
        <w:t>。</w:t>
      </w:r>
      <w:r>
        <w:rPr>
          <w:spacing w:val="-13"/>
        </w:rPr>
        <w:t> </w:t>
      </w:r>
      <w:r>
        <w:rPr/>
        <w:t>并于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12</w:t>
      </w:r>
      <w:r>
        <w:rPr/>
        <w:t>日完成工商注册，为天玑科技控股子公司。</w:t>
      </w:r>
      <w:r>
        <w:rPr>
          <w:w w:val="100"/>
        </w:rPr>
        <w:t> </w:t>
      </w:r>
      <w:r>
        <w:rPr>
          <w:rFonts w:ascii="Times New Roman" w:hAnsi="Times New Roman" w:cs="Times New Roman" w:eastAsia="Times New Roman" w:hint="default"/>
        </w:rPr>
        <w:t>3</w:t>
      </w:r>
      <w:r>
        <w:rPr/>
        <w:t>、公司第三届董事会第二十四次临时会议审议通过《关于注销控股子公司上海卓之联信息科技有限公司</w:t>
      </w:r>
      <w:r>
        <w:rPr>
          <w:w w:val="100"/>
        </w:rPr>
        <w:t> </w:t>
      </w:r>
      <w:r>
        <w:rPr/>
        <w:t>的议案》，决定注销上海卓之联信息科技有限公司。</w:t>
      </w:r>
    </w:p>
    <w:p>
      <w:pPr>
        <w:spacing w:after="0" w:line="388" w:lineRule="auto"/>
        <w:jc w:val="left"/>
        <w:sectPr>
          <w:pgSz w:w="11910" w:h="16840"/>
          <w:pgMar w:header="745" w:footer="979" w:top="1060" w:bottom="1160" w:left="98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4" w:right="0"/>
        <w:jc w:val="left"/>
        <w:rPr>
          <w:b w:val="0"/>
          <w:bCs w:val="0"/>
        </w:rPr>
      </w:pPr>
      <w:bookmarkStart w:name="_bookmark4" w:id="5"/>
      <w:bookmarkEnd w:id="5"/>
      <w:r>
        <w:rPr>
          <w:b w:val="0"/>
          <w:bCs w:val="0"/>
        </w:rPr>
      </w:r>
      <w:r>
        <w:rPr/>
        <w:t>第六节</w:t>
      </w:r>
      <w:r>
        <w:rPr>
          <w:spacing w:val="-6"/>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0"/>
        <w:jc w:val="left"/>
        <w:rPr>
          <w:b w:val="0"/>
          <w:bCs w:val="0"/>
        </w:rPr>
      </w:pPr>
      <w:r>
        <w:rPr/>
        <w:t>一、股份变动情况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16"/>
        <w:gridCol w:w="824"/>
        <w:gridCol w:w="823"/>
        <w:gridCol w:w="823"/>
        <w:gridCol w:w="821"/>
        <w:gridCol w:w="823"/>
        <w:gridCol w:w="821"/>
        <w:gridCol w:w="824"/>
        <w:gridCol w:w="794"/>
        <w:gridCol w:w="792"/>
      </w:tblGrid>
      <w:tr>
        <w:trPr>
          <w:trHeight w:val="402"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9"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60"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3"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316" w:right="47" w:hanging="272"/>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2216" w:type="dxa"/>
            <w:vMerge/>
            <w:tcBorders>
              <w:left w:val="single" w:sz="4" w:space="0" w:color="000000"/>
              <w:bottom w:val="nil" w:sz="6" w:space="0" w:color="auto"/>
              <w:right w:val="single" w:sz="4" w:space="0" w:color="000000"/>
            </w:tcBorders>
            <w:shd w:val="clear" w:color="auto" w:fill="D2D2D2"/>
          </w:tcPr>
          <w:p>
            <w:pP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7"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3" w:type="dxa"/>
            <w:vMerge/>
            <w:tcBorders>
              <w:left w:val="single" w:sz="4" w:space="0" w:color="000000"/>
              <w:right w:val="single" w:sz="4" w:space="0" w:color="000000"/>
            </w:tcBorders>
            <w:shd w:val="clear" w:color="auto" w:fill="D2D2D2"/>
          </w:tcPr>
          <w:p>
            <w:pPr/>
          </w:p>
        </w:tc>
        <w:tc>
          <w:tcPr>
            <w:tcW w:w="8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1" w:type="dxa"/>
            <w:vMerge/>
            <w:tcBorders>
              <w:left w:val="single" w:sz="4" w:space="0" w:color="000000"/>
              <w:bottom w:val="nil" w:sz="6" w:space="0" w:color="auto"/>
              <w:right w:val="single" w:sz="4" w:space="0" w:color="000000"/>
            </w:tcBorders>
            <w:shd w:val="clear" w:color="auto" w:fill="D2D2D2"/>
          </w:tcPr>
          <w:p>
            <w:pPr/>
          </w:p>
        </w:tc>
        <w:tc>
          <w:tcPr>
            <w:tcW w:w="823" w:type="dxa"/>
            <w:vMerge/>
            <w:tcBorders>
              <w:left w:val="single" w:sz="4" w:space="0" w:color="000000"/>
              <w:right w:val="single" w:sz="4" w:space="0" w:color="000000"/>
            </w:tcBorders>
            <w:shd w:val="clear" w:color="auto" w:fill="D2D2D2"/>
          </w:tcPr>
          <w:p>
            <w:pPr/>
          </w:p>
        </w:tc>
        <w:tc>
          <w:tcPr>
            <w:tcW w:w="821" w:type="dxa"/>
            <w:vMerge/>
            <w:tcBorders>
              <w:left w:val="single" w:sz="4" w:space="0" w:color="000000"/>
              <w:bottom w:val="nil" w:sz="6" w:space="0" w:color="auto"/>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c>
          <w:tcPr>
            <w:tcW w:w="792"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216" w:type="dxa"/>
            <w:vMerge/>
            <w:tcBorders>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shd w:val="clear" w:color="auto" w:fill="D2D2D2"/>
          </w:tcPr>
          <w:p>
            <w:pPr/>
          </w:p>
        </w:tc>
        <w:tc>
          <w:tcPr>
            <w:tcW w:w="8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77,914,06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28.31%</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45,511,69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-12,552,2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21</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32,959,47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110,873,5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37</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35.03%</w:t>
            </w:r>
          </w:p>
        </w:tc>
      </w:tr>
      <w:tr>
        <w:trPr>
          <w:trHeight w:val="391"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3"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77,914,06</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28.31%</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w w:val="95"/>
                <w:sz w:val="18"/>
              </w:rPr>
              <w:t>45,511,69</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8</w:t>
            </w: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-12,552,2</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21</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32,959,47</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7</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w w:val="95"/>
                <w:sz w:val="18"/>
              </w:rPr>
              <w:t>110,873,5</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37</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35.03%</w:t>
            </w:r>
          </w:p>
        </w:tc>
      </w:tr>
      <w:tr>
        <w:trPr>
          <w:trHeight w:val="391"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77,914,06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28.31%</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45,511,69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-12,552,2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21</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32,959,47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110,873,5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37</w:t>
            </w:r>
          </w:p>
        </w:tc>
        <w:tc>
          <w:tcPr>
            <w:tcW w:w="792" w:type="dxa"/>
            <w:vMerge w:val="restart"/>
            <w:tcBorders>
              <w:top w:val="single" w:sz="4" w:space="0" w:color="000000"/>
              <w:left w:val="single" w:sz="4" w:space="0" w:color="000000"/>
              <w:right w:val="single" w:sz="4" w:space="0" w:color="000000"/>
            </w:tcBorders>
          </w:tcPr>
          <w:p>
            <w:pPr/>
          </w:p>
        </w:tc>
      </w:tr>
      <w:tr>
        <w:trPr>
          <w:trHeight w:val="391"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境内自然人持股</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3"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197,271,7</w:t>
            </w:r>
          </w:p>
          <w:p>
            <w:pPr>
              <w:pStyle w:val="TableParagraph"/>
              <w:spacing w:line="240" w:lineRule="auto" w:before="103"/>
              <w:ind w:right="17"/>
              <w:jc w:val="right"/>
              <w:rPr>
                <w:rFonts w:ascii="Times New Roman" w:hAnsi="Times New Roman" w:cs="Times New Roman" w:eastAsia="Times New Roman" w:hint="default"/>
                <w:sz w:val="18"/>
                <w:szCs w:val="18"/>
              </w:rPr>
            </w:pPr>
            <w:r>
              <w:rPr>
                <w:rFonts w:ascii="Times New Roman"/>
                <w:sz w:val="18"/>
              </w:rPr>
              <w:t>35</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71.69%</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8,327,221</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8,327,221</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205,598,9</w:t>
            </w:r>
          </w:p>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z w:val="18"/>
              </w:rPr>
              <w:t>56</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64.97%</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197,271,7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35</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71.69%</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8,327,221</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8,327,221</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205,598,9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56</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64.97%</w:t>
            </w:r>
          </w:p>
        </w:tc>
      </w:tr>
      <w:tr>
        <w:trPr>
          <w:trHeight w:val="391"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3"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275,185,7</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95</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100.00%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w w:val="95"/>
                <w:sz w:val="18"/>
              </w:rPr>
              <w:t>45,511,69</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8</w:t>
            </w: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-4,225,00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41,286,69</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8</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316,472,4</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93</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100.00%</w:t>
            </w:r>
          </w:p>
        </w:tc>
      </w:tr>
      <w:tr>
        <w:trPr>
          <w:trHeight w:val="391"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股份变动的原因</w:t>
      </w:r>
    </w:p>
    <w:p>
      <w:pPr>
        <w:pStyle w:val="BodyText"/>
        <w:spacing w:line="388" w:lineRule="auto" w:before="115"/>
        <w:ind w:right="0"/>
        <w:jc w:val="left"/>
      </w:pPr>
      <w:r>
        <w:rPr>
          <w:rFonts w:ascii="Times New Roman" w:hAnsi="Times New Roman" w:cs="Times New Roman" w:eastAsia="Times New Roman" w:hint="default"/>
          <w:sz w:val="18"/>
          <w:szCs w:val="18"/>
        </w:rPr>
        <w:t>√ </w:t>
      </w:r>
      <w:r>
        <w:rPr>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sz w:val="18"/>
          <w:szCs w:val="18"/>
        </w:rPr>
        <w:t>不适用 </w:t>
      </w: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4</w:t>
      </w:r>
      <w:r>
        <w:rPr>
          <w:spacing w:val="-2"/>
        </w:rPr>
        <w:t>日，中国证券登记结算有限公司深圳分公司根据公司董事、监事和高级管理人员</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12</w:t>
      </w:r>
      <w:r>
        <w:rPr>
          <w:rFonts w:ascii="Times New Roman" w:hAnsi="Times New Roman" w:cs="Times New Roman" w:eastAsia="Times New Roman" w:hint="default"/>
          <w:spacing w:val="34"/>
        </w:rPr>
        <w:t> </w:t>
      </w:r>
      <w:r>
        <w:rPr/>
        <w:t>月</w:t>
      </w:r>
      <w:r>
        <w:rPr>
          <w:rFonts w:ascii="Times New Roman" w:hAnsi="Times New Roman" w:cs="Times New Roman" w:eastAsia="Times New Roman" w:hint="default"/>
        </w:rPr>
        <w:t>31</w:t>
      </w:r>
      <w:r>
        <w:rPr/>
        <w:t>日所持公司股份重新计算本年度解除锁定股份数量</w:t>
      </w:r>
      <w:r>
        <w:rPr>
          <w:rFonts w:ascii="Times New Roman" w:hAnsi="Times New Roman" w:cs="Times New Roman" w:eastAsia="Times New Roman" w:hint="default"/>
        </w:rPr>
        <w:t>8,811,784</w:t>
      </w:r>
      <w:r>
        <w:rPr/>
        <w:t>股，其余部分作为高管锁定股份继续锁</w:t>
      </w:r>
      <w:r>
        <w:rPr>
          <w:w w:val="100"/>
        </w:rPr>
        <w:t> </w:t>
      </w:r>
      <w:r>
        <w:rPr/>
        <w:t>定；</w:t>
      </w:r>
    </w:p>
    <w:p>
      <w:pPr>
        <w:pStyle w:val="BodyText"/>
        <w:spacing w:line="240" w:lineRule="auto" w:before="63"/>
        <w:ind w:right="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8</w:t>
      </w:r>
      <w:r>
        <w:rPr/>
        <w:t>日，董事杨凯增持</w:t>
      </w:r>
      <w:r>
        <w:rPr>
          <w:rFonts w:ascii="Times New Roman" w:hAnsi="Times New Roman" w:cs="Times New Roman" w:eastAsia="Times New Roman" w:hint="default"/>
        </w:rPr>
        <w:t>200,000</w:t>
      </w:r>
      <w:r>
        <w:rPr/>
        <w:t>股，其中</w:t>
      </w:r>
      <w:r>
        <w:rPr>
          <w:rFonts w:ascii="Times New Roman" w:hAnsi="Times New Roman" w:cs="Times New Roman" w:eastAsia="Times New Roman" w:hint="default"/>
        </w:rPr>
        <w:t>75%</w:t>
      </w:r>
      <w:r>
        <w:rPr/>
        <w:t>为高管锁定股即</w:t>
      </w:r>
      <w:r>
        <w:rPr>
          <w:rFonts w:ascii="Times New Roman" w:hAnsi="Times New Roman" w:cs="Times New Roman" w:eastAsia="Times New Roman" w:hint="default"/>
        </w:rPr>
        <w:t>150,000</w:t>
      </w:r>
      <w:r>
        <w:rPr/>
        <w:t>股。</w:t>
      </w:r>
    </w:p>
    <w:p>
      <w:pPr>
        <w:pStyle w:val="BodyText"/>
        <w:spacing w:line="386" w:lineRule="auto" w:before="177"/>
        <w:ind w:right="146"/>
        <w:jc w:val="both"/>
        <w:rPr>
          <w:rFonts w:ascii="Times New Roman" w:hAnsi="Times New Roman" w:cs="Times New Roman" w:eastAsia="Times New Roman" w:hint="default"/>
        </w:rPr>
      </w:pP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24</w:t>
      </w:r>
      <w:r>
        <w:rPr>
          <w:spacing w:val="-2"/>
        </w:rPr>
        <w:t>日，公司召开第三届董事会第十四次临时会议，审议通过了《关于回购注销已不符合激励</w:t>
      </w:r>
      <w:r>
        <w:rPr>
          <w:spacing w:val="-40"/>
        </w:rPr>
        <w:t> </w:t>
      </w:r>
      <w:r>
        <w:rPr>
          <w:spacing w:val="-40"/>
        </w:rPr>
      </w:r>
      <w:r>
        <w:rPr>
          <w:spacing w:val="-2"/>
        </w:rPr>
        <w:t>条件的激励对象已获授但尚未解锁的限制性股票的议案》，公司</w:t>
      </w:r>
      <w:r>
        <w:rPr>
          <w:rFonts w:ascii="Times New Roman" w:hAnsi="Times New Roman" w:cs="Times New Roman" w:eastAsia="Times New Roman" w:hint="default"/>
          <w:spacing w:val="-2"/>
        </w:rPr>
        <w:t>2016</w:t>
      </w:r>
      <w:r>
        <w:rPr>
          <w:spacing w:val="-2"/>
        </w:rPr>
        <w:t>年限制性股票原授予的激励对象黄小</w:t>
      </w:r>
      <w:r>
        <w:rPr>
          <w:spacing w:val="-39"/>
        </w:rPr>
        <w:t> </w:t>
      </w:r>
      <w:r>
        <w:rPr>
          <w:spacing w:val="-39"/>
        </w:rPr>
      </w:r>
      <w:r>
        <w:rPr>
          <w:spacing w:val="-2"/>
        </w:rPr>
        <w:t>云、雷潍、沈星、肖文清、余彬等</w:t>
      </w:r>
      <w:r>
        <w:rPr>
          <w:rFonts w:ascii="Times New Roman" w:hAnsi="Times New Roman" w:cs="Times New Roman" w:eastAsia="Times New Roman" w:hint="default"/>
          <w:spacing w:val="-2"/>
        </w:rPr>
        <w:t>16</w:t>
      </w:r>
      <w:r>
        <w:rPr>
          <w:spacing w:val="-2"/>
        </w:rPr>
        <w:t>人已离职，且已办理完毕离职手续。根据《上市公司股权激励管理办</w:t>
      </w:r>
      <w:r>
        <w:rPr>
          <w:spacing w:val="-45"/>
        </w:rPr>
        <w:t> </w:t>
      </w:r>
      <w:r>
        <w:rPr>
          <w:spacing w:val="-45"/>
        </w:rPr>
      </w:r>
      <w:r>
        <w:rPr>
          <w:spacing w:val="-2"/>
        </w:rPr>
        <w:t>法》、《上海天玑科技股份有限公司</w:t>
      </w:r>
      <w:r>
        <w:rPr>
          <w:rFonts w:ascii="Times New Roman" w:hAnsi="Times New Roman" w:cs="Times New Roman" w:eastAsia="Times New Roman" w:hint="default"/>
          <w:spacing w:val="-2"/>
        </w:rPr>
        <w:t>2016</w:t>
      </w:r>
      <w:r>
        <w:rPr>
          <w:spacing w:val="-2"/>
        </w:rPr>
        <w:t>年限制性股票激励计划（草案）》等有关法律、法规和规范性文</w:t>
      </w:r>
      <w:r>
        <w:rPr>
          <w:spacing w:val="-38"/>
        </w:rPr>
        <w:t> </w:t>
      </w:r>
      <w:r>
        <w:rPr>
          <w:spacing w:val="-38"/>
        </w:rPr>
      </w:r>
      <w:r>
        <w:rPr>
          <w:spacing w:val="-2"/>
        </w:rPr>
        <w:t>件以及《公司章程》的规定，上述</w:t>
      </w:r>
      <w:r>
        <w:rPr>
          <w:rFonts w:ascii="Times New Roman" w:hAnsi="Times New Roman" w:cs="Times New Roman" w:eastAsia="Times New Roman" w:hint="default"/>
          <w:spacing w:val="-2"/>
        </w:rPr>
        <w:t>16</w:t>
      </w:r>
      <w:r>
        <w:rPr>
          <w:spacing w:val="-2"/>
        </w:rPr>
        <w:t>人已不符合股权激励对象的条件，现对其持有的已获授但尚未解锁的</w:t>
      </w:r>
      <w:r>
        <w:rPr>
          <w:spacing w:val="-44"/>
        </w:rPr>
        <w:t> </w:t>
      </w:r>
      <w:r>
        <w:rPr>
          <w:spacing w:val="-44"/>
        </w:rPr>
      </w:r>
      <w:r>
        <w:rPr/>
        <w:t>共计</w:t>
      </w:r>
      <w:r>
        <w:rPr>
          <w:rFonts w:ascii="Times New Roman" w:hAnsi="Times New Roman" w:cs="Times New Roman" w:eastAsia="Times New Roman" w:hint="default"/>
        </w:rPr>
        <w:t>1,104,000</w:t>
      </w:r>
      <w:r>
        <w:rPr/>
        <w:t>股限制性股票进行回购注销。回购注销完成后公司股本由</w:t>
      </w:r>
      <w:r>
        <w:rPr>
          <w:rFonts w:ascii="Times New Roman" w:hAnsi="Times New Roman" w:cs="Times New Roman" w:eastAsia="Times New Roman" w:hint="default"/>
        </w:rPr>
        <w:t>275,185,795</w:t>
      </w:r>
      <w:r>
        <w:rPr/>
        <w:t>股变更为</w:t>
      </w:r>
      <w:r>
        <w:rPr>
          <w:rFonts w:ascii="Times New Roman" w:hAnsi="Times New Roman" w:cs="Times New Roman" w:eastAsia="Times New Roman" w:hint="default"/>
        </w:rPr>
        <w:t>274,081,795</w:t>
      </w:r>
    </w:p>
    <w:p>
      <w:pPr>
        <w:spacing w:after="0" w:line="386" w:lineRule="auto"/>
        <w:jc w:val="both"/>
        <w:rPr>
          <w:rFonts w:ascii="Times New Roman" w:hAnsi="Times New Roman" w:cs="Times New Roman" w:eastAsia="Times New Roman" w:hint="default"/>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8"/>
          <w:szCs w:val="18"/>
        </w:rPr>
      </w:pPr>
    </w:p>
    <w:p>
      <w:pPr>
        <w:pStyle w:val="BodyText"/>
        <w:spacing w:line="386" w:lineRule="auto"/>
        <w:ind w:right="101"/>
        <w:jc w:val="left"/>
      </w:pPr>
      <w:r>
        <w:rPr/>
        <w:t>股。</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w:t>
      </w:r>
      <w:r>
        <w:rPr/>
        <w:t>月公司回购注销完成了</w:t>
      </w:r>
      <w:r>
        <w:rPr>
          <w:rFonts w:ascii="Times New Roman" w:hAnsi="Times New Roman" w:cs="Times New Roman" w:eastAsia="Times New Roman" w:hint="default"/>
        </w:rPr>
        <w:t>2016</w:t>
      </w:r>
      <w:r>
        <w:rPr/>
        <w:t>年股权激励</w:t>
      </w:r>
      <w:r>
        <w:rPr>
          <w:rFonts w:ascii="Times New Roman" w:hAnsi="Times New Roman" w:cs="Times New Roman" w:eastAsia="Times New Roman" w:hint="default"/>
        </w:rPr>
        <w:t>1,104,000</w:t>
      </w:r>
      <w:r>
        <w:rPr/>
        <w:t>股。</w:t>
      </w:r>
      <w:r>
        <w:rPr>
          <w:spacing w:val="-3"/>
          <w:w w:val="100"/>
        </w:rPr>
        <w:t> </w:t>
      </w:r>
      <w:r>
        <w:rPr>
          <w:rFonts w:ascii="Times New Roman" w:hAnsi="Times New Roman" w:cs="Times New Roman" w:eastAsia="Times New Roman" w:hint="default"/>
          <w:spacing w:val="-2"/>
        </w:rPr>
        <w:t>4</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19</w:t>
      </w:r>
      <w:r>
        <w:rPr>
          <w:spacing w:val="-2"/>
        </w:rPr>
        <w:t>日，公司召开第三届董事会第十六次会议，审议通过了《关于回购注销未达到</w:t>
      </w:r>
      <w:r>
        <w:rPr>
          <w:rFonts w:ascii="Times New Roman" w:hAnsi="Times New Roman" w:cs="Times New Roman" w:eastAsia="Times New Roman" w:hint="default"/>
          <w:spacing w:val="-2"/>
        </w:rPr>
        <w:t>2016</w:t>
      </w:r>
      <w:r>
        <w:rPr>
          <w:spacing w:val="-2"/>
        </w:rPr>
        <w:t>年限制</w:t>
      </w:r>
      <w:r>
        <w:rPr>
          <w:spacing w:val="-34"/>
        </w:rPr>
        <w:t> </w:t>
      </w:r>
      <w:r>
        <w:rPr>
          <w:spacing w:val="-34"/>
        </w:rPr>
      </w:r>
      <w:r>
        <w:rPr/>
        <w:t>性股票激励计划规定第一期解锁条件已授予未解锁的限制性股票的议案》，因公司</w:t>
      </w:r>
      <w:r>
        <w:rPr>
          <w:rFonts w:ascii="Times New Roman" w:hAnsi="Times New Roman" w:cs="Times New Roman" w:eastAsia="Times New Roman" w:hint="default"/>
        </w:rPr>
        <w:t>2016</w:t>
      </w:r>
      <w:r>
        <w:rPr/>
        <w:t>年度业绩未达到</w:t>
      </w:r>
      <w:r>
        <w:rPr>
          <w:w w:val="100"/>
        </w:rPr>
        <w:t> </w:t>
      </w:r>
      <w:r>
        <w:rPr>
          <w:rFonts w:ascii="Times New Roman" w:hAnsi="Times New Roman" w:cs="Times New Roman" w:eastAsia="Times New Roman" w:hint="default"/>
          <w:spacing w:val="-2"/>
        </w:rPr>
        <w:t>2016</w:t>
      </w:r>
      <w:r>
        <w:rPr>
          <w:spacing w:val="-2"/>
        </w:rPr>
        <w:t>年限制性股票激励计划规定的第一期限制性股票的解锁条件，根据《上市公司股权激励管理办法》、</w:t>
      </w:r>
    </w:p>
    <w:p>
      <w:pPr>
        <w:pStyle w:val="BodyText"/>
        <w:spacing w:line="240" w:lineRule="auto" w:before="35"/>
        <w:ind w:right="101"/>
        <w:jc w:val="left"/>
      </w:pPr>
      <w:r>
        <w:rPr/>
        <w:t>《上海天玑科技股份有限公司</w:t>
      </w:r>
      <w:r>
        <w:rPr>
          <w:rFonts w:ascii="Times New Roman" w:hAnsi="Times New Roman" w:cs="Times New Roman" w:eastAsia="Times New Roman" w:hint="default"/>
        </w:rPr>
        <w:t>2016</w:t>
      </w:r>
      <w:r>
        <w:rPr/>
        <w:t>年限制性股票激励计划（草案）》等有关法律、法规和规范性文件以及</w:t>
      </w:r>
    </w:p>
    <w:p>
      <w:pPr>
        <w:pStyle w:val="BodyText"/>
        <w:spacing w:line="386" w:lineRule="auto" w:before="177"/>
        <w:ind w:right="101"/>
        <w:jc w:val="left"/>
      </w:pPr>
      <w:r>
        <w:rPr>
          <w:spacing w:val="-2"/>
        </w:rPr>
        <w:t>《公司章程》的规定，公司董事会一致同意将未达到</w:t>
      </w:r>
      <w:r>
        <w:rPr>
          <w:rFonts w:ascii="Times New Roman" w:hAnsi="Times New Roman" w:cs="Times New Roman" w:eastAsia="Times New Roman" w:hint="default"/>
          <w:spacing w:val="-2"/>
        </w:rPr>
        <w:t>2016</w:t>
      </w:r>
      <w:r>
        <w:rPr>
          <w:spacing w:val="-2"/>
        </w:rPr>
        <w:t>年限制性股票激励计划规定的第一期解锁条件已</w:t>
      </w:r>
      <w:r>
        <w:rPr>
          <w:spacing w:val="-38"/>
        </w:rPr>
        <w:t> </w:t>
      </w:r>
      <w:r>
        <w:rPr>
          <w:spacing w:val="-38"/>
        </w:rPr>
      </w:r>
      <w:r>
        <w:rPr/>
        <w:t>授予未解锁的限制性股票</w:t>
      </w:r>
      <w:r>
        <w:rPr>
          <w:rFonts w:ascii="Times New Roman" w:hAnsi="Times New Roman" w:cs="Times New Roman" w:eastAsia="Times New Roman" w:hint="default"/>
        </w:rPr>
        <w:t>2,454,400</w:t>
      </w:r>
      <w:r>
        <w:rPr/>
        <w:t>股进行回购注销，共计</w:t>
      </w:r>
      <w:r>
        <w:rPr>
          <w:rFonts w:ascii="Times New Roman" w:hAnsi="Times New Roman" w:cs="Times New Roman" w:eastAsia="Times New Roman" w:hint="default"/>
        </w:rPr>
        <w:t>135</w:t>
      </w:r>
      <w:r>
        <w:rPr/>
        <w:t>名激励对象。回购注销完成后公司股本由</w:t>
      </w:r>
      <w:r>
        <w:rPr>
          <w:w w:val="100"/>
        </w:rPr>
        <w:t> </w:t>
      </w:r>
      <w:r>
        <w:rPr>
          <w:rFonts w:ascii="Times New Roman" w:hAnsi="Times New Roman" w:cs="Times New Roman" w:eastAsia="Times New Roman" w:hint="default"/>
        </w:rPr>
        <w:t>274,081,795</w:t>
      </w:r>
      <w:r>
        <w:rPr/>
        <w:t>股变更为</w:t>
      </w:r>
      <w:r>
        <w:rPr>
          <w:rFonts w:ascii="Times New Roman" w:hAnsi="Times New Roman" w:cs="Times New Roman" w:eastAsia="Times New Roman" w:hint="default"/>
        </w:rPr>
        <w:t>271,627,395</w:t>
      </w:r>
      <w:r>
        <w:rPr/>
        <w:t>股。</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9</w:t>
      </w:r>
      <w:r>
        <w:rPr/>
        <w:t>日公司回购注销完成</w:t>
      </w:r>
      <w:r>
        <w:rPr>
          <w:rFonts w:ascii="Times New Roman" w:hAnsi="Times New Roman" w:cs="Times New Roman" w:eastAsia="Times New Roman" w:hint="default"/>
        </w:rPr>
        <w:t>2016</w:t>
      </w:r>
      <w:r>
        <w:rPr/>
        <w:t>年股权激励第一期限制性股票</w:t>
      </w:r>
    </w:p>
    <w:p>
      <w:pPr>
        <w:pStyle w:val="BodyText"/>
        <w:spacing w:line="240" w:lineRule="auto" w:before="35"/>
        <w:ind w:right="101"/>
        <w:jc w:val="left"/>
      </w:pPr>
      <w:r>
        <w:rPr>
          <w:rFonts w:ascii="Times New Roman" w:hAnsi="Times New Roman" w:cs="Times New Roman" w:eastAsia="Times New Roman" w:hint="default"/>
        </w:rPr>
        <w:t>2,454,400</w:t>
      </w:r>
      <w:r>
        <w:rPr/>
        <w:t>股。</w:t>
      </w:r>
    </w:p>
    <w:p>
      <w:pPr>
        <w:pStyle w:val="BodyText"/>
        <w:spacing w:line="240" w:lineRule="auto" w:before="177"/>
        <w:ind w:right="101"/>
        <w:jc w:val="left"/>
      </w:pPr>
      <w:r>
        <w:rPr>
          <w:rFonts w:ascii="Times New Roman" w:hAnsi="Times New Roman" w:cs="Times New Roman" w:eastAsia="Times New Roman" w:hint="default"/>
          <w:spacing w:val="-3"/>
        </w:rPr>
        <w:t>5</w:t>
      </w:r>
      <w:r>
        <w:rPr>
          <w:spacing w:val="-3"/>
        </w:rPr>
        <w:t>、</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7</w:t>
      </w:r>
      <w:r>
        <w:rPr>
          <w:spacing w:val="-3"/>
        </w:rPr>
        <w:t>月</w:t>
      </w:r>
      <w:r>
        <w:rPr>
          <w:rFonts w:ascii="Times New Roman" w:hAnsi="Times New Roman" w:cs="Times New Roman" w:eastAsia="Times New Roman" w:hint="default"/>
          <w:spacing w:val="-3"/>
        </w:rPr>
        <w:t>19</w:t>
      </w:r>
      <w:r>
        <w:rPr>
          <w:spacing w:val="-3"/>
        </w:rPr>
        <w:t>日，杨凯申请辞去董事职务，辞职后其股份全部锁定</w:t>
      </w:r>
      <w:r>
        <w:rPr>
          <w:rFonts w:ascii="Times New Roman" w:hAnsi="Times New Roman" w:cs="Times New Roman" w:eastAsia="Times New Roman" w:hint="default"/>
          <w:spacing w:val="-3"/>
        </w:rPr>
        <w:t>6</w:t>
      </w:r>
      <w:r>
        <w:rPr>
          <w:spacing w:val="-3"/>
        </w:rPr>
        <w:t>个月，流通股</w:t>
      </w:r>
      <w:r>
        <w:rPr>
          <w:rFonts w:ascii="Times New Roman" w:hAnsi="Times New Roman" w:cs="Times New Roman" w:eastAsia="Times New Roman" w:hint="default"/>
          <w:spacing w:val="-3"/>
        </w:rPr>
        <w:t>114,438</w:t>
      </w:r>
      <w:r>
        <w:rPr>
          <w:spacing w:val="-3"/>
        </w:rPr>
        <w:t>股变为限售股。</w:t>
      </w:r>
    </w:p>
    <w:p>
      <w:pPr>
        <w:pStyle w:val="BodyText"/>
        <w:spacing w:line="386" w:lineRule="auto" w:before="177"/>
        <w:ind w:right="101"/>
        <w:jc w:val="left"/>
      </w:pPr>
      <w:r>
        <w:rPr>
          <w:rFonts w:ascii="Times New Roman" w:hAnsi="Times New Roman" w:cs="Times New Roman" w:eastAsia="Times New Roman" w:hint="default"/>
          <w:spacing w:val="-2"/>
        </w:rPr>
        <w:t>6</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20</w:t>
      </w:r>
      <w:r>
        <w:rPr>
          <w:spacing w:val="-2"/>
        </w:rPr>
        <w:t>日，公司召开第三届董事会第二十次临时会议，审议通过了《关于回购注销已不符合激励</w:t>
      </w:r>
      <w:r>
        <w:rPr>
          <w:spacing w:val="-40"/>
        </w:rPr>
        <w:t> </w:t>
      </w:r>
      <w:r>
        <w:rPr>
          <w:spacing w:val="-40"/>
        </w:rPr>
      </w:r>
      <w:r>
        <w:rPr>
          <w:spacing w:val="-4"/>
        </w:rPr>
        <w:t>条件的激励对象已获授但尚未解锁的限制性股票的议案》，公司</w:t>
      </w:r>
      <w:r>
        <w:rPr>
          <w:rFonts w:ascii="Times New Roman" w:hAnsi="Times New Roman" w:cs="Times New Roman" w:eastAsia="Times New Roman" w:hint="default"/>
          <w:spacing w:val="-4"/>
        </w:rPr>
        <w:t>2016</w:t>
      </w:r>
      <w:r>
        <w:rPr>
          <w:spacing w:val="-4"/>
        </w:rPr>
        <w:t>年限制性股票原授予的激励对象颜敏、</w:t>
      </w:r>
      <w:r>
        <w:rPr>
          <w:spacing w:val="-45"/>
        </w:rPr>
        <w:t> </w:t>
      </w:r>
      <w:r>
        <w:rPr>
          <w:spacing w:val="-45"/>
        </w:rPr>
      </w:r>
      <w:r>
        <w:rPr>
          <w:spacing w:val="-2"/>
        </w:rPr>
        <w:t>韩佳、李莉、娄成行、尹雪蓉等</w:t>
      </w:r>
      <w:r>
        <w:rPr>
          <w:rFonts w:ascii="Times New Roman" w:hAnsi="Times New Roman" w:cs="Times New Roman" w:eastAsia="Times New Roman" w:hint="default"/>
          <w:spacing w:val="-2"/>
        </w:rPr>
        <w:t>24</w:t>
      </w:r>
      <w:r>
        <w:rPr>
          <w:spacing w:val="-2"/>
        </w:rPr>
        <w:t>人已离职。根据《上市公司股权激励管理办法》、《上海天玑科技股份</w:t>
      </w:r>
      <w:r>
        <w:rPr>
          <w:spacing w:val="-47"/>
        </w:rPr>
        <w:t> </w:t>
      </w:r>
      <w:r>
        <w:rPr>
          <w:spacing w:val="-47"/>
        </w:rPr>
      </w:r>
      <w:r>
        <w:rPr>
          <w:spacing w:val="-4"/>
        </w:rPr>
        <w:t>有限公司</w:t>
      </w:r>
      <w:r>
        <w:rPr>
          <w:rFonts w:ascii="Times New Roman" w:hAnsi="Times New Roman" w:cs="Times New Roman" w:eastAsia="Times New Roman" w:hint="default"/>
          <w:spacing w:val="-4"/>
        </w:rPr>
        <w:t>2016</w:t>
      </w:r>
      <w:r>
        <w:rPr>
          <w:spacing w:val="-4"/>
        </w:rPr>
        <w:t>年限制性股票激励计划（草案）》等有关法律、法规和规范性文件以及《公司章程》的规定，</w:t>
      </w:r>
      <w:r>
        <w:rPr>
          <w:spacing w:val="-46"/>
        </w:rPr>
        <w:t> </w:t>
      </w:r>
      <w:r>
        <w:rPr>
          <w:spacing w:val="-46"/>
        </w:rPr>
      </w:r>
      <w:r>
        <w:rPr>
          <w:spacing w:val="-3"/>
        </w:rPr>
        <w:t>上述</w:t>
      </w:r>
      <w:r>
        <w:rPr>
          <w:rFonts w:ascii="Times New Roman" w:hAnsi="Times New Roman" w:cs="Times New Roman" w:eastAsia="Times New Roman" w:hint="default"/>
          <w:spacing w:val="-3"/>
        </w:rPr>
        <w:t>24</w:t>
      </w:r>
      <w:r>
        <w:rPr>
          <w:spacing w:val="-3"/>
        </w:rPr>
        <w:t>人已不符合股权激励对象的条件，现对其持有的已获授但尚未解锁的共计</w:t>
      </w:r>
      <w:r>
        <w:rPr>
          <w:rFonts w:ascii="Times New Roman" w:hAnsi="Times New Roman" w:cs="Times New Roman" w:eastAsia="Times New Roman" w:hint="default"/>
          <w:spacing w:val="-3"/>
        </w:rPr>
        <w:t>666,600</w:t>
      </w:r>
      <w:r>
        <w:rPr>
          <w:spacing w:val="-3"/>
        </w:rPr>
        <w:t>股限制性股票进行</w:t>
      </w:r>
      <w:r>
        <w:rPr>
          <w:spacing w:val="-37"/>
        </w:rPr>
        <w:t> </w:t>
      </w:r>
      <w:r>
        <w:rPr>
          <w:spacing w:val="-37"/>
        </w:rPr>
      </w:r>
      <w:r>
        <w:rPr/>
        <w:t>回购注销。回购价格为</w:t>
      </w:r>
      <w:r>
        <w:rPr>
          <w:rFonts w:ascii="Times New Roman" w:hAnsi="Times New Roman" w:cs="Times New Roman" w:eastAsia="Times New Roman" w:hint="default"/>
        </w:rPr>
        <w:t>10.7759</w:t>
      </w:r>
      <w:r>
        <w:rPr/>
        <w:t>元</w:t>
      </w:r>
      <w:r>
        <w:rPr>
          <w:rFonts w:ascii="Times New Roman" w:hAnsi="Times New Roman" w:cs="Times New Roman" w:eastAsia="Times New Roman" w:hint="default"/>
        </w:rPr>
        <w:t>/</w:t>
      </w:r>
      <w:r>
        <w:rPr/>
        <w:t>股（回购价格依据《股权激励计划》及公司</w:t>
      </w:r>
      <w:r>
        <w:rPr>
          <w:rFonts w:ascii="Times New Roman" w:hAnsi="Times New Roman" w:cs="Times New Roman" w:eastAsia="Times New Roman" w:hint="default"/>
        </w:rPr>
        <w:t>2015</w:t>
      </w:r>
      <w:r>
        <w:rPr/>
        <w:t>年度、</w:t>
      </w:r>
      <w:r>
        <w:rPr>
          <w:rFonts w:ascii="Times New Roman" w:hAnsi="Times New Roman" w:cs="Times New Roman" w:eastAsia="Times New Roman" w:hint="default"/>
        </w:rPr>
        <w:t>2016</w:t>
      </w:r>
      <w:r>
        <w:rPr/>
        <w:t>年度权益分</w:t>
      </w:r>
      <w:r>
        <w:rPr>
          <w:w w:val="100"/>
        </w:rPr>
        <w:t> </w:t>
      </w:r>
      <w:r>
        <w:rPr/>
        <w:t>派方案进行相应调整）。</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15</w:t>
      </w:r>
      <w:r>
        <w:rPr/>
        <w:t>日回购注销完成限制性股票数量</w:t>
      </w:r>
      <w:r>
        <w:rPr>
          <w:rFonts w:ascii="Times New Roman" w:hAnsi="Times New Roman" w:cs="Times New Roman" w:eastAsia="Times New Roman" w:hint="default"/>
        </w:rPr>
        <w:t>666,600</w:t>
      </w:r>
      <w:r>
        <w:rPr/>
        <w:t>股。</w:t>
      </w:r>
      <w:r>
        <w:rPr>
          <w:w w:val="100"/>
        </w:rPr>
        <w:t> </w:t>
      </w:r>
      <w:r>
        <w:rPr>
          <w:rFonts w:ascii="Times New Roman" w:hAnsi="Times New Roman" w:cs="Times New Roman" w:eastAsia="Times New Roman" w:hint="default"/>
        </w:rPr>
        <w:t>7</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18</w:t>
      </w:r>
      <w:r>
        <w:rPr/>
        <w:t>日副总经理叶磊增持</w:t>
      </w:r>
      <w:r>
        <w:rPr>
          <w:rFonts w:ascii="Times New Roman" w:hAnsi="Times New Roman" w:cs="Times New Roman" w:eastAsia="Times New Roman" w:hint="default"/>
        </w:rPr>
        <w:t>293500</w:t>
      </w:r>
      <w:r>
        <w:rPr/>
        <w:t>股，其中</w:t>
      </w:r>
      <w:r>
        <w:rPr>
          <w:rFonts w:ascii="Times New Roman" w:hAnsi="Times New Roman" w:cs="Times New Roman" w:eastAsia="Times New Roman" w:hint="default"/>
        </w:rPr>
        <w:t>75%</w:t>
      </w:r>
      <w:r>
        <w:rPr/>
        <w:t>为高管锁定股即</w:t>
      </w:r>
      <w:r>
        <w:rPr>
          <w:rFonts w:ascii="Times New Roman" w:hAnsi="Times New Roman" w:cs="Times New Roman" w:eastAsia="Times New Roman" w:hint="default"/>
        </w:rPr>
        <w:t>220,125</w:t>
      </w:r>
      <w:r>
        <w:rPr/>
        <w:t>股。</w:t>
      </w:r>
    </w:p>
    <w:p>
      <w:pPr>
        <w:pStyle w:val="BodyText"/>
        <w:spacing w:line="240" w:lineRule="auto" w:before="35"/>
        <w:ind w:right="101"/>
        <w:jc w:val="left"/>
      </w:pPr>
      <w:r>
        <w:rPr>
          <w:rFonts w:ascii="Times New Roman" w:hAnsi="Times New Roman" w:cs="Times New Roman" w:eastAsia="Times New Roman" w:hint="default"/>
        </w:rPr>
        <w:t>8</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27</w:t>
      </w:r>
      <w:r>
        <w:rPr/>
        <w:t>日公司完成非公开发行</w:t>
      </w:r>
      <w:r>
        <w:rPr>
          <w:rFonts w:ascii="Times New Roman" w:hAnsi="Times New Roman" w:cs="Times New Roman" w:eastAsia="Times New Roman" w:hint="default"/>
        </w:rPr>
        <w:t>45,511,698</w:t>
      </w:r>
      <w:r>
        <w:rPr/>
        <w:t>股上市流通，股份锁定一年。</w:t>
      </w:r>
    </w:p>
    <w:p>
      <w:pPr>
        <w:spacing w:before="162"/>
        <w:ind w:left="152" w:right="101" w:firstLine="0"/>
        <w:jc w:val="left"/>
        <w:rPr>
          <w:rFonts w:ascii="宋体" w:hAnsi="宋体" w:cs="宋体" w:eastAsia="宋体" w:hint="default"/>
          <w:sz w:val="18"/>
          <w:szCs w:val="18"/>
        </w:rPr>
      </w:pPr>
      <w:r>
        <w:rPr>
          <w:rFonts w:ascii="宋体" w:hAnsi="宋体" w:cs="宋体" w:eastAsia="宋体" w:hint="default"/>
          <w:sz w:val="18"/>
          <w:szCs w:val="18"/>
        </w:rPr>
        <w:t>股份变动的批准情况</w:t>
      </w:r>
    </w:p>
    <w:p>
      <w:pPr>
        <w:pStyle w:val="BodyText"/>
        <w:spacing w:line="388" w:lineRule="auto" w:before="115"/>
        <w:ind w:right="101"/>
        <w:jc w:val="left"/>
      </w:pPr>
      <w:r>
        <w:rPr>
          <w:rFonts w:ascii="Times New Roman" w:hAnsi="Times New Roman" w:cs="Times New Roman" w:eastAsia="Times New Roman" w:hint="default"/>
          <w:sz w:val="18"/>
          <w:szCs w:val="18"/>
        </w:rPr>
        <w:t>√ </w:t>
      </w:r>
      <w:r>
        <w:rPr>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sz w:val="18"/>
          <w:szCs w:val="18"/>
        </w:rPr>
        <w:t>不适用 </w:t>
      </w: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24</w:t>
      </w:r>
      <w:r>
        <w:rPr>
          <w:spacing w:val="-2"/>
        </w:rPr>
        <w:t>日，公司召开第三届董事会第十四次临时会议，审议通过了《关于回购注销已不符合激励</w:t>
      </w:r>
      <w:r>
        <w:rPr>
          <w:spacing w:val="-40"/>
        </w:rPr>
        <w:t> </w:t>
      </w:r>
      <w:r>
        <w:rPr>
          <w:spacing w:val="-40"/>
        </w:rPr>
      </w:r>
      <w:r>
        <w:rPr>
          <w:spacing w:val="-2"/>
        </w:rPr>
        <w:t>条件的激励对象已获授但尚未解锁的限制性股票的议案》，公司</w:t>
      </w:r>
      <w:r>
        <w:rPr>
          <w:rFonts w:ascii="Times New Roman" w:hAnsi="Times New Roman" w:cs="Times New Roman" w:eastAsia="Times New Roman" w:hint="default"/>
          <w:spacing w:val="-2"/>
        </w:rPr>
        <w:t>2016</w:t>
      </w:r>
      <w:r>
        <w:rPr>
          <w:spacing w:val="-2"/>
        </w:rPr>
        <w:t>年限制性股票原授予的激励对象黄小</w:t>
      </w:r>
      <w:r>
        <w:rPr>
          <w:spacing w:val="-39"/>
        </w:rPr>
        <w:t> </w:t>
      </w:r>
      <w:r>
        <w:rPr>
          <w:spacing w:val="-39"/>
        </w:rPr>
      </w:r>
      <w:r>
        <w:rPr>
          <w:spacing w:val="-2"/>
        </w:rPr>
        <w:t>云、雷潍、沈星、肖文清、余彬等</w:t>
      </w:r>
      <w:r>
        <w:rPr>
          <w:rFonts w:ascii="Times New Roman" w:hAnsi="Times New Roman" w:cs="Times New Roman" w:eastAsia="Times New Roman" w:hint="default"/>
          <w:spacing w:val="-2"/>
        </w:rPr>
        <w:t>16</w:t>
      </w:r>
      <w:r>
        <w:rPr>
          <w:spacing w:val="-2"/>
        </w:rPr>
        <w:t>人已离职，且已办理完毕离职手续。根据《上市公司股权激励管理办</w:t>
      </w:r>
      <w:r>
        <w:rPr>
          <w:spacing w:val="-45"/>
        </w:rPr>
        <w:t> </w:t>
      </w:r>
      <w:r>
        <w:rPr>
          <w:spacing w:val="-45"/>
        </w:rPr>
      </w:r>
      <w:r>
        <w:rPr>
          <w:spacing w:val="-2"/>
        </w:rPr>
        <w:t>法》、《上海天玑科技股份有限公司</w:t>
      </w:r>
      <w:r>
        <w:rPr>
          <w:rFonts w:ascii="Times New Roman" w:hAnsi="Times New Roman" w:cs="Times New Roman" w:eastAsia="Times New Roman" w:hint="default"/>
          <w:spacing w:val="-2"/>
        </w:rPr>
        <w:t>2016</w:t>
      </w:r>
      <w:r>
        <w:rPr>
          <w:spacing w:val="-2"/>
        </w:rPr>
        <w:t>年限制性股票激励计划（草案）》等有关法律、法规和规范性文</w:t>
      </w:r>
      <w:r>
        <w:rPr>
          <w:spacing w:val="-38"/>
        </w:rPr>
        <w:t> </w:t>
      </w:r>
      <w:r>
        <w:rPr>
          <w:spacing w:val="-38"/>
        </w:rPr>
      </w:r>
      <w:r>
        <w:rPr>
          <w:spacing w:val="-2"/>
        </w:rPr>
        <w:t>件以及《公司章程》的规定，上述</w:t>
      </w:r>
      <w:r>
        <w:rPr>
          <w:rFonts w:ascii="Times New Roman" w:hAnsi="Times New Roman" w:cs="Times New Roman" w:eastAsia="Times New Roman" w:hint="default"/>
          <w:spacing w:val="-2"/>
        </w:rPr>
        <w:t>16</w:t>
      </w:r>
      <w:r>
        <w:rPr>
          <w:spacing w:val="-2"/>
        </w:rPr>
        <w:t>人已不符合股权激励对象的条件，现对其持有的已获授但尚未解锁的</w:t>
      </w:r>
      <w:r>
        <w:rPr>
          <w:spacing w:val="-44"/>
        </w:rPr>
        <w:t> </w:t>
      </w:r>
      <w:r>
        <w:rPr>
          <w:spacing w:val="-44"/>
        </w:rPr>
      </w:r>
      <w:r>
        <w:rPr/>
        <w:t>共计</w:t>
      </w:r>
      <w:r>
        <w:rPr>
          <w:rFonts w:ascii="Times New Roman" w:hAnsi="Times New Roman" w:cs="Times New Roman" w:eastAsia="Times New Roman" w:hint="default"/>
        </w:rPr>
        <w:t>1,104,000</w:t>
      </w:r>
      <w:r>
        <w:rPr/>
        <w:t>股限制性股票进行回购注销。回购注销完成后公司股本由</w:t>
      </w:r>
      <w:r>
        <w:rPr>
          <w:rFonts w:ascii="Times New Roman" w:hAnsi="Times New Roman" w:cs="Times New Roman" w:eastAsia="Times New Roman" w:hint="default"/>
        </w:rPr>
        <w:t>275,185,795</w:t>
      </w:r>
      <w:r>
        <w:rPr/>
        <w:t>股变更为</w:t>
      </w:r>
      <w:r>
        <w:rPr>
          <w:rFonts w:ascii="Times New Roman" w:hAnsi="Times New Roman" w:cs="Times New Roman" w:eastAsia="Times New Roman" w:hint="default"/>
        </w:rPr>
        <w:t>274,081,795</w:t>
      </w:r>
      <w:r>
        <w:rPr>
          <w:rFonts w:ascii="Times New Roman" w:hAnsi="Times New Roman" w:cs="Times New Roman" w:eastAsia="Times New Roman" w:hint="default"/>
          <w:w w:val="100"/>
        </w:rPr>
        <w:t> </w:t>
      </w:r>
      <w:r>
        <w:rPr/>
        <w:t>股。</w:t>
      </w:r>
      <w:r>
        <w:rPr>
          <w:spacing w:val="-103"/>
        </w:rPr>
        <w:t> </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19</w:t>
      </w:r>
      <w:r>
        <w:rPr>
          <w:spacing w:val="-2"/>
        </w:rPr>
        <w:t>日，公司召开第三届董事会第十六次会议，审议通过了《关于回购注销未达到</w:t>
      </w:r>
      <w:r>
        <w:rPr>
          <w:rFonts w:ascii="Times New Roman" w:hAnsi="Times New Roman" w:cs="Times New Roman" w:eastAsia="Times New Roman" w:hint="default"/>
          <w:spacing w:val="-2"/>
        </w:rPr>
        <w:t>2016</w:t>
      </w:r>
      <w:r>
        <w:rPr>
          <w:spacing w:val="-2"/>
        </w:rPr>
        <w:t>年限制</w:t>
      </w:r>
      <w:r>
        <w:rPr>
          <w:spacing w:val="-34"/>
        </w:rPr>
        <w:t> </w:t>
      </w:r>
      <w:r>
        <w:rPr>
          <w:spacing w:val="-34"/>
        </w:rPr>
      </w:r>
      <w:r>
        <w:rPr/>
        <w:t>性股票激励计划规定第一期解锁条件已授予未解锁的限制性股票的议案》，因公司</w:t>
      </w:r>
      <w:r>
        <w:rPr>
          <w:rFonts w:ascii="Times New Roman" w:hAnsi="Times New Roman" w:cs="Times New Roman" w:eastAsia="Times New Roman" w:hint="default"/>
        </w:rPr>
        <w:t>2016</w:t>
      </w:r>
      <w:r>
        <w:rPr/>
        <w:t>年度业绩未达到</w:t>
      </w:r>
    </w:p>
    <w:p>
      <w:pPr>
        <w:spacing w:after="0" w:line="388" w:lineRule="auto"/>
        <w:jc w:val="left"/>
        <w:sectPr>
          <w:pgSz w:w="11910" w:h="16840"/>
          <w:pgMar w:header="745" w:footer="979" w:top="1060" w:bottom="1160" w:left="980" w:right="920"/>
        </w:sectPr>
      </w:pPr>
    </w:p>
    <w:p>
      <w:pPr>
        <w:spacing w:line="240" w:lineRule="auto" w:before="0"/>
        <w:rPr>
          <w:rFonts w:ascii="宋体" w:hAnsi="宋体" w:cs="宋体" w:eastAsia="宋体" w:hint="default"/>
          <w:sz w:val="20"/>
          <w:szCs w:val="20"/>
        </w:rPr>
      </w:pPr>
    </w:p>
    <w:p>
      <w:pPr>
        <w:pStyle w:val="BodyText"/>
        <w:spacing w:line="240" w:lineRule="auto" w:before="176"/>
        <w:ind w:right="101"/>
        <w:jc w:val="left"/>
      </w:pPr>
      <w:r>
        <w:rPr>
          <w:rFonts w:ascii="Times New Roman" w:hAnsi="Times New Roman" w:cs="Times New Roman" w:eastAsia="Times New Roman" w:hint="default"/>
        </w:rPr>
        <w:t>2016</w:t>
      </w:r>
      <w:r>
        <w:rPr/>
        <w:t>年限制性股票激励计划规定的第一期限制性股票的解锁条件，根据《上市公司股权激励管理办法》、</w:t>
      </w:r>
    </w:p>
    <w:p>
      <w:pPr>
        <w:pStyle w:val="BodyText"/>
        <w:spacing w:line="240" w:lineRule="auto" w:before="177"/>
        <w:ind w:right="101"/>
        <w:jc w:val="left"/>
      </w:pPr>
      <w:r>
        <w:rPr/>
        <w:t>《上海天玑科技股份有限公司</w:t>
      </w:r>
      <w:r>
        <w:rPr>
          <w:rFonts w:ascii="Times New Roman" w:hAnsi="Times New Roman" w:cs="Times New Roman" w:eastAsia="Times New Roman" w:hint="default"/>
        </w:rPr>
        <w:t>2016</w:t>
      </w:r>
      <w:r>
        <w:rPr/>
        <w:t>年限制性股票激励计划（草案）》等有关法律、法规和规范性文件以及</w:t>
      </w:r>
    </w:p>
    <w:p>
      <w:pPr>
        <w:pStyle w:val="BodyText"/>
        <w:spacing w:line="386" w:lineRule="auto" w:before="177"/>
        <w:ind w:right="101"/>
        <w:jc w:val="left"/>
      </w:pPr>
      <w:r>
        <w:rPr>
          <w:spacing w:val="-2"/>
        </w:rPr>
        <w:t>《公司章程》的规定，公司董事会一致同意将未达到</w:t>
      </w:r>
      <w:r>
        <w:rPr>
          <w:rFonts w:ascii="Times New Roman" w:hAnsi="Times New Roman" w:cs="Times New Roman" w:eastAsia="Times New Roman" w:hint="default"/>
          <w:spacing w:val="-2"/>
        </w:rPr>
        <w:t>2016</w:t>
      </w:r>
      <w:r>
        <w:rPr>
          <w:spacing w:val="-2"/>
        </w:rPr>
        <w:t>年限制性股票激励计划规定的第一期解锁条件已</w:t>
      </w:r>
      <w:r>
        <w:rPr>
          <w:spacing w:val="-38"/>
        </w:rPr>
        <w:t> </w:t>
      </w:r>
      <w:r>
        <w:rPr>
          <w:spacing w:val="-38"/>
        </w:rPr>
      </w:r>
      <w:r>
        <w:rPr/>
        <w:t>授予未解锁的限制性股票</w:t>
      </w:r>
      <w:r>
        <w:rPr>
          <w:rFonts w:ascii="Times New Roman" w:hAnsi="Times New Roman" w:cs="Times New Roman" w:eastAsia="Times New Roman" w:hint="default"/>
        </w:rPr>
        <w:t>2,454,400</w:t>
      </w:r>
      <w:r>
        <w:rPr/>
        <w:t>股进行回购注销，共计</w:t>
      </w:r>
      <w:r>
        <w:rPr>
          <w:rFonts w:ascii="Times New Roman" w:hAnsi="Times New Roman" w:cs="Times New Roman" w:eastAsia="Times New Roman" w:hint="default"/>
        </w:rPr>
        <w:t>135</w:t>
      </w:r>
      <w:r>
        <w:rPr/>
        <w:t>名激励对象。回购注销完成后公司股本由</w:t>
      </w:r>
      <w:r>
        <w:rPr>
          <w:w w:val="100"/>
        </w:rPr>
        <w:t> </w:t>
      </w:r>
      <w:r>
        <w:rPr>
          <w:rFonts w:ascii="Times New Roman" w:hAnsi="Times New Roman" w:cs="Times New Roman" w:eastAsia="Times New Roman" w:hint="default"/>
        </w:rPr>
        <w:t>274,081,795</w:t>
      </w:r>
      <w:r>
        <w:rPr/>
        <w:t>股变更为</w:t>
      </w:r>
      <w:r>
        <w:rPr>
          <w:rFonts w:ascii="Times New Roman" w:hAnsi="Times New Roman" w:cs="Times New Roman" w:eastAsia="Times New Roman" w:hint="default"/>
        </w:rPr>
        <w:t>271,627,395</w:t>
      </w:r>
      <w:r>
        <w:rPr/>
        <w:t>股。</w:t>
      </w:r>
    </w:p>
    <w:p>
      <w:pPr>
        <w:pStyle w:val="BodyText"/>
        <w:spacing w:line="386" w:lineRule="auto" w:before="35"/>
        <w:ind w:right="101"/>
        <w:jc w:val="left"/>
      </w:pP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20</w:t>
      </w:r>
      <w:r>
        <w:rPr>
          <w:spacing w:val="-2"/>
        </w:rPr>
        <w:t>日，公司召开第三届董事会第二十次临时会议，审议通过了《关于回购注销已不符合激励</w:t>
      </w:r>
      <w:r>
        <w:rPr>
          <w:spacing w:val="-40"/>
        </w:rPr>
        <w:t> </w:t>
      </w:r>
      <w:r>
        <w:rPr>
          <w:spacing w:val="-40"/>
        </w:rPr>
      </w:r>
      <w:r>
        <w:rPr>
          <w:spacing w:val="-4"/>
        </w:rPr>
        <w:t>条件的激励对象已获授但尚未解锁的限制性股票的议案》，公司</w:t>
      </w:r>
      <w:r>
        <w:rPr>
          <w:rFonts w:ascii="Times New Roman" w:hAnsi="Times New Roman" w:cs="Times New Roman" w:eastAsia="Times New Roman" w:hint="default"/>
          <w:spacing w:val="-4"/>
        </w:rPr>
        <w:t>2016</w:t>
      </w:r>
      <w:r>
        <w:rPr>
          <w:spacing w:val="-4"/>
        </w:rPr>
        <w:t>年限制性股票原授予的激励对象颜敏、</w:t>
      </w:r>
      <w:r>
        <w:rPr>
          <w:spacing w:val="-45"/>
        </w:rPr>
        <w:t> </w:t>
      </w:r>
      <w:r>
        <w:rPr>
          <w:spacing w:val="-45"/>
        </w:rPr>
      </w:r>
      <w:r>
        <w:rPr>
          <w:spacing w:val="-2"/>
        </w:rPr>
        <w:t>韩佳、李莉、娄成行、尹雪蓉等</w:t>
      </w:r>
      <w:r>
        <w:rPr>
          <w:rFonts w:ascii="Times New Roman" w:hAnsi="Times New Roman" w:cs="Times New Roman" w:eastAsia="Times New Roman" w:hint="default"/>
          <w:spacing w:val="-2"/>
        </w:rPr>
        <w:t>24</w:t>
      </w:r>
      <w:r>
        <w:rPr>
          <w:spacing w:val="-2"/>
        </w:rPr>
        <w:t>人已离职。根据《上市公司股权激励管理办法》、《上海天玑科技股份</w:t>
      </w:r>
      <w:r>
        <w:rPr>
          <w:spacing w:val="-47"/>
        </w:rPr>
        <w:t> </w:t>
      </w:r>
      <w:r>
        <w:rPr>
          <w:spacing w:val="-47"/>
        </w:rPr>
      </w:r>
      <w:r>
        <w:rPr>
          <w:spacing w:val="-4"/>
        </w:rPr>
        <w:t>有限公司</w:t>
      </w:r>
      <w:r>
        <w:rPr>
          <w:rFonts w:ascii="Times New Roman" w:hAnsi="Times New Roman" w:cs="Times New Roman" w:eastAsia="Times New Roman" w:hint="default"/>
          <w:spacing w:val="-4"/>
        </w:rPr>
        <w:t>2016</w:t>
      </w:r>
      <w:r>
        <w:rPr>
          <w:spacing w:val="-4"/>
        </w:rPr>
        <w:t>年限制性股票激励计划（草案）》等有关法律、法规和规范性文件以及《公司章程》的规定，</w:t>
      </w:r>
      <w:r>
        <w:rPr>
          <w:spacing w:val="-46"/>
        </w:rPr>
        <w:t> </w:t>
      </w:r>
      <w:r>
        <w:rPr>
          <w:spacing w:val="-46"/>
        </w:rPr>
      </w:r>
      <w:r>
        <w:rPr>
          <w:spacing w:val="-3"/>
        </w:rPr>
        <w:t>上述</w:t>
      </w:r>
      <w:r>
        <w:rPr>
          <w:rFonts w:ascii="Times New Roman" w:hAnsi="Times New Roman" w:cs="Times New Roman" w:eastAsia="Times New Roman" w:hint="default"/>
          <w:spacing w:val="-3"/>
        </w:rPr>
        <w:t>24</w:t>
      </w:r>
      <w:r>
        <w:rPr>
          <w:spacing w:val="-3"/>
        </w:rPr>
        <w:t>人已不符合股权激励对象的条件，现对其持有的已获授但尚未解锁的共计</w:t>
      </w:r>
      <w:r>
        <w:rPr>
          <w:rFonts w:ascii="Times New Roman" w:hAnsi="Times New Roman" w:cs="Times New Roman" w:eastAsia="Times New Roman" w:hint="default"/>
          <w:spacing w:val="-3"/>
        </w:rPr>
        <w:t>666,600</w:t>
      </w:r>
      <w:r>
        <w:rPr>
          <w:spacing w:val="-3"/>
        </w:rPr>
        <w:t>股限制性股票进行</w:t>
      </w:r>
      <w:r>
        <w:rPr>
          <w:spacing w:val="-37"/>
        </w:rPr>
        <w:t> </w:t>
      </w:r>
      <w:r>
        <w:rPr>
          <w:spacing w:val="-37"/>
        </w:rPr>
      </w:r>
      <w:r>
        <w:rPr/>
        <w:t>回购注销。回购价格为</w:t>
      </w:r>
      <w:r>
        <w:rPr>
          <w:rFonts w:ascii="Times New Roman" w:hAnsi="Times New Roman" w:cs="Times New Roman" w:eastAsia="Times New Roman" w:hint="default"/>
        </w:rPr>
        <w:t>10.7759</w:t>
      </w:r>
      <w:r>
        <w:rPr/>
        <w:t>元</w:t>
      </w:r>
      <w:r>
        <w:rPr>
          <w:rFonts w:ascii="Times New Roman" w:hAnsi="Times New Roman" w:cs="Times New Roman" w:eastAsia="Times New Roman" w:hint="default"/>
        </w:rPr>
        <w:t>/</w:t>
      </w:r>
      <w:r>
        <w:rPr/>
        <w:t>股（回购价格依据《股权激励计划》及公司</w:t>
      </w:r>
      <w:r>
        <w:rPr>
          <w:rFonts w:ascii="Times New Roman" w:hAnsi="Times New Roman" w:cs="Times New Roman" w:eastAsia="Times New Roman" w:hint="default"/>
        </w:rPr>
        <w:t>2015</w:t>
      </w:r>
      <w:r>
        <w:rPr/>
        <w:t>年度、</w:t>
      </w:r>
      <w:r>
        <w:rPr>
          <w:rFonts w:ascii="Times New Roman" w:hAnsi="Times New Roman" w:cs="Times New Roman" w:eastAsia="Times New Roman" w:hint="default"/>
        </w:rPr>
        <w:t>2016</w:t>
      </w:r>
      <w:r>
        <w:rPr/>
        <w:t>年度权益分</w:t>
      </w:r>
      <w:r>
        <w:rPr>
          <w:w w:val="100"/>
        </w:rPr>
        <w:t> </w:t>
      </w:r>
      <w:r>
        <w:rPr/>
        <w:t>派方案进行相应调整）。公司股本由</w:t>
      </w:r>
      <w:r>
        <w:rPr>
          <w:rFonts w:ascii="Times New Roman" w:hAnsi="Times New Roman" w:cs="Times New Roman" w:eastAsia="Times New Roman" w:hint="default"/>
        </w:rPr>
        <w:t>271,627,395</w:t>
      </w:r>
      <w:r>
        <w:rPr/>
        <w:t>股变更为</w:t>
      </w:r>
      <w:r>
        <w:rPr>
          <w:rFonts w:ascii="Times New Roman" w:hAnsi="Times New Roman" w:cs="Times New Roman" w:eastAsia="Times New Roman" w:hint="default"/>
        </w:rPr>
        <w:t>270,960,795</w:t>
      </w:r>
      <w:r>
        <w:rPr/>
        <w:t>股。</w:t>
      </w:r>
      <w:r>
        <w:rPr>
          <w:spacing w:val="-3"/>
          <w:w w:val="100"/>
        </w:rPr>
        <w:t> </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19</w:t>
      </w:r>
      <w:r>
        <w:rPr/>
        <w:t>日，公司收到中国证券监督管理委员会《关于核准上海天玑科技股份有限公司非公开发行</w:t>
      </w:r>
      <w:r>
        <w:rPr>
          <w:w w:val="100"/>
        </w:rPr>
        <w:t> </w:t>
      </w:r>
      <w:r>
        <w:rPr/>
        <w:t>股票的批复》（证监许可【</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1147</w:t>
      </w:r>
      <w:r>
        <w:rPr/>
        <w:t>号），核准公司非公开发行不超过</w:t>
      </w:r>
      <w:r>
        <w:rPr>
          <w:rFonts w:ascii="Times New Roman" w:hAnsi="Times New Roman" w:cs="Times New Roman" w:eastAsia="Times New Roman" w:hint="default"/>
        </w:rPr>
        <w:t>5,000</w:t>
      </w:r>
      <w:r>
        <w:rPr/>
        <w:t>万股新股。</w:t>
      </w:r>
      <w:r>
        <w:rPr>
          <w:spacing w:val="-25"/>
        </w:rPr>
        <w:t> </w:t>
      </w:r>
      <w:r>
        <w:rPr/>
        <w:t>公司本次非公</w:t>
      </w:r>
      <w:r>
        <w:rPr>
          <w:w w:val="100"/>
        </w:rPr>
        <w:t> </w:t>
      </w:r>
      <w:r>
        <w:rPr/>
        <w:t>开发行股票</w:t>
      </w:r>
      <w:r>
        <w:rPr>
          <w:rFonts w:ascii="Times New Roman" w:hAnsi="Times New Roman" w:cs="Times New Roman" w:eastAsia="Times New Roman" w:hint="default"/>
        </w:rPr>
        <w:t>45,511,698</w:t>
      </w:r>
      <w:r>
        <w:rPr/>
        <w:t>股，新增股份已于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20</w:t>
      </w:r>
      <w:r>
        <w:rPr/>
        <w:t>日在中国证券登记结算有限责任公司深圳分公司办</w:t>
      </w:r>
      <w:r>
        <w:rPr>
          <w:w w:val="100"/>
        </w:rPr>
        <w:t> </w:t>
      </w:r>
      <w:r>
        <w:rPr/>
        <w:t>理完毕登记托管手续，本次发行新增股份的性质为有限售条件股份，全部</w:t>
      </w:r>
      <w:r>
        <w:rPr>
          <w:rFonts w:ascii="Times New Roman" w:hAnsi="Times New Roman" w:cs="Times New Roman" w:eastAsia="Times New Roman" w:hint="default"/>
        </w:rPr>
        <w:t>4</w:t>
      </w:r>
      <w:r>
        <w:rPr/>
        <w:t>名投资者认购的股份上市流通</w:t>
      </w:r>
      <w:r>
        <w:rPr>
          <w:w w:val="100"/>
        </w:rPr>
        <w:t> </w:t>
      </w:r>
      <w:r>
        <w:rPr/>
        <w:t>日为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27</w:t>
      </w:r>
      <w:r>
        <w:rPr/>
        <w:t>日。</w:t>
      </w:r>
    </w:p>
    <w:p>
      <w:pPr>
        <w:spacing w:line="240" w:lineRule="auto" w:before="5"/>
        <w:rPr>
          <w:rFonts w:ascii="宋体" w:hAnsi="宋体" w:cs="宋体" w:eastAsia="宋体" w:hint="default"/>
          <w:sz w:val="25"/>
          <w:szCs w:val="25"/>
        </w:rPr>
      </w:pPr>
    </w:p>
    <w:p>
      <w:pPr>
        <w:spacing w:before="0"/>
        <w:ind w:left="152" w:right="101" w:firstLine="0"/>
        <w:jc w:val="left"/>
        <w:rPr>
          <w:rFonts w:ascii="宋体" w:hAnsi="宋体" w:cs="宋体" w:eastAsia="宋体" w:hint="default"/>
          <w:sz w:val="18"/>
          <w:szCs w:val="18"/>
        </w:rPr>
      </w:pPr>
      <w:r>
        <w:rPr>
          <w:rFonts w:ascii="宋体" w:hAnsi="宋体" w:cs="宋体" w:eastAsia="宋体" w:hint="default"/>
          <w:sz w:val="18"/>
          <w:szCs w:val="18"/>
        </w:rPr>
        <w:t>股份变动的过户情况</w:t>
      </w:r>
    </w:p>
    <w:p>
      <w:pPr>
        <w:pStyle w:val="BodyText"/>
        <w:spacing w:line="386" w:lineRule="auto" w:before="115"/>
        <w:ind w:right="101"/>
        <w:jc w:val="left"/>
      </w:pPr>
      <w:r>
        <w:rPr>
          <w:rFonts w:ascii="Times New Roman" w:hAnsi="Times New Roman" w:cs="Times New Roman" w:eastAsia="Times New Roman" w:hint="default"/>
          <w:sz w:val="18"/>
          <w:szCs w:val="18"/>
        </w:rPr>
        <w:t>√ </w:t>
      </w:r>
      <w:r>
        <w:rPr>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sz w:val="18"/>
          <w:szCs w:val="18"/>
        </w:rPr>
        <w:t>不适用 </w:t>
      </w: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24</w:t>
      </w:r>
      <w:r>
        <w:rPr>
          <w:spacing w:val="-2"/>
        </w:rPr>
        <w:t>日，公司召开第三届董事会第十四次临时会议，审议通过了《关于回购注销已不符合激励</w:t>
      </w:r>
      <w:r>
        <w:rPr>
          <w:spacing w:val="-39"/>
        </w:rPr>
        <w:t> </w:t>
      </w:r>
      <w:r>
        <w:rPr>
          <w:spacing w:val="-39"/>
        </w:rPr>
      </w:r>
      <w:r>
        <w:rPr>
          <w:spacing w:val="-2"/>
        </w:rPr>
        <w:t>条件的激励对象已获授但尚未解锁的限制性股票的议案》，公司</w:t>
      </w:r>
      <w:r>
        <w:rPr>
          <w:rFonts w:ascii="Times New Roman" w:hAnsi="Times New Roman" w:cs="Times New Roman" w:eastAsia="Times New Roman" w:hint="default"/>
          <w:spacing w:val="-2"/>
        </w:rPr>
        <w:t>2016</w:t>
      </w:r>
      <w:r>
        <w:rPr>
          <w:spacing w:val="-2"/>
        </w:rPr>
        <w:t>年限制性股票原授予的激励对象黄小</w:t>
      </w:r>
      <w:r>
        <w:rPr>
          <w:spacing w:val="-39"/>
        </w:rPr>
        <w:t> </w:t>
      </w:r>
      <w:r>
        <w:rPr>
          <w:spacing w:val="-39"/>
        </w:rPr>
      </w:r>
      <w:r>
        <w:rPr>
          <w:spacing w:val="-2"/>
        </w:rPr>
        <w:t>云、雷潍、沈星、肖文清、余彬等</w:t>
      </w:r>
      <w:r>
        <w:rPr>
          <w:rFonts w:ascii="Times New Roman" w:hAnsi="Times New Roman" w:cs="Times New Roman" w:eastAsia="Times New Roman" w:hint="default"/>
          <w:spacing w:val="-2"/>
        </w:rPr>
        <w:t>16</w:t>
      </w:r>
      <w:r>
        <w:rPr>
          <w:spacing w:val="-2"/>
        </w:rPr>
        <w:t>人已离职，且已办理完毕离职手续。根据《上市公司股权激励管理办</w:t>
      </w:r>
      <w:r>
        <w:rPr>
          <w:spacing w:val="-45"/>
        </w:rPr>
        <w:t> </w:t>
      </w:r>
      <w:r>
        <w:rPr>
          <w:spacing w:val="-45"/>
        </w:rPr>
      </w:r>
      <w:r>
        <w:rPr>
          <w:spacing w:val="-2"/>
        </w:rPr>
        <w:t>法》、《上海天玑科技股份有限公司</w:t>
      </w:r>
      <w:r>
        <w:rPr>
          <w:rFonts w:ascii="Times New Roman" w:hAnsi="Times New Roman" w:cs="Times New Roman" w:eastAsia="Times New Roman" w:hint="default"/>
          <w:spacing w:val="-2"/>
        </w:rPr>
        <w:t>2016</w:t>
      </w:r>
      <w:r>
        <w:rPr>
          <w:spacing w:val="-2"/>
        </w:rPr>
        <w:t>年限制性股票激励计划（草案）》等有关法律、法规和规范性文</w:t>
      </w:r>
      <w:r>
        <w:rPr>
          <w:spacing w:val="-38"/>
        </w:rPr>
        <w:t> </w:t>
      </w:r>
      <w:r>
        <w:rPr>
          <w:spacing w:val="-38"/>
        </w:rPr>
      </w:r>
      <w:r>
        <w:rPr>
          <w:spacing w:val="-2"/>
        </w:rPr>
        <w:t>件以及《公司章程》的规定，上述</w:t>
      </w:r>
      <w:r>
        <w:rPr>
          <w:rFonts w:ascii="Times New Roman" w:hAnsi="Times New Roman" w:cs="Times New Roman" w:eastAsia="Times New Roman" w:hint="default"/>
          <w:spacing w:val="-2"/>
        </w:rPr>
        <w:t>16</w:t>
      </w:r>
      <w:r>
        <w:rPr>
          <w:spacing w:val="-2"/>
        </w:rPr>
        <w:t>人已不符合股权激励对象的条件，现对其持有的已获授但尚未解锁的</w:t>
      </w:r>
      <w:r>
        <w:rPr>
          <w:spacing w:val="-44"/>
        </w:rPr>
        <w:t> </w:t>
      </w:r>
      <w:r>
        <w:rPr>
          <w:spacing w:val="-44"/>
        </w:rPr>
      </w:r>
      <w:r>
        <w:rPr/>
        <w:t>共计</w:t>
      </w:r>
      <w:r>
        <w:rPr>
          <w:rFonts w:ascii="Times New Roman" w:hAnsi="Times New Roman" w:cs="Times New Roman" w:eastAsia="Times New Roman" w:hint="default"/>
        </w:rPr>
        <w:t>1,104,000</w:t>
      </w:r>
      <w:r>
        <w:rPr/>
        <w:t>股限制性股票进行回购注销。回购注销完成后公司股本由</w:t>
      </w:r>
      <w:r>
        <w:rPr>
          <w:rFonts w:ascii="Times New Roman" w:hAnsi="Times New Roman" w:cs="Times New Roman" w:eastAsia="Times New Roman" w:hint="default"/>
        </w:rPr>
        <w:t>275,185,795</w:t>
      </w:r>
      <w:r>
        <w:rPr/>
        <w:t>股变更为</w:t>
      </w:r>
      <w:r>
        <w:rPr>
          <w:rFonts w:ascii="Times New Roman" w:hAnsi="Times New Roman" w:cs="Times New Roman" w:eastAsia="Times New Roman" w:hint="default"/>
        </w:rPr>
        <w:t>274,081,795</w:t>
      </w:r>
      <w:r>
        <w:rPr>
          <w:rFonts w:ascii="Times New Roman" w:hAnsi="Times New Roman" w:cs="Times New Roman" w:eastAsia="Times New Roman" w:hint="default"/>
          <w:w w:val="100"/>
        </w:rPr>
        <w:t> </w:t>
      </w:r>
      <w:r>
        <w:rPr/>
        <w:t>股。</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w:t>
      </w:r>
      <w:r>
        <w:rPr/>
        <w:t>月公司回购注销完成了</w:t>
      </w:r>
      <w:r>
        <w:rPr>
          <w:rFonts w:ascii="Times New Roman" w:hAnsi="Times New Roman" w:cs="Times New Roman" w:eastAsia="Times New Roman" w:hint="default"/>
        </w:rPr>
        <w:t>2016</w:t>
      </w:r>
      <w:r>
        <w:rPr/>
        <w:t>年股权激励</w:t>
      </w:r>
      <w:r>
        <w:rPr>
          <w:rFonts w:ascii="Times New Roman" w:hAnsi="Times New Roman" w:cs="Times New Roman" w:eastAsia="Times New Roman" w:hint="default"/>
        </w:rPr>
        <w:t>1,104,000</w:t>
      </w:r>
      <w:r>
        <w:rPr/>
        <w:t>股。</w:t>
      </w:r>
      <w:r>
        <w:rPr>
          <w:spacing w:val="-3"/>
          <w:w w:val="100"/>
        </w:rPr>
        <w:t> </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19</w:t>
      </w:r>
      <w:r>
        <w:rPr>
          <w:spacing w:val="-2"/>
        </w:rPr>
        <w:t>日，公司召开第三届董事会第十六次会议，审议通过了《关于回购注销未达到</w:t>
      </w:r>
      <w:r>
        <w:rPr>
          <w:rFonts w:ascii="Times New Roman" w:hAnsi="Times New Roman" w:cs="Times New Roman" w:eastAsia="Times New Roman" w:hint="default"/>
          <w:spacing w:val="-2"/>
        </w:rPr>
        <w:t>2016</w:t>
      </w:r>
      <w:r>
        <w:rPr>
          <w:spacing w:val="-2"/>
        </w:rPr>
        <w:t>年限制</w:t>
      </w:r>
      <w:r>
        <w:rPr>
          <w:spacing w:val="-34"/>
        </w:rPr>
        <w:t> </w:t>
      </w:r>
      <w:r>
        <w:rPr>
          <w:spacing w:val="-34"/>
        </w:rPr>
      </w:r>
      <w:r>
        <w:rPr/>
        <w:t>性股票激励计划规定第一期解锁条件已授予未解锁的限制性股票的议案》，因公司</w:t>
      </w:r>
      <w:r>
        <w:rPr>
          <w:rFonts w:ascii="Times New Roman" w:hAnsi="Times New Roman" w:cs="Times New Roman" w:eastAsia="Times New Roman" w:hint="default"/>
        </w:rPr>
        <w:t>2016</w:t>
      </w:r>
      <w:r>
        <w:rPr/>
        <w:t>年度业绩未达到</w:t>
      </w:r>
      <w:r>
        <w:rPr>
          <w:w w:val="100"/>
        </w:rPr>
        <w:t> </w:t>
      </w:r>
      <w:r>
        <w:rPr>
          <w:rFonts w:ascii="Times New Roman" w:hAnsi="Times New Roman" w:cs="Times New Roman" w:eastAsia="Times New Roman" w:hint="default"/>
          <w:spacing w:val="-2"/>
        </w:rPr>
        <w:t>2016</w:t>
      </w:r>
      <w:r>
        <w:rPr>
          <w:spacing w:val="-2"/>
        </w:rPr>
        <w:t>年限制性股票激励计划规定的第一期限制性股票的解锁条件，根据《上市公司股权激励管理办法》、</w:t>
      </w:r>
    </w:p>
    <w:p>
      <w:pPr>
        <w:spacing w:after="0" w:line="386" w:lineRule="auto"/>
        <w:jc w:val="left"/>
        <w:sectPr>
          <w:pgSz w:w="11910" w:h="16840"/>
          <w:pgMar w:header="745" w:footer="979" w:top="1060" w:bottom="1160" w:left="980" w:right="920"/>
        </w:sectPr>
      </w:pPr>
    </w:p>
    <w:p>
      <w:pPr>
        <w:spacing w:line="240" w:lineRule="auto" w:before="0"/>
        <w:rPr>
          <w:rFonts w:ascii="宋体" w:hAnsi="宋体" w:cs="宋体" w:eastAsia="宋体" w:hint="default"/>
          <w:sz w:val="20"/>
          <w:szCs w:val="20"/>
        </w:rPr>
      </w:pPr>
    </w:p>
    <w:p>
      <w:pPr>
        <w:pStyle w:val="BodyText"/>
        <w:spacing w:line="240" w:lineRule="auto" w:before="176"/>
        <w:ind w:right="101"/>
        <w:jc w:val="left"/>
      </w:pPr>
      <w:r>
        <w:rPr/>
        <w:t>《上海天玑科技股份有限公司</w:t>
      </w:r>
      <w:r>
        <w:rPr>
          <w:rFonts w:ascii="Times New Roman" w:hAnsi="Times New Roman" w:cs="Times New Roman" w:eastAsia="Times New Roman" w:hint="default"/>
        </w:rPr>
        <w:t>2016</w:t>
      </w:r>
      <w:r>
        <w:rPr/>
        <w:t>年限制性股票激励计划（草案）》等有关法律、法规和规范性文件以及</w:t>
      </w:r>
    </w:p>
    <w:p>
      <w:pPr>
        <w:pStyle w:val="BodyText"/>
        <w:spacing w:line="386" w:lineRule="auto" w:before="177"/>
        <w:ind w:right="101"/>
        <w:jc w:val="left"/>
      </w:pPr>
      <w:r>
        <w:rPr>
          <w:spacing w:val="-2"/>
        </w:rPr>
        <w:t>《公司章程》的规定，公司董事会一致同意将未达到</w:t>
      </w:r>
      <w:r>
        <w:rPr>
          <w:rFonts w:ascii="Times New Roman" w:hAnsi="Times New Roman" w:cs="Times New Roman" w:eastAsia="Times New Roman" w:hint="default"/>
          <w:spacing w:val="-2"/>
        </w:rPr>
        <w:t>2016</w:t>
      </w:r>
      <w:r>
        <w:rPr>
          <w:spacing w:val="-2"/>
        </w:rPr>
        <w:t>年限制性股票激励计划规定的第一期解锁条件已</w:t>
      </w:r>
      <w:r>
        <w:rPr>
          <w:spacing w:val="-38"/>
        </w:rPr>
        <w:t> </w:t>
      </w:r>
      <w:r>
        <w:rPr>
          <w:spacing w:val="-38"/>
        </w:rPr>
      </w:r>
      <w:r>
        <w:rPr/>
        <w:t>授予未解锁的限制性股票</w:t>
      </w:r>
      <w:r>
        <w:rPr>
          <w:rFonts w:ascii="Times New Roman" w:hAnsi="Times New Roman" w:cs="Times New Roman" w:eastAsia="Times New Roman" w:hint="default"/>
        </w:rPr>
        <w:t>2,454,400</w:t>
      </w:r>
      <w:r>
        <w:rPr/>
        <w:t>股进行回购注销，共计</w:t>
      </w:r>
      <w:r>
        <w:rPr>
          <w:rFonts w:ascii="Times New Roman" w:hAnsi="Times New Roman" w:cs="Times New Roman" w:eastAsia="Times New Roman" w:hint="default"/>
        </w:rPr>
        <w:t>135</w:t>
      </w:r>
      <w:r>
        <w:rPr/>
        <w:t>名激励对象。回购注销完成后公司股本由</w:t>
      </w:r>
      <w:r>
        <w:rPr>
          <w:w w:val="100"/>
        </w:rPr>
        <w:t> </w:t>
      </w:r>
      <w:r>
        <w:rPr>
          <w:rFonts w:ascii="Times New Roman" w:hAnsi="Times New Roman" w:cs="Times New Roman" w:eastAsia="Times New Roman" w:hint="default"/>
        </w:rPr>
        <w:t>274,081,795</w:t>
      </w:r>
      <w:r>
        <w:rPr/>
        <w:t>股变更为</w:t>
      </w:r>
      <w:r>
        <w:rPr>
          <w:rFonts w:ascii="Times New Roman" w:hAnsi="Times New Roman" w:cs="Times New Roman" w:eastAsia="Times New Roman" w:hint="default"/>
        </w:rPr>
        <w:t>271,627,395</w:t>
      </w:r>
      <w:r>
        <w:rPr/>
        <w:t>股。</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9</w:t>
      </w:r>
      <w:r>
        <w:rPr/>
        <w:t>日公司回购注销完成</w:t>
      </w:r>
      <w:r>
        <w:rPr>
          <w:rFonts w:ascii="Times New Roman" w:hAnsi="Times New Roman" w:cs="Times New Roman" w:eastAsia="Times New Roman" w:hint="default"/>
        </w:rPr>
        <w:t>2016</w:t>
      </w:r>
      <w:r>
        <w:rPr/>
        <w:t>年股权激励第一期限制性股票</w:t>
      </w:r>
    </w:p>
    <w:p>
      <w:pPr>
        <w:pStyle w:val="BodyText"/>
        <w:spacing w:line="240" w:lineRule="auto" w:before="35"/>
        <w:ind w:right="101"/>
        <w:jc w:val="left"/>
      </w:pPr>
      <w:r>
        <w:rPr>
          <w:rFonts w:ascii="Times New Roman" w:hAnsi="Times New Roman" w:cs="Times New Roman" w:eastAsia="Times New Roman" w:hint="default"/>
        </w:rPr>
        <w:t>2,454,400</w:t>
      </w:r>
      <w:r>
        <w:rPr/>
        <w:t>股。</w:t>
      </w:r>
    </w:p>
    <w:p>
      <w:pPr>
        <w:pStyle w:val="BodyText"/>
        <w:spacing w:line="386" w:lineRule="auto" w:before="177"/>
        <w:ind w:right="101"/>
        <w:jc w:val="left"/>
      </w:pP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20</w:t>
      </w:r>
      <w:r>
        <w:rPr>
          <w:spacing w:val="-2"/>
        </w:rPr>
        <w:t>日，公司召开第三届董事会第二十次临时会议，审议通过了《关于回购注销已不符合激励</w:t>
      </w:r>
      <w:r>
        <w:rPr>
          <w:spacing w:val="-40"/>
        </w:rPr>
        <w:t> </w:t>
      </w:r>
      <w:r>
        <w:rPr>
          <w:spacing w:val="-40"/>
        </w:rPr>
      </w:r>
      <w:r>
        <w:rPr>
          <w:spacing w:val="-4"/>
        </w:rPr>
        <w:t>条件的激励对象已获授但尚未解锁的限制性股票的议案》，公司</w:t>
      </w:r>
      <w:r>
        <w:rPr>
          <w:rFonts w:ascii="Times New Roman" w:hAnsi="Times New Roman" w:cs="Times New Roman" w:eastAsia="Times New Roman" w:hint="default"/>
          <w:spacing w:val="-4"/>
        </w:rPr>
        <w:t>2016</w:t>
      </w:r>
      <w:r>
        <w:rPr>
          <w:spacing w:val="-4"/>
        </w:rPr>
        <w:t>年限制性股票原授予的激励对象颜敏、</w:t>
      </w:r>
      <w:r>
        <w:rPr>
          <w:spacing w:val="-45"/>
        </w:rPr>
        <w:t> </w:t>
      </w:r>
      <w:r>
        <w:rPr>
          <w:spacing w:val="-45"/>
        </w:rPr>
      </w:r>
      <w:r>
        <w:rPr>
          <w:spacing w:val="-2"/>
        </w:rPr>
        <w:t>韩佳、李莉、娄成行、尹雪蓉等</w:t>
      </w:r>
      <w:r>
        <w:rPr>
          <w:rFonts w:ascii="Times New Roman" w:hAnsi="Times New Roman" w:cs="Times New Roman" w:eastAsia="Times New Roman" w:hint="default"/>
          <w:spacing w:val="-2"/>
        </w:rPr>
        <w:t>24</w:t>
      </w:r>
      <w:r>
        <w:rPr>
          <w:spacing w:val="-2"/>
        </w:rPr>
        <w:t>人已离职。根据《上市公司股权激励管理办法》、《上海天玑科技股份</w:t>
      </w:r>
      <w:r>
        <w:rPr>
          <w:spacing w:val="-47"/>
        </w:rPr>
        <w:t> </w:t>
      </w:r>
      <w:r>
        <w:rPr>
          <w:spacing w:val="-47"/>
        </w:rPr>
      </w:r>
      <w:r>
        <w:rPr>
          <w:spacing w:val="-4"/>
        </w:rPr>
        <w:t>有限公司</w:t>
      </w:r>
      <w:r>
        <w:rPr>
          <w:rFonts w:ascii="Times New Roman" w:hAnsi="Times New Roman" w:cs="Times New Roman" w:eastAsia="Times New Roman" w:hint="default"/>
          <w:spacing w:val="-4"/>
        </w:rPr>
        <w:t>2016</w:t>
      </w:r>
      <w:r>
        <w:rPr>
          <w:spacing w:val="-4"/>
        </w:rPr>
        <w:t>年限制性股票激励计划（草案）》等有关法律、法规和规范性文件以及《公司章程》的规定，</w:t>
      </w:r>
      <w:r>
        <w:rPr>
          <w:spacing w:val="-46"/>
        </w:rPr>
        <w:t> </w:t>
      </w:r>
      <w:r>
        <w:rPr>
          <w:spacing w:val="-46"/>
        </w:rPr>
      </w:r>
      <w:r>
        <w:rPr>
          <w:spacing w:val="-3"/>
        </w:rPr>
        <w:t>上述</w:t>
      </w:r>
      <w:r>
        <w:rPr>
          <w:rFonts w:ascii="Times New Roman" w:hAnsi="Times New Roman" w:cs="Times New Roman" w:eastAsia="Times New Roman" w:hint="default"/>
          <w:spacing w:val="-3"/>
        </w:rPr>
        <w:t>24</w:t>
      </w:r>
      <w:r>
        <w:rPr>
          <w:spacing w:val="-3"/>
        </w:rPr>
        <w:t>人已不符合股权激励对象的条件，现对其持有的已获授但尚未解锁的共计</w:t>
      </w:r>
      <w:r>
        <w:rPr>
          <w:rFonts w:ascii="Times New Roman" w:hAnsi="Times New Roman" w:cs="Times New Roman" w:eastAsia="Times New Roman" w:hint="default"/>
          <w:spacing w:val="-3"/>
        </w:rPr>
        <w:t>666,600</w:t>
      </w:r>
      <w:r>
        <w:rPr>
          <w:spacing w:val="-3"/>
        </w:rPr>
        <w:t>股限制性股票进行</w:t>
      </w:r>
      <w:r>
        <w:rPr>
          <w:spacing w:val="-37"/>
        </w:rPr>
        <w:t> </w:t>
      </w:r>
      <w:r>
        <w:rPr>
          <w:spacing w:val="-37"/>
        </w:rPr>
      </w:r>
      <w:r>
        <w:rPr/>
        <w:t>回购注销。回购价格为</w:t>
      </w:r>
      <w:r>
        <w:rPr>
          <w:rFonts w:ascii="Times New Roman" w:hAnsi="Times New Roman" w:cs="Times New Roman" w:eastAsia="Times New Roman" w:hint="default"/>
        </w:rPr>
        <w:t>10.7759</w:t>
      </w:r>
      <w:r>
        <w:rPr/>
        <w:t>元</w:t>
      </w:r>
      <w:r>
        <w:rPr>
          <w:rFonts w:ascii="Times New Roman" w:hAnsi="Times New Roman" w:cs="Times New Roman" w:eastAsia="Times New Roman" w:hint="default"/>
        </w:rPr>
        <w:t>/</w:t>
      </w:r>
      <w:r>
        <w:rPr/>
        <w:t>股（回购价格依据《股权激励计划》及公司</w:t>
      </w:r>
      <w:r>
        <w:rPr>
          <w:rFonts w:ascii="Times New Roman" w:hAnsi="Times New Roman" w:cs="Times New Roman" w:eastAsia="Times New Roman" w:hint="default"/>
        </w:rPr>
        <w:t>2015</w:t>
      </w:r>
      <w:r>
        <w:rPr/>
        <w:t>年度、</w:t>
      </w:r>
      <w:r>
        <w:rPr>
          <w:rFonts w:ascii="Times New Roman" w:hAnsi="Times New Roman" w:cs="Times New Roman" w:eastAsia="Times New Roman" w:hint="default"/>
        </w:rPr>
        <w:t>2016</w:t>
      </w:r>
      <w:r>
        <w:rPr/>
        <w:t>年度权益分</w:t>
      </w:r>
      <w:r>
        <w:rPr>
          <w:w w:val="100"/>
        </w:rPr>
        <w:t> </w:t>
      </w:r>
      <w:r>
        <w:rPr/>
        <w:t>派方案进行相应调整）。</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15</w:t>
      </w:r>
      <w:r>
        <w:rPr/>
        <w:t>回购注销完成限制性股票数量</w:t>
      </w:r>
      <w:r>
        <w:rPr>
          <w:rFonts w:ascii="Times New Roman" w:hAnsi="Times New Roman" w:cs="Times New Roman" w:eastAsia="Times New Roman" w:hint="default"/>
        </w:rPr>
        <w:t>666,600</w:t>
      </w:r>
      <w:r>
        <w:rPr/>
        <w:t>股。</w:t>
      </w:r>
      <w:r>
        <w:rPr>
          <w:spacing w:val="-3"/>
          <w:w w:val="100"/>
        </w:rPr>
        <w:t> </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27</w:t>
      </w:r>
      <w:r>
        <w:rPr/>
        <w:t>日公司完成非公开发行</w:t>
      </w:r>
      <w:r>
        <w:rPr>
          <w:rFonts w:ascii="Times New Roman" w:hAnsi="Times New Roman" w:cs="Times New Roman" w:eastAsia="Times New Roman" w:hint="default"/>
        </w:rPr>
        <w:t>45,511,698</w:t>
      </w:r>
      <w:r>
        <w:rPr/>
        <w:t>股上市流通，股份锁定一年。</w:t>
      </w:r>
    </w:p>
    <w:p>
      <w:pPr>
        <w:spacing w:line="240" w:lineRule="auto" w:before="5"/>
        <w:rPr>
          <w:rFonts w:ascii="宋体" w:hAnsi="宋体" w:cs="宋体" w:eastAsia="宋体" w:hint="default"/>
          <w:sz w:val="25"/>
          <w:szCs w:val="25"/>
        </w:rPr>
      </w:pPr>
    </w:p>
    <w:p>
      <w:pPr>
        <w:spacing w:before="0"/>
        <w:ind w:left="152" w:right="101" w:firstLine="0"/>
        <w:jc w:val="left"/>
        <w:rPr>
          <w:rFonts w:ascii="宋体" w:hAnsi="宋体" w:cs="宋体" w:eastAsia="宋体" w:hint="default"/>
          <w:sz w:val="18"/>
          <w:szCs w:val="18"/>
        </w:rPr>
      </w:pPr>
      <w:r>
        <w:rPr>
          <w:rFonts w:ascii="宋体" w:hAnsi="宋体" w:cs="宋体" w:eastAsia="宋体" w:hint="default"/>
          <w:sz w:val="18"/>
          <w:szCs w:val="18"/>
        </w:rPr>
        <w:t>股份变动对最近一年和最近一期基本每股收益和稀释每股收益、归属于公司普通股股东的每股净资产等财务指标的影响</w:t>
      </w:r>
    </w:p>
    <w:p>
      <w:pPr>
        <w:pStyle w:val="BodyText"/>
        <w:spacing w:line="396" w:lineRule="auto" w:before="115"/>
        <w:ind w:right="101"/>
        <w:jc w:val="left"/>
        <w:rPr>
          <w:sz w:val="18"/>
          <w:szCs w:val="18"/>
        </w:rPr>
      </w:pPr>
      <w:r>
        <w:rPr>
          <w:rFonts w:ascii="Times New Roman" w:hAnsi="Times New Roman" w:cs="Times New Roman" w:eastAsia="Times New Roman" w:hint="default"/>
          <w:sz w:val="18"/>
          <w:szCs w:val="18"/>
        </w:rPr>
        <w:t>√ </w:t>
      </w:r>
      <w:r>
        <w:rPr>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sz w:val="18"/>
          <w:szCs w:val="18"/>
        </w:rPr>
        <w:t>不适用 </w:t>
      </w:r>
      <w:r>
        <w:rPr/>
        <w:t>公司在</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月完成非公开发行</w:t>
      </w:r>
      <w:r>
        <w:rPr>
          <w:rFonts w:ascii="Times New Roman" w:hAnsi="Times New Roman" w:cs="Times New Roman" w:eastAsia="Times New Roman" w:hint="default"/>
        </w:rPr>
        <w:t>45,511,698</w:t>
      </w:r>
      <w:r>
        <w:rPr/>
        <w:t>股，募集资金总额</w:t>
      </w:r>
      <w:r>
        <w:rPr>
          <w:rFonts w:ascii="Times New Roman" w:hAnsi="Times New Roman" w:cs="Times New Roman" w:eastAsia="Times New Roman" w:hint="default"/>
        </w:rPr>
        <w:t>59,016.37</w:t>
      </w:r>
      <w:r>
        <w:rPr/>
        <w:t>万元，其对上年度每股收益（发</w:t>
      </w:r>
      <w:r>
        <w:rPr>
          <w:w w:val="100"/>
        </w:rPr>
        <w:t> </w:t>
      </w:r>
      <w:r>
        <w:rPr>
          <w:spacing w:val="-2"/>
        </w:rPr>
        <w:t>行在外普通股加权平均股数为基数）和稀释每股收益（发行在外普通股和限制性股票的加权平均股数为基</w:t>
      </w:r>
      <w:r>
        <w:rPr>
          <w:spacing w:val="-43"/>
        </w:rPr>
        <w:t> </w:t>
      </w:r>
      <w:r>
        <w:rPr>
          <w:spacing w:val="-43"/>
        </w:rPr>
      </w:r>
      <w:r>
        <w:rPr/>
        <w:t>数）略微下降，但归属于公司普通股股东的每股净资产有所增厚。</w:t>
      </w:r>
      <w:r>
        <w:rPr>
          <w:w w:val="100"/>
        </w:rPr>
        <w:t> </w:t>
      </w:r>
      <w:r>
        <w:rPr>
          <w:sz w:val="18"/>
          <w:szCs w:val="18"/>
        </w:rPr>
        <w:t>公司认为必要或证券监管机构要求披露的其他内容</w:t>
      </w:r>
    </w:p>
    <w:p>
      <w:pPr>
        <w:spacing w:line="247" w:lineRule="exact" w:before="0"/>
        <w:ind w:left="152" w:right="10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3"/>
        <w:spacing w:line="240" w:lineRule="auto"/>
        <w:ind w:right="101"/>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13"/>
        <w:rPr>
          <w:rFonts w:ascii="宋体" w:hAnsi="宋体" w:cs="宋体" w:eastAsia="宋体" w:hint="default"/>
          <w:b/>
          <w:bCs/>
          <w:sz w:val="22"/>
          <w:szCs w:val="22"/>
        </w:rPr>
      </w:pPr>
    </w:p>
    <w:p>
      <w:pPr>
        <w:spacing w:before="44"/>
        <w:ind w:left="152" w:right="10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1"/>
        <w:ind w:left="0" w:right="21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4"/>
        <w:gridCol w:w="1369"/>
        <w:gridCol w:w="1368"/>
        <w:gridCol w:w="1371"/>
        <w:gridCol w:w="1368"/>
        <w:gridCol w:w="1371"/>
        <w:gridCol w:w="1361"/>
      </w:tblGrid>
      <w:tr>
        <w:trPr>
          <w:trHeight w:val="715" w:hRule="exact"/>
        </w:trPr>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0" w:right="47"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0" w:right="48"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401"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陆文雄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35,163,034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35,163,034</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每年解锁</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25%</w:t>
            </w:r>
          </w:p>
        </w:tc>
      </w:tr>
      <w:tr>
        <w:trPr>
          <w:trHeight w:val="715"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苏博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14,339,622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14,339,622</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日解锁</w:t>
            </w:r>
          </w:p>
        </w:tc>
      </w:tr>
      <w:tr>
        <w:trPr>
          <w:trHeight w:val="987"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9"/>
              <w:jc w:val="left"/>
              <w:rPr>
                <w:rFonts w:ascii="宋体" w:hAnsi="宋体" w:cs="宋体" w:eastAsia="宋体" w:hint="default"/>
                <w:sz w:val="18"/>
                <w:szCs w:val="18"/>
              </w:rPr>
            </w:pPr>
            <w:r>
              <w:rPr>
                <w:rFonts w:ascii="宋体" w:hAnsi="宋体" w:cs="宋体" w:eastAsia="宋体" w:hint="default"/>
                <w:sz w:val="18"/>
                <w:szCs w:val="18"/>
              </w:rPr>
              <w:t>新华基金－浦发 银行－粤财信托</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－粤财信托</w:t>
            </w:r>
            <w:r>
              <w:rPr>
                <w:rFonts w:ascii="Times New Roman" w:hAnsi="Times New Roman" w:cs="Times New Roman" w:eastAsia="Times New Roman" w:hint="default"/>
                <w:sz w:val="18"/>
                <w:szCs w:val="18"/>
              </w:rPr>
              <w:t>·</w:t>
            </w:r>
            <w:r>
              <w:rPr>
                <w:rFonts w:ascii="宋体" w:hAnsi="宋体" w:cs="宋体" w:eastAsia="宋体" w:hint="default"/>
                <w:sz w:val="18"/>
                <w:szCs w:val="18"/>
              </w:rPr>
              <w:t>弘</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right="21"/>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right="20"/>
              <w:jc w:val="right"/>
              <w:rPr>
                <w:rFonts w:ascii="Times New Roman" w:hAnsi="Times New Roman" w:cs="Times New Roman" w:eastAsia="Times New Roman" w:hint="default"/>
                <w:sz w:val="18"/>
                <w:szCs w:val="18"/>
              </w:rPr>
            </w:pPr>
            <w:r>
              <w:rPr>
                <w:rFonts w:ascii="Times New Roman"/>
                <w:sz w:val="18"/>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right="21"/>
              <w:jc w:val="right"/>
              <w:rPr>
                <w:rFonts w:ascii="Times New Roman" w:hAnsi="Times New Roman" w:cs="Times New Roman" w:eastAsia="Times New Roman" w:hint="default"/>
                <w:sz w:val="18"/>
                <w:szCs w:val="18"/>
              </w:rPr>
            </w:pPr>
            <w:r>
              <w:rPr>
                <w:rFonts w:ascii="Times New Roman"/>
                <w:spacing w:val="-2"/>
                <w:sz w:val="18"/>
              </w:rPr>
              <w:t>11,169,811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right="20"/>
              <w:jc w:val="right"/>
              <w:rPr>
                <w:rFonts w:ascii="Times New Roman" w:hAnsi="Times New Roman" w:cs="Times New Roman" w:eastAsia="Times New Roman" w:hint="default"/>
                <w:sz w:val="18"/>
                <w:szCs w:val="18"/>
              </w:rPr>
            </w:pPr>
            <w:r>
              <w:rPr>
                <w:rFonts w:ascii="Times New Roman"/>
                <w:spacing w:val="-2"/>
                <w:sz w:val="18"/>
              </w:rPr>
              <w:t>11,169,811</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日解锁</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20"/>
        </w:sectPr>
      </w:pPr>
    </w:p>
    <w:p>
      <w:pPr>
        <w:spacing w:line="240" w:lineRule="auto" w:before="0"/>
        <w:rPr>
          <w:rFonts w:ascii="Times New Roman" w:hAnsi="Times New Roman" w:cs="Times New Roman" w:eastAsia="Times New Roman" w:hint="default"/>
          <w:sz w:val="20"/>
          <w:szCs w:val="20"/>
        </w:rPr>
      </w:pPr>
      <w:r>
        <w:rPr/>
        <w:pict>
          <v:group style="position:absolute;margin-left:125.059998pt;margin-top:594.099976pt;width:66.9pt;height:20.8pt;mso-position-horizontal-relative:page;mso-position-vertical-relative:page;z-index:-1016488" coordorigin="2501,11882" coordsize="1338,416">
            <v:group style="position:absolute;left:2513;top:11894;width:2;height:392" coordorigin="2513,11894" coordsize="2,392">
              <v:shape style="position:absolute;left:2513;top:11894;width:2;height:392" coordorigin="2513,11894" coordsize="0,392" path="m2513,11894l2513,12285e" filled="false" stroked="true" strokeweight="1.2pt" strokecolor="#ffffff">
                <v:path arrowok="t"/>
              </v:shape>
            </v:group>
            <v:group style="position:absolute;left:2525;top:11894;width:1314;height:392" coordorigin="2525,11894" coordsize="1314,392">
              <v:shape style="position:absolute;left:2525;top:11894;width:1314;height:392" coordorigin="2525,11894" coordsize="1314,392" path="m2525,12285l3838,12285,3838,11894,2525,11894,2525,12285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64"/>
        <w:gridCol w:w="342"/>
        <w:gridCol w:w="1027"/>
        <w:gridCol w:w="1368"/>
        <w:gridCol w:w="1371"/>
        <w:gridCol w:w="1368"/>
        <w:gridCol w:w="1371"/>
        <w:gridCol w:w="1361"/>
      </w:tblGrid>
      <w:tr>
        <w:trPr>
          <w:trHeight w:val="675"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4" w:right="65"/>
              <w:jc w:val="left"/>
              <w:rPr>
                <w:rFonts w:ascii="宋体" w:hAnsi="宋体" w:cs="宋体" w:eastAsia="宋体" w:hint="default"/>
                <w:sz w:val="18"/>
                <w:szCs w:val="18"/>
              </w:rPr>
            </w:pPr>
            <w:r>
              <w:rPr>
                <w:rFonts w:ascii="宋体" w:hAnsi="宋体" w:cs="宋体" w:eastAsia="宋体" w:hint="default"/>
                <w:sz w:val="18"/>
                <w:szCs w:val="18"/>
              </w:rPr>
              <w:t>盛</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号单一资金 信托计划</w:t>
            </w:r>
          </w:p>
        </w:tc>
        <w:tc>
          <w:tcPr>
            <w:tcW w:w="1369" w:type="dxa"/>
            <w:gridSpan w:val="2"/>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邹月普</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10,945,662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10,945,662</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日解锁</w:t>
            </w:r>
          </w:p>
        </w:tc>
      </w:tr>
      <w:tr>
        <w:trPr>
          <w:trHeight w:val="403"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楼晔</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5" w:right="0"/>
              <w:jc w:val="left"/>
              <w:rPr>
                <w:rFonts w:ascii="Times New Roman" w:hAnsi="Times New Roman" w:cs="Times New Roman" w:eastAsia="Times New Roman" w:hint="default"/>
                <w:sz w:val="18"/>
                <w:szCs w:val="18"/>
              </w:rPr>
            </w:pPr>
            <w:r>
              <w:rPr>
                <w:rFonts w:ascii="Times New Roman"/>
                <w:sz w:val="18"/>
              </w:rPr>
              <w:t>10,218,274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71"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10,218,274</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每年解锁</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25%</w:t>
            </w:r>
          </w:p>
        </w:tc>
      </w:tr>
      <w:tr>
        <w:trPr>
          <w:trHeight w:val="1649"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both"/>
              <w:rPr>
                <w:rFonts w:ascii="宋体" w:hAnsi="宋体" w:cs="宋体" w:eastAsia="宋体" w:hint="default"/>
                <w:sz w:val="18"/>
                <w:szCs w:val="18"/>
              </w:rPr>
            </w:pPr>
            <w:r>
              <w:rPr>
                <w:rFonts w:ascii="宋体" w:hAnsi="宋体" w:cs="宋体" w:eastAsia="宋体" w:hint="default"/>
                <w:sz w:val="18"/>
                <w:szCs w:val="18"/>
              </w:rPr>
              <w:t>鹏华资产－浦发 银行－云南国际 信托－云信智兴 </w:t>
            </w:r>
            <w:r>
              <w:rPr>
                <w:rFonts w:ascii="Times New Roman" w:hAnsi="Times New Roman" w:cs="Times New Roman" w:eastAsia="Times New Roman" w:hint="default"/>
                <w:sz w:val="18"/>
                <w:szCs w:val="18"/>
              </w:rPr>
              <w:t>2017</w:t>
            </w:r>
            <w:r>
              <w:rPr>
                <w:rFonts w:ascii="宋体" w:hAnsi="宋体" w:cs="宋体" w:eastAsia="宋体" w:hint="default"/>
                <w:sz w:val="18"/>
                <w:szCs w:val="18"/>
              </w:rPr>
              <w:t>－</w:t>
            </w: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号单</w:t>
            </w:r>
          </w:p>
          <w:p>
            <w:pPr>
              <w:pStyle w:val="TableParagraph"/>
              <w:spacing w:line="235" w:lineRule="exact"/>
              <w:ind w:left="24" w:right="0"/>
              <w:jc w:val="both"/>
              <w:rPr>
                <w:rFonts w:ascii="宋体" w:hAnsi="宋体" w:cs="宋体" w:eastAsia="宋体" w:hint="default"/>
                <w:sz w:val="18"/>
                <w:szCs w:val="18"/>
              </w:rPr>
            </w:pPr>
            <w:r>
              <w:rPr>
                <w:rFonts w:ascii="宋体" w:hAnsi="宋体" w:cs="宋体" w:eastAsia="宋体" w:hint="default"/>
                <w:sz w:val="18"/>
                <w:szCs w:val="18"/>
              </w:rPr>
              <w:t>一资金信托</w:t>
            </w:r>
          </w:p>
        </w:tc>
        <w:tc>
          <w:tcPr>
            <w:tcW w:w="1369" w:type="dxa"/>
            <w:gridSpan w:val="2"/>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9,056,603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9,056,603</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日解锁</w:t>
            </w:r>
          </w:p>
        </w:tc>
      </w:tr>
      <w:tr>
        <w:trPr>
          <w:trHeight w:val="404"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姜蓓蓓</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6" w:right="0"/>
              <w:jc w:val="left"/>
              <w:rPr>
                <w:rFonts w:ascii="Times New Roman" w:hAnsi="Times New Roman" w:cs="Times New Roman" w:eastAsia="Times New Roman" w:hint="default"/>
                <w:sz w:val="18"/>
                <w:szCs w:val="18"/>
              </w:rPr>
            </w:pPr>
            <w:r>
              <w:rPr>
                <w:rFonts w:ascii="Times New Roman"/>
                <w:sz w:val="18"/>
              </w:rPr>
              <w:t>8,197,173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8,197,173</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每年解锁</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25%</w:t>
            </w:r>
          </w:p>
        </w:tc>
      </w:tr>
      <w:tr>
        <w:trPr>
          <w:trHeight w:val="401"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杜力耘</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6" w:right="0"/>
              <w:jc w:val="left"/>
              <w:rPr>
                <w:rFonts w:ascii="Times New Roman" w:hAnsi="Times New Roman" w:cs="Times New Roman" w:eastAsia="Times New Roman" w:hint="default"/>
                <w:sz w:val="18"/>
                <w:szCs w:val="18"/>
              </w:rPr>
            </w:pPr>
            <w:r>
              <w:rPr>
                <w:rFonts w:ascii="Times New Roman"/>
                <w:sz w:val="18"/>
              </w:rPr>
              <w:t>8,003,908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8,003,908</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每年解锁</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25%</w:t>
            </w:r>
          </w:p>
        </w:tc>
      </w:tr>
      <w:tr>
        <w:trPr>
          <w:trHeight w:val="1651"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叶磊</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751" w:right="0"/>
              <w:jc w:val="left"/>
              <w:rPr>
                <w:rFonts w:ascii="Times New Roman" w:hAnsi="Times New Roman" w:cs="Times New Roman" w:eastAsia="Times New Roman" w:hint="default"/>
                <w:sz w:val="18"/>
                <w:szCs w:val="18"/>
              </w:rPr>
            </w:pPr>
            <w:r>
              <w:rPr>
                <w:rFonts w:ascii="Times New Roman"/>
                <w:sz w:val="18"/>
              </w:rPr>
              <w:t>334,687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120,000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220,125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434,812</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75"/>
              <w:jc w:val="left"/>
              <w:rPr>
                <w:rFonts w:ascii="宋体" w:hAnsi="宋体" w:cs="宋体" w:eastAsia="宋体" w:hint="default"/>
                <w:sz w:val="18"/>
                <w:szCs w:val="18"/>
              </w:rPr>
            </w:pPr>
            <w:r>
              <w:rPr>
                <w:rFonts w:ascii="宋体" w:hAnsi="宋体" w:cs="宋体" w:eastAsia="宋体" w:hint="default"/>
                <w:sz w:val="18"/>
                <w:szCs w:val="18"/>
              </w:rPr>
              <w:t>高管锁定股、股 权激励限售股</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48"/>
              <w:jc w:val="left"/>
              <w:rPr>
                <w:rFonts w:ascii="宋体" w:hAnsi="宋体" w:cs="宋体" w:eastAsia="宋体" w:hint="default"/>
                <w:sz w:val="18"/>
                <w:szCs w:val="18"/>
              </w:rPr>
            </w:pPr>
            <w:r>
              <w:rPr>
                <w:rFonts w:ascii="宋体" w:hAnsi="宋体" w:cs="宋体" w:eastAsia="宋体" w:hint="default"/>
                <w:sz w:val="18"/>
                <w:szCs w:val="18"/>
              </w:rPr>
              <w:t>每年解锁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 股权激励限售股 部分根据股权激 励计划约定解 锁。</w:t>
            </w:r>
          </w:p>
        </w:tc>
      </w:tr>
      <w:tr>
        <w:trPr>
          <w:trHeight w:val="1649"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陆廷洁</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751" w:right="0"/>
              <w:jc w:val="left"/>
              <w:rPr>
                <w:rFonts w:ascii="Times New Roman" w:hAnsi="Times New Roman" w:cs="Times New Roman" w:eastAsia="Times New Roman" w:hint="default"/>
                <w:sz w:val="18"/>
                <w:szCs w:val="18"/>
              </w:rPr>
            </w:pPr>
            <w:r>
              <w:rPr>
                <w:rFonts w:ascii="Times New Roman"/>
                <w:sz w:val="18"/>
              </w:rPr>
              <w:t>521,888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120,000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401,888</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9" w:lineRule="auto"/>
              <w:ind w:left="23" w:right="75"/>
              <w:jc w:val="left"/>
              <w:rPr>
                <w:rFonts w:ascii="宋体" w:hAnsi="宋体" w:cs="宋体" w:eastAsia="宋体" w:hint="default"/>
                <w:sz w:val="18"/>
                <w:szCs w:val="18"/>
              </w:rPr>
            </w:pPr>
            <w:r>
              <w:rPr>
                <w:rFonts w:ascii="宋体" w:hAnsi="宋体" w:cs="宋体" w:eastAsia="宋体" w:hint="default"/>
                <w:sz w:val="18"/>
                <w:szCs w:val="18"/>
              </w:rPr>
              <w:t>高管锁定股、股 权激励限售股</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48"/>
              <w:jc w:val="left"/>
              <w:rPr>
                <w:rFonts w:ascii="宋体" w:hAnsi="宋体" w:cs="宋体" w:eastAsia="宋体" w:hint="default"/>
                <w:sz w:val="18"/>
                <w:szCs w:val="18"/>
              </w:rPr>
            </w:pPr>
            <w:r>
              <w:rPr>
                <w:rFonts w:ascii="宋体" w:hAnsi="宋体" w:cs="宋体" w:eastAsia="宋体" w:hint="default"/>
                <w:sz w:val="18"/>
                <w:szCs w:val="18"/>
              </w:rPr>
              <w:t>每年解锁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 股权激励限售股 部分根据股权激 励计划约定解 锁。</w:t>
            </w:r>
          </w:p>
        </w:tc>
      </w:tr>
      <w:tr>
        <w:trPr>
          <w:trHeight w:val="2275"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杨凯</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751" w:right="0"/>
              <w:jc w:val="left"/>
              <w:rPr>
                <w:rFonts w:ascii="Times New Roman" w:hAnsi="Times New Roman" w:cs="Times New Roman" w:eastAsia="Times New Roman" w:hint="default"/>
                <w:sz w:val="18"/>
                <w:szCs w:val="18"/>
              </w:rPr>
            </w:pPr>
            <w:r>
              <w:rPr>
                <w:rFonts w:ascii="Times New Roman"/>
                <w:sz w:val="18"/>
              </w:rPr>
              <w:t>193,312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68,000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264,438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389,750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3" w:right="75"/>
              <w:jc w:val="left"/>
              <w:rPr>
                <w:rFonts w:ascii="宋体" w:hAnsi="宋体" w:cs="宋体" w:eastAsia="宋体" w:hint="default"/>
                <w:sz w:val="18"/>
                <w:szCs w:val="18"/>
              </w:rPr>
            </w:pPr>
            <w:r>
              <w:rPr>
                <w:rFonts w:ascii="宋体" w:hAnsi="宋体" w:cs="宋体" w:eastAsia="宋体" w:hint="default"/>
                <w:sz w:val="18"/>
                <w:szCs w:val="18"/>
              </w:rPr>
              <w:t>高管锁定股、股 权激励限售股</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2017.7.19 </w:t>
            </w:r>
            <w:r>
              <w:rPr>
                <w:rFonts w:ascii="宋体" w:hAnsi="宋体" w:cs="宋体" w:eastAsia="宋体" w:hint="default"/>
                <w:sz w:val="18"/>
                <w:szCs w:val="18"/>
              </w:rPr>
              <w:t>董事杨 凯辞去董事职 务，其股份全部 锁定</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个月；股 权激励限售股部 分根据股权激励 计划约定解锁。</w:t>
            </w:r>
          </w:p>
        </w:tc>
      </w:tr>
      <w:tr>
        <w:trPr>
          <w:trHeight w:val="1649"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年股权激励 限激励对象黄小 </w:t>
            </w:r>
            <w:r>
              <w:rPr>
                <w:rFonts w:ascii="宋体" w:hAnsi="宋体" w:cs="宋体" w:eastAsia="宋体" w:hint="default"/>
                <w:spacing w:val="-7"/>
                <w:sz w:val="18"/>
                <w:szCs w:val="18"/>
              </w:rPr>
              <w:t>云、雷潍、沈星</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肖文清、余彬等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人</w:t>
            </w:r>
          </w:p>
        </w:tc>
        <w:tc>
          <w:tcPr>
            <w:tcW w:w="34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102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279" w:right="0"/>
              <w:jc w:val="left"/>
              <w:rPr>
                <w:rFonts w:ascii="Times New Roman" w:hAnsi="Times New Roman" w:cs="Times New Roman" w:eastAsia="Times New Roman" w:hint="default"/>
                <w:sz w:val="18"/>
                <w:szCs w:val="18"/>
              </w:rPr>
            </w:pPr>
            <w:r>
              <w:rPr>
                <w:rFonts w:ascii="Times New Roman"/>
                <w:sz w:val="18"/>
              </w:rPr>
              <w:t>1,104,000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1,104,000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25"/>
              <w:jc w:val="left"/>
              <w:rPr>
                <w:rFonts w:ascii="宋体" w:hAnsi="宋体" w:cs="宋体" w:eastAsia="宋体" w:hint="default"/>
                <w:sz w:val="18"/>
                <w:szCs w:val="18"/>
              </w:rPr>
            </w:pPr>
            <w:r>
              <w:rPr>
                <w:rFonts w:ascii="宋体" w:hAnsi="宋体" w:cs="宋体" w:eastAsia="宋体" w:hint="default"/>
                <w:sz w:val="18"/>
                <w:szCs w:val="18"/>
              </w:rPr>
              <w:t>因该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人离职，</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p>
            <w:pPr>
              <w:pStyle w:val="TableParagraph"/>
              <w:spacing w:line="300" w:lineRule="auto" w:before="63"/>
              <w:ind w:left="23" w:right="17"/>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日回购注销 完成</w:t>
            </w:r>
          </w:p>
        </w:tc>
      </w:tr>
      <w:tr>
        <w:trPr>
          <w:trHeight w:val="2235"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年股权激励</w:t>
            </w:r>
          </w:p>
          <w:p>
            <w:pPr>
              <w:pStyle w:val="TableParagraph"/>
              <w:spacing w:line="300" w:lineRule="auto" w:before="63"/>
              <w:ind w:left="24" w:right="65"/>
              <w:jc w:val="left"/>
              <w:rPr>
                <w:rFonts w:ascii="宋体" w:hAnsi="宋体" w:cs="宋体" w:eastAsia="宋体" w:hint="default"/>
                <w:sz w:val="18"/>
                <w:szCs w:val="18"/>
              </w:rPr>
            </w:pPr>
            <w:r>
              <w:rPr>
                <w:rFonts w:ascii="宋体" w:hAnsi="宋体" w:cs="宋体" w:eastAsia="宋体" w:hint="default"/>
                <w:sz w:val="18"/>
                <w:szCs w:val="18"/>
              </w:rPr>
              <w:t>其余</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132 </w:t>
            </w:r>
            <w:r>
              <w:rPr>
                <w:rFonts w:ascii="宋体" w:hAnsi="宋体" w:cs="宋体" w:eastAsia="宋体" w:hint="default"/>
                <w:sz w:val="18"/>
                <w:szCs w:val="18"/>
              </w:rPr>
              <w:t>名激励 对象</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616" w:right="0"/>
              <w:jc w:val="left"/>
              <w:rPr>
                <w:rFonts w:ascii="Times New Roman" w:hAnsi="Times New Roman" w:cs="Times New Roman" w:eastAsia="Times New Roman" w:hint="default"/>
                <w:sz w:val="18"/>
                <w:szCs w:val="18"/>
              </w:rPr>
            </w:pPr>
            <w:r>
              <w:rPr>
                <w:rFonts w:ascii="Times New Roman"/>
                <w:sz w:val="18"/>
              </w:rPr>
              <w:t>5,366,000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2,813,000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2,553,000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23"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7"/>
              <w:jc w:val="both"/>
              <w:rPr>
                <w:rFonts w:ascii="Times New Roman" w:hAnsi="Times New Roman" w:cs="Times New Roman" w:eastAsia="Times New Roman" w:hint="default"/>
                <w:sz w:val="18"/>
                <w:szCs w:val="18"/>
              </w:rPr>
            </w:pPr>
            <w:r>
              <w:rPr>
                <w:rFonts w:ascii="宋体" w:hAnsi="宋体" w:cs="宋体" w:eastAsia="宋体" w:hint="default"/>
                <w:sz w:val="18"/>
                <w:szCs w:val="18"/>
              </w:rPr>
              <w:t>因未达到</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 限制性股票激励 计划规定第一期 解锁条件，故回 购注销已授予未 解锁的限制性， 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p>
        </w:tc>
      </w:tr>
    </w:tbl>
    <w:p>
      <w:pPr>
        <w:spacing w:after="0" w:line="314" w:lineRule="auto"/>
        <w:jc w:val="both"/>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64"/>
        <w:gridCol w:w="1369"/>
        <w:gridCol w:w="1368"/>
        <w:gridCol w:w="1371"/>
        <w:gridCol w:w="1368"/>
        <w:gridCol w:w="1371"/>
        <w:gridCol w:w="1361"/>
      </w:tblGrid>
      <w:tr>
        <w:trPr>
          <w:trHeight w:val="1923" w:hRule="exact"/>
        </w:trPr>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8"/>
              <w:ind w:left="23" w:right="62"/>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日完成回购 注销。有部分员 工离职故回购注 销</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666,600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p>
            <w:pPr>
              <w:pStyle w:val="TableParagraph"/>
              <w:spacing w:line="240" w:lineRule="auto" w:before="3"/>
              <w:ind w:left="23"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日完成回购注销</w:t>
            </w:r>
          </w:p>
        </w:tc>
      </w:tr>
      <w:tr>
        <w:trPr>
          <w:trHeight w:val="401" w:hRule="exact"/>
        </w:trPr>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5" w:right="0"/>
              <w:jc w:val="left"/>
              <w:rPr>
                <w:rFonts w:ascii="Times New Roman" w:hAnsi="Times New Roman" w:cs="Times New Roman" w:eastAsia="Times New Roman" w:hint="default"/>
                <w:sz w:val="18"/>
                <w:szCs w:val="18"/>
              </w:rPr>
            </w:pPr>
            <w:r>
              <w:rPr>
                <w:rFonts w:ascii="Times New Roman"/>
                <w:sz w:val="18"/>
              </w:rPr>
              <w:t>69,102,276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6" w:right="0"/>
              <w:jc w:val="left"/>
              <w:rPr>
                <w:rFonts w:ascii="Times New Roman" w:hAnsi="Times New Roman" w:cs="Times New Roman" w:eastAsia="Times New Roman" w:hint="default"/>
                <w:sz w:val="18"/>
                <w:szCs w:val="18"/>
              </w:rPr>
            </w:pPr>
            <w:r>
              <w:rPr>
                <w:rFonts w:ascii="Times New Roman"/>
                <w:sz w:val="18"/>
              </w:rPr>
              <w:t>4,225,000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5" w:right="0"/>
              <w:jc w:val="left"/>
              <w:rPr>
                <w:rFonts w:ascii="Times New Roman" w:hAnsi="Times New Roman" w:cs="Times New Roman" w:eastAsia="Times New Roman" w:hint="default"/>
                <w:sz w:val="18"/>
                <w:szCs w:val="18"/>
              </w:rPr>
            </w:pPr>
            <w:r>
              <w:rPr>
                <w:rFonts w:ascii="Times New Roman"/>
                <w:sz w:val="18"/>
              </w:rPr>
              <w:t>45,996,261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3" w:right="0"/>
              <w:jc w:val="left"/>
              <w:rPr>
                <w:rFonts w:ascii="Times New Roman" w:hAnsi="Times New Roman" w:cs="Times New Roman" w:eastAsia="Times New Roman" w:hint="default"/>
                <w:sz w:val="18"/>
                <w:szCs w:val="18"/>
              </w:rPr>
            </w:pPr>
            <w:r>
              <w:rPr>
                <w:rFonts w:ascii="Times New Roman"/>
                <w:sz w:val="18"/>
              </w:rPr>
              <w:t>110,873,537</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6"/>
        <w:rPr>
          <w:rFonts w:ascii="Times New Roman" w:hAnsi="Times New Roman" w:cs="Times New Roman" w:eastAsia="Times New Roman" w:hint="default"/>
          <w:sz w:val="20"/>
          <w:szCs w:val="20"/>
        </w:rPr>
      </w:pPr>
    </w:p>
    <w:p>
      <w:pPr>
        <w:pStyle w:val="Heading2"/>
        <w:spacing w:line="240" w:lineRule="auto" w:before="26"/>
        <w:ind w:right="0"/>
        <w:jc w:val="left"/>
        <w:rPr>
          <w:b w:val="0"/>
          <w:bCs w:val="0"/>
        </w:rPr>
      </w:pPr>
      <w:r>
        <w:rPr/>
        <w:t>二、证券发行与上市情况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412"/>
        <w:gridCol w:w="1565"/>
        <w:gridCol w:w="1025"/>
        <w:gridCol w:w="1294"/>
        <w:gridCol w:w="1510"/>
        <w:gridCol w:w="1277"/>
        <w:gridCol w:w="1488"/>
      </w:tblGrid>
      <w:tr>
        <w:trPr>
          <w:trHeight w:val="715" w:hRule="exact"/>
        </w:trPr>
        <w:tc>
          <w:tcPr>
            <w:tcW w:w="14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2" w:right="69" w:hanging="361"/>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5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发行日期</w:t>
            </w:r>
          </w:p>
        </w:tc>
        <w:tc>
          <w:tcPr>
            <w:tcW w:w="10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发行价格</w:t>
            </w:r>
          </w:p>
          <w:p>
            <w:pPr>
              <w:pStyle w:val="TableParagraph"/>
              <w:spacing w:line="240" w:lineRule="auto" w:before="76"/>
              <w:ind w:left="59" w:right="0"/>
              <w:jc w:val="left"/>
              <w:rPr>
                <w:rFonts w:ascii="宋体" w:hAnsi="宋体" w:cs="宋体" w:eastAsia="宋体" w:hint="default"/>
                <w:sz w:val="18"/>
                <w:szCs w:val="18"/>
              </w:rPr>
            </w:pPr>
            <w:r>
              <w:rPr>
                <w:rFonts w:ascii="宋体" w:hAnsi="宋体" w:cs="宋体" w:eastAsia="宋体" w:hint="default"/>
                <w:sz w:val="18"/>
                <w:szCs w:val="18"/>
              </w:rPr>
              <w:t>（或利率）</w:t>
            </w:r>
          </w:p>
        </w:tc>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5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上市日期</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53" w:right="92" w:hanging="360"/>
              <w:jc w:val="left"/>
              <w:rPr>
                <w:rFonts w:ascii="宋体" w:hAnsi="宋体" w:cs="宋体" w:eastAsia="宋体" w:hint="default"/>
                <w:sz w:val="18"/>
                <w:szCs w:val="18"/>
              </w:rPr>
            </w:pPr>
            <w:r>
              <w:rPr>
                <w:rFonts w:ascii="宋体" w:hAnsi="宋体" w:cs="宋体" w:eastAsia="宋体" w:hint="default"/>
                <w:sz w:val="18"/>
                <w:szCs w:val="18"/>
              </w:rPr>
              <w:t>获准上市交易 数量</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403" w:hRule="exact"/>
        </w:trPr>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非公开发行股票</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13.25</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8" w:right="0"/>
              <w:jc w:val="left"/>
              <w:rPr>
                <w:rFonts w:ascii="Times New Roman" w:hAnsi="Times New Roman" w:cs="Times New Roman" w:eastAsia="Times New Roman" w:hint="default"/>
                <w:sz w:val="18"/>
                <w:szCs w:val="18"/>
              </w:rPr>
            </w:pPr>
            <w:r>
              <w:rPr>
                <w:rFonts w:ascii="Times New Roman"/>
                <w:sz w:val="18"/>
              </w:rPr>
              <w:t>45,511,698</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1" w:right="0"/>
              <w:jc w:val="left"/>
              <w:rPr>
                <w:rFonts w:ascii="Times New Roman" w:hAnsi="Times New Roman" w:cs="Times New Roman" w:eastAsia="Times New Roman" w:hint="default"/>
                <w:sz w:val="18"/>
                <w:szCs w:val="18"/>
              </w:rPr>
            </w:pPr>
            <w:r>
              <w:rPr>
                <w:rFonts w:ascii="Times New Roman"/>
                <w:sz w:val="18"/>
              </w:rPr>
              <w:t>50,000,000</w:t>
            </w: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可转换公司债券、分离交易的可转换公司债券、公司债类</w:t>
            </w:r>
          </w:p>
        </w:tc>
      </w:tr>
      <w:tr>
        <w:trPr>
          <w:trHeight w:val="403"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其他衍生证券类</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报告期内证券发行（不含优先股）情况的说明</w:t>
      </w:r>
    </w:p>
    <w:p>
      <w:pPr>
        <w:spacing w:line="240" w:lineRule="auto" w:before="1"/>
        <w:rPr>
          <w:rFonts w:ascii="宋体" w:hAnsi="宋体" w:cs="宋体" w:eastAsia="宋体" w:hint="default"/>
          <w:sz w:val="13"/>
          <w:szCs w:val="13"/>
        </w:rPr>
      </w:pPr>
    </w:p>
    <w:p>
      <w:pPr>
        <w:pStyle w:val="BodyText"/>
        <w:spacing w:line="386" w:lineRule="auto"/>
        <w:ind w:right="182" w:firstLine="420"/>
        <w:jc w:val="both"/>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27</w:t>
      </w:r>
      <w:r>
        <w:rPr>
          <w:spacing w:val="-2"/>
        </w:rPr>
        <w:t>日，公司召开第三届董事会第十五次（临时）会议，审议通过了《关于调整公司</w:t>
      </w:r>
      <w:r>
        <w:rPr>
          <w:rFonts w:ascii="Times New Roman" w:hAnsi="Times New Roman" w:cs="Times New Roman" w:eastAsia="Times New Roman" w:hint="default"/>
          <w:spacing w:val="-2"/>
        </w:rPr>
        <w:t>2016</w:t>
      </w:r>
      <w:r>
        <w:rPr>
          <w:spacing w:val="-2"/>
        </w:rPr>
        <w:t>年</w:t>
      </w:r>
      <w:r>
        <w:rPr>
          <w:w w:val="100"/>
        </w:rPr>
        <w:t> </w:t>
      </w:r>
      <w:r>
        <w:rPr>
          <w:spacing w:val="-2"/>
        </w:rPr>
        <w:t>度非公开发行</w:t>
      </w:r>
      <w:r>
        <w:rPr>
          <w:rFonts w:ascii="Times New Roman" w:hAnsi="Times New Roman" w:cs="Times New Roman" w:eastAsia="Times New Roman" w:hint="default"/>
          <w:spacing w:val="-2"/>
        </w:rPr>
        <w:t>A</w:t>
      </w:r>
      <w:r>
        <w:rPr>
          <w:spacing w:val="-2"/>
        </w:rPr>
        <w:t>股股票限售期的议案》、《关于延长公司</w:t>
      </w:r>
      <w:r>
        <w:rPr>
          <w:rFonts w:ascii="Times New Roman" w:hAnsi="Times New Roman" w:cs="Times New Roman" w:eastAsia="Times New Roman" w:hint="default"/>
          <w:spacing w:val="-2"/>
        </w:rPr>
        <w:t>2016</w:t>
      </w:r>
      <w:r>
        <w:rPr>
          <w:spacing w:val="-2"/>
        </w:rPr>
        <w:t>年度非公开发行股票股东大会决议有效期的</w:t>
      </w:r>
      <w:r>
        <w:rPr>
          <w:spacing w:val="-15"/>
        </w:rPr>
        <w:t> </w:t>
      </w:r>
      <w:r>
        <w:rPr>
          <w:spacing w:val="-15"/>
        </w:rPr>
      </w:r>
      <w:r>
        <w:rPr/>
        <w:t>议案》等与本次非公开发行相关的事项。</w:t>
      </w:r>
    </w:p>
    <w:p>
      <w:pPr>
        <w:pStyle w:val="BodyText"/>
        <w:spacing w:line="386" w:lineRule="auto" w:before="65"/>
        <w:ind w:right="182" w:firstLine="420"/>
        <w:jc w:val="both"/>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12</w:t>
      </w:r>
      <w:r>
        <w:rPr>
          <w:spacing w:val="-2"/>
        </w:rPr>
        <w:t>日，公司召开</w:t>
      </w:r>
      <w:r>
        <w:rPr>
          <w:rFonts w:ascii="Times New Roman" w:hAnsi="Times New Roman" w:cs="Times New Roman" w:eastAsia="Times New Roman" w:hint="default"/>
          <w:spacing w:val="-2"/>
        </w:rPr>
        <w:t>2017</w:t>
      </w:r>
      <w:r>
        <w:rPr>
          <w:spacing w:val="-2"/>
        </w:rPr>
        <w:t>年度第一次临时股东大会，审议通过了《关于调整公司</w:t>
      </w:r>
      <w:r>
        <w:rPr>
          <w:rFonts w:ascii="Times New Roman" w:hAnsi="Times New Roman" w:cs="Times New Roman" w:eastAsia="Times New Roman" w:hint="default"/>
          <w:spacing w:val="-2"/>
        </w:rPr>
        <w:t>2016</w:t>
      </w:r>
      <w:r>
        <w:rPr>
          <w:spacing w:val="-2"/>
        </w:rPr>
        <w:t>年度非公</w:t>
      </w:r>
      <w:r>
        <w:rPr>
          <w:w w:val="100"/>
        </w:rPr>
        <w:t> </w:t>
      </w:r>
      <w:r>
        <w:rPr>
          <w:spacing w:val="-2"/>
        </w:rPr>
        <w:t>开发行</w:t>
      </w:r>
      <w:r>
        <w:rPr>
          <w:rFonts w:ascii="Times New Roman" w:hAnsi="Times New Roman" w:cs="Times New Roman" w:eastAsia="Times New Roman" w:hint="default"/>
          <w:spacing w:val="-2"/>
        </w:rPr>
        <w:t>A</w:t>
      </w:r>
      <w:r>
        <w:rPr>
          <w:spacing w:val="-2"/>
        </w:rPr>
        <w:t>股股票限售期的议案》、《关于延长公司非公开发行股票股东大会决议有效期的议案》等与本次</w:t>
      </w:r>
      <w:r>
        <w:rPr>
          <w:spacing w:val="-20"/>
        </w:rPr>
        <w:t> </w:t>
      </w:r>
      <w:r>
        <w:rPr>
          <w:spacing w:val="-20"/>
        </w:rPr>
      </w:r>
      <w:r>
        <w:rPr/>
        <w:t>非公开发行相关的事项。</w:t>
      </w:r>
    </w:p>
    <w:p>
      <w:pPr>
        <w:pStyle w:val="BodyText"/>
        <w:spacing w:line="240" w:lineRule="auto" w:before="65"/>
        <w:ind w:left="573" w:right="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17</w:t>
      </w:r>
      <w:r>
        <w:rPr/>
        <w:t>日，公司本次非公开发行经中国证监会发行审核委员会审核通过。</w:t>
      </w:r>
    </w:p>
    <w:p>
      <w:pPr>
        <w:pStyle w:val="BodyText"/>
        <w:spacing w:line="386" w:lineRule="auto" w:before="177"/>
        <w:ind w:right="0" w:firstLine="420"/>
        <w:jc w:val="left"/>
      </w:pP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7</w:t>
      </w:r>
      <w:r>
        <w:rPr>
          <w:spacing w:val="-4"/>
        </w:rPr>
        <w:t>月</w:t>
      </w:r>
      <w:r>
        <w:rPr>
          <w:rFonts w:ascii="Times New Roman" w:hAnsi="Times New Roman" w:cs="Times New Roman" w:eastAsia="Times New Roman" w:hint="default"/>
          <w:spacing w:val="-4"/>
        </w:rPr>
        <w:t>19</w:t>
      </w:r>
      <w:r>
        <w:rPr>
          <w:spacing w:val="-4"/>
        </w:rPr>
        <w:t>日，发行人收到中国证券监督管理委员会（以下简称</w:t>
      </w:r>
      <w:r>
        <w:rPr>
          <w:rFonts w:ascii="Times New Roman" w:hAnsi="Times New Roman" w:cs="Times New Roman" w:eastAsia="Times New Roman" w:hint="default"/>
          <w:spacing w:val="-4"/>
        </w:rPr>
        <w:t>“</w:t>
      </w:r>
      <w:r>
        <w:rPr>
          <w:spacing w:val="-4"/>
        </w:rPr>
        <w:t>中国证监会</w:t>
      </w:r>
      <w:r>
        <w:rPr>
          <w:rFonts w:ascii="Times New Roman" w:hAnsi="Times New Roman" w:cs="Times New Roman" w:eastAsia="Times New Roman" w:hint="default"/>
          <w:spacing w:val="-4"/>
        </w:rPr>
        <w:t>”</w:t>
      </w:r>
      <w:r>
        <w:rPr>
          <w:spacing w:val="-4"/>
        </w:rPr>
        <w:t>）出具的《关于核准上</w:t>
      </w:r>
      <w:r>
        <w:rPr>
          <w:w w:val="100"/>
        </w:rPr>
        <w:t> </w:t>
      </w:r>
      <w:r>
        <w:rPr/>
        <w:t>海天玑科技股份有限公司非公开发行股票的批复》（证监许可</w:t>
      </w:r>
      <w:r>
        <w:rPr>
          <w:rFonts w:ascii="Times New Roman" w:hAnsi="Times New Roman" w:cs="Times New Roman" w:eastAsia="Times New Roman" w:hint="default"/>
        </w:rPr>
        <w:t>[2017]1147</w:t>
      </w:r>
      <w:r>
        <w:rPr/>
        <w:t>号），批文签发日期为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rFonts w:ascii="Times New Roman" w:hAnsi="Times New Roman" w:cs="Times New Roman" w:eastAsia="Times New Roman" w:hint="default"/>
          <w:w w:val="100"/>
        </w:rPr>
        <w:t> </w:t>
      </w:r>
      <w:r>
        <w:rPr/>
        <w:t>月</w:t>
      </w:r>
      <w:r>
        <w:rPr>
          <w:rFonts w:ascii="Times New Roman" w:hAnsi="Times New Roman" w:cs="Times New Roman" w:eastAsia="Times New Roman" w:hint="default"/>
        </w:rPr>
        <w:t>7</w:t>
      </w:r>
      <w:r>
        <w:rPr/>
        <w:t>日，核准本公司非公开发行不超过</w:t>
      </w:r>
      <w:r>
        <w:rPr>
          <w:rFonts w:ascii="Times New Roman" w:hAnsi="Times New Roman" w:cs="Times New Roman" w:eastAsia="Times New Roman" w:hint="default"/>
        </w:rPr>
        <w:t>50,000,000</w:t>
      </w:r>
      <w:r>
        <w:rPr/>
        <w:t>股新股。该批复自核准之日起</w:t>
      </w:r>
      <w:r>
        <w:rPr>
          <w:rFonts w:ascii="Times New Roman" w:hAnsi="Times New Roman" w:cs="Times New Roman" w:eastAsia="Times New Roman" w:hint="default"/>
        </w:rPr>
        <w:t>6</w:t>
      </w:r>
      <w:r>
        <w:rPr/>
        <w:t>个月内有效。</w:t>
      </w:r>
    </w:p>
    <w:p>
      <w:pPr>
        <w:pStyle w:val="BodyText"/>
        <w:spacing w:line="386" w:lineRule="auto" w:before="35"/>
        <w:ind w:right="0" w:firstLine="420"/>
        <w:jc w:val="left"/>
        <w:rPr>
          <w:rFonts w:ascii="Times New Roman" w:hAnsi="Times New Roman" w:cs="Times New Roman" w:eastAsia="Times New Roman" w:hint="default"/>
        </w:rPr>
      </w:pPr>
      <w:r>
        <w:rPr/>
        <w:t>本次发行实际发行数量为</w:t>
      </w:r>
      <w:r>
        <w:rPr>
          <w:rFonts w:ascii="Times New Roman" w:hAnsi="Times New Roman" w:cs="Times New Roman" w:eastAsia="Times New Roman" w:hint="default"/>
        </w:rPr>
        <w:t>45,511,698</w:t>
      </w:r>
      <w:r>
        <w:rPr/>
        <w:t>股，发行价格为</w:t>
      </w:r>
      <w:r>
        <w:rPr>
          <w:rFonts w:ascii="Times New Roman" w:hAnsi="Times New Roman" w:cs="Times New Roman" w:eastAsia="Times New Roman" w:hint="default"/>
        </w:rPr>
        <w:t>13.25</w:t>
      </w:r>
      <w:r>
        <w:rPr/>
        <w:t>元</w:t>
      </w:r>
      <w:r>
        <w:rPr>
          <w:rFonts w:ascii="Times New Roman" w:hAnsi="Times New Roman" w:cs="Times New Roman" w:eastAsia="Times New Roman" w:hint="default"/>
        </w:rPr>
        <w:t>/</w:t>
      </w:r>
      <w:r>
        <w:rPr/>
        <w:t>股。截至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9</w:t>
      </w:r>
      <w:r>
        <w:rPr/>
        <w:t>日，本次非公开发</w:t>
      </w:r>
      <w:r>
        <w:rPr>
          <w:w w:val="100"/>
        </w:rPr>
        <w:t> </w:t>
      </w:r>
      <w:r>
        <w:rPr/>
        <w:t>行的</w:t>
      </w:r>
      <w:r>
        <w:rPr>
          <w:rFonts w:ascii="Times New Roman" w:hAnsi="Times New Roman" w:cs="Times New Roman" w:eastAsia="Times New Roman" w:hint="default"/>
        </w:rPr>
        <w:t>4</w:t>
      </w:r>
      <w:r>
        <w:rPr/>
        <w:t>名发行对象已将认购资金全额汇入保荐机构（主承销商）华泰联合证券指定账户。本次发行不涉及</w:t>
      </w:r>
      <w:r>
        <w:rPr>
          <w:w w:val="100"/>
        </w:rPr>
        <w:t> </w:t>
      </w:r>
      <w:r>
        <w:rPr>
          <w:spacing w:val="-2"/>
        </w:rPr>
        <w:t>购买资产或者以资产支付，认股款项全部以现金支付。</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14</w:t>
      </w:r>
      <w:r>
        <w:rPr>
          <w:spacing w:val="-2"/>
        </w:rPr>
        <w:t>日，经立信会计师事务所（特殊普通</w:t>
      </w:r>
      <w:r>
        <w:rPr>
          <w:spacing w:val="-37"/>
        </w:rPr>
        <w:t> </w:t>
      </w:r>
      <w:r>
        <w:rPr>
          <w:spacing w:val="-37"/>
        </w:rPr>
      </w:r>
      <w:r>
        <w:rPr>
          <w:spacing w:val="-2"/>
        </w:rPr>
        <w:t>合伙）出具的信会师报字</w:t>
      </w:r>
      <w:r>
        <w:rPr>
          <w:rFonts w:ascii="Times New Roman" w:hAnsi="Times New Roman" w:cs="Times New Roman" w:eastAsia="Times New Roman" w:hint="default"/>
          <w:spacing w:val="-2"/>
        </w:rPr>
        <w:t>[2017]</w:t>
      </w:r>
      <w:r>
        <w:rPr>
          <w:spacing w:val="-2"/>
        </w:rPr>
        <w:t>第</w:t>
      </w:r>
      <w:r>
        <w:rPr>
          <w:rFonts w:ascii="Times New Roman" w:hAnsi="Times New Roman" w:cs="Times New Roman" w:eastAsia="Times New Roman" w:hint="default"/>
          <w:spacing w:val="-2"/>
        </w:rPr>
        <w:t>ZA16331</w:t>
      </w:r>
      <w:r>
        <w:rPr>
          <w:spacing w:val="-2"/>
        </w:rPr>
        <w:t>号《验资报告》验证，截至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9</w:t>
      </w:r>
      <w:r>
        <w:rPr>
          <w:spacing w:val="-2"/>
        </w:rPr>
        <w:t>日，保荐机构（主承销</w:t>
      </w:r>
      <w:r>
        <w:rPr>
          <w:spacing w:val="-27"/>
        </w:rPr>
        <w:t> </w:t>
      </w:r>
      <w:r>
        <w:rPr>
          <w:spacing w:val="-27"/>
        </w:rPr>
      </w:r>
      <w:r>
        <w:rPr/>
        <w:t>商）已收到上海天玑科技股份有限公司本次发行中获得配售的投资者缴纳的认购款人民币</w:t>
      </w:r>
      <w:r>
        <w:rPr>
          <w:rFonts w:ascii="Times New Roman" w:hAnsi="Times New Roman" w:cs="Times New Roman" w:eastAsia="Times New Roman" w:hint="default"/>
        </w:rPr>
        <w:t>603,029,998.50</w:t>
      </w:r>
    </w:p>
    <w:p>
      <w:pPr>
        <w:spacing w:after="0" w:line="386" w:lineRule="auto"/>
        <w:jc w:val="left"/>
        <w:rPr>
          <w:rFonts w:ascii="Times New Roman" w:hAnsi="Times New Roman" w:cs="Times New Roman" w:eastAsia="Times New Roman" w:hint="default"/>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8"/>
          <w:szCs w:val="18"/>
        </w:rPr>
      </w:pPr>
    </w:p>
    <w:p>
      <w:pPr>
        <w:pStyle w:val="BodyText"/>
        <w:spacing w:line="240" w:lineRule="auto"/>
        <w:ind w:right="0"/>
        <w:jc w:val="left"/>
      </w:pPr>
      <w:r>
        <w:rPr/>
        <w:t>元。</w:t>
      </w:r>
    </w:p>
    <w:p>
      <w:pPr>
        <w:spacing w:line="240" w:lineRule="auto" w:before="10"/>
        <w:rPr>
          <w:rFonts w:ascii="宋体" w:hAnsi="宋体" w:cs="宋体" w:eastAsia="宋体" w:hint="default"/>
          <w:sz w:val="14"/>
          <w:szCs w:val="14"/>
        </w:rPr>
      </w:pPr>
    </w:p>
    <w:p>
      <w:pPr>
        <w:pStyle w:val="BodyText"/>
        <w:spacing w:line="386" w:lineRule="auto"/>
        <w:ind w:right="146" w:firstLine="420"/>
        <w:jc w:val="both"/>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10</w:t>
      </w:r>
      <w:r>
        <w:rPr>
          <w:spacing w:val="-2"/>
        </w:rPr>
        <w:t>日，保荐机构（主承销商）已将上述认股款项扣除承销费及保荐费后的余额划转至公司</w:t>
      </w:r>
      <w:r>
        <w:rPr>
          <w:w w:val="100"/>
        </w:rPr>
        <w:t> </w:t>
      </w:r>
      <w:r>
        <w:rPr>
          <w:spacing w:val="-2"/>
        </w:rPr>
        <w:t>指定的本次募集资金专项存储账户。</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14</w:t>
      </w:r>
      <w:r>
        <w:rPr>
          <w:spacing w:val="-2"/>
        </w:rPr>
        <w:t>日，经立信会计师事务所（特殊普通合伙）出具的信会</w:t>
      </w:r>
      <w:r>
        <w:rPr>
          <w:spacing w:val="-40"/>
        </w:rPr>
        <w:t> </w:t>
      </w:r>
      <w:r>
        <w:rPr>
          <w:spacing w:val="-40"/>
        </w:rPr>
      </w:r>
      <w:r>
        <w:rPr>
          <w:spacing w:val="-2"/>
        </w:rPr>
        <w:t>师报字</w:t>
      </w:r>
      <w:r>
        <w:rPr>
          <w:rFonts w:ascii="Times New Roman" w:hAnsi="Times New Roman" w:cs="Times New Roman" w:eastAsia="Times New Roman" w:hint="default"/>
          <w:spacing w:val="-2"/>
        </w:rPr>
        <w:t>[2017]</w:t>
      </w:r>
      <w:r>
        <w:rPr>
          <w:spacing w:val="-2"/>
        </w:rPr>
        <w:t>第</w:t>
      </w:r>
      <w:r>
        <w:rPr>
          <w:rFonts w:ascii="Times New Roman" w:hAnsi="Times New Roman" w:cs="Times New Roman" w:eastAsia="Times New Roman" w:hint="default"/>
          <w:spacing w:val="-2"/>
        </w:rPr>
        <w:t>ZA16332</w:t>
      </w:r>
      <w:r>
        <w:rPr>
          <w:spacing w:val="-2"/>
        </w:rPr>
        <w:t>号《验资报告》验证，本次发行募集资金总额为人民币</w:t>
      </w:r>
      <w:r>
        <w:rPr>
          <w:rFonts w:ascii="Times New Roman" w:hAnsi="Times New Roman" w:cs="Times New Roman" w:eastAsia="Times New Roman" w:hint="default"/>
          <w:spacing w:val="-2"/>
        </w:rPr>
        <w:t>603,029,998.50</w:t>
      </w:r>
      <w:r>
        <w:rPr>
          <w:spacing w:val="-2"/>
        </w:rPr>
        <w:t>元，扣除发</w:t>
      </w:r>
      <w:r>
        <w:rPr>
          <w:spacing w:val="3"/>
        </w:rPr>
        <w:t> </w:t>
      </w:r>
      <w:r>
        <w:rPr>
          <w:spacing w:val="3"/>
        </w:rPr>
      </w:r>
      <w:r>
        <w:rPr/>
        <w:t>行费用人民币</w:t>
      </w:r>
      <w:r>
        <w:rPr>
          <w:rFonts w:ascii="Times New Roman" w:hAnsi="Times New Roman" w:cs="Times New Roman" w:eastAsia="Times New Roman" w:hint="default"/>
        </w:rPr>
        <w:t>12,866,343.13</w:t>
      </w:r>
      <w:r>
        <w:rPr/>
        <w:t>元，募集资金净额为人民币</w:t>
      </w:r>
      <w:r>
        <w:rPr>
          <w:rFonts w:ascii="Times New Roman" w:hAnsi="Times New Roman" w:cs="Times New Roman" w:eastAsia="Times New Roman" w:hint="default"/>
        </w:rPr>
        <w:t>590,163,655.37</w:t>
      </w:r>
      <w:r>
        <w:rPr/>
        <w:t>元。</w:t>
      </w:r>
    </w:p>
    <w:p>
      <w:pPr>
        <w:pStyle w:val="BodyText"/>
        <w:spacing w:line="386" w:lineRule="auto" w:before="35"/>
        <w:ind w:right="230" w:firstLine="420"/>
        <w:jc w:val="both"/>
      </w:pPr>
      <w:r>
        <w:rPr>
          <w:spacing w:val="-2"/>
        </w:rPr>
        <w:t>本次发行新增股份</w:t>
      </w:r>
      <w:r>
        <w:rPr>
          <w:rFonts w:ascii="Times New Roman" w:hAnsi="Times New Roman" w:cs="Times New Roman" w:eastAsia="Times New Roman" w:hint="default"/>
          <w:spacing w:val="-2"/>
        </w:rPr>
        <w:t>45,511,698</w:t>
      </w:r>
      <w:r>
        <w:rPr>
          <w:spacing w:val="-2"/>
        </w:rPr>
        <w:t>股，于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20</w:t>
      </w:r>
      <w:r>
        <w:rPr>
          <w:spacing w:val="-2"/>
        </w:rPr>
        <w:t>日在中国证券登记结算有限责任公司深圳分公司办</w:t>
      </w:r>
      <w:r>
        <w:rPr>
          <w:w w:val="100"/>
        </w:rPr>
        <w:t> </w:t>
      </w:r>
      <w:r>
        <w:rPr>
          <w:spacing w:val="-2"/>
        </w:rPr>
        <w:t>理完毕登记托管手续。本次发行新增股份的性质为有限售条件股份，全部</w:t>
      </w:r>
      <w:r>
        <w:rPr>
          <w:rFonts w:ascii="Times New Roman" w:hAnsi="Times New Roman" w:cs="Times New Roman" w:eastAsia="Times New Roman" w:hint="default"/>
          <w:spacing w:val="-2"/>
        </w:rPr>
        <w:t>4</w:t>
      </w:r>
      <w:r>
        <w:rPr>
          <w:spacing w:val="-2"/>
        </w:rPr>
        <w:t>名投资者认购的股份上市流通</w:t>
      </w:r>
      <w:r>
        <w:rPr>
          <w:spacing w:val="-22"/>
        </w:rPr>
        <w:t> </w:t>
      </w:r>
      <w:r>
        <w:rPr>
          <w:spacing w:val="-22"/>
        </w:rPr>
      </w:r>
      <w:r>
        <w:rPr/>
        <w:t>日为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27</w:t>
      </w:r>
      <w:r>
        <w:rPr/>
        <w:t>日。</w:t>
      </w:r>
    </w:p>
    <w:p>
      <w:pPr>
        <w:spacing w:line="240" w:lineRule="auto" w:before="10"/>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386" w:lineRule="auto" w:before="157"/>
        <w:ind w:right="230" w:firstLine="420"/>
        <w:jc w:val="both"/>
      </w:pPr>
      <w:r>
        <w:rPr>
          <w:spacing w:val="-2"/>
        </w:rPr>
        <w:t>公司非公开发行的股票</w:t>
      </w:r>
      <w:r>
        <w:rPr>
          <w:rFonts w:ascii="Times New Roman" w:hAnsi="Times New Roman" w:cs="Times New Roman" w:eastAsia="Times New Roman" w:hint="default"/>
          <w:spacing w:val="-2"/>
        </w:rPr>
        <w:t>45,511,698</w:t>
      </w:r>
      <w:r>
        <w:rPr>
          <w:spacing w:val="-2"/>
        </w:rPr>
        <w:t>股于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20</w:t>
      </w:r>
      <w:r>
        <w:rPr>
          <w:spacing w:val="-2"/>
        </w:rPr>
        <w:t>日在中国证券登记结算有限责任公司深圳分公司</w:t>
      </w:r>
      <w:r>
        <w:rPr>
          <w:w w:val="100"/>
        </w:rPr>
        <w:t> </w:t>
      </w:r>
      <w:r>
        <w:rPr>
          <w:spacing w:val="-2"/>
        </w:rPr>
        <w:t>办理完毕登记托管手续。本次发行新增股份的性质为有限售条件股份，全部</w:t>
      </w:r>
      <w:r>
        <w:rPr>
          <w:rFonts w:ascii="Times New Roman" w:hAnsi="Times New Roman" w:cs="Times New Roman" w:eastAsia="Times New Roman" w:hint="default"/>
          <w:spacing w:val="-2"/>
        </w:rPr>
        <w:t>4</w:t>
      </w:r>
      <w:r>
        <w:rPr>
          <w:spacing w:val="-2"/>
        </w:rPr>
        <w:t>名投资者认购的股份上市流</w:t>
      </w:r>
      <w:r>
        <w:rPr>
          <w:spacing w:val="-22"/>
        </w:rPr>
        <w:t> </w:t>
      </w:r>
      <w:r>
        <w:rPr>
          <w:spacing w:val="-22"/>
        </w:rPr>
      </w:r>
      <w:r>
        <w:rPr/>
        <w:t>通日为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27</w:t>
      </w:r>
      <w:r>
        <w:rPr/>
        <w:t>日。本次发行完成后公司股本由</w:t>
      </w:r>
      <w:r>
        <w:rPr>
          <w:rFonts w:ascii="Times New Roman" w:hAnsi="Times New Roman" w:cs="Times New Roman" w:eastAsia="Times New Roman" w:hint="default"/>
        </w:rPr>
        <w:t>270,960,795.00</w:t>
      </w:r>
      <w:r>
        <w:rPr/>
        <w:t>股变更为</w:t>
      </w:r>
      <w:r>
        <w:rPr>
          <w:rFonts w:ascii="Times New Roman" w:hAnsi="Times New Roman" w:cs="Times New Roman" w:eastAsia="Times New Roman" w:hint="default"/>
        </w:rPr>
        <w:t>316,472,493.00</w:t>
      </w:r>
      <w:r>
        <w:rPr/>
        <w:t>股。</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pStyle w:val="Heading3"/>
        <w:spacing w:line="240" w:lineRule="auto" w:before="151"/>
        <w:ind w:right="0"/>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三、股东和实际控制人情况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4"/>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pict>
          <v:shape style="position:absolute;margin-left:449.22699pt;margin-top:68.501717pt;width:85.75pt;height:31.2pt;mso-position-horizontal-relative:page;mso-position-vertical-relative:paragraph;z-index:-1016464" type="#_x0000_t202" filled="false" stroked="false">
            <v:textbox inset="0,0,0,0">
              <w:txbxContent>
                <w:p>
                  <w:pPr>
                    <w:spacing w:line="203"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（如有）</w:t>
                  </w:r>
                </w:p>
              </w:txbxContent>
            </v:textbox>
            <w10:wrap type="none"/>
          </v:shape>
        </w:pict>
      </w:r>
      <w:r>
        <w:rPr/>
        <w:pict>
          <v:group style="position:absolute;margin-left:482.5pt;margin-top:68.501717pt;width:52.45pt;height:31.2pt;mso-position-horizontal-relative:page;mso-position-vertical-relative:paragraph;z-index:-1016440" coordorigin="9650,1370" coordsize="1049,624">
            <v:shape style="position:absolute;left:9650;top:1370;width:1049;height:624" coordorigin="9650,1370" coordsize="1049,624" path="m9650,1994l10699,1994,10699,1370,9650,1370,9650,1994xe" filled="true" fillcolor="#ffffff" stroked="false">
              <v:path arrowok="t"/>
              <v:fill type="solid"/>
            </v:shape>
            <w10:wrap type="none"/>
          </v:group>
        </w:pict>
      </w:r>
      <w:r>
        <w:rPr>
          <w:rFonts w:ascii="宋体" w:hAnsi="宋体" w:cs="宋体" w:eastAsia="宋体" w:hint="default"/>
          <w:sz w:val="18"/>
          <w:szCs w:val="18"/>
        </w:rPr>
        <w:t>单位：股</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23"/>
        <w:gridCol w:w="134"/>
        <w:gridCol w:w="674"/>
        <w:gridCol w:w="737"/>
        <w:gridCol w:w="744"/>
        <w:gridCol w:w="830"/>
        <w:gridCol w:w="346"/>
        <w:gridCol w:w="444"/>
        <w:gridCol w:w="823"/>
        <w:gridCol w:w="802"/>
        <w:gridCol w:w="322"/>
        <w:gridCol w:w="1028"/>
        <w:gridCol w:w="280"/>
        <w:gridCol w:w="512"/>
        <w:gridCol w:w="557"/>
      </w:tblGrid>
      <w:tr>
        <w:trPr>
          <w:trHeight w:val="164" w:hRule="exact"/>
        </w:trPr>
        <w:tc>
          <w:tcPr>
            <w:tcW w:w="1323" w:type="dxa"/>
            <w:vMerge w:val="restart"/>
            <w:tcBorders>
              <w:top w:val="single" w:sz="4" w:space="0" w:color="000000"/>
              <w:left w:val="single" w:sz="4" w:space="0" w:color="000000"/>
              <w:right w:val="single" w:sz="4" w:space="0" w:color="000000"/>
            </w:tcBorders>
            <w:shd w:val="clear" w:color="auto" w:fill="D2D2D2"/>
          </w:tcPr>
          <w:p>
            <w:pPr/>
          </w:p>
        </w:tc>
        <w:tc>
          <w:tcPr>
            <w:tcW w:w="809" w:type="dxa"/>
            <w:gridSpan w:val="2"/>
            <w:vMerge w:val="restart"/>
            <w:tcBorders>
              <w:top w:val="single" w:sz="4" w:space="0" w:color="000000"/>
              <w:left w:val="single" w:sz="9" w:space="0" w:color="D2D2D2"/>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2" w:right="0"/>
              <w:jc w:val="left"/>
              <w:rPr>
                <w:rFonts w:ascii="Times New Roman" w:hAnsi="Times New Roman" w:cs="Times New Roman" w:eastAsia="Times New Roman" w:hint="default"/>
                <w:sz w:val="18"/>
                <w:szCs w:val="18"/>
              </w:rPr>
            </w:pPr>
            <w:r>
              <w:rPr>
                <w:rFonts w:ascii="Times New Roman"/>
                <w:sz w:val="18"/>
              </w:rPr>
              <w:t>32,149</w:t>
            </w:r>
          </w:p>
        </w:tc>
        <w:tc>
          <w:tcPr>
            <w:tcW w:w="1481" w:type="dxa"/>
            <w:gridSpan w:val="2"/>
            <w:vMerge w:val="restart"/>
            <w:tcBorders>
              <w:top w:val="single" w:sz="4" w:space="0" w:color="000000"/>
              <w:left w:val="single" w:sz="4" w:space="0" w:color="000000"/>
              <w:right w:val="single" w:sz="4" w:space="0" w:color="000000"/>
            </w:tcBorders>
            <w:shd w:val="clear" w:color="auto" w:fill="D2D2D2"/>
          </w:tcPr>
          <w:p>
            <w:pPr/>
          </w:p>
        </w:tc>
        <w:tc>
          <w:tcPr>
            <w:tcW w:w="1176" w:type="dxa"/>
            <w:gridSpan w:val="2"/>
            <w:vMerge w:val="restart"/>
            <w:tcBorders>
              <w:top w:val="single" w:sz="4" w:space="0" w:color="000000"/>
              <w:left w:val="single" w:sz="10" w:space="0" w:color="D2D2D2"/>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1" w:right="0"/>
              <w:jc w:val="left"/>
              <w:rPr>
                <w:rFonts w:ascii="Times New Roman" w:hAnsi="Times New Roman" w:cs="Times New Roman" w:eastAsia="Times New Roman" w:hint="default"/>
                <w:sz w:val="18"/>
                <w:szCs w:val="18"/>
              </w:rPr>
            </w:pPr>
            <w:r>
              <w:rPr>
                <w:rFonts w:ascii="Times New Roman"/>
                <w:sz w:val="18"/>
              </w:rPr>
              <w:t>28,845</w:t>
            </w:r>
          </w:p>
        </w:tc>
        <w:tc>
          <w:tcPr>
            <w:tcW w:w="1267"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24" w:type="dxa"/>
            <w:gridSpan w:val="2"/>
            <w:vMerge w:val="restart"/>
            <w:tcBorders>
              <w:top w:val="single" w:sz="4" w:space="0" w:color="000000"/>
              <w:left w:val="single" w:sz="10"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0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1" w:right="23"/>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w:t>
            </w:r>
          </w:p>
          <w:p>
            <w:pPr>
              <w:pStyle w:val="TableParagraph"/>
              <w:spacing w:line="240" w:lineRule="auto" w:before="19"/>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512" w:type="dxa"/>
            <w:vMerge w:val="restart"/>
            <w:tcBorders>
              <w:top w:val="single" w:sz="4" w:space="0" w:color="000000"/>
              <w:left w:val="single" w:sz="12" w:space="0" w:color="D2D2D2"/>
              <w:right w:val="nil" w:sz="6" w:space="0" w:color="auto"/>
            </w:tcBorders>
          </w:tcPr>
          <w:p>
            <w:pPr/>
          </w:p>
        </w:tc>
        <w:tc>
          <w:tcPr>
            <w:tcW w:w="557" w:type="dxa"/>
            <w:tcBorders>
              <w:top w:val="single" w:sz="4" w:space="0" w:color="000000"/>
              <w:left w:val="nil" w:sz="6" w:space="0" w:color="auto"/>
              <w:bottom w:val="nil" w:sz="6" w:space="0" w:color="auto"/>
              <w:right w:val="single" w:sz="4" w:space="0" w:color="000000"/>
            </w:tcBorders>
          </w:tcPr>
          <w:p>
            <w:pPr/>
          </w:p>
        </w:tc>
      </w:tr>
      <w:tr>
        <w:trPr>
          <w:trHeight w:val="156" w:hRule="exact"/>
        </w:trPr>
        <w:tc>
          <w:tcPr>
            <w:tcW w:w="1323" w:type="dxa"/>
            <w:vMerge/>
            <w:tcBorders>
              <w:left w:val="single" w:sz="4" w:space="0" w:color="000000"/>
              <w:right w:val="single" w:sz="4" w:space="0" w:color="000000"/>
            </w:tcBorders>
            <w:shd w:val="clear" w:color="auto" w:fill="D2D2D2"/>
          </w:tcPr>
          <w:p>
            <w:pPr/>
          </w:p>
        </w:tc>
        <w:tc>
          <w:tcPr>
            <w:tcW w:w="809" w:type="dxa"/>
            <w:gridSpan w:val="2"/>
            <w:vMerge/>
            <w:tcBorders>
              <w:left w:val="single" w:sz="9" w:space="0" w:color="D2D2D2"/>
              <w:right w:val="single" w:sz="10" w:space="0" w:color="D2D2D2"/>
            </w:tcBorders>
          </w:tcPr>
          <w:p>
            <w:pPr/>
          </w:p>
        </w:tc>
        <w:tc>
          <w:tcPr>
            <w:tcW w:w="1481" w:type="dxa"/>
            <w:gridSpan w:val="2"/>
            <w:vMerge/>
            <w:tcBorders>
              <w:left w:val="single" w:sz="4" w:space="0" w:color="000000"/>
              <w:bottom w:val="nil" w:sz="6" w:space="0" w:color="auto"/>
              <w:right w:val="single" w:sz="4" w:space="0" w:color="000000"/>
            </w:tcBorders>
            <w:shd w:val="clear" w:color="auto" w:fill="D2D2D2"/>
          </w:tcPr>
          <w:p>
            <w:pPr/>
          </w:p>
        </w:tc>
        <w:tc>
          <w:tcPr>
            <w:tcW w:w="1176" w:type="dxa"/>
            <w:gridSpan w:val="2"/>
            <w:vMerge/>
            <w:tcBorders>
              <w:left w:val="single" w:sz="10" w:space="0" w:color="D2D2D2"/>
              <w:right w:val="single" w:sz="10" w:space="0" w:color="D2D2D2"/>
            </w:tcBorders>
          </w:tcPr>
          <w:p>
            <w:pPr/>
          </w:p>
        </w:tc>
        <w:tc>
          <w:tcPr>
            <w:tcW w:w="1267"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1" w:right="-15"/>
              <w:jc w:val="both"/>
              <w:rPr>
                <w:rFonts w:ascii="宋体" w:hAnsi="宋体" w:cs="宋体" w:eastAsia="宋体" w:hint="default"/>
                <w:sz w:val="18"/>
                <w:szCs w:val="18"/>
              </w:rPr>
            </w:pPr>
            <w:r>
              <w:rPr>
                <w:rFonts w:ascii="宋体" w:hAnsi="宋体" w:cs="宋体" w:eastAsia="宋体" w:hint="default"/>
                <w:sz w:val="18"/>
                <w:szCs w:val="18"/>
              </w:rPr>
              <w:t>报告期末表决权 恢复的优先股股 东总数（如有）</w:t>
            </w:r>
          </w:p>
          <w:p>
            <w:pPr>
              <w:pStyle w:val="TableParagraph"/>
              <w:spacing w:line="240" w:lineRule="auto" w:before="19"/>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124" w:type="dxa"/>
            <w:gridSpan w:val="2"/>
            <w:vMerge/>
            <w:tcBorders>
              <w:left w:val="single" w:sz="10" w:space="0" w:color="D2D2D2"/>
              <w:right w:val="single" w:sz="13" w:space="0" w:color="D2D2D2"/>
            </w:tcBorders>
          </w:tcPr>
          <w:p>
            <w:pPr/>
          </w:p>
        </w:tc>
        <w:tc>
          <w:tcPr>
            <w:tcW w:w="1307" w:type="dxa"/>
            <w:gridSpan w:val="2"/>
            <w:vMerge/>
            <w:tcBorders>
              <w:left w:val="single" w:sz="4" w:space="0" w:color="000000"/>
              <w:right w:val="single" w:sz="4" w:space="0" w:color="000000"/>
            </w:tcBorders>
            <w:shd w:val="clear" w:color="auto" w:fill="D2D2D2"/>
          </w:tcPr>
          <w:p>
            <w:pPr/>
          </w:p>
        </w:tc>
        <w:tc>
          <w:tcPr>
            <w:tcW w:w="512" w:type="dxa"/>
            <w:vMerge/>
            <w:tcBorders>
              <w:left w:val="single" w:sz="12" w:space="0" w:color="D2D2D2"/>
              <w:right w:val="nil" w:sz="6" w:space="0" w:color="auto"/>
            </w:tcBorders>
          </w:tcPr>
          <w:p>
            <w:pPr/>
          </w:p>
        </w:tc>
        <w:tc>
          <w:tcPr>
            <w:tcW w:w="557"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23" w:type="dxa"/>
            <w:vMerge/>
            <w:tcBorders>
              <w:left w:val="single" w:sz="4" w:space="0" w:color="000000"/>
              <w:bottom w:val="nil" w:sz="6" w:space="0" w:color="auto"/>
              <w:right w:val="single" w:sz="4" w:space="0" w:color="000000"/>
            </w:tcBorders>
            <w:shd w:val="clear" w:color="auto" w:fill="D2D2D2"/>
          </w:tcPr>
          <w:p>
            <w:pPr/>
          </w:p>
        </w:tc>
        <w:tc>
          <w:tcPr>
            <w:tcW w:w="809" w:type="dxa"/>
            <w:gridSpan w:val="2"/>
            <w:vMerge/>
            <w:tcBorders>
              <w:left w:val="single" w:sz="9" w:space="0" w:color="D2D2D2"/>
              <w:right w:val="single" w:sz="10" w:space="0" w:color="D2D2D2"/>
            </w:tcBorders>
          </w:tcPr>
          <w:p>
            <w:pPr/>
          </w:p>
        </w:tc>
        <w:tc>
          <w:tcPr>
            <w:tcW w:w="148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1" w:right="197"/>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176" w:type="dxa"/>
            <w:gridSpan w:val="2"/>
            <w:vMerge/>
            <w:tcBorders>
              <w:left w:val="single" w:sz="10" w:space="0" w:color="D2D2D2"/>
              <w:right w:val="single" w:sz="10" w:space="0" w:color="D2D2D2"/>
            </w:tcBorders>
          </w:tcPr>
          <w:p>
            <w:pPr/>
          </w:p>
        </w:tc>
        <w:tc>
          <w:tcPr>
            <w:tcW w:w="1267" w:type="dxa"/>
            <w:gridSpan w:val="2"/>
            <w:vMerge/>
            <w:tcBorders>
              <w:left w:val="single" w:sz="4" w:space="0" w:color="000000"/>
              <w:right w:val="single" w:sz="4" w:space="0" w:color="000000"/>
            </w:tcBorders>
            <w:shd w:val="clear" w:color="auto" w:fill="D2D2D2"/>
          </w:tcPr>
          <w:p>
            <w:pPr/>
          </w:p>
        </w:tc>
        <w:tc>
          <w:tcPr>
            <w:tcW w:w="1124" w:type="dxa"/>
            <w:gridSpan w:val="2"/>
            <w:vMerge/>
            <w:tcBorders>
              <w:left w:val="single" w:sz="10" w:space="0" w:color="D2D2D2"/>
              <w:right w:val="single" w:sz="13" w:space="0" w:color="D2D2D2"/>
            </w:tcBorders>
          </w:tcPr>
          <w:p>
            <w:pPr/>
          </w:p>
        </w:tc>
        <w:tc>
          <w:tcPr>
            <w:tcW w:w="1307" w:type="dxa"/>
            <w:gridSpan w:val="2"/>
            <w:vMerge/>
            <w:tcBorders>
              <w:left w:val="single" w:sz="4" w:space="0" w:color="000000"/>
              <w:right w:val="single" w:sz="4" w:space="0" w:color="000000"/>
            </w:tcBorders>
            <w:shd w:val="clear" w:color="auto" w:fill="D2D2D2"/>
          </w:tcPr>
          <w:p>
            <w:pPr/>
          </w:p>
        </w:tc>
        <w:tc>
          <w:tcPr>
            <w:tcW w:w="512" w:type="dxa"/>
            <w:vMerge/>
            <w:tcBorders>
              <w:left w:val="single" w:sz="12" w:space="0" w:color="D2D2D2"/>
              <w:right w:val="nil" w:sz="6" w:space="0" w:color="auto"/>
            </w:tcBorders>
          </w:tcPr>
          <w:p>
            <w:pPr/>
          </w:p>
        </w:tc>
        <w:tc>
          <w:tcPr>
            <w:tcW w:w="557" w:type="dxa"/>
            <w:tcBorders>
              <w:top w:val="nil" w:sz="6" w:space="0" w:color="auto"/>
              <w:left w:val="nil" w:sz="6" w:space="0" w:color="auto"/>
              <w:bottom w:val="nil" w:sz="6" w:space="0" w:color="auto"/>
              <w:right w:val="single" w:sz="4" w:space="0" w:color="000000"/>
            </w:tcBorders>
          </w:tcPr>
          <w:p>
            <w:pPr/>
          </w:p>
        </w:tc>
      </w:tr>
      <w:tr>
        <w:trPr>
          <w:trHeight w:val="703" w:hRule="exact"/>
        </w:trPr>
        <w:tc>
          <w:tcPr>
            <w:tcW w:w="13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12" w:right="39"/>
              <w:jc w:val="left"/>
              <w:rPr>
                <w:rFonts w:ascii="宋体" w:hAnsi="宋体" w:cs="宋体" w:eastAsia="宋体" w:hint="default"/>
                <w:sz w:val="18"/>
                <w:szCs w:val="18"/>
              </w:rPr>
            </w:pPr>
            <w:r>
              <w:rPr>
                <w:rFonts w:ascii="宋体" w:hAnsi="宋体" w:cs="宋体" w:eastAsia="宋体" w:hint="default"/>
                <w:sz w:val="18"/>
                <w:szCs w:val="18"/>
              </w:rPr>
              <w:t>报告期末普通股 股东总数</w:t>
            </w:r>
          </w:p>
        </w:tc>
        <w:tc>
          <w:tcPr>
            <w:tcW w:w="809" w:type="dxa"/>
            <w:gridSpan w:val="2"/>
            <w:vMerge/>
            <w:tcBorders>
              <w:left w:val="single" w:sz="9" w:space="0" w:color="D2D2D2"/>
              <w:right w:val="single" w:sz="10" w:space="0" w:color="D2D2D2"/>
            </w:tcBorders>
          </w:tcPr>
          <w:p>
            <w:pPr/>
          </w:p>
        </w:tc>
        <w:tc>
          <w:tcPr>
            <w:tcW w:w="1481" w:type="dxa"/>
            <w:gridSpan w:val="2"/>
            <w:vMerge/>
            <w:tcBorders>
              <w:left w:val="single" w:sz="4" w:space="0" w:color="000000"/>
              <w:right w:val="single" w:sz="4" w:space="0" w:color="000000"/>
            </w:tcBorders>
            <w:shd w:val="clear" w:color="auto" w:fill="D2D2D2"/>
          </w:tcPr>
          <w:p>
            <w:pPr/>
          </w:p>
        </w:tc>
        <w:tc>
          <w:tcPr>
            <w:tcW w:w="1176" w:type="dxa"/>
            <w:gridSpan w:val="2"/>
            <w:vMerge/>
            <w:tcBorders>
              <w:left w:val="single" w:sz="10" w:space="0" w:color="D2D2D2"/>
              <w:right w:val="single" w:sz="10" w:space="0" w:color="D2D2D2"/>
            </w:tcBorders>
          </w:tcPr>
          <w:p>
            <w:pPr/>
          </w:p>
        </w:tc>
        <w:tc>
          <w:tcPr>
            <w:tcW w:w="1267" w:type="dxa"/>
            <w:gridSpan w:val="2"/>
            <w:vMerge/>
            <w:tcBorders>
              <w:left w:val="single" w:sz="4" w:space="0" w:color="000000"/>
              <w:right w:val="single" w:sz="4" w:space="0" w:color="000000"/>
            </w:tcBorders>
            <w:shd w:val="clear" w:color="auto" w:fill="D2D2D2"/>
          </w:tcPr>
          <w:p>
            <w:pPr/>
          </w:p>
        </w:tc>
        <w:tc>
          <w:tcPr>
            <w:tcW w:w="1124" w:type="dxa"/>
            <w:gridSpan w:val="2"/>
            <w:vMerge/>
            <w:tcBorders>
              <w:left w:val="single" w:sz="10" w:space="0" w:color="D2D2D2"/>
              <w:right w:val="single" w:sz="13" w:space="0" w:color="D2D2D2"/>
            </w:tcBorders>
          </w:tcPr>
          <w:p>
            <w:pPr/>
          </w:p>
        </w:tc>
        <w:tc>
          <w:tcPr>
            <w:tcW w:w="1307" w:type="dxa"/>
            <w:gridSpan w:val="2"/>
            <w:vMerge/>
            <w:tcBorders>
              <w:left w:val="single" w:sz="4" w:space="0" w:color="000000"/>
              <w:right w:val="single" w:sz="4" w:space="0" w:color="000000"/>
            </w:tcBorders>
            <w:shd w:val="clear" w:color="auto" w:fill="D2D2D2"/>
          </w:tcPr>
          <w:p>
            <w:pPr/>
          </w:p>
        </w:tc>
        <w:tc>
          <w:tcPr>
            <w:tcW w:w="512" w:type="dxa"/>
            <w:vMerge/>
            <w:tcBorders>
              <w:left w:val="single" w:sz="12" w:space="0" w:color="D2D2D2"/>
              <w:right w:val="nil" w:sz="6" w:space="0" w:color="auto"/>
            </w:tcBorders>
          </w:tcPr>
          <w:p>
            <w:pPr/>
          </w:p>
        </w:tc>
        <w:tc>
          <w:tcPr>
            <w:tcW w:w="557"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323" w:type="dxa"/>
            <w:vMerge w:val="restart"/>
            <w:tcBorders>
              <w:top w:val="nil" w:sz="6" w:space="0" w:color="auto"/>
              <w:left w:val="single" w:sz="4" w:space="0" w:color="000000"/>
              <w:right w:val="single" w:sz="4" w:space="0" w:color="000000"/>
            </w:tcBorders>
            <w:shd w:val="clear" w:color="auto" w:fill="D2D2D2"/>
          </w:tcPr>
          <w:p>
            <w:pPr/>
          </w:p>
        </w:tc>
        <w:tc>
          <w:tcPr>
            <w:tcW w:w="809" w:type="dxa"/>
            <w:gridSpan w:val="2"/>
            <w:vMerge/>
            <w:tcBorders>
              <w:left w:val="single" w:sz="9" w:space="0" w:color="D2D2D2"/>
              <w:right w:val="single" w:sz="10" w:space="0" w:color="D2D2D2"/>
            </w:tcBorders>
          </w:tcPr>
          <w:p>
            <w:pPr/>
          </w:p>
        </w:tc>
        <w:tc>
          <w:tcPr>
            <w:tcW w:w="1481" w:type="dxa"/>
            <w:gridSpan w:val="2"/>
            <w:vMerge/>
            <w:tcBorders>
              <w:left w:val="single" w:sz="4" w:space="0" w:color="000000"/>
              <w:bottom w:val="nil" w:sz="6" w:space="0" w:color="auto"/>
              <w:right w:val="single" w:sz="4" w:space="0" w:color="000000"/>
            </w:tcBorders>
            <w:shd w:val="clear" w:color="auto" w:fill="D2D2D2"/>
          </w:tcPr>
          <w:p>
            <w:pPr/>
          </w:p>
        </w:tc>
        <w:tc>
          <w:tcPr>
            <w:tcW w:w="1176" w:type="dxa"/>
            <w:gridSpan w:val="2"/>
            <w:vMerge/>
            <w:tcBorders>
              <w:left w:val="single" w:sz="10" w:space="0" w:color="D2D2D2"/>
              <w:right w:val="single" w:sz="10" w:space="0" w:color="D2D2D2"/>
            </w:tcBorders>
          </w:tcPr>
          <w:p>
            <w:pPr/>
          </w:p>
        </w:tc>
        <w:tc>
          <w:tcPr>
            <w:tcW w:w="1267" w:type="dxa"/>
            <w:gridSpan w:val="2"/>
            <w:vMerge/>
            <w:tcBorders>
              <w:left w:val="single" w:sz="4" w:space="0" w:color="000000"/>
              <w:right w:val="single" w:sz="4" w:space="0" w:color="000000"/>
            </w:tcBorders>
            <w:shd w:val="clear" w:color="auto" w:fill="D2D2D2"/>
          </w:tcPr>
          <w:p>
            <w:pPr/>
          </w:p>
        </w:tc>
        <w:tc>
          <w:tcPr>
            <w:tcW w:w="1124" w:type="dxa"/>
            <w:gridSpan w:val="2"/>
            <w:vMerge/>
            <w:tcBorders>
              <w:left w:val="single" w:sz="10" w:space="0" w:color="D2D2D2"/>
              <w:right w:val="single" w:sz="13" w:space="0" w:color="D2D2D2"/>
            </w:tcBorders>
          </w:tcPr>
          <w:p>
            <w:pPr/>
          </w:p>
        </w:tc>
        <w:tc>
          <w:tcPr>
            <w:tcW w:w="1307" w:type="dxa"/>
            <w:gridSpan w:val="2"/>
            <w:vMerge/>
            <w:tcBorders>
              <w:left w:val="single" w:sz="4" w:space="0" w:color="000000"/>
              <w:right w:val="single" w:sz="4" w:space="0" w:color="000000"/>
            </w:tcBorders>
            <w:shd w:val="clear" w:color="auto" w:fill="D2D2D2"/>
          </w:tcPr>
          <w:p>
            <w:pPr/>
          </w:p>
        </w:tc>
        <w:tc>
          <w:tcPr>
            <w:tcW w:w="512" w:type="dxa"/>
            <w:vMerge/>
            <w:tcBorders>
              <w:left w:val="single" w:sz="12" w:space="0" w:color="D2D2D2"/>
              <w:right w:val="nil" w:sz="6" w:space="0" w:color="auto"/>
            </w:tcBorders>
          </w:tcPr>
          <w:p>
            <w:pPr/>
          </w:p>
        </w:tc>
        <w:tc>
          <w:tcPr>
            <w:tcW w:w="557"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23" w:type="dxa"/>
            <w:vMerge/>
            <w:tcBorders>
              <w:left w:val="single" w:sz="4" w:space="0" w:color="000000"/>
              <w:right w:val="single" w:sz="4" w:space="0" w:color="000000"/>
            </w:tcBorders>
            <w:shd w:val="clear" w:color="auto" w:fill="D2D2D2"/>
          </w:tcPr>
          <w:p>
            <w:pPr/>
          </w:p>
        </w:tc>
        <w:tc>
          <w:tcPr>
            <w:tcW w:w="809" w:type="dxa"/>
            <w:gridSpan w:val="2"/>
            <w:vMerge/>
            <w:tcBorders>
              <w:left w:val="single" w:sz="9" w:space="0" w:color="D2D2D2"/>
              <w:right w:val="single" w:sz="10" w:space="0" w:color="D2D2D2"/>
            </w:tcBorders>
          </w:tcPr>
          <w:p>
            <w:pPr/>
          </w:p>
        </w:tc>
        <w:tc>
          <w:tcPr>
            <w:tcW w:w="1481" w:type="dxa"/>
            <w:gridSpan w:val="2"/>
            <w:vMerge w:val="restart"/>
            <w:tcBorders>
              <w:top w:val="nil" w:sz="6" w:space="0" w:color="auto"/>
              <w:left w:val="single" w:sz="4" w:space="0" w:color="000000"/>
              <w:right w:val="single" w:sz="4" w:space="0" w:color="000000"/>
            </w:tcBorders>
            <w:shd w:val="clear" w:color="auto" w:fill="D2D2D2"/>
          </w:tcPr>
          <w:p>
            <w:pPr/>
          </w:p>
        </w:tc>
        <w:tc>
          <w:tcPr>
            <w:tcW w:w="1176" w:type="dxa"/>
            <w:gridSpan w:val="2"/>
            <w:vMerge/>
            <w:tcBorders>
              <w:left w:val="single" w:sz="10" w:space="0" w:color="D2D2D2"/>
              <w:right w:val="single" w:sz="10" w:space="0" w:color="D2D2D2"/>
            </w:tcBorders>
          </w:tcPr>
          <w:p>
            <w:pPr/>
          </w:p>
        </w:tc>
        <w:tc>
          <w:tcPr>
            <w:tcW w:w="1267" w:type="dxa"/>
            <w:gridSpan w:val="2"/>
            <w:vMerge/>
            <w:tcBorders>
              <w:left w:val="single" w:sz="4" w:space="0" w:color="000000"/>
              <w:bottom w:val="nil" w:sz="6" w:space="0" w:color="auto"/>
              <w:right w:val="single" w:sz="4" w:space="0" w:color="000000"/>
            </w:tcBorders>
            <w:shd w:val="clear" w:color="auto" w:fill="D2D2D2"/>
          </w:tcPr>
          <w:p>
            <w:pPr/>
          </w:p>
        </w:tc>
        <w:tc>
          <w:tcPr>
            <w:tcW w:w="1124" w:type="dxa"/>
            <w:gridSpan w:val="2"/>
            <w:vMerge/>
            <w:tcBorders>
              <w:left w:val="single" w:sz="10" w:space="0" w:color="D2D2D2"/>
              <w:right w:val="single" w:sz="13" w:space="0" w:color="D2D2D2"/>
            </w:tcBorders>
          </w:tcPr>
          <w:p>
            <w:pPr/>
          </w:p>
        </w:tc>
        <w:tc>
          <w:tcPr>
            <w:tcW w:w="1307" w:type="dxa"/>
            <w:gridSpan w:val="2"/>
            <w:vMerge/>
            <w:tcBorders>
              <w:left w:val="single" w:sz="4" w:space="0" w:color="000000"/>
              <w:right w:val="single" w:sz="4" w:space="0" w:color="000000"/>
            </w:tcBorders>
            <w:shd w:val="clear" w:color="auto" w:fill="D2D2D2"/>
          </w:tcPr>
          <w:p>
            <w:pPr/>
          </w:p>
        </w:tc>
        <w:tc>
          <w:tcPr>
            <w:tcW w:w="512" w:type="dxa"/>
            <w:vMerge/>
            <w:tcBorders>
              <w:left w:val="single" w:sz="12" w:space="0" w:color="D2D2D2"/>
              <w:right w:val="nil" w:sz="6" w:space="0" w:color="auto"/>
            </w:tcBorders>
          </w:tcPr>
          <w:p>
            <w:pPr/>
          </w:p>
        </w:tc>
        <w:tc>
          <w:tcPr>
            <w:tcW w:w="557" w:type="dxa"/>
            <w:tcBorders>
              <w:top w:val="nil" w:sz="6" w:space="0" w:color="auto"/>
              <w:left w:val="nil" w:sz="6" w:space="0" w:color="auto"/>
              <w:bottom w:val="nil" w:sz="6" w:space="0" w:color="auto"/>
              <w:right w:val="single" w:sz="4" w:space="0" w:color="000000"/>
            </w:tcBorders>
          </w:tcPr>
          <w:p>
            <w:pPr/>
          </w:p>
        </w:tc>
      </w:tr>
      <w:tr>
        <w:trPr>
          <w:trHeight w:val="166" w:hRule="exact"/>
        </w:trPr>
        <w:tc>
          <w:tcPr>
            <w:tcW w:w="1323" w:type="dxa"/>
            <w:vMerge/>
            <w:tcBorders>
              <w:left w:val="single" w:sz="4" w:space="0" w:color="000000"/>
              <w:bottom w:val="single" w:sz="4" w:space="0" w:color="000000"/>
              <w:right w:val="single" w:sz="4" w:space="0" w:color="000000"/>
            </w:tcBorders>
            <w:shd w:val="clear" w:color="auto" w:fill="D2D2D2"/>
          </w:tcPr>
          <w:p>
            <w:pPr/>
          </w:p>
        </w:tc>
        <w:tc>
          <w:tcPr>
            <w:tcW w:w="809" w:type="dxa"/>
            <w:gridSpan w:val="2"/>
            <w:vMerge/>
            <w:tcBorders>
              <w:left w:val="single" w:sz="9" w:space="0" w:color="D2D2D2"/>
              <w:bottom w:val="single" w:sz="4" w:space="0" w:color="000000"/>
              <w:right w:val="single" w:sz="10" w:space="0" w:color="D2D2D2"/>
            </w:tcBorders>
          </w:tcPr>
          <w:p>
            <w:pPr/>
          </w:p>
        </w:tc>
        <w:tc>
          <w:tcPr>
            <w:tcW w:w="1481" w:type="dxa"/>
            <w:gridSpan w:val="2"/>
            <w:vMerge/>
            <w:tcBorders>
              <w:left w:val="single" w:sz="4" w:space="0" w:color="000000"/>
              <w:bottom w:val="single" w:sz="4" w:space="0" w:color="000000"/>
              <w:right w:val="single" w:sz="4" w:space="0" w:color="000000"/>
            </w:tcBorders>
            <w:shd w:val="clear" w:color="auto" w:fill="D2D2D2"/>
          </w:tcPr>
          <w:p>
            <w:pPr/>
          </w:p>
        </w:tc>
        <w:tc>
          <w:tcPr>
            <w:tcW w:w="1176" w:type="dxa"/>
            <w:gridSpan w:val="2"/>
            <w:vMerge/>
            <w:tcBorders>
              <w:left w:val="single" w:sz="10" w:space="0" w:color="D2D2D2"/>
              <w:bottom w:val="single" w:sz="4" w:space="0" w:color="000000"/>
              <w:right w:val="single" w:sz="10" w:space="0" w:color="D2D2D2"/>
            </w:tcBorders>
          </w:tcPr>
          <w:p>
            <w:pPr/>
          </w:p>
        </w:tc>
        <w:tc>
          <w:tcPr>
            <w:tcW w:w="1267"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24" w:type="dxa"/>
            <w:gridSpan w:val="2"/>
            <w:vMerge/>
            <w:tcBorders>
              <w:left w:val="single" w:sz="10" w:space="0" w:color="D2D2D2"/>
              <w:bottom w:val="single" w:sz="4" w:space="0" w:color="000000"/>
              <w:right w:val="single" w:sz="13" w:space="0" w:color="D2D2D2"/>
            </w:tcBorders>
          </w:tcPr>
          <w:p>
            <w:pPr/>
          </w:p>
        </w:tc>
        <w:tc>
          <w:tcPr>
            <w:tcW w:w="1307" w:type="dxa"/>
            <w:gridSpan w:val="2"/>
            <w:vMerge/>
            <w:tcBorders>
              <w:left w:val="single" w:sz="4" w:space="0" w:color="000000"/>
              <w:bottom w:val="single" w:sz="4" w:space="0" w:color="000000"/>
              <w:right w:val="single" w:sz="4" w:space="0" w:color="000000"/>
            </w:tcBorders>
            <w:shd w:val="clear" w:color="auto" w:fill="D2D2D2"/>
          </w:tcPr>
          <w:p>
            <w:pPr/>
          </w:p>
        </w:tc>
        <w:tc>
          <w:tcPr>
            <w:tcW w:w="512" w:type="dxa"/>
            <w:vMerge/>
            <w:tcBorders>
              <w:left w:val="single" w:sz="12" w:space="0" w:color="D2D2D2"/>
              <w:bottom w:val="single" w:sz="4" w:space="0" w:color="000000"/>
              <w:right w:val="nil" w:sz="6" w:space="0" w:color="auto"/>
            </w:tcBorders>
          </w:tcPr>
          <w:p>
            <w:pPr/>
          </w:p>
        </w:tc>
        <w:tc>
          <w:tcPr>
            <w:tcW w:w="557" w:type="dxa"/>
            <w:tcBorders>
              <w:top w:val="nil" w:sz="6" w:space="0" w:color="auto"/>
              <w:left w:val="nil" w:sz="6" w:space="0" w:color="auto"/>
              <w:bottom w:val="single" w:sz="4" w:space="0" w:color="000000"/>
              <w:right w:val="single" w:sz="4" w:space="0" w:color="000000"/>
            </w:tcBorders>
          </w:tcPr>
          <w:p>
            <w:pPr/>
          </w:p>
        </w:tc>
      </w:tr>
      <w:tr>
        <w:trPr>
          <w:trHeight w:val="391" w:hRule="exact"/>
        </w:trPr>
        <w:tc>
          <w:tcPr>
            <w:tcW w:w="9556"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05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8" w:hRule="exact"/>
        </w:trPr>
        <w:tc>
          <w:tcPr>
            <w:tcW w:w="1457" w:type="dxa"/>
            <w:gridSpan w:val="2"/>
            <w:vMerge w:val="restart"/>
            <w:tcBorders>
              <w:top w:val="single" w:sz="4" w:space="0" w:color="000000"/>
              <w:left w:val="single" w:sz="4" w:space="0" w:color="000000"/>
              <w:right w:val="single" w:sz="4" w:space="0" w:color="000000"/>
            </w:tcBorders>
            <w:shd w:val="clear" w:color="auto" w:fill="D2D2D2"/>
          </w:tcPr>
          <w:p>
            <w:pPr/>
          </w:p>
        </w:tc>
        <w:tc>
          <w:tcPr>
            <w:tcW w:w="1412" w:type="dxa"/>
            <w:gridSpan w:val="2"/>
            <w:vMerge w:val="restart"/>
            <w:tcBorders>
              <w:top w:val="single" w:sz="4" w:space="0" w:color="000000"/>
              <w:left w:val="single" w:sz="4" w:space="0" w:color="000000"/>
              <w:right w:val="single" w:sz="4" w:space="0" w:color="000000"/>
            </w:tcBorders>
            <w:shd w:val="clear" w:color="auto" w:fill="D2D2D2"/>
          </w:tcPr>
          <w:p>
            <w:pPr/>
          </w:p>
        </w:tc>
        <w:tc>
          <w:tcPr>
            <w:tcW w:w="744" w:type="dxa"/>
            <w:vMerge w:val="restart"/>
            <w:tcBorders>
              <w:top w:val="single" w:sz="4" w:space="0" w:color="000000"/>
              <w:left w:val="single" w:sz="4" w:space="0" w:color="000000"/>
              <w:right w:val="single" w:sz="4" w:space="0" w:color="000000"/>
            </w:tcBorders>
            <w:shd w:val="clear" w:color="auto" w:fill="D2D2D2"/>
          </w:tcPr>
          <w:p>
            <w:pPr/>
          </w:p>
        </w:tc>
        <w:tc>
          <w:tcPr>
            <w:tcW w:w="83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82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28" w:right="62"/>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0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17" w:right="53"/>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9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15"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57"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744" w:type="dxa"/>
            <w:vMerge/>
            <w:tcBorders>
              <w:left w:val="single" w:sz="4" w:space="0" w:color="000000"/>
              <w:bottom w:val="nil" w:sz="6" w:space="0" w:color="auto"/>
              <w:right w:val="single" w:sz="4" w:space="0" w:color="000000"/>
            </w:tcBorders>
            <w:shd w:val="clear" w:color="auto" w:fill="D2D2D2"/>
          </w:tcPr>
          <w:p>
            <w:pPr/>
          </w:p>
        </w:tc>
        <w:tc>
          <w:tcPr>
            <w:tcW w:w="830"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72" w:right="26"/>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90" w:type="dxa"/>
            <w:gridSpan w:val="2"/>
            <w:vMerge/>
            <w:tcBorders>
              <w:left w:val="single" w:sz="4" w:space="0" w:color="000000"/>
              <w:right w:val="single" w:sz="4" w:space="0" w:color="000000"/>
            </w:tcBorders>
            <w:shd w:val="clear" w:color="auto" w:fill="D2D2D2"/>
          </w:tcPr>
          <w:p>
            <w:pPr/>
          </w:p>
        </w:tc>
        <w:tc>
          <w:tcPr>
            <w:tcW w:w="823"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2698" w:type="dxa"/>
            <w:gridSpan w:val="5"/>
            <w:vMerge/>
            <w:tcBorders>
              <w:left w:val="single" w:sz="4" w:space="0" w:color="000000"/>
              <w:right w:val="single" w:sz="4" w:space="0" w:color="000000"/>
            </w:tcBorders>
            <w:shd w:val="clear" w:color="auto" w:fill="D2D2D2"/>
          </w:tcPr>
          <w:p>
            <w:pPr/>
          </w:p>
        </w:tc>
      </w:tr>
      <w:tr>
        <w:trPr>
          <w:trHeight w:val="139" w:hRule="exact"/>
        </w:trPr>
        <w:tc>
          <w:tcPr>
            <w:tcW w:w="1457"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5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8" w:right="-15"/>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30" w:type="dxa"/>
            <w:vMerge/>
            <w:tcBorders>
              <w:left w:val="single" w:sz="4" w:space="0" w:color="000000"/>
              <w:right w:val="single" w:sz="4" w:space="0" w:color="000000"/>
            </w:tcBorders>
            <w:shd w:val="clear" w:color="auto" w:fill="D2D2D2"/>
          </w:tcPr>
          <w:p>
            <w:pPr/>
          </w:p>
        </w:tc>
        <w:tc>
          <w:tcPr>
            <w:tcW w:w="790" w:type="dxa"/>
            <w:gridSpan w:val="2"/>
            <w:vMerge/>
            <w:tcBorders>
              <w:left w:val="single" w:sz="4" w:space="0" w:color="000000"/>
              <w:right w:val="single" w:sz="4" w:space="0" w:color="000000"/>
            </w:tcBorders>
            <w:shd w:val="clear" w:color="auto" w:fill="D2D2D2"/>
          </w:tcPr>
          <w:p>
            <w:pPr/>
          </w:p>
        </w:tc>
        <w:tc>
          <w:tcPr>
            <w:tcW w:w="823"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2698" w:type="dxa"/>
            <w:gridSpan w:val="5"/>
            <w:vMerge/>
            <w:tcBorders>
              <w:left w:val="single" w:sz="4" w:space="0" w:color="000000"/>
              <w:bottom w:val="single" w:sz="4" w:space="0" w:color="000000"/>
              <w:right w:val="single" w:sz="4" w:space="0" w:color="000000"/>
            </w:tcBorders>
            <w:shd w:val="clear" w:color="auto" w:fill="D2D2D2"/>
          </w:tcPr>
          <w:p>
            <w:pPr/>
          </w:p>
        </w:tc>
      </w:tr>
      <w:tr>
        <w:trPr>
          <w:trHeight w:val="252" w:hRule="exact"/>
        </w:trPr>
        <w:tc>
          <w:tcPr>
            <w:tcW w:w="1457"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744" w:type="dxa"/>
            <w:vMerge/>
            <w:tcBorders>
              <w:left w:val="single" w:sz="4" w:space="0" w:color="000000"/>
              <w:bottom w:val="nil" w:sz="6" w:space="0" w:color="auto"/>
              <w:right w:val="single" w:sz="4" w:space="0" w:color="000000"/>
            </w:tcBorders>
            <w:shd w:val="clear" w:color="auto" w:fill="D2D2D2"/>
          </w:tcPr>
          <w:p>
            <w:pPr/>
          </w:p>
        </w:tc>
        <w:tc>
          <w:tcPr>
            <w:tcW w:w="830" w:type="dxa"/>
            <w:vMerge/>
            <w:tcBorders>
              <w:left w:val="single" w:sz="4" w:space="0" w:color="000000"/>
              <w:right w:val="single" w:sz="4" w:space="0" w:color="000000"/>
            </w:tcBorders>
            <w:shd w:val="clear" w:color="auto" w:fill="D2D2D2"/>
          </w:tcPr>
          <w:p>
            <w:pPr/>
          </w:p>
        </w:tc>
        <w:tc>
          <w:tcPr>
            <w:tcW w:w="790" w:type="dxa"/>
            <w:gridSpan w:val="2"/>
            <w:vMerge/>
            <w:tcBorders>
              <w:left w:val="single" w:sz="4" w:space="0" w:color="000000"/>
              <w:right w:val="single" w:sz="4" w:space="0" w:color="000000"/>
            </w:tcBorders>
            <w:shd w:val="clear" w:color="auto" w:fill="D2D2D2"/>
          </w:tcPr>
          <w:p>
            <w:pPr/>
          </w:p>
        </w:tc>
        <w:tc>
          <w:tcPr>
            <w:tcW w:w="823"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left="30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57" w:type="dxa"/>
            <w:gridSpan w:val="2"/>
            <w:vMerge w:val="restart"/>
            <w:tcBorders>
              <w:top w:val="nil" w:sz="6" w:space="0" w:color="auto"/>
              <w:left w:val="single" w:sz="4" w:space="0" w:color="000000"/>
              <w:right w:val="single" w:sz="4" w:space="0" w:color="000000"/>
            </w:tcBorders>
            <w:shd w:val="clear" w:color="auto" w:fill="D2D2D2"/>
          </w:tcPr>
          <w:p>
            <w:pPr/>
          </w:p>
        </w:tc>
        <w:tc>
          <w:tcPr>
            <w:tcW w:w="1412" w:type="dxa"/>
            <w:gridSpan w:val="2"/>
            <w:vMerge w:val="restart"/>
            <w:tcBorders>
              <w:top w:val="nil" w:sz="6" w:space="0" w:color="auto"/>
              <w:left w:val="single" w:sz="4" w:space="0" w:color="000000"/>
              <w:right w:val="single" w:sz="4" w:space="0" w:color="000000"/>
            </w:tcBorders>
            <w:shd w:val="clear" w:color="auto" w:fill="D2D2D2"/>
          </w:tcPr>
          <w:p>
            <w:pPr/>
          </w:p>
        </w:tc>
        <w:tc>
          <w:tcPr>
            <w:tcW w:w="744" w:type="dxa"/>
            <w:vMerge w:val="restart"/>
            <w:tcBorders>
              <w:top w:val="nil" w:sz="6" w:space="0" w:color="auto"/>
              <w:left w:val="single" w:sz="4" w:space="0" w:color="000000"/>
              <w:right w:val="single" w:sz="4" w:space="0" w:color="000000"/>
            </w:tcBorders>
            <w:shd w:val="clear" w:color="auto" w:fill="D2D2D2"/>
          </w:tcPr>
          <w:p>
            <w:pPr/>
          </w:p>
        </w:tc>
        <w:tc>
          <w:tcPr>
            <w:tcW w:w="830" w:type="dxa"/>
            <w:vMerge/>
            <w:tcBorders>
              <w:left w:val="single" w:sz="4" w:space="0" w:color="000000"/>
              <w:bottom w:val="nil" w:sz="6" w:space="0" w:color="auto"/>
              <w:right w:val="single" w:sz="4" w:space="0" w:color="000000"/>
            </w:tcBorders>
            <w:shd w:val="clear" w:color="auto" w:fill="D2D2D2"/>
          </w:tcPr>
          <w:p>
            <w:pPr/>
          </w:p>
        </w:tc>
        <w:tc>
          <w:tcPr>
            <w:tcW w:w="790" w:type="dxa"/>
            <w:gridSpan w:val="2"/>
            <w:vMerge/>
            <w:tcBorders>
              <w:left w:val="single" w:sz="4" w:space="0" w:color="000000"/>
              <w:right w:val="single" w:sz="4" w:space="0" w:color="000000"/>
            </w:tcBorders>
            <w:shd w:val="clear" w:color="auto" w:fill="D2D2D2"/>
          </w:tcPr>
          <w:p>
            <w:pPr/>
          </w:p>
        </w:tc>
        <w:tc>
          <w:tcPr>
            <w:tcW w:w="823"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1349" w:type="dxa"/>
            <w:gridSpan w:val="2"/>
            <w:vMerge/>
            <w:tcBorders>
              <w:left w:val="single" w:sz="4" w:space="0" w:color="000000"/>
              <w:right w:val="single" w:sz="4" w:space="0" w:color="000000"/>
            </w:tcBorders>
            <w:shd w:val="clear" w:color="auto" w:fill="D2D2D2"/>
          </w:tcPr>
          <w:p>
            <w:pPr/>
          </w:p>
        </w:tc>
        <w:tc>
          <w:tcPr>
            <w:tcW w:w="1349" w:type="dxa"/>
            <w:gridSpan w:val="3"/>
            <w:vMerge/>
            <w:tcBorders>
              <w:left w:val="single" w:sz="4" w:space="0" w:color="000000"/>
              <w:right w:val="single" w:sz="4" w:space="0" w:color="000000"/>
            </w:tcBorders>
            <w:shd w:val="clear" w:color="auto" w:fill="D2D2D2"/>
          </w:tcPr>
          <w:p>
            <w:pPr/>
          </w:p>
        </w:tc>
      </w:tr>
      <w:tr>
        <w:trPr>
          <w:trHeight w:val="161" w:hRule="exact"/>
        </w:trPr>
        <w:tc>
          <w:tcPr>
            <w:tcW w:w="1457" w:type="dxa"/>
            <w:gridSpan w:val="2"/>
            <w:vMerge/>
            <w:tcBorders>
              <w:left w:val="single" w:sz="4" w:space="0" w:color="000000"/>
              <w:bottom w:val="single" w:sz="4" w:space="0" w:color="000000"/>
              <w:right w:val="single" w:sz="4" w:space="0" w:color="000000"/>
            </w:tcBorders>
            <w:shd w:val="clear" w:color="auto" w:fill="D2D2D2"/>
          </w:tcPr>
          <w:p>
            <w:pPr/>
          </w:p>
        </w:tc>
        <w:tc>
          <w:tcPr>
            <w:tcW w:w="1412" w:type="dxa"/>
            <w:gridSpan w:val="2"/>
            <w:vMerge/>
            <w:tcBorders>
              <w:left w:val="single" w:sz="4" w:space="0" w:color="000000"/>
              <w:bottom w:val="single" w:sz="4" w:space="0" w:color="000000"/>
              <w:right w:val="single" w:sz="4" w:space="0" w:color="000000"/>
            </w:tcBorders>
            <w:shd w:val="clear" w:color="auto" w:fill="D2D2D2"/>
          </w:tcPr>
          <w:p>
            <w:pPr/>
          </w:p>
        </w:tc>
        <w:tc>
          <w:tcPr>
            <w:tcW w:w="744" w:type="dxa"/>
            <w:vMerge/>
            <w:tcBorders>
              <w:left w:val="single" w:sz="4" w:space="0" w:color="000000"/>
              <w:bottom w:val="single" w:sz="4" w:space="0" w:color="000000"/>
              <w:right w:val="single" w:sz="4" w:space="0" w:color="000000"/>
            </w:tcBorders>
            <w:shd w:val="clear" w:color="auto" w:fill="D2D2D2"/>
          </w:tcPr>
          <w:p>
            <w:pPr/>
          </w:p>
        </w:tc>
        <w:tc>
          <w:tcPr>
            <w:tcW w:w="83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0" w:type="dxa"/>
            <w:gridSpan w:val="2"/>
            <w:vMerge/>
            <w:tcBorders>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shd w:val="clear" w:color="auto" w:fill="D2D2D2"/>
          </w:tcPr>
          <w:p>
            <w:pPr/>
          </w:p>
        </w:tc>
        <w:tc>
          <w:tcPr>
            <w:tcW w:w="802" w:type="dxa"/>
            <w:vMerge/>
            <w:tcBorders>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c>
          <w:tcPr>
            <w:tcW w:w="1349" w:type="dxa"/>
            <w:gridSpan w:val="3"/>
            <w:vMerge/>
            <w:tcBorders>
              <w:left w:val="single" w:sz="4" w:space="0" w:color="000000"/>
              <w:bottom w:val="single" w:sz="4" w:space="0" w:color="000000"/>
              <w:right w:val="single" w:sz="4" w:space="0" w:color="000000"/>
            </w:tcBorders>
            <w:shd w:val="clear" w:color="auto" w:fill="D2D2D2"/>
          </w:tcPr>
          <w:p>
            <w:pPr/>
          </w:p>
        </w:tc>
      </w:tr>
      <w:tr>
        <w:trPr>
          <w:trHeight w:val="716" w:hRule="exact"/>
        </w:trPr>
        <w:tc>
          <w:tcPr>
            <w:tcW w:w="14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陆文雄</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8" w:right="-25"/>
              <w:jc w:val="left"/>
              <w:rPr>
                <w:rFonts w:ascii="Times New Roman" w:hAnsi="Times New Roman" w:cs="Times New Roman" w:eastAsia="Times New Roman" w:hint="default"/>
                <w:sz w:val="18"/>
                <w:szCs w:val="18"/>
              </w:rPr>
            </w:pPr>
            <w:r>
              <w:rPr>
                <w:rFonts w:ascii="Times New Roman"/>
                <w:sz w:val="18"/>
              </w:rPr>
              <w:t>11.39%</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36,034,04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-10,850,0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7"/>
              <w:jc w:val="right"/>
              <w:rPr>
                <w:rFonts w:ascii="Times New Roman" w:hAnsi="Times New Roman" w:cs="Times New Roman" w:eastAsia="Times New Roman" w:hint="default"/>
                <w:sz w:val="18"/>
                <w:szCs w:val="18"/>
              </w:rPr>
            </w:pPr>
            <w:r>
              <w:rPr>
                <w:rFonts w:ascii="Times New Roman"/>
                <w:spacing w:val="-1"/>
                <w:sz w:val="18"/>
              </w:rPr>
              <w:t>35,163,03</w:t>
            </w:r>
          </w:p>
          <w:p>
            <w:pPr>
              <w:pStyle w:val="TableParagraph"/>
              <w:spacing w:line="240" w:lineRule="auto" w:before="105"/>
              <w:ind w:right="58"/>
              <w:jc w:val="right"/>
              <w:rPr>
                <w:rFonts w:ascii="Times New Roman" w:hAnsi="Times New Roman" w:cs="Times New Roman" w:eastAsia="Times New Roman" w:hint="default"/>
                <w:sz w:val="18"/>
                <w:szCs w:val="18"/>
              </w:rPr>
            </w:pPr>
            <w:r>
              <w:rPr>
                <w:rFonts w:ascii="Times New Roman"/>
                <w:sz w:val="18"/>
              </w:rPr>
              <w:t>4</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5" w:right="0"/>
              <w:jc w:val="left"/>
              <w:rPr>
                <w:rFonts w:ascii="Times New Roman" w:hAnsi="Times New Roman" w:cs="Times New Roman" w:eastAsia="Times New Roman" w:hint="default"/>
                <w:sz w:val="18"/>
                <w:szCs w:val="18"/>
              </w:rPr>
            </w:pPr>
            <w:r>
              <w:rPr>
                <w:rFonts w:ascii="Times New Roman"/>
                <w:sz w:val="18"/>
              </w:rPr>
              <w:t>871,012</w:t>
            </w:r>
          </w:p>
        </w:tc>
        <w:tc>
          <w:tcPr>
            <w:tcW w:w="1349" w:type="dxa"/>
            <w:gridSpan w:val="2"/>
            <w:tcBorders>
              <w:top w:val="single" w:sz="44" w:space="0" w:color="D2D2D2"/>
              <w:left w:val="single" w:sz="4" w:space="0" w:color="000000"/>
              <w:bottom w:val="single" w:sz="4" w:space="0" w:color="000000"/>
              <w:right w:val="single" w:sz="4" w:space="0" w:color="000000"/>
            </w:tcBorders>
          </w:tcPr>
          <w:p>
            <w:pPr/>
          </w:p>
        </w:tc>
        <w:tc>
          <w:tcPr>
            <w:tcW w:w="1349" w:type="dxa"/>
            <w:gridSpan w:val="3"/>
            <w:tcBorders>
              <w:top w:val="single" w:sz="44" w:space="0" w:color="D2D2D2"/>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469"/>
        <w:gridCol w:w="1412"/>
        <w:gridCol w:w="787"/>
        <w:gridCol w:w="787"/>
        <w:gridCol w:w="790"/>
        <w:gridCol w:w="785"/>
        <w:gridCol w:w="840"/>
        <w:gridCol w:w="1349"/>
        <w:gridCol w:w="1349"/>
      </w:tblGrid>
      <w:tr>
        <w:trPr>
          <w:trHeight w:val="71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苏博</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4.53%</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14,339,62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14339622</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14,339,62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339"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110"/>
              <w:jc w:val="left"/>
              <w:rPr>
                <w:rFonts w:ascii="宋体" w:hAnsi="宋体" w:cs="宋体" w:eastAsia="宋体" w:hint="default"/>
                <w:sz w:val="18"/>
                <w:szCs w:val="18"/>
              </w:rPr>
            </w:pPr>
            <w:r>
              <w:rPr>
                <w:rFonts w:ascii="宋体" w:hAnsi="宋体" w:cs="宋体" w:eastAsia="宋体" w:hint="default"/>
                <w:sz w:val="18"/>
                <w:szCs w:val="18"/>
              </w:rPr>
              <w:t>新华基金－浦发 银行－粤财信 托</w:t>
            </w:r>
            <w:r>
              <w:rPr>
                <w:rFonts w:ascii="Times New Roman" w:hAnsi="Times New Roman" w:cs="Times New Roman" w:eastAsia="Times New Roman" w:hint="default"/>
                <w:sz w:val="18"/>
                <w:szCs w:val="18"/>
              </w:rPr>
              <w:t>·</w:t>
            </w:r>
            <w:r>
              <w:rPr>
                <w:rFonts w:ascii="宋体" w:hAnsi="宋体" w:cs="宋体" w:eastAsia="宋体" w:hint="default"/>
                <w:sz w:val="18"/>
                <w:szCs w:val="18"/>
              </w:rPr>
              <w:t>弘盛</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号单一 资金信托计划</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0"/>
              <w:jc w:val="right"/>
              <w:rPr>
                <w:rFonts w:ascii="Times New Roman" w:hAnsi="Times New Roman" w:cs="Times New Roman" w:eastAsia="Times New Roman" w:hint="default"/>
                <w:sz w:val="18"/>
                <w:szCs w:val="18"/>
              </w:rPr>
            </w:pPr>
            <w:r>
              <w:rPr>
                <w:rFonts w:ascii="Times New Roman"/>
                <w:sz w:val="18"/>
              </w:rPr>
              <w:t>3.53%</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w w:val="95"/>
                <w:sz w:val="18"/>
              </w:rPr>
              <w:t>11,169,81</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11,169,81</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1</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
                <w:w w:val="95"/>
                <w:sz w:val="18"/>
              </w:rPr>
              <w:t>11,169,81</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1</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邹月普</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3.46%</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10,945,66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10,945,66</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10,945,66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6"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楼晔</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3.25%</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10,285,54</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-3,338,81</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6</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10,218,27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4</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67,275</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陈宏科</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3.01%</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9,526,382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-5,700,00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9,526,382</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姜蓓蓓</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2.91%</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9,209,564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-1,720,00</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8,197,173</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1,012,391</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337"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鹏华资产－浦发 银行－云信智兴 </w:t>
            </w:r>
            <w:r>
              <w:rPr>
                <w:rFonts w:ascii="Times New Roman" w:hAnsi="Times New Roman" w:cs="Times New Roman" w:eastAsia="Times New Roman" w:hint="default"/>
                <w:sz w:val="18"/>
                <w:szCs w:val="18"/>
              </w:rPr>
              <w:t>2017</w:t>
            </w:r>
            <w:r>
              <w:rPr>
                <w:rFonts w:ascii="宋体" w:hAnsi="宋体" w:cs="宋体" w:eastAsia="宋体" w:hint="default"/>
                <w:sz w:val="18"/>
                <w:szCs w:val="18"/>
              </w:rPr>
              <w:t>－</w:t>
            </w: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号单</w:t>
            </w:r>
          </w:p>
          <w:p>
            <w:pPr>
              <w:pStyle w:val="TableParagraph"/>
              <w:spacing w:line="235" w:lineRule="exact"/>
              <w:ind w:left="24" w:right="0"/>
              <w:jc w:val="both"/>
              <w:rPr>
                <w:rFonts w:ascii="宋体" w:hAnsi="宋体" w:cs="宋体" w:eastAsia="宋体" w:hint="default"/>
                <w:sz w:val="18"/>
                <w:szCs w:val="18"/>
              </w:rPr>
            </w:pPr>
            <w:r>
              <w:rPr>
                <w:rFonts w:ascii="宋体" w:hAnsi="宋体" w:cs="宋体" w:eastAsia="宋体" w:hint="default"/>
                <w:sz w:val="18"/>
                <w:szCs w:val="18"/>
              </w:rPr>
              <w:t>一资金信托</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2.86%</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33" w:right="0"/>
              <w:jc w:val="left"/>
              <w:rPr>
                <w:rFonts w:ascii="Times New Roman" w:hAnsi="Times New Roman" w:cs="Times New Roman" w:eastAsia="Times New Roman" w:hint="default"/>
                <w:sz w:val="18"/>
                <w:szCs w:val="18"/>
              </w:rPr>
            </w:pPr>
            <w:r>
              <w:rPr>
                <w:rFonts w:ascii="Times New Roman"/>
                <w:sz w:val="18"/>
              </w:rPr>
              <w:t>9,056,603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9,056,603</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9,056,603</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w:t>
            </w:r>
          </w:p>
        </w:tc>
      </w:tr>
      <w:tr>
        <w:trPr>
          <w:trHeight w:val="1340"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73"/>
              <w:jc w:val="both"/>
              <w:rPr>
                <w:rFonts w:ascii="宋体" w:hAnsi="宋体" w:cs="宋体" w:eastAsia="宋体" w:hint="default"/>
                <w:sz w:val="18"/>
                <w:szCs w:val="18"/>
              </w:rPr>
            </w:pPr>
            <w:r>
              <w:rPr>
                <w:rFonts w:ascii="宋体" w:hAnsi="宋体" w:cs="宋体" w:eastAsia="宋体" w:hint="default"/>
                <w:sz w:val="18"/>
                <w:szCs w:val="18"/>
              </w:rPr>
              <w:t>重庆国际信托股 份有限公司－融 信通系列单一信 托</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2.65%</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33" w:right="0"/>
              <w:jc w:val="left"/>
              <w:rPr>
                <w:rFonts w:ascii="Times New Roman" w:hAnsi="Times New Roman" w:cs="Times New Roman" w:eastAsia="Times New Roman" w:hint="default"/>
                <w:sz w:val="18"/>
                <w:szCs w:val="18"/>
              </w:rPr>
            </w:pPr>
            <w:r>
              <w:rPr>
                <w:rFonts w:ascii="Times New Roman"/>
                <w:sz w:val="18"/>
              </w:rPr>
              <w:t>8,401,360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3" w:right="0"/>
              <w:jc w:val="left"/>
              <w:rPr>
                <w:rFonts w:ascii="Times New Roman" w:hAnsi="Times New Roman" w:cs="Times New Roman" w:eastAsia="Times New Roman" w:hint="default"/>
                <w:sz w:val="18"/>
                <w:szCs w:val="18"/>
              </w:rPr>
            </w:pPr>
            <w:r>
              <w:rPr>
                <w:rFonts w:ascii="Times New Roman"/>
                <w:sz w:val="18"/>
              </w:rPr>
              <w:t>6,459,066</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pacing w:val="-1"/>
                <w:sz w:val="18"/>
              </w:rPr>
              <w:t>8,401,360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杜力耘</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2.56%</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8,101,909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-2,569,96</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9</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8,003,908</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98,001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3,530,000</w:t>
            </w:r>
          </w:p>
        </w:tc>
      </w:tr>
      <w:tr>
        <w:trPr>
          <w:trHeight w:val="163" w:hRule="exact"/>
        </w:trPr>
        <w:tc>
          <w:tcPr>
            <w:tcW w:w="288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687" w:type="dxa"/>
            <w:gridSpan w:val="7"/>
            <w:vMerge w:val="restart"/>
            <w:tcBorders>
              <w:top w:val="single" w:sz="4" w:space="0" w:color="000000"/>
              <w:left w:val="single" w:sz="9" w:space="0" w:color="D2D2D2"/>
              <w:right w:val="single" w:sz="4" w:space="0" w:color="000000"/>
            </w:tcBorders>
          </w:tcPr>
          <w:p>
            <w:pPr>
              <w:pStyle w:val="TableParagraph"/>
              <w:spacing w:line="300" w:lineRule="auto" w:before="51"/>
              <w:ind w:left="17" w:right="17"/>
              <w:jc w:val="left"/>
              <w:rPr>
                <w:rFonts w:ascii="宋体" w:hAnsi="宋体" w:cs="宋体" w:eastAsia="宋体" w:hint="default"/>
                <w:sz w:val="18"/>
                <w:szCs w:val="18"/>
              </w:rPr>
            </w:pPr>
            <w:r>
              <w:rPr>
                <w:rFonts w:ascii="宋体" w:hAnsi="宋体" w:cs="宋体" w:eastAsia="宋体" w:hint="default"/>
                <w:sz w:val="18"/>
                <w:szCs w:val="18"/>
              </w:rPr>
              <w:t>苏博、新华基金－浦发银行－粤财信托</w:t>
            </w:r>
            <w:r>
              <w:rPr>
                <w:rFonts w:ascii="Times New Roman" w:hAnsi="Times New Roman" w:cs="Times New Roman" w:eastAsia="Times New Roman" w:hint="default"/>
                <w:sz w:val="18"/>
                <w:szCs w:val="18"/>
              </w:rPr>
              <w:t>·</w:t>
            </w:r>
            <w:r>
              <w:rPr>
                <w:rFonts w:ascii="宋体" w:hAnsi="宋体" w:cs="宋体" w:eastAsia="宋体" w:hint="default"/>
                <w:sz w:val="18"/>
                <w:szCs w:val="18"/>
              </w:rPr>
              <w:t>弘盛</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9"/>
                <w:sz w:val="18"/>
                <w:szCs w:val="18"/>
              </w:rPr>
              <w:t> </w:t>
            </w:r>
            <w:r>
              <w:rPr>
                <w:rFonts w:ascii="宋体" w:hAnsi="宋体" w:cs="宋体" w:eastAsia="宋体" w:hint="default"/>
                <w:spacing w:val="-4"/>
                <w:sz w:val="18"/>
                <w:szCs w:val="18"/>
              </w:rPr>
              <w:t>号单一资金信托计划、邹月普、鹏华资</w:t>
            </w:r>
            <w:r>
              <w:rPr>
                <w:rFonts w:ascii="宋体" w:hAnsi="宋体" w:cs="宋体" w:eastAsia="宋体" w:hint="default"/>
                <w:sz w:val="18"/>
                <w:szCs w:val="18"/>
              </w:rPr>
              <w:t> 产－浦发银行－云信智兴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宋体" w:hAnsi="宋体" w:cs="宋体" w:eastAsia="宋体" w:hint="default"/>
                <w:sz w:val="18"/>
                <w:szCs w:val="18"/>
              </w:rPr>
              <w:t>－</w:t>
            </w:r>
            <w:r>
              <w:rPr>
                <w:rFonts w:ascii="Times New Roman" w:hAnsi="Times New Roman" w:cs="Times New Roman" w:eastAsia="Times New Roman" w:hint="default"/>
                <w:sz w:val="18"/>
                <w:szCs w:val="18"/>
              </w:rPr>
              <w:t>2005 </w:t>
            </w:r>
            <w:r>
              <w:rPr>
                <w:rFonts w:ascii="宋体" w:hAnsi="宋体" w:cs="宋体" w:eastAsia="宋体" w:hint="default"/>
                <w:sz w:val="18"/>
                <w:szCs w:val="18"/>
              </w:rPr>
              <w:t>号单一资金信托四位股东因公司非公开发行股 票成为公司前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名股东，其所持股份为有限售条件股份，锁定一年即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p>
          <w:p>
            <w:pPr>
              <w:pStyle w:val="TableParagraph"/>
              <w:spacing w:line="240" w:lineRule="auto" w:before="13"/>
              <w:ind w:left="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日，上市流通日为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r>
      <w:tr>
        <w:trPr>
          <w:trHeight w:val="1015" w:hRule="exact"/>
        </w:trPr>
        <w:tc>
          <w:tcPr>
            <w:tcW w:w="2881"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07"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87" w:type="dxa"/>
            <w:gridSpan w:val="7"/>
            <w:vMerge/>
            <w:tcBorders>
              <w:left w:val="single" w:sz="9" w:space="0" w:color="D2D2D2"/>
              <w:right w:val="single" w:sz="4" w:space="0" w:color="000000"/>
            </w:tcBorders>
          </w:tcPr>
          <w:p>
            <w:pPr/>
          </w:p>
        </w:tc>
      </w:tr>
      <w:tr>
        <w:trPr>
          <w:trHeight w:val="161" w:hRule="exact"/>
        </w:trPr>
        <w:tc>
          <w:tcPr>
            <w:tcW w:w="288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687" w:type="dxa"/>
            <w:gridSpan w:val="7"/>
            <w:vMerge/>
            <w:tcBorders>
              <w:left w:val="single" w:sz="9" w:space="0" w:color="D2D2D2"/>
              <w:bottom w:val="single" w:sz="4" w:space="0" w:color="000000"/>
              <w:right w:val="single" w:sz="4" w:space="0" w:color="000000"/>
            </w:tcBorders>
          </w:tcPr>
          <w:p>
            <w:pPr/>
          </w:p>
        </w:tc>
      </w:tr>
      <w:tr>
        <w:trPr>
          <w:trHeight w:val="715" w:hRule="exact"/>
        </w:trPr>
        <w:tc>
          <w:tcPr>
            <w:tcW w:w="28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145"/>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87" w:type="dxa"/>
            <w:gridSpan w:val="7"/>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9568"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6" w:hRule="exact"/>
        </w:trPr>
        <w:tc>
          <w:tcPr>
            <w:tcW w:w="288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989"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69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0" w:hRule="exact"/>
        </w:trPr>
        <w:tc>
          <w:tcPr>
            <w:tcW w:w="288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89"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40"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8"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881" w:type="dxa"/>
            <w:gridSpan w:val="2"/>
            <w:vMerge/>
            <w:tcBorders>
              <w:left w:val="single" w:sz="4" w:space="0" w:color="000000"/>
              <w:bottom w:val="nil" w:sz="6" w:space="0" w:color="auto"/>
              <w:right w:val="single" w:sz="4" w:space="0" w:color="000000"/>
            </w:tcBorders>
            <w:shd w:val="clear" w:color="auto" w:fill="D2D2D2"/>
          </w:tcPr>
          <w:p>
            <w:pPr/>
          </w:p>
        </w:tc>
        <w:tc>
          <w:tcPr>
            <w:tcW w:w="3989" w:type="dxa"/>
            <w:gridSpan w:val="5"/>
            <w:vMerge/>
            <w:tcBorders>
              <w:left w:val="single" w:sz="4" w:space="0" w:color="000000"/>
              <w:bottom w:val="nil" w:sz="6" w:space="0" w:color="auto"/>
              <w:right w:val="single" w:sz="4" w:space="0" w:color="000000"/>
            </w:tcBorders>
            <w:shd w:val="clear" w:color="auto" w:fill="D2D2D2"/>
          </w:tcPr>
          <w:p>
            <w:pP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0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88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989"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陈宏科</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9,526,382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9,526,382</w:t>
            </w:r>
          </w:p>
        </w:tc>
      </w:tr>
      <w:tr>
        <w:trPr>
          <w:trHeight w:val="715"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45"/>
              <w:jc w:val="left"/>
              <w:rPr>
                <w:rFonts w:ascii="宋体" w:hAnsi="宋体" w:cs="宋体" w:eastAsia="宋体" w:hint="default"/>
                <w:sz w:val="18"/>
                <w:szCs w:val="18"/>
              </w:rPr>
            </w:pPr>
            <w:r>
              <w:rPr>
                <w:rFonts w:ascii="宋体" w:hAnsi="宋体" w:cs="宋体" w:eastAsia="宋体" w:hint="default"/>
                <w:sz w:val="18"/>
                <w:szCs w:val="18"/>
              </w:rPr>
              <w:t>重庆国际信托股份有限公司－融信 通系列单一信托</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8,401,360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8,401,360</w:t>
            </w:r>
          </w:p>
        </w:tc>
      </w:tr>
      <w:tr>
        <w:trPr>
          <w:trHeight w:val="713"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华宝信托有限责任公司－</w:t>
            </w:r>
            <w:r>
              <w:rPr>
                <w:rFonts w:ascii="Times New Roman" w:hAnsi="Times New Roman" w:cs="Times New Roman" w:eastAsia="Times New Roman" w:hint="default"/>
                <w:sz w:val="18"/>
                <w:szCs w:val="18"/>
              </w:rPr>
              <w:t>“</w:t>
            </w:r>
            <w:r>
              <w:rPr>
                <w:rFonts w:ascii="宋体" w:hAnsi="宋体" w:cs="宋体" w:eastAsia="宋体" w:hint="default"/>
                <w:sz w:val="18"/>
                <w:szCs w:val="18"/>
              </w:rPr>
              <w:t>辉煌</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 单一资金信托</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5,430,000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5,430,000</w:t>
            </w:r>
          </w:p>
        </w:tc>
      </w:tr>
      <w:tr>
        <w:trPr>
          <w:trHeight w:val="403"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北京新润投资有限公司</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5,420,000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5,420,000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881"/>
        <w:gridCol w:w="3989"/>
        <w:gridCol w:w="1349"/>
        <w:gridCol w:w="1349"/>
      </w:tblGrid>
      <w:tr>
        <w:trPr>
          <w:trHeight w:val="401"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朱明明</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4,089,969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4,089,969</w:t>
            </w:r>
          </w:p>
        </w:tc>
      </w:tr>
      <w:tr>
        <w:trPr>
          <w:trHeight w:val="40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许能飞</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4,000,000</w:t>
            </w:r>
          </w:p>
        </w:tc>
      </w:tr>
      <w:tr>
        <w:trPr>
          <w:trHeight w:val="401"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孟秀丽</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3,338,816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3,338,816</w:t>
            </w:r>
          </w:p>
        </w:tc>
      </w:tr>
      <w:tr>
        <w:trPr>
          <w:trHeight w:val="40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丁建祖</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3,200,000</w:t>
            </w:r>
          </w:p>
        </w:tc>
      </w:tr>
      <w:tr>
        <w:trPr>
          <w:trHeight w:val="401"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中央汇金资产管理有限责任公司</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2,684,400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2,684,400</w:t>
            </w:r>
          </w:p>
        </w:tc>
      </w:tr>
      <w:tr>
        <w:trPr>
          <w:trHeight w:val="715"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45"/>
              <w:jc w:val="left"/>
              <w:rPr>
                <w:rFonts w:ascii="宋体" w:hAnsi="宋体" w:cs="宋体" w:eastAsia="宋体" w:hint="default"/>
                <w:sz w:val="18"/>
                <w:szCs w:val="18"/>
              </w:rPr>
            </w:pPr>
            <w:r>
              <w:rPr>
                <w:rFonts w:ascii="宋体" w:hAnsi="宋体" w:cs="宋体" w:eastAsia="宋体" w:hint="default"/>
                <w:sz w:val="18"/>
                <w:szCs w:val="18"/>
              </w:rPr>
              <w:t>重庆国际信托股份有限公司－渝信 贰号信托</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2,480,152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2,480,152</w:t>
            </w:r>
          </w:p>
        </w:tc>
      </w:tr>
      <w:tr>
        <w:trPr>
          <w:trHeight w:val="1337" w:hRule="exact"/>
        </w:trPr>
        <w:tc>
          <w:tcPr>
            <w:tcW w:w="2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名无限售流通股股东之间，以</w:t>
            </w:r>
          </w:p>
          <w:p>
            <w:pPr>
              <w:pStyle w:val="TableParagraph"/>
              <w:spacing w:line="309" w:lineRule="auto" w:before="63"/>
              <w:ind w:left="24" w:right="17"/>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名股东之间关联关系或一致行动的 说明</w:t>
            </w:r>
          </w:p>
        </w:tc>
        <w:tc>
          <w:tcPr>
            <w:tcW w:w="66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77"/>
              <w:jc w:val="left"/>
              <w:rPr>
                <w:rFonts w:ascii="宋体" w:hAnsi="宋体" w:cs="宋体" w:eastAsia="宋体" w:hint="default"/>
                <w:sz w:val="18"/>
                <w:szCs w:val="18"/>
              </w:rPr>
            </w:pPr>
            <w:r>
              <w:rPr>
                <w:rFonts w:ascii="宋体" w:hAnsi="宋体" w:cs="宋体" w:eastAsia="宋体" w:hint="default"/>
                <w:sz w:val="18"/>
                <w:szCs w:val="18"/>
              </w:rPr>
              <w:t>前十名无限售条件股东中陈宏科先生与许能飞女士为夫妻关系，故两人为一致行动 人。除此以外，公司未知其他前十名无限售股东之间、以及前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w:t>
            </w:r>
          </w:p>
          <w:p>
            <w:pPr>
              <w:pStyle w:val="TableParagraph"/>
              <w:spacing w:line="249" w:lineRule="exact"/>
              <w:ind w:left="23" w:right="0"/>
              <w:jc w:val="left"/>
              <w:rPr>
                <w:rFonts w:ascii="宋体" w:hAnsi="宋体" w:cs="宋体" w:eastAsia="宋体" w:hint="default"/>
                <w:sz w:val="18"/>
                <w:szCs w:val="18"/>
              </w:rPr>
            </w:pPr>
            <w:r>
              <w:rPr>
                <w:rFonts w:ascii="宋体" w:hAnsi="宋体" w:cs="宋体" w:eastAsia="宋体" w:hint="default"/>
                <w:sz w:val="18"/>
                <w:szCs w:val="18"/>
              </w:rPr>
              <w:t>东和前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名股东之间是否存在关联关系，也未知是否属于一致行动人。</w:t>
            </w:r>
          </w:p>
        </w:tc>
      </w:tr>
      <w:tr>
        <w:trPr>
          <w:trHeight w:val="715" w:hRule="exact"/>
        </w:trPr>
        <w:tc>
          <w:tcPr>
            <w:tcW w:w="2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20"/>
              <w:jc w:val="left"/>
              <w:rPr>
                <w:rFonts w:ascii="宋体" w:hAnsi="宋体" w:cs="宋体" w:eastAsia="宋体" w:hint="default"/>
                <w:sz w:val="18"/>
                <w:szCs w:val="18"/>
              </w:rPr>
            </w:pPr>
            <w:r>
              <w:rPr>
                <w:rFonts w:ascii="宋体" w:hAnsi="宋体" w:cs="宋体" w:eastAsia="宋体" w:hint="default"/>
                <w:spacing w:val="-4"/>
                <w:sz w:val="18"/>
                <w:szCs w:val="18"/>
              </w:rPr>
              <w:t>参与融资融券业务股东情况说明（如</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6"/>
                <w:sz w:val="18"/>
                <w:szCs w:val="18"/>
              </w:rPr>
              <w:t>有）（参见注</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66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股东许能飞通过安信证券客户信用交易担保证券账户持有公司股票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4,000,000 </w:t>
            </w:r>
            <w:r>
              <w:rPr>
                <w:rFonts w:ascii="宋体" w:hAnsi="宋体" w:cs="宋体" w:eastAsia="宋体" w:hint="default"/>
                <w:sz w:val="18"/>
                <w:szCs w:val="18"/>
              </w:rPr>
              <w:t>股。</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名无限售条件普通股股东在报告期内是否进行约定购回交易</w:t>
      </w:r>
    </w:p>
    <w:p>
      <w:pPr>
        <w:spacing w:before="101"/>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before="103"/>
        <w:ind w:left="152"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名无限售条件普通股股东在报告期内未进行约定购回交易。</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5"/>
        <w:rPr>
          <w:rFonts w:ascii="宋体" w:hAnsi="宋体" w:cs="宋体" w:eastAsia="宋体" w:hint="default"/>
          <w:b/>
          <w:bCs/>
          <w:sz w:val="26"/>
          <w:szCs w:val="26"/>
        </w:rPr>
      </w:pPr>
    </w:p>
    <w:p>
      <w:pPr>
        <w:spacing w:line="357" w:lineRule="auto" w:before="0"/>
        <w:ind w:left="152" w:right="7614" w:firstLine="0"/>
        <w:jc w:val="left"/>
        <w:rPr>
          <w:rFonts w:ascii="宋体" w:hAnsi="宋体" w:cs="宋体" w:eastAsia="宋体" w:hint="default"/>
          <w:sz w:val="18"/>
          <w:szCs w:val="18"/>
        </w:rPr>
      </w:pPr>
      <w:r>
        <w:rPr>
          <w:rFonts w:ascii="宋体" w:hAnsi="宋体" w:cs="宋体" w:eastAsia="宋体" w:hint="default"/>
          <w:sz w:val="18"/>
          <w:szCs w:val="18"/>
        </w:rPr>
        <w:t>控股股东性质：自然人控股 控股股东类型：自然人</w:t>
      </w:r>
    </w:p>
    <w:tbl>
      <w:tblPr>
        <w:tblW w:w="0" w:type="auto"/>
        <w:jc w:val="left"/>
        <w:tblInd w:w="148" w:type="dxa"/>
        <w:tblLayout w:type="fixed"/>
        <w:tblCellMar>
          <w:top w:w="0" w:type="dxa"/>
          <w:left w:w="0" w:type="dxa"/>
          <w:bottom w:w="0" w:type="dxa"/>
          <w:right w:w="0" w:type="dxa"/>
        </w:tblCellMar>
        <w:tblLook w:val="01E0"/>
      </w:tblPr>
      <w:tblGrid>
        <w:gridCol w:w="3419"/>
        <w:gridCol w:w="2031"/>
        <w:gridCol w:w="4119"/>
      </w:tblGrid>
      <w:tr>
        <w:trPr>
          <w:trHeight w:val="403"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1" w:hRule="exact"/>
        </w:trPr>
        <w:tc>
          <w:tcPr>
            <w:tcW w:w="3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陆文雄</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公司董事长、总经理、公司控股股东及实际控制人</w:t>
            </w:r>
          </w:p>
        </w:tc>
      </w:tr>
      <w:tr>
        <w:trPr>
          <w:trHeight w:val="713"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144"/>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70"/>
        <w:ind w:left="152" w:right="0"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line="338" w:lineRule="auto" w:before="118"/>
        <w:ind w:left="152" w:right="70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公司报告期控股股东未发生变更。</w:t>
      </w:r>
    </w:p>
    <w:p>
      <w:pPr>
        <w:spacing w:line="240" w:lineRule="auto" w:before="7"/>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w:t>
      </w:r>
      <w:r>
        <w:rPr/>
        <w:t>、公司实际控制人情况</w:t>
      </w:r>
      <w:r>
        <w:rPr>
          <w:b w:val="0"/>
          <w:bCs w:val="0"/>
        </w:rPr>
      </w:r>
    </w:p>
    <w:p>
      <w:pPr>
        <w:spacing w:line="240" w:lineRule="auto" w:before="4"/>
        <w:rPr>
          <w:rFonts w:ascii="宋体" w:hAnsi="宋体" w:cs="宋体" w:eastAsia="宋体" w:hint="default"/>
          <w:b/>
          <w:bCs/>
          <w:sz w:val="26"/>
          <w:szCs w:val="26"/>
        </w:rPr>
      </w:pPr>
    </w:p>
    <w:p>
      <w:pPr>
        <w:spacing w:line="357" w:lineRule="auto" w:before="0"/>
        <w:ind w:left="152" w:right="7434" w:firstLine="0"/>
        <w:jc w:val="left"/>
        <w:rPr>
          <w:rFonts w:ascii="宋体" w:hAnsi="宋体" w:cs="宋体" w:eastAsia="宋体" w:hint="default"/>
          <w:sz w:val="18"/>
          <w:szCs w:val="18"/>
        </w:rPr>
      </w:pPr>
      <w:r>
        <w:rPr>
          <w:rFonts w:ascii="宋体" w:hAnsi="宋体" w:cs="宋体" w:eastAsia="宋体" w:hint="default"/>
          <w:sz w:val="18"/>
          <w:szCs w:val="18"/>
        </w:rPr>
        <w:t>实际控制人性质：境内自然人 实际控制人类型：自然人</w:t>
      </w:r>
    </w:p>
    <w:tbl>
      <w:tblPr>
        <w:tblW w:w="0" w:type="auto"/>
        <w:jc w:val="left"/>
        <w:tblInd w:w="148" w:type="dxa"/>
        <w:tblLayout w:type="fixed"/>
        <w:tblCellMar>
          <w:top w:w="0" w:type="dxa"/>
          <w:left w:w="0" w:type="dxa"/>
          <w:bottom w:w="0" w:type="dxa"/>
          <w:right w:w="0" w:type="dxa"/>
        </w:tblCellMar>
        <w:tblLook w:val="01E0"/>
      </w:tblPr>
      <w:tblGrid>
        <w:gridCol w:w="3337"/>
        <w:gridCol w:w="2057"/>
        <w:gridCol w:w="4177"/>
      </w:tblGrid>
      <w:tr>
        <w:trPr>
          <w:trHeight w:val="403" w:hRule="exact"/>
        </w:trPr>
        <w:tc>
          <w:tcPr>
            <w:tcW w:w="3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2"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1" w:hRule="exact"/>
        </w:trPr>
        <w:tc>
          <w:tcPr>
            <w:tcW w:w="3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陆文雄</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4" w:hRule="exact"/>
        </w:trPr>
        <w:tc>
          <w:tcPr>
            <w:tcW w:w="3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公司董事长及总经理</w:t>
            </w:r>
          </w:p>
        </w:tc>
      </w:tr>
      <w:tr>
        <w:trPr>
          <w:trHeight w:val="401" w:hRule="exact"/>
        </w:trPr>
        <w:tc>
          <w:tcPr>
            <w:tcW w:w="3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年曾控股的境内外上市公司情况</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5"/>
          <w:szCs w:val="25"/>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实际控制人报告期内变更</w:t>
      </w:r>
    </w:p>
    <w:p>
      <w:pPr>
        <w:spacing w:line="348" w:lineRule="auto" w:before="117"/>
        <w:ind w:left="152" w:right="58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公司报告期实际控制人未发生变更。 公司与实际控制人之间的产权及控制关系的方框图</w:t>
      </w:r>
    </w:p>
    <w:p>
      <w:pPr>
        <w:spacing w:line="240" w:lineRule="auto" w:before="13"/>
        <w:rPr>
          <w:rFonts w:ascii="宋体" w:hAnsi="宋体" w:cs="宋体" w:eastAsia="宋体" w:hint="default"/>
          <w:sz w:val="16"/>
          <w:szCs w:val="16"/>
        </w:rPr>
      </w:pPr>
    </w:p>
    <w:p>
      <w:pPr>
        <w:spacing w:line="3675" w:lineRule="exact"/>
        <w:ind w:left="2121" w:right="0" w:firstLine="0"/>
        <w:rPr>
          <w:rFonts w:ascii="宋体" w:hAnsi="宋体" w:cs="宋体" w:eastAsia="宋体" w:hint="default"/>
          <w:sz w:val="20"/>
          <w:szCs w:val="20"/>
        </w:rPr>
      </w:pPr>
      <w:r>
        <w:rPr>
          <w:rFonts w:ascii="宋体" w:hAnsi="宋体" w:cs="宋体" w:eastAsia="宋体" w:hint="default"/>
          <w:position w:val="-73"/>
          <w:sz w:val="20"/>
          <w:szCs w:val="20"/>
        </w:rPr>
        <w:drawing>
          <wp:inline distT="0" distB="0" distL="0" distR="0">
            <wp:extent cx="3619500" cy="2333625"/>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19" cstate="print"/>
                    <a:stretch>
                      <a:fillRect/>
                    </a:stretch>
                  </pic:blipFill>
                  <pic:spPr>
                    <a:xfrm>
                      <a:off x="0" y="0"/>
                      <a:ext cx="3619500" cy="2333625"/>
                    </a:xfrm>
                    <a:prstGeom prst="rect">
                      <a:avLst/>
                    </a:prstGeom>
                  </pic:spPr>
                </pic:pic>
              </a:graphicData>
            </a:graphic>
          </wp:inline>
        </w:drawing>
      </w:r>
      <w:r>
        <w:rPr>
          <w:rFonts w:ascii="宋体" w:hAnsi="宋体" w:cs="宋体" w:eastAsia="宋体" w:hint="default"/>
          <w:position w:val="-73"/>
          <w:sz w:val="20"/>
          <w:szCs w:val="20"/>
        </w:rPr>
      </w:r>
    </w:p>
    <w:p>
      <w:pPr>
        <w:spacing w:line="240" w:lineRule="auto" w:before="2"/>
        <w:rPr>
          <w:rFonts w:ascii="宋体" w:hAnsi="宋体" w:cs="宋体" w:eastAsia="宋体" w:hint="default"/>
          <w:sz w:val="15"/>
          <w:szCs w:val="15"/>
        </w:rPr>
      </w:pPr>
    </w:p>
    <w:p>
      <w:pPr>
        <w:spacing w:before="0"/>
        <w:ind w:left="152" w:right="0" w:firstLine="0"/>
        <w:jc w:val="left"/>
        <w:rPr>
          <w:rFonts w:ascii="宋体" w:hAnsi="宋体" w:cs="宋体" w:eastAsia="宋体" w:hint="default"/>
          <w:sz w:val="24"/>
          <w:szCs w:val="24"/>
        </w:rPr>
      </w:pPr>
      <w:r>
        <w:rPr>
          <w:rFonts w:ascii="宋体" w:hAnsi="宋体" w:cs="宋体" w:eastAsia="宋体" w:hint="default"/>
          <w:sz w:val="24"/>
          <w:szCs w:val="24"/>
        </w:rPr>
        <w:t>实际控制人通过信托或其他资产管理方式控制公司</w:t>
      </w:r>
    </w:p>
    <w:p>
      <w:pPr>
        <w:spacing w:line="240" w:lineRule="auto" w:before="8"/>
        <w:rPr>
          <w:rFonts w:ascii="宋体" w:hAnsi="宋体" w:cs="宋体" w:eastAsia="宋体" w:hint="default"/>
          <w:sz w:val="18"/>
          <w:szCs w:val="18"/>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4</w:t>
      </w:r>
      <w:r>
        <w:rPr/>
        <w:t>、其他持股在</w:t>
      </w:r>
      <w:r>
        <w:rPr>
          <w:spacing w:val="-52"/>
        </w:rPr>
        <w:t> </w:t>
      </w:r>
      <w:r>
        <w:rPr>
          <w:rFonts w:ascii="Times New Roman" w:hAnsi="Times New Roman" w:cs="Times New Roman" w:eastAsia="Times New Roman" w:hint="default"/>
        </w:rPr>
        <w:t>10%</w:t>
      </w:r>
      <w:r>
        <w:rPr/>
        <w:t>以上的法人股东</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285" w:right="0"/>
        <w:jc w:val="left"/>
        <w:rPr>
          <w:b w:val="0"/>
          <w:bCs w:val="0"/>
        </w:rPr>
      </w:pPr>
      <w:bookmarkStart w:name="_bookmark5" w:id="6"/>
      <w:bookmarkEnd w:id="6"/>
      <w:r>
        <w:rPr>
          <w:b w:val="0"/>
          <w:bCs w:val="0"/>
        </w:rPr>
      </w:r>
      <w:r>
        <w:rPr/>
        <w:t>第七节</w:t>
      </w:r>
      <w:r>
        <w:rPr>
          <w:spacing w:val="-6"/>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spacing w:line="338" w:lineRule="auto" w:before="44"/>
        <w:ind w:left="152" w:right="76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报告期公司不存在优先股。</w:t>
      </w:r>
    </w:p>
    <w:p>
      <w:pPr>
        <w:spacing w:after="0" w:line="338"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1679" w:right="0"/>
        <w:jc w:val="left"/>
        <w:rPr>
          <w:b w:val="0"/>
          <w:bCs w:val="0"/>
        </w:rPr>
      </w:pPr>
      <w:bookmarkStart w:name="_bookmark6" w:id="7"/>
      <w:bookmarkEnd w:id="7"/>
      <w:r>
        <w:rPr>
          <w:b w:val="0"/>
          <w:bCs w:val="0"/>
        </w:rPr>
      </w:r>
      <w:r>
        <w:rPr/>
        <w:t>第八节</w:t>
      </w:r>
      <w:r>
        <w:rPr>
          <w:spacing w:val="-9"/>
        </w:rPr>
        <w:t> </w:t>
      </w:r>
      <w:r>
        <w:rPr/>
        <w:t>董事、监事、高级管理人员和员工情况</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left"/>
        <w:rPr>
          <w:b w:val="0"/>
          <w:bCs w:val="0"/>
        </w:rPr>
      </w:pP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800"/>
        <w:gridCol w:w="797"/>
        <w:gridCol w:w="797"/>
        <w:gridCol w:w="797"/>
        <w:gridCol w:w="797"/>
        <w:gridCol w:w="797"/>
        <w:gridCol w:w="800"/>
        <w:gridCol w:w="797"/>
        <w:gridCol w:w="799"/>
        <w:gridCol w:w="797"/>
        <w:gridCol w:w="799"/>
        <w:gridCol w:w="797"/>
      </w:tblGrid>
      <w:tr>
        <w:trPr>
          <w:trHeight w:val="1027"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44" w:firstLine="9"/>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陆文雄</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董事长、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46,884,04</w:t>
            </w:r>
          </w:p>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z w:val="18"/>
              </w:rPr>
              <w:t>6</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10,850,00</w:t>
            </w:r>
          </w:p>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36,034,04</w:t>
            </w:r>
          </w:p>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z w:val="18"/>
              </w:rPr>
              <w:t>6</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杜力耘</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10,671,87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2,569,969</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8,101,909</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楼晔</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13,624,36</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3,338,816</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10,285,54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9</w:t>
            </w:r>
          </w:p>
        </w:tc>
      </w:tr>
      <w:tr>
        <w:trPr>
          <w:trHeight w:val="102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姜蓓蓓</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9" w:lineRule="auto"/>
              <w:ind w:left="23" w:right="41"/>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10,929,56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1,720,000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9,209,564</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叶磊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23" w:right="41"/>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446,250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293,500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619,750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杨凯</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257,750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389,750</w:t>
            </w:r>
          </w:p>
        </w:tc>
      </w:tr>
      <w:tr>
        <w:trPr>
          <w:trHeight w:val="133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陆廷洁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1"/>
              <w:jc w:val="both"/>
              <w:rPr>
                <w:rFonts w:ascii="宋体" w:hAnsi="宋体" w:cs="宋体" w:eastAsia="宋体" w:hint="default"/>
                <w:sz w:val="18"/>
                <w:szCs w:val="18"/>
              </w:rPr>
            </w:pPr>
            <w:r>
              <w:rPr>
                <w:rFonts w:ascii="宋体" w:hAnsi="宋体" w:cs="宋体" w:eastAsia="宋体" w:hint="default"/>
                <w:sz w:val="18"/>
                <w:szCs w:val="18"/>
              </w:rPr>
              <w:t>董事会秘 书、财务 总监、副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695,851</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575,851</w:t>
            </w:r>
          </w:p>
        </w:tc>
      </w:tr>
      <w:tr>
        <w:trPr>
          <w:trHeight w:val="715"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83,509,70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493,500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18,478,78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-308,000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65,216,41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二、公司董事、监事、高级管理人员变动情况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330"/>
        <w:gridCol w:w="1330"/>
        <w:gridCol w:w="4249"/>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1028"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陈建琪</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监事陈建琪因个人原因于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日提出辞去</w:t>
            </w:r>
          </w:p>
          <w:p>
            <w:pPr>
              <w:pStyle w:val="TableParagraph"/>
              <w:spacing w:line="300" w:lineRule="auto" w:before="61"/>
              <w:ind w:left="23" w:right="19"/>
              <w:jc w:val="left"/>
              <w:rPr>
                <w:rFonts w:ascii="宋体" w:hAnsi="宋体" w:cs="宋体" w:eastAsia="宋体" w:hint="default"/>
                <w:sz w:val="18"/>
                <w:szCs w:val="18"/>
              </w:rPr>
            </w:pPr>
            <w:r>
              <w:rPr>
                <w:rFonts w:ascii="宋体" w:hAnsi="宋体" w:cs="宋体" w:eastAsia="宋体" w:hint="default"/>
                <w:spacing w:val="-5"/>
                <w:sz w:val="18"/>
                <w:szCs w:val="18"/>
              </w:rPr>
              <w:t>监事职务，公司于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年股东大会 决议补选了新任监事。</w:t>
            </w:r>
          </w:p>
        </w:tc>
      </w:tr>
    </w:tbl>
    <w:p>
      <w:pPr>
        <w:spacing w:after="0" w:line="30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330"/>
        <w:gridCol w:w="1330"/>
        <w:gridCol w:w="4249"/>
      </w:tblGrid>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王艺</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年股东大会决议审议通 过补选监事王艺。</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叶磊</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3" w:right="67"/>
              <w:jc w:val="left"/>
              <w:rPr>
                <w:rFonts w:ascii="宋体" w:hAnsi="宋体" w:cs="宋体" w:eastAsia="宋体" w:hint="default"/>
                <w:sz w:val="18"/>
                <w:szCs w:val="18"/>
              </w:rPr>
            </w:pPr>
            <w:r>
              <w:rPr>
                <w:rFonts w:ascii="宋体" w:hAnsi="宋体" w:cs="宋体" w:eastAsia="宋体" w:hint="default"/>
                <w:sz w:val="18"/>
                <w:szCs w:val="18"/>
              </w:rPr>
              <w:t>叶磊先生因个人原因于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日申请辞去公 司董事及有关专门委员会职务职务</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杨凯</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67"/>
              <w:jc w:val="left"/>
              <w:rPr>
                <w:rFonts w:ascii="宋体" w:hAnsi="宋体" w:cs="宋体" w:eastAsia="宋体" w:hint="default"/>
                <w:sz w:val="18"/>
                <w:szCs w:val="18"/>
              </w:rPr>
            </w:pPr>
            <w:r>
              <w:rPr>
                <w:rFonts w:ascii="宋体" w:hAnsi="宋体" w:cs="宋体" w:eastAsia="宋体" w:hint="default"/>
                <w:sz w:val="18"/>
                <w:szCs w:val="18"/>
              </w:rPr>
              <w:t>杨凯先生因个人原因于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日申请辞去公 司董事及有关专门委员会职务职务</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姜蓓蓓</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3" w:right="67"/>
              <w:jc w:val="left"/>
              <w:rPr>
                <w:rFonts w:ascii="宋体" w:hAnsi="宋体" w:cs="宋体" w:eastAsia="宋体" w:hint="default"/>
                <w:sz w:val="18"/>
                <w:szCs w:val="18"/>
              </w:rPr>
            </w:pPr>
            <w:r>
              <w:rPr>
                <w:rFonts w:ascii="宋体" w:hAnsi="宋体" w:cs="宋体" w:eastAsia="宋体" w:hint="default"/>
                <w:sz w:val="18"/>
                <w:szCs w:val="18"/>
              </w:rPr>
              <w:t>姜蓓蓓因个人原因于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日申请辞去公司 副总经理职务</w:t>
            </w:r>
          </w:p>
        </w:tc>
      </w:tr>
      <w:tr>
        <w:trPr>
          <w:trHeight w:val="716"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黄钰昌</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7"/>
              <w:jc w:val="left"/>
              <w:rPr>
                <w:rFonts w:ascii="宋体" w:hAnsi="宋体" w:cs="宋体" w:eastAsia="宋体" w:hint="default"/>
                <w:sz w:val="18"/>
                <w:szCs w:val="18"/>
              </w:rPr>
            </w:pPr>
            <w:r>
              <w:rPr>
                <w:rFonts w:ascii="宋体" w:hAnsi="宋体" w:cs="宋体" w:eastAsia="宋体" w:hint="default"/>
                <w:sz w:val="18"/>
                <w:szCs w:val="18"/>
              </w:rPr>
              <w:t>黄钰昌因个人原因于</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日申请辞去公司 独立董事及有关专门委员会职务</w:t>
            </w:r>
          </w:p>
        </w:tc>
      </w:tr>
    </w:tbl>
    <w:p>
      <w:pPr>
        <w:spacing w:line="240" w:lineRule="auto" w:before="1"/>
        <w:rPr>
          <w:rFonts w:ascii="宋体" w:hAnsi="宋体" w:cs="宋体" w:eastAsia="宋体" w:hint="default"/>
          <w:sz w:val="18"/>
          <w:szCs w:val="18"/>
        </w:rPr>
      </w:pPr>
    </w:p>
    <w:p>
      <w:pPr>
        <w:pStyle w:val="Heading2"/>
        <w:spacing w:line="240" w:lineRule="auto" w:before="26"/>
        <w:ind w:right="101"/>
        <w:jc w:val="left"/>
        <w:rPr>
          <w:b w:val="0"/>
          <w:bCs w:val="0"/>
        </w:rPr>
      </w:pPr>
      <w:r>
        <w:rPr/>
        <w:t>三、任职情况</w:t>
      </w:r>
      <w:r>
        <w:rPr>
          <w:b w:val="0"/>
          <w:bCs w:val="0"/>
        </w:rPr>
      </w:r>
    </w:p>
    <w:p>
      <w:pPr>
        <w:spacing w:line="240" w:lineRule="auto" w:before="4"/>
        <w:rPr>
          <w:rFonts w:ascii="宋体" w:hAnsi="宋体" w:cs="宋体" w:eastAsia="宋体" w:hint="default"/>
          <w:b/>
          <w:bCs/>
          <w:sz w:val="26"/>
          <w:szCs w:val="26"/>
        </w:rPr>
      </w:pPr>
    </w:p>
    <w:p>
      <w:pPr>
        <w:spacing w:before="0"/>
        <w:ind w:left="152" w:right="101" w:firstLine="0"/>
        <w:jc w:val="left"/>
        <w:rPr>
          <w:rFonts w:ascii="宋体" w:hAnsi="宋体" w:cs="宋体" w:eastAsia="宋体" w:hint="default"/>
          <w:sz w:val="18"/>
          <w:szCs w:val="18"/>
        </w:rPr>
      </w:pPr>
      <w:r>
        <w:rPr>
          <w:rFonts w:ascii="宋体" w:hAnsi="宋体" w:cs="宋体" w:eastAsia="宋体" w:hint="default"/>
          <w:sz w:val="18"/>
          <w:szCs w:val="18"/>
        </w:rPr>
        <w:t>公司现任董事、监事、高级管理人员专业背景、主要工作经历以及目前在公司的主要职责</w:t>
      </w:r>
    </w:p>
    <w:p>
      <w:pPr>
        <w:spacing w:before="117"/>
        <w:ind w:left="152" w:right="10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、公司现任董事最近</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年的主要工作经历：</w:t>
      </w:r>
    </w:p>
    <w:p>
      <w:pPr>
        <w:pStyle w:val="BodyText"/>
        <w:spacing w:line="386" w:lineRule="auto" w:before="119"/>
        <w:ind w:right="101" w:firstLine="420"/>
        <w:jc w:val="left"/>
      </w:pPr>
      <w:r>
        <w:rPr/>
        <w:t>陆文雄先生，男，中国国籍，拥有新西兰无限期永久居民签证，</w:t>
      </w:r>
      <w:r>
        <w:rPr>
          <w:rFonts w:ascii="Times New Roman" w:hAnsi="Times New Roman" w:cs="Times New Roman" w:eastAsia="Times New Roman" w:hint="default"/>
        </w:rPr>
        <w:t>1967</w:t>
      </w:r>
      <w:r>
        <w:rPr/>
        <w:t>年</w:t>
      </w:r>
      <w:r>
        <w:rPr>
          <w:rFonts w:ascii="Times New Roman" w:hAnsi="Times New Roman" w:cs="Times New Roman" w:eastAsia="Times New Roman" w:hint="default"/>
        </w:rPr>
        <w:t>6</w:t>
      </w:r>
      <w:r>
        <w:rPr/>
        <w:t>月出生，大学本科学历。现</w:t>
      </w:r>
      <w:r>
        <w:rPr>
          <w:w w:val="100"/>
        </w:rPr>
        <w:t> </w:t>
      </w:r>
      <w:r>
        <w:rPr>
          <w:spacing w:val="-2"/>
        </w:rPr>
        <w:t>任公司董事长。</w:t>
      </w:r>
      <w:r>
        <w:rPr>
          <w:rFonts w:ascii="Times New Roman" w:hAnsi="Times New Roman" w:cs="Times New Roman" w:eastAsia="Times New Roman" w:hint="default"/>
          <w:spacing w:val="-2"/>
        </w:rPr>
        <w:t>1989</w:t>
      </w:r>
      <w:r>
        <w:rPr>
          <w:spacing w:val="-2"/>
        </w:rPr>
        <w:t>年上海交通大学无线电技术专业毕业；</w:t>
      </w:r>
      <w:r>
        <w:rPr>
          <w:rFonts w:ascii="Times New Roman" w:hAnsi="Times New Roman" w:cs="Times New Roman" w:eastAsia="Times New Roman" w:hint="default"/>
          <w:spacing w:val="-2"/>
        </w:rPr>
        <w:t>1989</w:t>
      </w:r>
      <w:r>
        <w:rPr>
          <w:spacing w:val="-2"/>
        </w:rPr>
        <w:t>年至</w:t>
      </w:r>
      <w:r>
        <w:rPr>
          <w:rFonts w:ascii="Times New Roman" w:hAnsi="Times New Roman" w:cs="Times New Roman" w:eastAsia="Times New Roman" w:hint="default"/>
          <w:spacing w:val="-2"/>
        </w:rPr>
        <w:t>1996</w:t>
      </w:r>
      <w:r>
        <w:rPr>
          <w:spacing w:val="-2"/>
        </w:rPr>
        <w:t>年，在上海贝尔电话设备制造有</w:t>
      </w:r>
      <w:r>
        <w:rPr>
          <w:spacing w:val="-33"/>
        </w:rPr>
        <w:t> </w:t>
      </w:r>
      <w:r>
        <w:rPr>
          <w:spacing w:val="-33"/>
        </w:rPr>
      </w:r>
      <w:r>
        <w:rPr>
          <w:spacing w:val="-6"/>
        </w:rPr>
        <w:t>限公司移动部担任全国营销总监；</w:t>
      </w:r>
      <w:r>
        <w:rPr>
          <w:rFonts w:ascii="Times New Roman" w:hAnsi="Times New Roman" w:cs="Times New Roman" w:eastAsia="Times New Roman" w:hint="default"/>
          <w:spacing w:val="-6"/>
        </w:rPr>
        <w:t>1997</w:t>
      </w:r>
      <w:r>
        <w:rPr>
          <w:spacing w:val="-6"/>
        </w:rPr>
        <w:t>年至</w:t>
      </w:r>
      <w:r>
        <w:rPr>
          <w:rFonts w:ascii="Times New Roman" w:hAnsi="Times New Roman" w:cs="Times New Roman" w:eastAsia="Times New Roman" w:hint="default"/>
          <w:spacing w:val="-6"/>
        </w:rPr>
        <w:t>2001</w:t>
      </w:r>
      <w:r>
        <w:rPr>
          <w:spacing w:val="-6"/>
        </w:rPr>
        <w:t>年，在中国惠普有限公司担任电信行业销售副总经理；</w:t>
      </w:r>
      <w:r>
        <w:rPr>
          <w:rFonts w:ascii="Times New Roman" w:hAnsi="Times New Roman" w:cs="Times New Roman" w:eastAsia="Times New Roman" w:hint="default"/>
          <w:spacing w:val="-6"/>
        </w:rPr>
        <w:t>2001</w:t>
      </w:r>
      <w:r>
        <w:rPr>
          <w:rFonts w:ascii="Times New Roman" w:hAnsi="Times New Roman" w:cs="Times New Roman" w:eastAsia="Times New Roman" w:hint="default"/>
          <w:spacing w:val="22"/>
        </w:rPr>
        <w:t> </w:t>
      </w:r>
      <w:r>
        <w:rPr>
          <w:rFonts w:ascii="Times New Roman" w:hAnsi="Times New Roman" w:cs="Times New Roman" w:eastAsia="Times New Roman" w:hint="default"/>
          <w:spacing w:val="22"/>
        </w:rPr>
      </w:r>
      <w:r>
        <w:rPr>
          <w:spacing w:val="-5"/>
        </w:rPr>
        <w:t>年，天玑科技设立时为其创始人之一，</w:t>
      </w:r>
      <w:r>
        <w:rPr>
          <w:rFonts w:ascii="Times New Roman" w:hAnsi="Times New Roman" w:cs="Times New Roman" w:eastAsia="Times New Roman" w:hint="default"/>
          <w:spacing w:val="-5"/>
        </w:rPr>
        <w:t>2003</w:t>
      </w:r>
      <w:r>
        <w:rPr>
          <w:spacing w:val="-5"/>
        </w:rPr>
        <w:t>年至今为天玑科技控股股东、实际控制人，并担任法定代表人。</w:t>
      </w:r>
      <w:r>
        <w:rPr>
          <w:spacing w:val="-1"/>
        </w:rPr>
        <w:t> </w:t>
      </w:r>
      <w:r>
        <w:rPr>
          <w:spacing w:val="-1"/>
        </w:rPr>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17</w:t>
      </w:r>
      <w:r>
        <w:rPr/>
        <w:t>日起至今任公司第一、二、三届董事会董事长。</w:t>
      </w:r>
    </w:p>
    <w:p>
      <w:pPr>
        <w:pStyle w:val="BodyText"/>
        <w:spacing w:line="386" w:lineRule="auto" w:before="35"/>
        <w:ind w:right="101" w:firstLine="420"/>
        <w:jc w:val="left"/>
      </w:pPr>
      <w:r>
        <w:rPr>
          <w:spacing w:val="-2"/>
        </w:rPr>
        <w:t>杜力耘先生，男，中国国籍，无境外永久居留权，</w:t>
      </w:r>
      <w:r>
        <w:rPr>
          <w:rFonts w:ascii="Times New Roman" w:hAnsi="Times New Roman" w:cs="Times New Roman" w:eastAsia="Times New Roman" w:hint="default"/>
          <w:spacing w:val="-2"/>
        </w:rPr>
        <w:t>1971</w:t>
      </w:r>
      <w:r>
        <w:rPr>
          <w:spacing w:val="-2"/>
        </w:rPr>
        <w:t>年</w:t>
      </w:r>
      <w:r>
        <w:rPr>
          <w:rFonts w:ascii="Times New Roman" w:hAnsi="Times New Roman" w:cs="Times New Roman" w:eastAsia="Times New Roman" w:hint="default"/>
          <w:spacing w:val="-2"/>
        </w:rPr>
        <w:t>11</w:t>
      </w:r>
      <w:r>
        <w:rPr>
          <w:spacing w:val="-2"/>
        </w:rPr>
        <w:t>月出生，研究生学历。</w:t>
      </w:r>
      <w:r>
        <w:rPr>
          <w:rFonts w:ascii="Times New Roman" w:hAnsi="Times New Roman" w:cs="Times New Roman" w:eastAsia="Times New Roman" w:hint="default"/>
          <w:spacing w:val="-2"/>
        </w:rPr>
        <w:t>1996</w:t>
      </w:r>
      <w:r>
        <w:rPr>
          <w:spacing w:val="-2"/>
        </w:rPr>
        <w:t>年至</w:t>
      </w:r>
      <w:r>
        <w:rPr>
          <w:rFonts w:ascii="Times New Roman" w:hAnsi="Times New Roman" w:cs="Times New Roman" w:eastAsia="Times New Roman" w:hint="default"/>
          <w:spacing w:val="-2"/>
        </w:rPr>
        <w:t>2001</w:t>
      </w:r>
      <w:r>
        <w:rPr>
          <w:spacing w:val="-2"/>
        </w:rPr>
        <w:t>年，</w:t>
      </w:r>
      <w:r>
        <w:rPr>
          <w:spacing w:val="-3"/>
          <w:w w:val="100"/>
        </w:rPr>
        <w:t> </w:t>
      </w:r>
      <w:r>
        <w:rPr>
          <w:spacing w:val="-2"/>
        </w:rPr>
        <w:t>在中国惠普有限公司先后担任工程师、主管、咨询顾问经理等职务；</w:t>
      </w:r>
      <w:r>
        <w:rPr>
          <w:rFonts w:ascii="Times New Roman" w:hAnsi="Times New Roman" w:cs="Times New Roman" w:eastAsia="Times New Roman" w:hint="default"/>
          <w:spacing w:val="-2"/>
        </w:rPr>
        <w:t>2001</w:t>
      </w:r>
      <w:r>
        <w:rPr>
          <w:spacing w:val="-2"/>
        </w:rPr>
        <w:t>年，天玑科技设立时为其创始人</w:t>
      </w:r>
      <w:r>
        <w:rPr>
          <w:spacing w:val="-43"/>
        </w:rPr>
        <w:t> </w:t>
      </w:r>
      <w:r>
        <w:rPr>
          <w:spacing w:val="-43"/>
        </w:rPr>
      </w:r>
      <w:r>
        <w:rPr/>
        <w:t>之一。</w:t>
      </w:r>
      <w:r>
        <w:rPr>
          <w:rFonts w:ascii="Times New Roman" w:hAnsi="Times New Roman" w:cs="Times New Roman" w:eastAsia="Times New Roman" w:hint="default"/>
        </w:rPr>
        <w:t>2003</w:t>
      </w:r>
      <w:r>
        <w:rPr/>
        <w:t>年起历任天玑科技首席运营官、副总经理兼财务总监、总经理。</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17</w:t>
      </w:r>
      <w:r>
        <w:rPr/>
        <w:t>日起至今任公司</w:t>
      </w:r>
      <w:r>
        <w:rPr>
          <w:w w:val="100"/>
        </w:rPr>
        <w:t> </w:t>
      </w:r>
      <w:r>
        <w:rPr/>
        <w:t>第一、二、三届董事会董事。</w:t>
      </w:r>
    </w:p>
    <w:p>
      <w:pPr>
        <w:pStyle w:val="BodyText"/>
        <w:spacing w:line="386" w:lineRule="auto" w:before="65"/>
        <w:ind w:right="101" w:firstLine="420"/>
        <w:jc w:val="left"/>
      </w:pPr>
      <w:r>
        <w:rPr/>
        <w:t>楼晔先生，男，中国国籍，无境外永久居留权，</w:t>
      </w:r>
      <w:r>
        <w:rPr>
          <w:rFonts w:ascii="Times New Roman" w:hAnsi="Times New Roman" w:cs="Times New Roman" w:eastAsia="Times New Roman" w:hint="default"/>
        </w:rPr>
        <w:t>1974</w:t>
      </w:r>
      <w:r>
        <w:rPr/>
        <w:t>年</w:t>
      </w:r>
      <w:r>
        <w:rPr>
          <w:rFonts w:ascii="Times New Roman" w:hAnsi="Times New Roman" w:cs="Times New Roman" w:eastAsia="Times New Roman" w:hint="default"/>
        </w:rPr>
        <w:t>6</w:t>
      </w:r>
      <w:r>
        <w:rPr/>
        <w:t>月出生，大学本科学历。上海天玑科技股份</w:t>
      </w:r>
      <w:r>
        <w:rPr>
          <w:w w:val="100"/>
        </w:rPr>
        <w:t> </w:t>
      </w:r>
      <w:r>
        <w:rPr>
          <w:spacing w:val="-4"/>
        </w:rPr>
        <w:t>有限公司杭州分公司总经理、支持服务事业部总经理。</w:t>
      </w:r>
      <w:r>
        <w:rPr>
          <w:rFonts w:ascii="Times New Roman" w:hAnsi="Times New Roman" w:cs="Times New Roman" w:eastAsia="Times New Roman" w:hint="default"/>
          <w:spacing w:val="-4"/>
        </w:rPr>
        <w:t>1998</w:t>
      </w:r>
      <w:r>
        <w:rPr>
          <w:spacing w:val="-4"/>
        </w:rPr>
        <w:t>年至</w:t>
      </w:r>
      <w:r>
        <w:rPr>
          <w:rFonts w:ascii="Times New Roman" w:hAnsi="Times New Roman" w:cs="Times New Roman" w:eastAsia="Times New Roman" w:hint="default"/>
          <w:spacing w:val="-4"/>
        </w:rPr>
        <w:t>2004</w:t>
      </w:r>
      <w:r>
        <w:rPr>
          <w:spacing w:val="-4"/>
        </w:rPr>
        <w:t>年，在国际商业机器有限公司（</w:t>
      </w:r>
      <w:r>
        <w:rPr>
          <w:rFonts w:ascii="Times New Roman" w:hAnsi="Times New Roman" w:cs="Times New Roman" w:eastAsia="Times New Roman" w:hint="default"/>
          <w:spacing w:val="-4"/>
        </w:rPr>
        <w:t>IBM</w:t>
      </w:r>
      <w:r>
        <w:rPr>
          <w:spacing w:val="-4"/>
        </w:rPr>
        <w:t>）</w:t>
      </w:r>
      <w:r>
        <w:rPr>
          <w:spacing w:val="-12"/>
        </w:rPr>
        <w:t> </w:t>
      </w:r>
      <w:r>
        <w:rPr/>
        <w:t>中国上海分公司担任客户服务主管；</w:t>
      </w:r>
      <w:r>
        <w:rPr>
          <w:rFonts w:ascii="Times New Roman" w:hAnsi="Times New Roman" w:cs="Times New Roman" w:eastAsia="Times New Roman" w:hint="default"/>
        </w:rPr>
        <w:t>2004</w:t>
      </w:r>
      <w:r>
        <w:rPr/>
        <w:t>年至</w:t>
      </w:r>
      <w:r>
        <w:rPr>
          <w:rFonts w:ascii="Times New Roman" w:hAnsi="Times New Roman" w:cs="Times New Roman" w:eastAsia="Times New Roman" w:hint="default"/>
        </w:rPr>
        <w:t>2010</w:t>
      </w:r>
      <w:r>
        <w:rPr/>
        <w:t>年任杭州天玑信息技术有限公司总经理。</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17</w:t>
      </w:r>
      <w:r>
        <w:rPr>
          <w:rFonts w:ascii="Times New Roman" w:hAnsi="Times New Roman" w:cs="Times New Roman" w:eastAsia="Times New Roman" w:hint="default"/>
          <w:w w:val="100"/>
        </w:rPr>
        <w:t> </w:t>
      </w:r>
      <w:r>
        <w:rPr/>
        <w:t>日至今起任公司第一、二、三届董事会董事。</w:t>
      </w:r>
    </w:p>
    <w:p>
      <w:pPr>
        <w:pStyle w:val="BodyText"/>
        <w:spacing w:line="386" w:lineRule="auto" w:before="65"/>
        <w:ind w:right="101" w:firstLine="420"/>
        <w:jc w:val="left"/>
      </w:pPr>
      <w:r>
        <w:rPr>
          <w:spacing w:val="-4"/>
        </w:rPr>
        <w:t>姜蓓蓓女士，女，中国国籍，无境外永久居留权，</w:t>
      </w:r>
      <w:r>
        <w:rPr>
          <w:rFonts w:ascii="Times New Roman" w:hAnsi="Times New Roman" w:cs="Times New Roman" w:eastAsia="Times New Roman" w:hint="default"/>
          <w:spacing w:val="-4"/>
        </w:rPr>
        <w:t>1971</w:t>
      </w:r>
      <w:r>
        <w:rPr>
          <w:spacing w:val="-4"/>
        </w:rPr>
        <w:t>年</w:t>
      </w:r>
      <w:r>
        <w:rPr>
          <w:rFonts w:ascii="Times New Roman" w:hAnsi="Times New Roman" w:cs="Times New Roman" w:eastAsia="Times New Roman" w:hint="default"/>
          <w:spacing w:val="-4"/>
        </w:rPr>
        <w:t>11</w:t>
      </w:r>
      <w:r>
        <w:rPr>
          <w:spacing w:val="-4"/>
        </w:rPr>
        <w:t>月出生，大学本科学历。</w:t>
      </w:r>
      <w:r>
        <w:rPr>
          <w:rFonts w:ascii="Times New Roman" w:hAnsi="Times New Roman" w:cs="Times New Roman" w:eastAsia="Times New Roman" w:hint="default"/>
          <w:spacing w:val="-4"/>
        </w:rPr>
        <w:t>1994</w:t>
      </w:r>
      <w:r>
        <w:rPr>
          <w:spacing w:val="-4"/>
        </w:rPr>
        <w:t>年至</w:t>
      </w:r>
      <w:r>
        <w:rPr>
          <w:rFonts w:ascii="Times New Roman" w:hAnsi="Times New Roman" w:cs="Times New Roman" w:eastAsia="Times New Roman" w:hint="default"/>
          <w:spacing w:val="-4"/>
        </w:rPr>
        <w:t>2007</w:t>
      </w:r>
      <w:r>
        <w:rPr>
          <w:spacing w:val="-4"/>
        </w:rPr>
        <w:t>年，</w:t>
      </w:r>
      <w:r>
        <w:rPr>
          <w:w w:val="100"/>
        </w:rPr>
        <w:t> </w:t>
      </w:r>
      <w:r>
        <w:rPr>
          <w:spacing w:val="-2"/>
        </w:rPr>
        <w:t>在中国惠普有限公司区域业务部担任华东地区销售部总经理；</w:t>
      </w:r>
      <w:r>
        <w:rPr>
          <w:rFonts w:ascii="Times New Roman" w:hAnsi="Times New Roman" w:cs="Times New Roman" w:eastAsia="Times New Roman" w:hint="default"/>
          <w:spacing w:val="-2"/>
        </w:rPr>
        <w:t>2007</w:t>
      </w:r>
      <w:r>
        <w:rPr>
          <w:spacing w:val="-2"/>
        </w:rPr>
        <w:t>年加入天玑科技历任上海天玑信息技术</w:t>
      </w:r>
      <w:r>
        <w:rPr>
          <w:spacing w:val="-40"/>
        </w:rPr>
        <w:t> </w:t>
      </w:r>
      <w:r>
        <w:rPr>
          <w:spacing w:val="-40"/>
        </w:rPr>
      </w:r>
      <w:r>
        <w:rPr/>
        <w:t>服务有限公司总经理、天玑科技副总经理、销售事业部总经理。</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17</w:t>
      </w:r>
      <w:r>
        <w:rPr/>
        <w:t>日起至今任公司第一、二、</w:t>
      </w:r>
      <w:r>
        <w:rPr>
          <w:w w:val="100"/>
        </w:rPr>
        <w:t> </w:t>
      </w:r>
      <w:r>
        <w:rPr/>
        <w:t>三届董事会董事。</w:t>
      </w:r>
    </w:p>
    <w:p>
      <w:pPr>
        <w:pStyle w:val="BodyText"/>
        <w:spacing w:line="386" w:lineRule="auto" w:before="65"/>
        <w:ind w:right="101" w:firstLine="420"/>
        <w:jc w:val="left"/>
      </w:pPr>
      <w:r>
        <w:rPr>
          <w:spacing w:val="-2"/>
        </w:rPr>
        <w:t>杨凯先生，男，中国国籍，无境外永久居留权，</w:t>
      </w:r>
      <w:r>
        <w:rPr>
          <w:rFonts w:ascii="Times New Roman" w:hAnsi="Times New Roman" w:cs="Times New Roman" w:eastAsia="Times New Roman" w:hint="default"/>
          <w:spacing w:val="-2"/>
        </w:rPr>
        <w:t>1970</w:t>
      </w:r>
      <w:r>
        <w:rPr>
          <w:spacing w:val="-2"/>
        </w:rPr>
        <w:t>年</w:t>
      </w:r>
      <w:r>
        <w:rPr>
          <w:rFonts w:ascii="Times New Roman" w:hAnsi="Times New Roman" w:cs="Times New Roman" w:eastAsia="Times New Roman" w:hint="default"/>
          <w:spacing w:val="-2"/>
        </w:rPr>
        <w:t>12</w:t>
      </w:r>
      <w:r>
        <w:rPr>
          <w:spacing w:val="-2"/>
        </w:rPr>
        <w:t>月出生，本科学历。</w:t>
      </w:r>
      <w:r>
        <w:rPr>
          <w:rFonts w:ascii="Times New Roman" w:hAnsi="Times New Roman" w:cs="Times New Roman" w:eastAsia="Times New Roman" w:hint="default"/>
          <w:spacing w:val="-2"/>
        </w:rPr>
        <w:t>2000</w:t>
      </w:r>
      <w:r>
        <w:rPr>
          <w:spacing w:val="-2"/>
        </w:rPr>
        <w:t>年加入中国惠普公</w:t>
      </w:r>
      <w:r>
        <w:rPr>
          <w:w w:val="100"/>
        </w:rPr>
        <w:t> </w:t>
      </w:r>
      <w:r>
        <w:rPr>
          <w:spacing w:val="-2"/>
        </w:rPr>
        <w:t>司武汉分公司担任客户经理，</w:t>
      </w:r>
      <w:r>
        <w:rPr>
          <w:rFonts w:ascii="Times New Roman" w:hAnsi="Times New Roman" w:cs="Times New Roman" w:eastAsia="Times New Roman" w:hint="default"/>
          <w:spacing w:val="-2"/>
        </w:rPr>
        <w:t>2001</w:t>
      </w:r>
      <w:r>
        <w:rPr>
          <w:spacing w:val="-2"/>
        </w:rPr>
        <w:t>年转入中国惠普公司上海分公司工作至</w:t>
      </w:r>
      <w:r>
        <w:rPr>
          <w:rFonts w:ascii="Times New Roman" w:hAnsi="Times New Roman" w:cs="Times New Roman" w:eastAsia="Times New Roman" w:hint="default"/>
          <w:spacing w:val="-2"/>
        </w:rPr>
        <w:t>2007</w:t>
      </w:r>
      <w:r>
        <w:rPr>
          <w:spacing w:val="-2"/>
        </w:rPr>
        <w:t>年，先后担任客户经理、销</w:t>
      </w:r>
    </w:p>
    <w:p>
      <w:pPr>
        <w:spacing w:after="0" w:line="386" w:lineRule="auto"/>
        <w:jc w:val="left"/>
        <w:sectPr>
          <w:pgSz w:w="11910" w:h="16840"/>
          <w:pgMar w:header="745" w:footer="979" w:top="1060" w:bottom="1160" w:left="980" w:right="920"/>
        </w:sectPr>
      </w:pPr>
    </w:p>
    <w:p>
      <w:pPr>
        <w:spacing w:line="240" w:lineRule="auto" w:before="0"/>
        <w:rPr>
          <w:rFonts w:ascii="宋体" w:hAnsi="宋体" w:cs="宋体" w:eastAsia="宋体" w:hint="default"/>
          <w:sz w:val="20"/>
          <w:szCs w:val="20"/>
        </w:rPr>
      </w:pPr>
    </w:p>
    <w:p>
      <w:pPr>
        <w:pStyle w:val="BodyText"/>
        <w:spacing w:line="386" w:lineRule="auto" w:before="176"/>
        <w:ind w:right="208"/>
        <w:jc w:val="both"/>
      </w:pPr>
      <w:r>
        <w:rPr>
          <w:spacing w:val="-2"/>
        </w:rPr>
        <w:t>售经理。</w:t>
      </w:r>
      <w:r>
        <w:rPr>
          <w:rFonts w:ascii="Times New Roman" w:hAnsi="Times New Roman" w:cs="Times New Roman" w:eastAsia="Times New Roman" w:hint="default"/>
          <w:spacing w:val="-2"/>
        </w:rPr>
        <w:t>2007</w:t>
      </w:r>
      <w:r>
        <w:rPr>
          <w:spacing w:val="-2"/>
        </w:rPr>
        <w:t>年至</w:t>
      </w:r>
      <w:r>
        <w:rPr>
          <w:rFonts w:ascii="Times New Roman" w:hAnsi="Times New Roman" w:cs="Times New Roman" w:eastAsia="Times New Roman" w:hint="default"/>
          <w:spacing w:val="-2"/>
        </w:rPr>
        <w:t>2009</w:t>
      </w:r>
      <w:r>
        <w:rPr>
          <w:spacing w:val="-2"/>
        </w:rPr>
        <w:t>年在</w:t>
      </w:r>
      <w:r>
        <w:rPr>
          <w:rFonts w:ascii="Times New Roman" w:hAnsi="Times New Roman" w:cs="Times New Roman" w:eastAsia="Times New Roman" w:hint="default"/>
          <w:spacing w:val="-2"/>
        </w:rPr>
        <w:t>Oracle</w:t>
      </w:r>
      <w:r>
        <w:rPr>
          <w:spacing w:val="-2"/>
        </w:rPr>
        <w:t>中国公司担任销售总监，先后负责过华东区和华南区的大客户销售部。</w:t>
      </w:r>
      <w:r>
        <w:rPr>
          <w:spacing w:val="-9"/>
        </w:rPr>
        <w:t> </w:t>
      </w:r>
      <w:r>
        <w:rPr>
          <w:spacing w:val="-9"/>
        </w:rPr>
      </w:r>
      <w:r>
        <w:rPr>
          <w:rFonts w:ascii="Times New Roman" w:hAnsi="Times New Roman" w:cs="Times New Roman" w:eastAsia="Times New Roman" w:hint="default"/>
          <w:spacing w:val="-2"/>
        </w:rPr>
        <w:t>2009</w:t>
      </w:r>
      <w:r>
        <w:rPr>
          <w:spacing w:val="-2"/>
        </w:rPr>
        <w:t>年至</w:t>
      </w:r>
      <w:r>
        <w:rPr>
          <w:rFonts w:ascii="Times New Roman" w:hAnsi="Times New Roman" w:cs="Times New Roman" w:eastAsia="Times New Roman" w:hint="default"/>
          <w:spacing w:val="-2"/>
        </w:rPr>
        <w:t>2011</w:t>
      </w:r>
      <w:r>
        <w:rPr>
          <w:spacing w:val="-2"/>
        </w:rPr>
        <w:t>年加入</w:t>
      </w:r>
      <w:r>
        <w:rPr>
          <w:rFonts w:ascii="Times New Roman" w:hAnsi="Times New Roman" w:cs="Times New Roman" w:eastAsia="Times New Roman" w:hint="default"/>
          <w:spacing w:val="-2"/>
        </w:rPr>
        <w:t>Avaya</w:t>
      </w:r>
      <w:r>
        <w:rPr>
          <w:spacing w:val="-2"/>
        </w:rPr>
        <w:t>中国公司担任中国区副总裁负责运营商等行业客户销售总经理。</w:t>
      </w:r>
      <w:r>
        <w:rPr>
          <w:rFonts w:ascii="Times New Roman" w:hAnsi="Times New Roman" w:cs="Times New Roman" w:eastAsia="Times New Roman" w:hint="default"/>
          <w:spacing w:val="-2"/>
        </w:rPr>
        <w:t>2011</w:t>
      </w:r>
      <w:r>
        <w:rPr>
          <w:spacing w:val="-2"/>
        </w:rPr>
        <w:t>年至今担</w:t>
      </w:r>
      <w:r>
        <w:rPr>
          <w:spacing w:val="-9"/>
        </w:rPr>
        <w:t> </w:t>
      </w:r>
      <w:r>
        <w:rPr>
          <w:spacing w:val="-9"/>
        </w:rPr>
      </w:r>
      <w:r>
        <w:rPr>
          <w:spacing w:val="-2"/>
        </w:rPr>
        <w:t>任上海天玑科技股份有限公司区域销售总监。</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15</w:t>
      </w:r>
      <w:r>
        <w:rPr>
          <w:spacing w:val="-2"/>
        </w:rPr>
        <w:t>日起担任公司第三届董事会董事。于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7</w:t>
      </w:r>
      <w:r>
        <w:rPr>
          <w:spacing w:val="-2"/>
        </w:rPr>
        <w:t>月</w:t>
      </w:r>
      <w:r>
        <w:rPr>
          <w:spacing w:val="-34"/>
        </w:rPr>
        <w:t> </w:t>
      </w:r>
      <w:r>
        <w:rPr>
          <w:rFonts w:ascii="Times New Roman" w:hAnsi="Times New Roman" w:cs="Times New Roman" w:eastAsia="Times New Roman" w:hint="default"/>
        </w:rPr>
        <w:t>19</w:t>
      </w:r>
      <w:r>
        <w:rPr/>
        <w:t>日因个人原因提出辞去董事及相关专门委员会职务。</w:t>
      </w:r>
    </w:p>
    <w:p>
      <w:pPr>
        <w:pStyle w:val="BodyText"/>
        <w:spacing w:line="386" w:lineRule="auto" w:before="35"/>
        <w:ind w:right="101" w:firstLine="420"/>
        <w:jc w:val="left"/>
      </w:pPr>
      <w:r>
        <w:rPr/>
        <w:t>叶磊先生，男，中国国籍， </w:t>
      </w:r>
      <w:r>
        <w:rPr>
          <w:rFonts w:ascii="Times New Roman" w:hAnsi="Times New Roman" w:cs="Times New Roman" w:eastAsia="Times New Roman" w:hint="default"/>
        </w:rPr>
        <w:t>1981</w:t>
      </w:r>
      <w:r>
        <w:rPr/>
        <w:t>年</w:t>
      </w:r>
      <w:r>
        <w:rPr>
          <w:rFonts w:ascii="Times New Roman" w:hAnsi="Times New Roman" w:cs="Times New Roman" w:eastAsia="Times New Roman" w:hint="default"/>
        </w:rPr>
        <w:t>8</w:t>
      </w:r>
      <w:r>
        <w:rPr/>
        <w:t>月出生， 大学本科学历</w:t>
      </w:r>
      <w:r>
        <w:rPr>
          <w:spacing w:val="-69"/>
        </w:rPr>
        <w:t> </w:t>
      </w:r>
      <w:r>
        <w:rPr/>
        <w:t>，</w:t>
      </w:r>
      <w:r>
        <w:rPr>
          <w:rFonts w:ascii="Times New Roman" w:hAnsi="Times New Roman" w:cs="Times New Roman" w:eastAsia="Times New Roman" w:hint="default"/>
        </w:rPr>
        <w:t>2004</w:t>
      </w:r>
      <w:r>
        <w:rPr/>
        <w:t>年至</w:t>
      </w:r>
      <w:r>
        <w:rPr>
          <w:rFonts w:ascii="Times New Roman" w:hAnsi="Times New Roman" w:cs="Times New Roman" w:eastAsia="Times New Roman" w:hint="default"/>
        </w:rPr>
        <w:t>2010</w:t>
      </w:r>
      <w:r>
        <w:rPr/>
        <w:t>年为上海联鼎软件信息</w:t>
      </w:r>
      <w:r>
        <w:rPr>
          <w:w w:val="100"/>
        </w:rPr>
        <w:t> </w:t>
      </w:r>
      <w:r>
        <w:rPr>
          <w:spacing w:val="-2"/>
        </w:rPr>
        <w:t>技术有限公司技术部经理。</w:t>
      </w:r>
      <w:r>
        <w:rPr>
          <w:rFonts w:ascii="Times New Roman" w:hAnsi="Times New Roman" w:cs="Times New Roman" w:eastAsia="Times New Roman" w:hint="default"/>
          <w:spacing w:val="-2"/>
        </w:rPr>
        <w:t>2010</w:t>
      </w:r>
      <w:r>
        <w:rPr>
          <w:spacing w:val="-2"/>
        </w:rPr>
        <w:t>年加入上海天玑科技股份有限公司至今，现任全资子公司上海力克数码科</w:t>
      </w:r>
      <w:r>
        <w:rPr>
          <w:spacing w:val="-38"/>
        </w:rPr>
        <w:t> </w:t>
      </w:r>
      <w:r>
        <w:rPr>
          <w:spacing w:val="-38"/>
        </w:rPr>
      </w:r>
      <w:r>
        <w:rPr/>
        <w:t>技有限公司总经理、上海天玑科技系统服务事业部总经理。</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15</w:t>
      </w:r>
      <w:r>
        <w:rPr/>
        <w:t>日起担任公司第三届董事会董事</w:t>
      </w:r>
      <w:r>
        <w:rPr>
          <w:w w:val="100"/>
        </w:rPr>
        <w:t> </w:t>
      </w:r>
      <w:r>
        <w:rPr/>
        <w:t>及副总经理。于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19</w:t>
      </w:r>
      <w:r>
        <w:rPr/>
        <w:t>日因个人原因提出辞去董事及相关专门委员会职务。</w:t>
      </w:r>
    </w:p>
    <w:p>
      <w:pPr>
        <w:pStyle w:val="BodyText"/>
        <w:spacing w:line="386" w:lineRule="auto" w:before="35"/>
        <w:ind w:right="101" w:firstLine="420"/>
        <w:jc w:val="left"/>
      </w:pPr>
      <w:r>
        <w:rPr/>
        <w:t>黄钰昌先生，</w:t>
      </w:r>
      <w:r>
        <w:rPr>
          <w:rFonts w:ascii="Times New Roman" w:hAnsi="Times New Roman" w:cs="Times New Roman" w:eastAsia="Times New Roman" w:hint="default"/>
        </w:rPr>
        <w:t>1955</w:t>
      </w:r>
      <w:r>
        <w:rPr/>
        <w:t>年</w:t>
      </w:r>
      <w:r>
        <w:rPr>
          <w:rFonts w:ascii="Times New Roman" w:hAnsi="Times New Roman" w:cs="Times New Roman" w:eastAsia="Times New Roman" w:hint="default"/>
        </w:rPr>
        <w:t>1</w:t>
      </w:r>
      <w:r>
        <w:rPr/>
        <w:t>月生，美国国籍。黄先生</w:t>
      </w:r>
      <w:r>
        <w:rPr>
          <w:rFonts w:ascii="Times New Roman" w:hAnsi="Times New Roman" w:cs="Times New Roman" w:eastAsia="Times New Roman" w:hint="default"/>
        </w:rPr>
        <w:t>1979</w:t>
      </w:r>
      <w:r>
        <w:rPr/>
        <w:t>年毕业于台湾政治大学，获得硕士学位，</w:t>
      </w:r>
      <w:r>
        <w:rPr>
          <w:rFonts w:ascii="Times New Roman" w:hAnsi="Times New Roman" w:cs="Times New Roman" w:eastAsia="Times New Roman" w:hint="default"/>
        </w:rPr>
        <w:t>1987</w:t>
      </w:r>
      <w:r>
        <w:rPr/>
        <w:t>年</w:t>
      </w:r>
      <w:r>
        <w:rPr>
          <w:w w:val="100"/>
        </w:rPr>
        <w:t> </w:t>
      </w:r>
      <w:r>
        <w:rPr/>
        <w:t>在加利福利亚伯克利分校获得博士学位。</w:t>
      </w:r>
      <w:r>
        <w:rPr>
          <w:rFonts w:ascii="Times New Roman" w:hAnsi="Times New Roman" w:cs="Times New Roman" w:eastAsia="Times New Roman" w:hint="default"/>
        </w:rPr>
        <w:t>1995- 2013</w:t>
      </w:r>
      <w:r>
        <w:rPr/>
        <w:t>年任亚利桑那州立大学凯瑞商学院会计系</w:t>
      </w:r>
      <w:r>
        <w:rPr>
          <w:rFonts w:ascii="Times New Roman" w:hAnsi="Times New Roman" w:cs="Times New Roman" w:eastAsia="Times New Roman" w:hint="default"/>
        </w:rPr>
        <w:t>,</w:t>
      </w:r>
      <w:r>
        <w:rPr/>
        <w:t>副教授</w:t>
      </w:r>
      <w:r>
        <w:rPr>
          <w:spacing w:val="-26"/>
        </w:rPr>
        <w:t> </w:t>
      </w:r>
      <w:r>
        <w:rPr>
          <w:rFonts w:ascii="Times New Roman" w:hAnsi="Times New Roman" w:cs="Times New Roman" w:eastAsia="Times New Roman" w:hint="default"/>
        </w:rPr>
        <w:t>(</w:t>
      </w:r>
      <w:r>
        <w:rPr/>
        <w:t>终</w:t>
      </w:r>
      <w:r>
        <w:rPr>
          <w:w w:val="100"/>
        </w:rPr>
        <w:t> </w:t>
      </w:r>
      <w:r>
        <w:rPr>
          <w:spacing w:val="-3"/>
        </w:rPr>
        <w:t>身教授</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25</w:t>
      </w:r>
      <w:r>
        <w:rPr>
          <w:spacing w:val="-3"/>
        </w:rPr>
        <w:t>日至</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24</w:t>
      </w:r>
      <w:r>
        <w:rPr>
          <w:spacing w:val="-3"/>
        </w:rPr>
        <w:t>日，担任宝钢股份独立董事。</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15</w:t>
      </w:r>
      <w:r>
        <w:rPr>
          <w:spacing w:val="-3"/>
        </w:rPr>
        <w:t>日至</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14</w:t>
      </w:r>
      <w:r>
        <w:rPr>
          <w:spacing w:val="-3"/>
        </w:rPr>
        <w:t>日担</w:t>
      </w:r>
      <w:r>
        <w:rPr>
          <w:spacing w:val="-28"/>
        </w:rPr>
        <w:t> </w:t>
      </w:r>
      <w:r>
        <w:rPr>
          <w:spacing w:val="-3"/>
        </w:rPr>
        <w:t>任上海家化联合股份有限公司独立董事。</w:t>
      </w:r>
      <w:r>
        <w:rPr>
          <w:rFonts w:ascii="Times New Roman" w:hAnsi="Times New Roman" w:cs="Times New Roman" w:eastAsia="Times New Roman" w:hint="default"/>
          <w:spacing w:val="-3"/>
        </w:rPr>
        <w:t>2013</w:t>
      </w:r>
      <w:r>
        <w:rPr>
          <w:spacing w:val="-3"/>
        </w:rPr>
        <w:t>年至今任中欧国际工商学院</w:t>
      </w:r>
      <w:r>
        <w:rPr>
          <w:rFonts w:ascii="Times New Roman" w:hAnsi="Times New Roman" w:cs="Times New Roman" w:eastAsia="Times New Roman" w:hint="default"/>
          <w:spacing w:val="-3"/>
        </w:rPr>
        <w:t>,</w:t>
      </w:r>
      <w:r>
        <w:rPr>
          <w:spacing w:val="-3"/>
        </w:rPr>
        <w:t>教授。在凯瑞商学院</w:t>
      </w:r>
      <w:r>
        <w:rPr>
          <w:rFonts w:ascii="Times New Roman" w:hAnsi="Times New Roman" w:cs="Times New Roman" w:eastAsia="Times New Roman" w:hint="default"/>
          <w:spacing w:val="-3"/>
        </w:rPr>
        <w:t>17</w:t>
      </w:r>
      <w:r>
        <w:rPr>
          <w:spacing w:val="-3"/>
        </w:rPr>
        <w:t>年的执教</w:t>
      </w:r>
      <w:r>
        <w:rPr>
          <w:spacing w:val="-41"/>
        </w:rPr>
        <w:t> </w:t>
      </w:r>
      <w:r>
        <w:rPr>
          <w:spacing w:val="-41"/>
        </w:rPr>
      </w:r>
      <w:r>
        <w:rPr>
          <w:spacing w:val="-4"/>
        </w:rPr>
        <w:t>生涯中，黄教授的授课主要对象为会计硕士及博士班，工商管理学硕士包括各式</w:t>
      </w:r>
      <w:r>
        <w:rPr>
          <w:rFonts w:ascii="Times New Roman" w:hAnsi="Times New Roman" w:cs="Times New Roman" w:eastAsia="Times New Roman" w:hint="default"/>
          <w:spacing w:val="-4"/>
        </w:rPr>
        <w:t>MBA</w:t>
      </w:r>
      <w:r>
        <w:rPr>
          <w:spacing w:val="-4"/>
        </w:rPr>
        <w:t>课程，以及为高级管</w:t>
      </w:r>
      <w:r>
        <w:rPr>
          <w:spacing w:val="-7"/>
        </w:rPr>
        <w:t> </w:t>
      </w:r>
      <w:r>
        <w:rPr>
          <w:spacing w:val="-7"/>
        </w:rPr>
      </w:r>
      <w:r>
        <w:rPr>
          <w:spacing w:val="-4"/>
          <w:w w:val="100"/>
        </w:rPr>
        <w:t>理人员开设的</w:t>
      </w:r>
      <w:r>
        <w:rPr>
          <w:rFonts w:ascii="Times New Roman" w:hAnsi="Times New Roman" w:cs="Times New Roman" w:eastAsia="Times New Roman" w:hint="default"/>
          <w:spacing w:val="-4"/>
          <w:w w:val="100"/>
        </w:rPr>
        <w:t>EMBA</w:t>
      </w:r>
      <w:r>
        <w:rPr>
          <w:spacing w:val="-4"/>
          <w:w w:val="100"/>
        </w:rPr>
        <w:t>专业项目和博士生管理会计研究。黄教授历任亚利桑那州立大学会计学系博士班主任，</w:t>
      </w:r>
      <w:r>
        <w:rPr>
          <w:spacing w:val="-81"/>
          <w:w w:val="100"/>
        </w:rPr>
        <w:t> </w:t>
      </w:r>
      <w:r>
        <w:rPr>
          <w:spacing w:val="-81"/>
          <w:w w:val="100"/>
        </w:rPr>
      </w:r>
      <w:r>
        <w:rPr/>
        <w:t>历年来担任约</w:t>
      </w:r>
      <w:r>
        <w:rPr>
          <w:rFonts w:ascii="Times New Roman" w:hAnsi="Times New Roman" w:cs="Times New Roman" w:eastAsia="Times New Roman" w:hint="default"/>
        </w:rPr>
        <w:t>25</w:t>
      </w:r>
      <w:r>
        <w:rPr/>
        <w:t>位博士生论文的督导。其在许多国际著名学术刊物上发表文章并获得多项奖项。</w:t>
      </w:r>
      <w:r>
        <w:rPr>
          <w:rFonts w:ascii="Times New Roman" w:hAnsi="Times New Roman" w:cs="Times New Roman" w:eastAsia="Times New Roman" w:hint="default"/>
        </w:rPr>
        <w:t>2014</w:t>
      </w:r>
      <w:r>
        <w:rPr>
          <w:rFonts w:ascii="Times New Roman" w:hAnsi="Times New Roman" w:cs="Times New Roman" w:eastAsia="Times New Roman" w:hint="default"/>
          <w:spacing w:val="28"/>
        </w:rPr>
        <w:t> </w:t>
      </w:r>
      <w:r>
        <w:rPr/>
        <w:t>年</w:t>
      </w:r>
      <w:r>
        <w:rPr>
          <w:w w:val="100"/>
        </w:rPr>
        <w:t> </w:t>
      </w:r>
      <w:r>
        <w:rPr/>
        <w:t>他获得中欧国际工商学院优秀教学奖。于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19</w:t>
      </w:r>
      <w:r>
        <w:rPr/>
        <w:t>日因个人原因提出辞去董事及相关专门委员会职</w:t>
      </w:r>
      <w:r>
        <w:rPr>
          <w:w w:val="100"/>
        </w:rPr>
        <w:t> </w:t>
      </w:r>
      <w:r>
        <w:rPr/>
        <w:t>务。</w:t>
      </w:r>
    </w:p>
    <w:p>
      <w:pPr>
        <w:pStyle w:val="BodyText"/>
        <w:spacing w:line="398" w:lineRule="auto" w:before="65"/>
        <w:ind w:right="101" w:firstLine="420"/>
        <w:jc w:val="left"/>
      </w:pPr>
      <w:r>
        <w:rPr/>
        <w:t>徐宇舟先生，男，</w:t>
      </w:r>
      <w:r>
        <w:rPr>
          <w:rFonts w:ascii="Times New Roman" w:hAnsi="Times New Roman" w:cs="Times New Roman" w:eastAsia="Times New Roman" w:hint="default"/>
        </w:rPr>
        <w:t>1978</w:t>
      </w:r>
      <w:r>
        <w:rPr/>
        <w:t>年</w:t>
      </w:r>
      <w:r>
        <w:rPr>
          <w:rFonts w:ascii="Times New Roman" w:hAnsi="Times New Roman" w:cs="Times New Roman" w:eastAsia="Times New Roman" w:hint="default"/>
        </w:rPr>
        <w:t>7</w:t>
      </w:r>
      <w:r>
        <w:rPr/>
        <w:t>月生，中共党员，汉族，研究生学历，硕士学位，上海原本律师事务所高</w:t>
      </w:r>
      <w:r>
        <w:rPr>
          <w:w w:val="100"/>
        </w:rPr>
        <w:t> </w:t>
      </w:r>
      <w:r>
        <w:rPr>
          <w:spacing w:val="-2"/>
        </w:rPr>
        <w:t>级合伙人，党支部书记。中国保险资产管理业协会法律专家库成员，上海联交所增资业务评审专家，上海</w:t>
      </w:r>
      <w:r>
        <w:rPr>
          <w:spacing w:val="-47"/>
        </w:rPr>
        <w:t> </w:t>
      </w:r>
      <w:r>
        <w:rPr>
          <w:spacing w:val="-47"/>
        </w:rPr>
      </w:r>
      <w:r>
        <w:rPr>
          <w:spacing w:val="-2"/>
        </w:rPr>
        <w:t>律师协会国资国企委员会副主任。作为在国资及金融法律服务行业拥有领先地位的律师，徐宇舟在近二十</w:t>
      </w:r>
      <w:r>
        <w:rPr>
          <w:spacing w:val="-44"/>
        </w:rPr>
        <w:t> </w:t>
      </w:r>
      <w:r>
        <w:rPr>
          <w:spacing w:val="-44"/>
        </w:rPr>
      </w:r>
      <w:r>
        <w:rPr>
          <w:spacing w:val="-2"/>
        </w:rPr>
        <w:t>年的从业过程中，专业服务于各类国有集团，上市公司及各类金融及资产管理机构提供法律服务。</w:t>
      </w:r>
      <w:r>
        <w:rPr>
          <w:rFonts w:ascii="Times New Roman" w:hAnsi="Times New Roman" w:cs="Times New Roman" w:eastAsia="Times New Roman" w:hint="default"/>
          <w:spacing w:val="-2"/>
        </w:rPr>
        <w:t>2015</w:t>
      </w:r>
      <w:r>
        <w:rPr>
          <w:spacing w:val="-2"/>
        </w:rPr>
        <w:t>，</w:t>
      </w:r>
      <w:r>
        <w:rPr>
          <w:spacing w:val="-18"/>
        </w:rPr>
        <w:t> </w:t>
      </w:r>
      <w:r>
        <w:rPr>
          <w:rFonts w:ascii="Times New Roman" w:hAnsi="Times New Roman" w:cs="Times New Roman" w:eastAsia="Times New Roman" w:hint="default"/>
        </w:rPr>
        <w:t>2016</w:t>
      </w:r>
      <w:r>
        <w:rPr/>
        <w:t>连续两年被国际顶级法律评级机构</w:t>
      </w:r>
      <w:r>
        <w:rPr>
          <w:rFonts w:ascii="Times New Roman" w:hAnsi="Times New Roman" w:cs="Times New Roman" w:eastAsia="Times New Roman" w:hint="default"/>
        </w:rPr>
        <w:t>Legalband</w:t>
      </w:r>
      <w:r>
        <w:rPr/>
        <w:t>评定为</w:t>
      </w:r>
      <w:r>
        <w:rPr>
          <w:rFonts w:ascii="Times New Roman" w:hAnsi="Times New Roman" w:cs="Times New Roman" w:eastAsia="Times New Roman" w:hint="default"/>
        </w:rPr>
        <w:t>“</w:t>
      </w:r>
      <w:r>
        <w:rPr/>
        <w:t>资产证券化与衍生产品</w:t>
      </w:r>
      <w:r>
        <w:rPr>
          <w:rFonts w:ascii="Times New Roman" w:hAnsi="Times New Roman" w:cs="Times New Roman" w:eastAsia="Times New Roman" w:hint="default"/>
        </w:rPr>
        <w:t>”</w:t>
      </w:r>
      <w:r>
        <w:rPr/>
        <w:t>中国领先律师。</w:t>
      </w:r>
    </w:p>
    <w:p>
      <w:pPr>
        <w:pStyle w:val="BodyText"/>
        <w:spacing w:line="398" w:lineRule="auto" w:before="24"/>
        <w:ind w:right="101" w:firstLine="420"/>
        <w:jc w:val="left"/>
      </w:pPr>
      <w:r>
        <w:rPr>
          <w:spacing w:val="-2"/>
        </w:rPr>
        <w:t>姚宝敬先生，男</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6"/>
        </w:rPr>
        <w:t> </w:t>
      </w:r>
      <w:r>
        <w:rPr>
          <w:rFonts w:ascii="Times New Roman" w:hAnsi="Times New Roman" w:cs="Times New Roman" w:eastAsia="Times New Roman" w:hint="default"/>
          <w:spacing w:val="-2"/>
        </w:rPr>
        <w:t>1976</w:t>
      </w:r>
      <w:r>
        <w:rPr>
          <w:spacing w:val="-2"/>
        </w:rPr>
        <w:t>年出生</w:t>
      </w:r>
      <w:r>
        <w:rPr>
          <w:rFonts w:ascii="Times New Roman" w:hAnsi="Times New Roman" w:cs="Times New Roman" w:eastAsia="Times New Roman" w:hint="default"/>
          <w:spacing w:val="-2"/>
        </w:rPr>
        <w:t>,</w:t>
      </w:r>
      <w:r>
        <w:rPr>
          <w:spacing w:val="-2"/>
        </w:rPr>
        <w:t>经济学学士、软件工程硕士。</w:t>
      </w:r>
      <w:r>
        <w:rPr>
          <w:rFonts w:ascii="Times New Roman" w:hAnsi="Times New Roman" w:cs="Times New Roman" w:eastAsia="Times New Roman" w:hint="default"/>
          <w:spacing w:val="-2"/>
        </w:rPr>
        <w:t>2001</w:t>
      </w:r>
      <w:r>
        <w:rPr>
          <w:spacing w:val="-2"/>
        </w:rPr>
        <w:t>年</w:t>
      </w:r>
      <w:r>
        <w:rPr>
          <w:rFonts w:ascii="Times New Roman" w:hAnsi="Times New Roman" w:cs="Times New Roman" w:eastAsia="Times New Roman" w:hint="default"/>
          <w:spacing w:val="-2"/>
        </w:rPr>
        <w:t>6</w:t>
      </w:r>
      <w:r>
        <w:rPr>
          <w:spacing w:val="-2"/>
        </w:rPr>
        <w:t>月起在上海市软件行业协会任职，</w:t>
      </w:r>
      <w:r>
        <w:rPr>
          <w:w w:val="100"/>
        </w:rPr>
        <w:t> </w:t>
      </w:r>
      <w:r>
        <w:rPr>
          <w:spacing w:val="-2"/>
        </w:rPr>
        <w:t>现任常务副秘书长，兼任上海</w:t>
      </w:r>
      <w:r>
        <w:rPr>
          <w:rFonts w:ascii="Times New Roman" w:hAnsi="Times New Roman" w:cs="Times New Roman" w:eastAsia="Times New Roman" w:hint="default"/>
          <w:spacing w:val="-2"/>
        </w:rPr>
        <w:t>BIM</w:t>
      </w:r>
      <w:r>
        <w:rPr>
          <w:spacing w:val="-2"/>
        </w:rPr>
        <w:t>技术创新联盟秘书长及行业专家库专家。姚宝敬先生一直从事软件产业</w:t>
      </w:r>
      <w:r>
        <w:rPr>
          <w:spacing w:val="-17"/>
        </w:rPr>
        <w:t> </w:t>
      </w:r>
      <w:r>
        <w:rPr>
          <w:spacing w:val="-17"/>
        </w:rPr>
      </w:r>
      <w:r>
        <w:rPr>
          <w:spacing w:val="-2"/>
        </w:rPr>
        <w:t>发展态势研究与行业服务工作。作为行业代表，积极为市区政府主管部门制定软件产业及细分领域促进政</w:t>
      </w:r>
      <w:r>
        <w:rPr>
          <w:spacing w:val="-42"/>
        </w:rPr>
        <w:t> </w:t>
      </w:r>
      <w:r>
        <w:rPr>
          <w:spacing w:val="-42"/>
        </w:rPr>
      </w:r>
      <w:r>
        <w:rPr>
          <w:spacing w:val="-2"/>
        </w:rPr>
        <w:t>策提供咨询建议；长期从事产业发展、技术趋势、公共服务平台、研发政策、云计算、</w:t>
      </w:r>
      <w:r>
        <w:rPr>
          <w:rFonts w:ascii="Times New Roman" w:hAnsi="Times New Roman" w:cs="Times New Roman" w:eastAsia="Times New Roman" w:hint="default"/>
          <w:spacing w:val="-2"/>
        </w:rPr>
        <w:t>BIM</w:t>
      </w:r>
      <w:r>
        <w:rPr>
          <w:spacing w:val="-2"/>
        </w:rPr>
        <w:t>、人工智能等</w:t>
      </w:r>
      <w:r>
        <w:rPr>
          <w:spacing w:val="-17"/>
        </w:rPr>
        <w:t> </w:t>
      </w:r>
      <w:r>
        <w:rPr>
          <w:spacing w:val="-17"/>
        </w:rPr>
      </w:r>
      <w:r>
        <w:rPr>
          <w:spacing w:val="-2"/>
        </w:rPr>
        <w:t>科题的研究，取得了丰硕成果；先后组织各类大型行业活动，促进软件技术沟通，推动行业标准建设与知</w:t>
      </w:r>
      <w:r>
        <w:rPr>
          <w:spacing w:val="-50"/>
        </w:rPr>
        <w:t> </w:t>
      </w:r>
      <w:r>
        <w:rPr>
          <w:spacing w:val="-50"/>
        </w:rPr>
      </w:r>
      <w:r>
        <w:rPr>
          <w:spacing w:val="-2"/>
        </w:rPr>
        <w:t>识产权保护；积极促进上海软件企业与欧美、日韩等国企业的技术与商业交流，推进软件及信息技术服务</w:t>
      </w:r>
      <w:r>
        <w:rPr>
          <w:spacing w:val="-42"/>
        </w:rPr>
        <w:t> </w:t>
      </w:r>
      <w:r>
        <w:rPr>
          <w:spacing w:val="-42"/>
        </w:rPr>
      </w:r>
      <w:r>
        <w:rPr/>
        <w:t>出口。</w:t>
      </w:r>
    </w:p>
    <w:p>
      <w:pPr>
        <w:pStyle w:val="BodyText"/>
        <w:spacing w:line="240" w:lineRule="auto" w:before="54"/>
        <w:ind w:right="0"/>
        <w:jc w:val="both"/>
      </w:pPr>
      <w:r>
        <w:rPr>
          <w:rFonts w:ascii="Times New Roman" w:hAnsi="Times New Roman" w:cs="Times New Roman" w:eastAsia="Times New Roman" w:hint="default"/>
        </w:rPr>
        <w:t>2</w:t>
      </w:r>
      <w:r>
        <w:rPr/>
        <w:t>、公司现任监事最近</w:t>
      </w:r>
      <w:r>
        <w:rPr>
          <w:rFonts w:ascii="Times New Roman" w:hAnsi="Times New Roman" w:cs="Times New Roman" w:eastAsia="Times New Roman" w:hint="default"/>
        </w:rPr>
        <w:t>5</w:t>
      </w:r>
      <w:r>
        <w:rPr/>
        <w:t>年的主要工作经历：</w:t>
      </w:r>
    </w:p>
    <w:p>
      <w:pPr>
        <w:spacing w:after="0" w:line="240" w:lineRule="auto"/>
        <w:jc w:val="both"/>
        <w:sectPr>
          <w:footerReference w:type="default" r:id="rId20"/>
          <w:pgSz w:w="11910" w:h="16840"/>
          <w:pgMar w:footer="979" w:header="745" w:top="1060" w:bottom="1160" w:left="980" w:right="920"/>
          <w:pgNumType w:start="84"/>
        </w:sectPr>
      </w:pPr>
    </w:p>
    <w:p>
      <w:pPr>
        <w:spacing w:line="240" w:lineRule="auto" w:before="0"/>
        <w:rPr>
          <w:rFonts w:ascii="宋体" w:hAnsi="宋体" w:cs="宋体" w:eastAsia="宋体" w:hint="default"/>
          <w:sz w:val="20"/>
          <w:szCs w:val="20"/>
        </w:rPr>
      </w:pPr>
    </w:p>
    <w:p>
      <w:pPr>
        <w:pStyle w:val="BodyText"/>
        <w:spacing w:line="386" w:lineRule="auto" w:before="176"/>
        <w:ind w:right="101" w:firstLine="420"/>
        <w:jc w:val="left"/>
      </w:pPr>
      <w:r>
        <w:rPr/>
        <w:t>彭玉龙先生，男，中国国籍，无境外永久居留权，</w:t>
      </w:r>
      <w:r>
        <w:rPr>
          <w:rFonts w:ascii="Times New Roman" w:hAnsi="Times New Roman" w:cs="Times New Roman" w:eastAsia="Times New Roman" w:hint="default"/>
        </w:rPr>
        <w:t>1964</w:t>
      </w:r>
      <w:r>
        <w:rPr/>
        <w:t>年</w:t>
      </w:r>
      <w:r>
        <w:rPr>
          <w:rFonts w:ascii="Times New Roman" w:hAnsi="Times New Roman" w:cs="Times New Roman" w:eastAsia="Times New Roman" w:hint="default"/>
        </w:rPr>
        <w:t>8</w:t>
      </w:r>
      <w:r>
        <w:rPr/>
        <w:t>月出生，上海交通大学本科学历、中欧工</w:t>
      </w:r>
      <w:r>
        <w:rPr>
          <w:w w:val="100"/>
        </w:rPr>
        <w:t> </w:t>
      </w:r>
      <w:r>
        <w:rPr>
          <w:spacing w:val="-4"/>
        </w:rPr>
        <w:t>商学院</w:t>
      </w:r>
      <w:r>
        <w:rPr>
          <w:rFonts w:ascii="Times New Roman" w:hAnsi="Times New Roman" w:cs="Times New Roman" w:eastAsia="Times New Roman" w:hint="default"/>
          <w:spacing w:val="-4"/>
        </w:rPr>
        <w:t>EMBA</w:t>
      </w:r>
      <w:r>
        <w:rPr>
          <w:spacing w:val="-4"/>
        </w:rPr>
        <w:t>。</w:t>
      </w:r>
      <w:r>
        <w:rPr>
          <w:rFonts w:ascii="Times New Roman" w:hAnsi="Times New Roman" w:cs="Times New Roman" w:eastAsia="Times New Roman" w:hint="default"/>
          <w:spacing w:val="-4"/>
        </w:rPr>
        <w:t>1986</w:t>
      </w:r>
      <w:r>
        <w:rPr>
          <w:spacing w:val="-4"/>
        </w:rPr>
        <w:t>年至</w:t>
      </w:r>
      <w:r>
        <w:rPr>
          <w:rFonts w:ascii="Times New Roman" w:hAnsi="Times New Roman" w:cs="Times New Roman" w:eastAsia="Times New Roman" w:hint="default"/>
          <w:spacing w:val="-4"/>
        </w:rPr>
        <w:t>1992</w:t>
      </w:r>
      <w:r>
        <w:rPr>
          <w:spacing w:val="-4"/>
        </w:rPr>
        <w:t>年就职上海王安电脑有限公司，历任维保工程师，首席宽带网设计顾问等职。</w:t>
      </w:r>
      <w:r>
        <w:rPr>
          <w:spacing w:val="-14"/>
        </w:rPr>
        <w:t> </w:t>
      </w:r>
      <w:r>
        <w:rPr>
          <w:spacing w:val="-14"/>
        </w:rPr>
      </w:r>
      <w:r>
        <w:rPr>
          <w:rFonts w:ascii="Times New Roman" w:hAnsi="Times New Roman" w:cs="Times New Roman" w:eastAsia="Times New Roman" w:hint="default"/>
          <w:spacing w:val="-2"/>
        </w:rPr>
        <w:t>1992</w:t>
      </w:r>
      <w:r>
        <w:rPr>
          <w:spacing w:val="-2"/>
        </w:rPr>
        <w:t>年至</w:t>
      </w:r>
      <w:r>
        <w:rPr>
          <w:rFonts w:ascii="Times New Roman" w:hAnsi="Times New Roman" w:cs="Times New Roman" w:eastAsia="Times New Roman" w:hint="default"/>
          <w:spacing w:val="-2"/>
        </w:rPr>
        <w:t>2008</w:t>
      </w:r>
      <w:r>
        <w:rPr>
          <w:spacing w:val="-2"/>
        </w:rPr>
        <w:t>年就职中国惠普有限公司，历任技术咨询顾问，技术咨询经理，技术咨询总监等职。</w:t>
      </w:r>
      <w:r>
        <w:rPr>
          <w:rFonts w:ascii="Times New Roman" w:hAnsi="Times New Roman" w:cs="Times New Roman" w:eastAsia="Times New Roman" w:hint="default"/>
          <w:spacing w:val="-2"/>
        </w:rPr>
        <w:t>2009</w:t>
      </w:r>
      <w:r>
        <w:rPr>
          <w:spacing w:val="-2"/>
        </w:rPr>
        <w:t>年</w:t>
      </w:r>
      <w:r>
        <w:rPr>
          <w:spacing w:val="-37"/>
        </w:rPr>
        <w:t> </w:t>
      </w:r>
      <w:r>
        <w:rPr/>
        <w:t>至今任职上海天玑科技股份有限公司，历任综合服务事业部经理，解决方案中心经理、</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15</w:t>
      </w:r>
      <w:r>
        <w:rPr/>
        <w:t>日起</w:t>
      </w:r>
      <w:r>
        <w:rPr>
          <w:spacing w:val="-3"/>
          <w:w w:val="100"/>
        </w:rPr>
        <w:t> </w:t>
      </w:r>
      <w:r>
        <w:rPr/>
        <w:t>任公司第三届监事会监事。</w:t>
      </w:r>
    </w:p>
    <w:p>
      <w:pPr>
        <w:pStyle w:val="BodyText"/>
        <w:spacing w:line="386" w:lineRule="auto" w:before="65"/>
        <w:ind w:right="101" w:firstLine="420"/>
        <w:jc w:val="left"/>
      </w:pPr>
      <w:r>
        <w:rPr/>
        <w:t>王艺女士，女，中国国籍，无境外永久居留权，</w:t>
      </w:r>
      <w:r>
        <w:rPr>
          <w:rFonts w:ascii="Times New Roman" w:hAnsi="Times New Roman" w:cs="Times New Roman" w:eastAsia="Times New Roman" w:hint="default"/>
        </w:rPr>
        <w:t>1992</w:t>
      </w:r>
      <w:r>
        <w:rPr/>
        <w:t>年</w:t>
      </w:r>
      <w:r>
        <w:rPr>
          <w:rFonts w:ascii="Times New Roman" w:hAnsi="Times New Roman" w:cs="Times New Roman" w:eastAsia="Times New Roman" w:hint="default"/>
        </w:rPr>
        <w:t>2</w:t>
      </w:r>
      <w:r>
        <w:rPr/>
        <w:t>月出生，上海政法学院本科学历。</w:t>
      </w:r>
      <w:r>
        <w:rPr>
          <w:rFonts w:ascii="Times New Roman" w:hAnsi="Times New Roman" w:cs="Times New Roman" w:eastAsia="Times New Roman" w:hint="default"/>
        </w:rPr>
        <w:t>2013</w:t>
      </w:r>
      <w:r>
        <w:rPr/>
        <w:t>年至</w:t>
      </w:r>
      <w:r>
        <w:rPr>
          <w:spacing w:val="-3"/>
          <w:w w:val="100"/>
        </w:rPr>
        <w:t> </w:t>
      </w:r>
      <w:r>
        <w:rPr>
          <w:rFonts w:ascii="Times New Roman" w:hAnsi="Times New Roman" w:cs="Times New Roman" w:eastAsia="Times New Roman" w:hint="default"/>
          <w:spacing w:val="-2"/>
        </w:rPr>
        <w:t>2014</w:t>
      </w:r>
      <w:r>
        <w:rPr>
          <w:spacing w:val="-2"/>
        </w:rPr>
        <w:t>年于上海市新闵律师事务所实习，任律师助理。</w:t>
      </w:r>
      <w:r>
        <w:rPr>
          <w:rFonts w:ascii="Times New Roman" w:hAnsi="Times New Roman" w:cs="Times New Roman" w:eastAsia="Times New Roman" w:hint="default"/>
          <w:spacing w:val="-2"/>
        </w:rPr>
        <w:t>2015</w:t>
      </w:r>
      <w:r>
        <w:rPr>
          <w:spacing w:val="-2"/>
        </w:rPr>
        <w:t>年至今就职上海天玑科技股份有限公司，任公司</w:t>
      </w:r>
      <w:r>
        <w:rPr>
          <w:spacing w:val="-36"/>
        </w:rPr>
        <w:t> </w:t>
      </w:r>
      <w:r>
        <w:rPr>
          <w:spacing w:val="-36"/>
        </w:rPr>
      </w:r>
      <w:r>
        <w:rPr/>
        <w:t>法务。</w:t>
      </w:r>
    </w:p>
    <w:p>
      <w:pPr>
        <w:pStyle w:val="BodyText"/>
        <w:spacing w:line="386" w:lineRule="auto" w:before="65"/>
        <w:ind w:right="101" w:firstLine="420"/>
        <w:jc w:val="left"/>
      </w:pPr>
      <w:r>
        <w:rPr>
          <w:spacing w:val="-2"/>
        </w:rPr>
        <w:t>刘思女士，女，中国国籍，无境外永久居留权，</w:t>
      </w:r>
      <w:r>
        <w:rPr>
          <w:rFonts w:ascii="Times New Roman" w:hAnsi="Times New Roman" w:cs="Times New Roman" w:eastAsia="Times New Roman" w:hint="default"/>
          <w:spacing w:val="-2"/>
        </w:rPr>
        <w:t>1982</w:t>
      </w:r>
      <w:r>
        <w:rPr>
          <w:spacing w:val="-2"/>
        </w:rPr>
        <w:t>年</w:t>
      </w:r>
      <w:r>
        <w:rPr>
          <w:rFonts w:ascii="Times New Roman" w:hAnsi="Times New Roman" w:cs="Times New Roman" w:eastAsia="Times New Roman" w:hint="default"/>
          <w:spacing w:val="-2"/>
        </w:rPr>
        <w:t>2</w:t>
      </w:r>
      <w:r>
        <w:rPr>
          <w:spacing w:val="-2"/>
        </w:rPr>
        <w:t>月出生，武汉理工专科学历。</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2</w:t>
      </w:r>
      <w:r>
        <w:rPr>
          <w:spacing w:val="-2"/>
        </w:rPr>
        <w:t>月至今</w:t>
      </w:r>
      <w:r>
        <w:rPr>
          <w:w w:val="100"/>
        </w:rPr>
        <w:t> </w:t>
      </w:r>
      <w:r>
        <w:rPr/>
        <w:t>担任上海天玑科技股份有限公司销售运营管理部主管一职。</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15</w:t>
      </w:r>
      <w:r>
        <w:rPr/>
        <w:t>日起任天玑科技第三届监事会职</w:t>
      </w:r>
      <w:r>
        <w:rPr>
          <w:w w:val="100"/>
        </w:rPr>
        <w:t> </w:t>
      </w:r>
      <w:r>
        <w:rPr/>
        <w:t>工代表监事。</w:t>
      </w:r>
    </w:p>
    <w:p>
      <w:pPr>
        <w:pStyle w:val="BodyText"/>
        <w:spacing w:line="386" w:lineRule="auto" w:before="65"/>
        <w:ind w:right="207" w:firstLine="420"/>
        <w:jc w:val="left"/>
      </w:pPr>
      <w:r>
        <w:rPr/>
        <w:t>陈建琪先生，男，</w:t>
      </w:r>
      <w:r>
        <w:rPr>
          <w:spacing w:val="-33"/>
        </w:rPr>
        <w:t> </w:t>
      </w:r>
      <w:r>
        <w:rPr/>
        <w:t>中国国籍，无境外永久居留权，</w:t>
      </w:r>
      <w:r>
        <w:rPr>
          <w:rFonts w:ascii="Times New Roman" w:hAnsi="Times New Roman" w:cs="Times New Roman" w:eastAsia="Times New Roman" w:hint="default"/>
        </w:rPr>
        <w:t>1982</w:t>
      </w:r>
      <w:r>
        <w:rPr/>
        <w:t>年</w:t>
      </w:r>
      <w:r>
        <w:rPr>
          <w:rFonts w:ascii="Times New Roman" w:hAnsi="Times New Roman" w:cs="Times New Roman" w:eastAsia="Times New Roman" w:hint="default"/>
        </w:rPr>
        <w:t>7</w:t>
      </w:r>
      <w:r>
        <w:rPr/>
        <w:t>月出生，大学本科学历。现任天玑科技旗</w:t>
      </w:r>
      <w:r>
        <w:rPr>
          <w:w w:val="100"/>
        </w:rPr>
        <w:t> </w:t>
      </w:r>
      <w:r>
        <w:rPr/>
        <w:t>下子公司上海缔塔科技技术有限公司副总经理。</w:t>
      </w:r>
      <w:r>
        <w:rPr>
          <w:rFonts w:ascii="Times New Roman" w:hAnsi="Times New Roman" w:cs="Times New Roman" w:eastAsia="Times New Roman" w:hint="default"/>
        </w:rPr>
        <w:t>2007</w:t>
      </w:r>
      <w:r>
        <w:rPr/>
        <w:t>年至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月在华为技术有限公司担任产品经理；</w:t>
      </w:r>
      <w:r>
        <w:rPr>
          <w:w w:val="100"/>
        </w:rPr>
        <w:t> </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5</w:t>
      </w:r>
      <w:r>
        <w:rPr>
          <w:spacing w:val="-2"/>
        </w:rPr>
        <w:t>月在上海傲银信息技术有限公司担任总经理；</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5</w:t>
      </w:r>
      <w:r>
        <w:rPr>
          <w:spacing w:val="-2"/>
        </w:rPr>
        <w:t>月至今在上海缔塔科技有限公</w:t>
      </w:r>
      <w:r>
        <w:rPr>
          <w:spacing w:val="-33"/>
        </w:rPr>
        <w:t> </w:t>
      </w:r>
      <w:r>
        <w:rPr>
          <w:spacing w:val="-33"/>
        </w:rPr>
      </w:r>
      <w:r>
        <w:rPr/>
        <w:t>司担任副总经理，负责缔塔科技整体运营、市场、技术等公司管理工作。其于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17</w:t>
      </w:r>
      <w:r>
        <w:rPr/>
        <w:t>日提出辞去监</w:t>
      </w:r>
      <w:r>
        <w:rPr>
          <w:w w:val="100"/>
        </w:rPr>
        <w:t> </w:t>
      </w:r>
      <w:r>
        <w:rPr/>
        <w:t>事职务，公司于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12</w:t>
      </w:r>
      <w:r>
        <w:rPr/>
        <w:t>日</w:t>
      </w:r>
      <w:r>
        <w:rPr>
          <w:rFonts w:ascii="Times New Roman" w:hAnsi="Times New Roman" w:cs="Times New Roman" w:eastAsia="Times New Roman" w:hint="default"/>
        </w:rPr>
        <w:t>2016</w:t>
      </w:r>
      <w:r>
        <w:rPr/>
        <w:t>年股东大会决议补选了新任监事。</w:t>
      </w:r>
      <w:r>
        <w:rPr>
          <w:w w:val="100"/>
        </w:rPr>
        <w:t> </w:t>
      </w:r>
      <w:r>
        <w:rPr>
          <w:rFonts w:ascii="Times New Roman" w:hAnsi="Times New Roman" w:cs="Times New Roman" w:eastAsia="Times New Roman" w:hint="default"/>
        </w:rPr>
        <w:t>3</w:t>
      </w:r>
      <w:r>
        <w:rPr/>
        <w:t>、公司现任高级管理人员最近</w:t>
      </w:r>
      <w:r>
        <w:rPr>
          <w:rFonts w:ascii="Times New Roman" w:hAnsi="Times New Roman" w:cs="Times New Roman" w:eastAsia="Times New Roman" w:hint="default"/>
        </w:rPr>
        <w:t>5</w:t>
      </w:r>
      <w:r>
        <w:rPr/>
        <w:t>年的主要工作经历：</w:t>
      </w:r>
    </w:p>
    <w:p>
      <w:pPr>
        <w:pStyle w:val="BodyText"/>
        <w:spacing w:line="386" w:lineRule="auto" w:before="35"/>
        <w:ind w:right="101" w:firstLine="420"/>
        <w:jc w:val="left"/>
      </w:pPr>
      <w:r>
        <w:rPr>
          <w:spacing w:val="-4"/>
        </w:rPr>
        <w:t>陆廷洁女士，女，中国国籍，无境外永久居留权，</w:t>
      </w:r>
      <w:r>
        <w:rPr>
          <w:rFonts w:ascii="Times New Roman" w:hAnsi="Times New Roman" w:cs="Times New Roman" w:eastAsia="Times New Roman" w:hint="default"/>
          <w:spacing w:val="-4"/>
        </w:rPr>
        <w:t>1976</w:t>
      </w:r>
      <w:r>
        <w:rPr>
          <w:spacing w:val="-4"/>
        </w:rPr>
        <w:t>年</w:t>
      </w:r>
      <w:r>
        <w:rPr>
          <w:rFonts w:ascii="Times New Roman" w:hAnsi="Times New Roman" w:cs="Times New Roman" w:eastAsia="Times New Roman" w:hint="default"/>
          <w:spacing w:val="-4"/>
        </w:rPr>
        <w:t>12</w:t>
      </w:r>
      <w:r>
        <w:rPr>
          <w:spacing w:val="-4"/>
        </w:rPr>
        <w:t>月出生，大学本科学历。公司董事会秘书、</w:t>
      </w:r>
      <w:r>
        <w:rPr>
          <w:w w:val="100"/>
        </w:rPr>
        <w:t> </w:t>
      </w:r>
      <w:r>
        <w:rPr/>
        <w:t>副总经理兼财务总监。</w:t>
      </w:r>
      <w:r>
        <w:rPr>
          <w:rFonts w:ascii="Times New Roman" w:hAnsi="Times New Roman" w:cs="Times New Roman" w:eastAsia="Times New Roman" w:hint="default"/>
        </w:rPr>
        <w:t>2002</w:t>
      </w:r>
      <w:r>
        <w:rPr/>
        <w:t>年加入天玑有限，历任商务经理、副总经理、董事会秘书等职务。</w:t>
      </w:r>
    </w:p>
    <w:p>
      <w:pPr>
        <w:pStyle w:val="BodyText"/>
        <w:spacing w:line="381" w:lineRule="auto" w:before="35"/>
        <w:ind w:right="101" w:firstLine="420"/>
        <w:jc w:val="left"/>
        <w:rPr>
          <w:sz w:val="18"/>
          <w:szCs w:val="18"/>
        </w:rPr>
      </w:pPr>
      <w:r>
        <w:rPr/>
        <w:t>叶磊先生，男，中国国籍， </w:t>
      </w:r>
      <w:r>
        <w:rPr>
          <w:rFonts w:ascii="Times New Roman" w:hAnsi="Times New Roman" w:cs="Times New Roman" w:eastAsia="Times New Roman" w:hint="default"/>
        </w:rPr>
        <w:t>1981</w:t>
      </w:r>
      <w:r>
        <w:rPr/>
        <w:t>年</w:t>
      </w:r>
      <w:r>
        <w:rPr>
          <w:rFonts w:ascii="Times New Roman" w:hAnsi="Times New Roman" w:cs="Times New Roman" w:eastAsia="Times New Roman" w:hint="default"/>
        </w:rPr>
        <w:t>8</w:t>
      </w:r>
      <w:r>
        <w:rPr/>
        <w:t>月出生， 大学本科学历</w:t>
      </w:r>
      <w:r>
        <w:rPr>
          <w:spacing w:val="-69"/>
        </w:rPr>
        <w:t> </w:t>
      </w:r>
      <w:r>
        <w:rPr/>
        <w:t>，</w:t>
      </w:r>
      <w:r>
        <w:rPr>
          <w:rFonts w:ascii="Times New Roman" w:hAnsi="Times New Roman" w:cs="Times New Roman" w:eastAsia="Times New Roman" w:hint="default"/>
        </w:rPr>
        <w:t>2004</w:t>
      </w:r>
      <w:r>
        <w:rPr/>
        <w:t>年至</w:t>
      </w:r>
      <w:r>
        <w:rPr>
          <w:rFonts w:ascii="Times New Roman" w:hAnsi="Times New Roman" w:cs="Times New Roman" w:eastAsia="Times New Roman" w:hint="default"/>
        </w:rPr>
        <w:t>2010</w:t>
      </w:r>
      <w:r>
        <w:rPr/>
        <w:t>年为上海联鼎软件信息</w:t>
      </w:r>
      <w:r>
        <w:rPr>
          <w:w w:val="100"/>
        </w:rPr>
        <w:t> </w:t>
      </w:r>
      <w:r>
        <w:rPr>
          <w:spacing w:val="-2"/>
        </w:rPr>
        <w:t>技术有限公司技术部经理。</w:t>
      </w:r>
      <w:r>
        <w:rPr>
          <w:rFonts w:ascii="Times New Roman" w:hAnsi="Times New Roman" w:cs="Times New Roman" w:eastAsia="Times New Roman" w:hint="default"/>
          <w:spacing w:val="-2"/>
        </w:rPr>
        <w:t>2010</w:t>
      </w:r>
      <w:r>
        <w:rPr>
          <w:spacing w:val="-2"/>
        </w:rPr>
        <w:t>年加入上海天玑科技股份有限公司至今，现任全资子公司上海力克数码科</w:t>
      </w:r>
      <w:r>
        <w:rPr>
          <w:spacing w:val="-38"/>
        </w:rPr>
        <w:t> </w:t>
      </w:r>
      <w:r>
        <w:rPr>
          <w:spacing w:val="-38"/>
        </w:rPr>
      </w:r>
      <w:r>
        <w:rPr/>
        <w:t>技有限公司总经理、上海天玑科技系统服务事业部总经理。</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15</w:t>
      </w:r>
      <w:r>
        <w:rPr/>
        <w:t>日起担任公司副总经理。</w:t>
      </w:r>
      <w:r>
        <w:rPr>
          <w:w w:val="100"/>
        </w:rPr>
        <w:t> </w:t>
      </w:r>
      <w:r>
        <w:rPr>
          <w:sz w:val="18"/>
          <w:szCs w:val="18"/>
        </w:rPr>
        <w:t>在股东单位任职情况</w:t>
      </w:r>
    </w:p>
    <w:p>
      <w:pPr>
        <w:spacing w:line="340" w:lineRule="auto" w:before="8"/>
        <w:ind w:left="152" w:right="82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在其他单位任职情况</w:t>
      </w:r>
    </w:p>
    <w:p>
      <w:pPr>
        <w:spacing w:before="41"/>
        <w:ind w:left="152" w:right="10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4"/>
        <w:gridCol w:w="1195"/>
        <w:gridCol w:w="1325"/>
        <w:gridCol w:w="1594"/>
      </w:tblGrid>
      <w:tr>
        <w:trPr>
          <w:trHeight w:val="715"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3"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5"/>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43" w:right="71" w:hanging="272"/>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黄钰昌</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中欧国际工商学院</w:t>
            </w:r>
            <w:r>
              <w:rPr>
                <w:rFonts w:ascii="Times New Roman" w:hAnsi="Times New Roman" w:cs="Times New Roman" w:eastAsia="Times New Roman" w:hint="default"/>
                <w:sz w:val="18"/>
                <w:szCs w:val="18"/>
              </w:rPr>
              <w:t>,</w:t>
            </w:r>
            <w:r>
              <w:rPr>
                <w:rFonts w:ascii="宋体" w:hAnsi="宋体" w:cs="宋体" w:eastAsia="宋体" w:hint="default"/>
                <w:sz w:val="18"/>
                <w:szCs w:val="18"/>
              </w:rPr>
              <w:t>教授</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黄钰昌</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宝山钢铁股份有限公司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2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4"/>
        <w:gridCol w:w="1195"/>
        <w:gridCol w:w="1325"/>
        <w:gridCol w:w="1594"/>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黄钰昌</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上海家化联合股份有限公司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徐宇舟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上海原本律师事务所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律师</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姚宝敬</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上海市软件协会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副秘书长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杜力耘</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上海复深蓝软件股份有限公司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7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除以上人员外，本公司其他董事、监事和高级管理人员及其他核心人员没有在其他单位兼职的情况。</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公司现任及报告期内离任董事、监事和高级管理人员近三年证券监管机构处罚的情况</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四、董事、监事、高级管理人员报酬情况</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董事、监事、高级管理人员报酬的决策程序、确定依据、实际支付情况</w:t>
      </w:r>
    </w:p>
    <w:p>
      <w:pPr>
        <w:spacing w:line="240" w:lineRule="auto" w:before="2"/>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4261"/>
        <w:gridCol w:w="5310"/>
      </w:tblGrid>
      <w:tr>
        <w:trPr>
          <w:trHeight w:val="1370" w:hRule="exact"/>
        </w:trPr>
        <w:tc>
          <w:tcPr>
            <w:tcW w:w="42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w:t>
            </w:r>
          </w:p>
        </w:tc>
        <w:tc>
          <w:tcPr>
            <w:tcW w:w="531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4" w:right="68"/>
              <w:jc w:val="both"/>
              <w:rPr>
                <w:rFonts w:ascii="宋体" w:hAnsi="宋体" w:cs="宋体" w:eastAsia="宋体" w:hint="default"/>
                <w:sz w:val="18"/>
                <w:szCs w:val="18"/>
              </w:rPr>
            </w:pPr>
            <w:r>
              <w:rPr>
                <w:rFonts w:ascii="宋体" w:hAnsi="宋体" w:cs="宋体" w:eastAsia="宋体" w:hint="default"/>
                <w:sz w:val="18"/>
                <w:szCs w:val="18"/>
              </w:rPr>
              <w:t>公司董事、监事报酬由股东大会决定，高级管理人员报酬由董事会 决定；在公司承担职务的董事、监事、高级管理人员报酬由公司支 付，董事、监事不另外支付津贴；独立董事津贴依据股东大会决议 支付。</w:t>
            </w:r>
          </w:p>
        </w:tc>
      </w:tr>
      <w:tr>
        <w:trPr>
          <w:trHeight w:val="738" w:hRule="exact"/>
        </w:trPr>
        <w:tc>
          <w:tcPr>
            <w:tcW w:w="42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5"/>
              <w:ind w:left="4"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董事、监事、高级管理人员报酬确定依据</w:t>
            </w:r>
          </w:p>
        </w:tc>
        <w:tc>
          <w:tcPr>
            <w:tcW w:w="5310"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55"/>
              <w:ind w:left="4" w:right="68"/>
              <w:jc w:val="left"/>
              <w:rPr>
                <w:rFonts w:ascii="宋体" w:hAnsi="宋体" w:cs="宋体" w:eastAsia="宋体" w:hint="default"/>
                <w:sz w:val="18"/>
                <w:szCs w:val="18"/>
              </w:rPr>
            </w:pPr>
            <w:r>
              <w:rPr>
                <w:rFonts w:ascii="宋体" w:hAnsi="宋体" w:cs="宋体" w:eastAsia="宋体" w:hint="default"/>
                <w:sz w:val="18"/>
                <w:szCs w:val="18"/>
              </w:rPr>
              <w:t>依据公司盈利水平及各董事、监事、高级管理人员的工作分工及履 职情况确定。</w:t>
            </w:r>
          </w:p>
        </w:tc>
      </w:tr>
      <w:tr>
        <w:trPr>
          <w:trHeight w:val="734" w:hRule="exact"/>
        </w:trPr>
        <w:tc>
          <w:tcPr>
            <w:tcW w:w="42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3"/>
              <w:ind w:left="4" w:right="0"/>
              <w:jc w:val="left"/>
              <w:rPr>
                <w:rFonts w:ascii="宋体" w:hAnsi="宋体" w:cs="宋体" w:eastAsia="宋体" w:hint="default"/>
                <w:sz w:val="18"/>
                <w:szCs w:val="18"/>
              </w:rPr>
            </w:pPr>
            <w:r>
              <w:rPr>
                <w:rFonts w:ascii="宋体" w:hAnsi="宋体" w:cs="宋体" w:eastAsia="宋体" w:hint="default"/>
                <w:sz w:val="18"/>
                <w:szCs w:val="18"/>
              </w:rPr>
              <w:t>董事、监事和高级管理人员报酬的实际支付情况</w:t>
            </w:r>
          </w:p>
        </w:tc>
        <w:tc>
          <w:tcPr>
            <w:tcW w:w="5310"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53"/>
              <w:ind w:left="4" w:right="67"/>
              <w:jc w:val="left"/>
              <w:rPr>
                <w:rFonts w:ascii="宋体" w:hAnsi="宋体" w:cs="宋体" w:eastAsia="宋体" w:hint="default"/>
                <w:sz w:val="18"/>
                <w:szCs w:val="18"/>
              </w:rPr>
            </w:pPr>
            <w:r>
              <w:rPr>
                <w:rFonts w:ascii="宋体" w:hAnsi="宋体" w:cs="宋体" w:eastAsia="宋体" w:hint="default"/>
                <w:sz w:val="18"/>
                <w:szCs w:val="18"/>
              </w:rPr>
              <w:t>截止</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日现任董事、监事和高级管理人员共</w:t>
            </w:r>
            <w:r>
              <w:rPr>
                <w:rFonts w:ascii="Times New Roman" w:hAnsi="Times New Roman" w:cs="Times New Roman" w:eastAsia="Times New Roman" w:hint="default"/>
                <w:sz w:val="18"/>
                <w:szCs w:val="18"/>
              </w:rPr>
              <w:t>12</w:t>
            </w:r>
            <w:r>
              <w:rPr>
                <w:rFonts w:ascii="宋体" w:hAnsi="宋体" w:cs="宋体" w:eastAsia="宋体" w:hint="default"/>
                <w:sz w:val="18"/>
                <w:szCs w:val="18"/>
              </w:rPr>
              <w:t>人。已按 相关规定及时支付董事、监事和高级管理人员报酬。</w:t>
            </w:r>
          </w:p>
        </w:tc>
      </w:tr>
    </w:tbl>
    <w:p>
      <w:pPr>
        <w:spacing w:line="240" w:lineRule="auto" w:before="2"/>
        <w:rPr>
          <w:rFonts w:ascii="宋体" w:hAnsi="宋体" w:cs="宋体" w:eastAsia="宋体" w:hint="default"/>
          <w:sz w:val="24"/>
          <w:szCs w:val="24"/>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公司报告期内董事、监事和高级管理人员报酬情况</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71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7" w:right="46"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7" w:right="48"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陆文雄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46.38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杜力耘</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46.49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楼晔</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42.56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姜蓓蓓</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29.38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叶磊</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59.14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杨凯</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75.38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黄钰昌</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徐宇舟</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姚宝敬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彭玉龙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41.25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刘思</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14.12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王艺</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陈建琪</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陆廷洁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both"/>
              <w:rPr>
                <w:rFonts w:ascii="宋体" w:hAnsi="宋体" w:cs="宋体" w:eastAsia="宋体" w:hint="default"/>
                <w:sz w:val="18"/>
                <w:szCs w:val="18"/>
              </w:rPr>
            </w:pPr>
            <w:r>
              <w:rPr>
                <w:rFonts w:ascii="宋体" w:hAnsi="宋体" w:cs="宋体" w:eastAsia="宋体" w:hint="default"/>
                <w:sz w:val="18"/>
                <w:szCs w:val="18"/>
              </w:rPr>
              <w:t>董事会秘书、财 务总监、副总经 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71.35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2"/>
              <w:ind w:right="7"/>
              <w:jc w:val="right"/>
              <w:rPr>
                <w:rFonts w:ascii="Times New Roman" w:hAnsi="Times New Roman" w:cs="Times New Roman" w:eastAsia="Times New Roman" w:hint="default"/>
                <w:sz w:val="18"/>
                <w:szCs w:val="18"/>
              </w:rPr>
            </w:pPr>
            <w:r>
              <w:rPr>
                <w:rFonts w:ascii="Times New Roman"/>
                <w:spacing w:val="-1"/>
                <w:sz w:val="18"/>
              </w:rPr>
              <w:t>470.42</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79" w:top="1060" w:bottom="1160" w:left="980" w:right="980"/>
        </w:sectPr>
      </w:pPr>
    </w:p>
    <w:p>
      <w:pPr>
        <w:spacing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公司董事、高级管理人员报告期内被授予的股权激励情况</w:t>
      </w:r>
    </w:p>
    <w:p>
      <w:pPr>
        <w:spacing w:before="115"/>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单位：股</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4653" w:space="4267"/>
            <w:col w:w="103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64"/>
        <w:gridCol w:w="871"/>
        <w:gridCol w:w="869"/>
        <w:gridCol w:w="869"/>
        <w:gridCol w:w="871"/>
        <w:gridCol w:w="869"/>
        <w:gridCol w:w="871"/>
        <w:gridCol w:w="869"/>
        <w:gridCol w:w="872"/>
        <w:gridCol w:w="869"/>
        <w:gridCol w:w="871"/>
      </w:tblGrid>
      <w:tr>
        <w:trPr>
          <w:trHeight w:val="1337"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center"/>
              <w:rPr>
                <w:rFonts w:ascii="宋体" w:hAnsi="宋体" w:cs="宋体" w:eastAsia="宋体" w:hint="default"/>
                <w:sz w:val="18"/>
                <w:szCs w:val="18"/>
              </w:rPr>
            </w:pPr>
            <w:r>
              <w:rPr>
                <w:rFonts w:ascii="宋体" w:hAnsi="宋体" w:cs="宋体" w:eastAsia="宋体" w:hint="default"/>
                <w:sz w:val="18"/>
                <w:szCs w:val="18"/>
              </w:rPr>
              <w:t>报告期内 可行权股 数</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0" w:right="67"/>
              <w:jc w:val="center"/>
              <w:rPr>
                <w:rFonts w:ascii="宋体" w:hAnsi="宋体" w:cs="宋体" w:eastAsia="宋体" w:hint="default"/>
                <w:sz w:val="18"/>
                <w:szCs w:val="18"/>
              </w:rPr>
            </w:pPr>
            <w:r>
              <w:rPr>
                <w:rFonts w:ascii="宋体" w:hAnsi="宋体" w:cs="宋体" w:eastAsia="宋体" w:hint="default"/>
                <w:sz w:val="18"/>
                <w:szCs w:val="18"/>
              </w:rPr>
              <w:t>报告期内 已行权股 数</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71" w:firstLine="45"/>
              <w:jc w:val="both"/>
              <w:rPr>
                <w:rFonts w:ascii="宋体" w:hAnsi="宋体" w:cs="宋体" w:eastAsia="宋体" w:hint="default"/>
                <w:sz w:val="18"/>
                <w:szCs w:val="18"/>
              </w:rPr>
            </w:pPr>
            <w:r>
              <w:rPr>
                <w:rFonts w:ascii="宋体" w:hAnsi="宋体" w:cs="宋体" w:eastAsia="宋体" w:hint="default"/>
                <w:sz w:val="18"/>
                <w:szCs w:val="18"/>
              </w:rPr>
              <w:t>报告期内 已行权股 数行权价 </w:t>
            </w:r>
            <w:r>
              <w:rPr>
                <w:rFonts w:ascii="宋体" w:hAnsi="宋体" w:cs="宋体" w:eastAsia="宋体" w:hint="default"/>
                <w:spacing w:val="-10"/>
                <w:sz w:val="18"/>
                <w:szCs w:val="18"/>
              </w:rPr>
              <w:t>格（元</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2"/>
                <w:szCs w:val="12"/>
              </w:rPr>
            </w:pPr>
          </w:p>
          <w:p>
            <w:pPr>
              <w:pStyle w:val="TableParagraph"/>
              <w:spacing w:line="312" w:lineRule="exact"/>
              <w:ind w:left="45" w:right="43" w:hanging="2"/>
              <w:jc w:val="center"/>
              <w:rPr>
                <w:rFonts w:ascii="宋体" w:hAnsi="宋体" w:cs="宋体" w:eastAsia="宋体" w:hint="default"/>
                <w:sz w:val="18"/>
                <w:szCs w:val="18"/>
              </w:rPr>
            </w:pPr>
            <w:r>
              <w:rPr>
                <w:rFonts w:ascii="宋体" w:hAnsi="宋体" w:cs="宋体" w:eastAsia="宋体" w:hint="default"/>
                <w:sz w:val="18"/>
                <w:szCs w:val="18"/>
              </w:rPr>
              <w:t>报告期末 市价（元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p>
            <w:pPr>
              <w:pStyle w:val="TableParagraph"/>
              <w:spacing w:line="119"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71"/>
              <w:jc w:val="both"/>
              <w:rPr>
                <w:rFonts w:ascii="宋体" w:hAnsi="宋体" w:cs="宋体" w:eastAsia="宋体" w:hint="default"/>
                <w:sz w:val="18"/>
                <w:szCs w:val="18"/>
              </w:rPr>
            </w:pPr>
            <w:r>
              <w:rPr>
                <w:rFonts w:ascii="宋体" w:hAnsi="宋体" w:cs="宋体" w:eastAsia="宋体" w:hint="default"/>
                <w:sz w:val="18"/>
                <w:szCs w:val="18"/>
              </w:rPr>
              <w:t>期初持有 限制性股 票数量</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center"/>
              <w:rPr>
                <w:rFonts w:ascii="宋体" w:hAnsi="宋体" w:cs="宋体" w:eastAsia="宋体" w:hint="default"/>
                <w:sz w:val="18"/>
                <w:szCs w:val="18"/>
              </w:rPr>
            </w:pPr>
            <w:r>
              <w:rPr>
                <w:rFonts w:ascii="宋体" w:hAnsi="宋体" w:cs="宋体" w:eastAsia="宋体" w:hint="default"/>
                <w:sz w:val="18"/>
                <w:szCs w:val="18"/>
              </w:rPr>
              <w:t>本期已解 锁股份数 量</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70"/>
              <w:jc w:val="center"/>
              <w:rPr>
                <w:rFonts w:ascii="宋体" w:hAnsi="宋体" w:cs="宋体" w:eastAsia="宋体" w:hint="default"/>
                <w:sz w:val="18"/>
                <w:szCs w:val="18"/>
              </w:rPr>
            </w:pPr>
            <w:r>
              <w:rPr>
                <w:rFonts w:ascii="宋体" w:hAnsi="宋体" w:cs="宋体" w:eastAsia="宋体" w:hint="default"/>
                <w:sz w:val="18"/>
                <w:szCs w:val="18"/>
              </w:rPr>
              <w:t>报告期新 授予限制 性股票数 量</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45" w:right="41" w:hanging="2"/>
              <w:jc w:val="center"/>
              <w:rPr>
                <w:rFonts w:ascii="宋体" w:hAnsi="宋体" w:cs="宋体" w:eastAsia="宋体" w:hint="default"/>
                <w:sz w:val="18"/>
                <w:szCs w:val="18"/>
              </w:rPr>
            </w:pPr>
            <w:r>
              <w:rPr>
                <w:rFonts w:ascii="宋体" w:hAnsi="宋体" w:cs="宋体" w:eastAsia="宋体" w:hint="default"/>
                <w:sz w:val="18"/>
                <w:szCs w:val="18"/>
              </w:rPr>
              <w:t>限制性股 票的授予 价格（元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71"/>
              <w:jc w:val="both"/>
              <w:rPr>
                <w:rFonts w:ascii="宋体" w:hAnsi="宋体" w:cs="宋体" w:eastAsia="宋体" w:hint="default"/>
                <w:sz w:val="18"/>
                <w:szCs w:val="18"/>
              </w:rPr>
            </w:pPr>
            <w:r>
              <w:rPr>
                <w:rFonts w:ascii="宋体" w:hAnsi="宋体" w:cs="宋体" w:eastAsia="宋体" w:hint="default"/>
                <w:sz w:val="18"/>
                <w:szCs w:val="18"/>
              </w:rPr>
              <w:t>期末持有 限制性股 票数量</w:t>
            </w:r>
          </w:p>
        </w:tc>
      </w:tr>
      <w:tr>
        <w:trPr>
          <w:trHeight w:val="1340"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陆廷洁</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9"/>
              <w:jc w:val="left"/>
              <w:rPr>
                <w:rFonts w:ascii="宋体" w:hAnsi="宋体" w:cs="宋体" w:eastAsia="宋体" w:hint="default"/>
                <w:sz w:val="18"/>
                <w:szCs w:val="18"/>
              </w:rPr>
            </w:pPr>
            <w:r>
              <w:rPr>
                <w:rFonts w:ascii="宋体" w:hAnsi="宋体" w:cs="宋体" w:eastAsia="宋体" w:hint="default"/>
                <w:sz w:val="18"/>
                <w:szCs w:val="18"/>
              </w:rPr>
              <w:t>董事会秘 </w:t>
            </w:r>
            <w:r>
              <w:rPr>
                <w:rFonts w:ascii="宋体" w:hAnsi="宋体" w:cs="宋体" w:eastAsia="宋体" w:hint="default"/>
                <w:spacing w:val="-18"/>
                <w:sz w:val="18"/>
                <w:szCs w:val="18"/>
              </w:rPr>
              <w:t>书、财务总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8"/>
                <w:sz w:val="18"/>
                <w:szCs w:val="18"/>
              </w:rPr>
              <w:t>监、副总经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120,000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32" w:right="0"/>
              <w:jc w:val="left"/>
              <w:rPr>
                <w:rFonts w:ascii="Times New Roman" w:hAnsi="Times New Roman" w:cs="Times New Roman" w:eastAsia="Times New Roman" w:hint="default"/>
                <w:sz w:val="18"/>
                <w:szCs w:val="18"/>
              </w:rPr>
            </w:pPr>
            <w:r>
              <w:rPr>
                <w:rFonts w:ascii="Times New Roman"/>
                <w:sz w:val="18"/>
              </w:rPr>
              <w:t>10.86</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180,000</w:t>
            </w:r>
          </w:p>
        </w:tc>
      </w:tr>
      <w:tr>
        <w:trPr>
          <w:trHeight w:val="401"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杨凯</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68,000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2" w:right="0"/>
              <w:jc w:val="left"/>
              <w:rPr>
                <w:rFonts w:ascii="Times New Roman" w:hAnsi="Times New Roman" w:cs="Times New Roman" w:eastAsia="Times New Roman" w:hint="default"/>
                <w:sz w:val="18"/>
                <w:szCs w:val="18"/>
              </w:rPr>
            </w:pPr>
            <w:r>
              <w:rPr>
                <w:rFonts w:ascii="Times New Roman"/>
                <w:sz w:val="18"/>
              </w:rPr>
              <w:t>10.83</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102,000</w:t>
            </w: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叶磊</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9"/>
              <w:jc w:val="left"/>
              <w:rPr>
                <w:rFonts w:ascii="宋体" w:hAnsi="宋体" w:cs="宋体" w:eastAsia="宋体" w:hint="default"/>
                <w:sz w:val="18"/>
                <w:szCs w:val="18"/>
              </w:rPr>
            </w:pPr>
            <w:r>
              <w:rPr>
                <w:rFonts w:ascii="宋体" w:hAnsi="宋体" w:cs="宋体" w:eastAsia="宋体" w:hint="default"/>
                <w:spacing w:val="-18"/>
                <w:sz w:val="18"/>
                <w:szCs w:val="18"/>
              </w:rPr>
              <w:t>董事、副总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经理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120,000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2" w:right="0"/>
              <w:jc w:val="left"/>
              <w:rPr>
                <w:rFonts w:ascii="Times New Roman" w:hAnsi="Times New Roman" w:cs="Times New Roman" w:eastAsia="Times New Roman" w:hint="default"/>
                <w:sz w:val="18"/>
                <w:szCs w:val="18"/>
              </w:rPr>
            </w:pPr>
            <w:r>
              <w:rPr>
                <w:rFonts w:ascii="Times New Roman"/>
                <w:sz w:val="18"/>
              </w:rPr>
              <w:t>10.86</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180,000</w:t>
            </w:r>
          </w:p>
        </w:tc>
      </w:tr>
      <w:tr>
        <w:trPr>
          <w:trHeight w:val="401"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308,000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69" w:right="0"/>
              <w:jc w:val="left"/>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462,000</w:t>
            </w:r>
          </w:p>
        </w:tc>
      </w:tr>
      <w:tr>
        <w:trPr>
          <w:trHeight w:val="317" w:hRule="exact"/>
        </w:trPr>
        <w:tc>
          <w:tcPr>
            <w:tcW w:w="864" w:type="dxa"/>
            <w:tcBorders>
              <w:top w:val="single" w:sz="4" w:space="0" w:color="000000"/>
              <w:left w:val="single" w:sz="4" w:space="0" w:color="000000"/>
              <w:bottom w:val="nil" w:sz="6" w:space="0" w:color="auto"/>
              <w:right w:val="single" w:sz="4" w:space="0" w:color="000000"/>
            </w:tcBorders>
            <w:shd w:val="clear" w:color="auto" w:fill="D2D2D2"/>
          </w:tcPr>
          <w:p>
            <w:pPr/>
          </w:p>
        </w:tc>
        <w:tc>
          <w:tcPr>
            <w:tcW w:w="8702" w:type="dxa"/>
            <w:gridSpan w:val="10"/>
            <w:vMerge w:val="restart"/>
            <w:tcBorders>
              <w:top w:val="single" w:sz="4" w:space="0" w:color="000000"/>
              <w:left w:val="single" w:sz="10" w:space="0" w:color="D2D2D2"/>
              <w:right w:val="single" w:sz="4" w:space="0" w:color="000000"/>
            </w:tcBorders>
          </w:tcPr>
          <w:p>
            <w:pPr>
              <w:pStyle w:val="TableParagraph"/>
              <w:spacing w:line="240" w:lineRule="auto" w:before="49"/>
              <w:ind w:left="1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日，公司召开第三届董事会第十六次会议，审议通过了《关于回购注销未达到</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年限制性股</w:t>
            </w:r>
          </w:p>
          <w:p>
            <w:pPr>
              <w:pStyle w:val="TableParagraph"/>
              <w:spacing w:line="240" w:lineRule="auto" w:before="63"/>
              <w:ind w:left="19" w:right="0"/>
              <w:jc w:val="left"/>
              <w:rPr>
                <w:rFonts w:ascii="宋体" w:hAnsi="宋体" w:cs="宋体" w:eastAsia="宋体" w:hint="default"/>
                <w:sz w:val="18"/>
                <w:szCs w:val="18"/>
              </w:rPr>
            </w:pPr>
            <w:r>
              <w:rPr>
                <w:rFonts w:ascii="宋体" w:hAnsi="宋体" w:cs="宋体" w:eastAsia="宋体" w:hint="default"/>
                <w:sz w:val="18"/>
                <w:szCs w:val="18"/>
              </w:rPr>
              <w:t>票激励计划规定第一期解锁条件已授予未解锁的限制性股票的议案</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因公司</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年度业</w:t>
            </w:r>
            <w:r>
              <w:rPr>
                <w:rFonts w:ascii="宋体" w:hAnsi="宋体" w:cs="宋体" w:eastAsia="宋体" w:hint="default"/>
                <w:spacing w:val="-3"/>
                <w:sz w:val="18"/>
                <w:szCs w:val="18"/>
              </w:rPr>
              <w:t>绩</w:t>
            </w:r>
            <w:r>
              <w:rPr>
                <w:rFonts w:ascii="宋体" w:hAnsi="宋体" w:cs="宋体" w:eastAsia="宋体" w:hint="default"/>
                <w:sz w:val="18"/>
                <w:szCs w:val="18"/>
              </w:rPr>
              <w:t>未达到</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年限制</w:t>
            </w:r>
          </w:p>
          <w:p>
            <w:pPr>
              <w:pStyle w:val="TableParagraph"/>
              <w:spacing w:line="300" w:lineRule="auto" w:before="63"/>
              <w:ind w:left="19" w:right="20"/>
              <w:jc w:val="left"/>
              <w:rPr>
                <w:rFonts w:ascii="宋体" w:hAnsi="宋体" w:cs="宋体" w:eastAsia="宋体" w:hint="default"/>
                <w:sz w:val="18"/>
                <w:szCs w:val="18"/>
              </w:rPr>
            </w:pPr>
            <w:r>
              <w:rPr>
                <w:rFonts w:ascii="宋体" w:hAnsi="宋体" w:cs="宋体" w:eastAsia="宋体" w:hint="default"/>
                <w:spacing w:val="-4"/>
                <w:sz w:val="18"/>
                <w:szCs w:val="18"/>
              </w:rPr>
              <w:t>性股票激励计划规定的第一期限制性股票的解锁条件，故对未达到</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8"/>
                <w:sz w:val="18"/>
                <w:szCs w:val="18"/>
              </w:rPr>
              <w:t> </w:t>
            </w:r>
            <w:r>
              <w:rPr>
                <w:rFonts w:ascii="宋体" w:hAnsi="宋体" w:cs="宋体" w:eastAsia="宋体" w:hint="default"/>
                <w:spacing w:val="-1"/>
                <w:sz w:val="18"/>
                <w:szCs w:val="18"/>
              </w:rPr>
              <w:t>年限制性股票激励计划规定的第一期解</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锁条件已授予未解锁的限制性股票进行回购注销，上述为董监高本期已解锁股份数量系为回购注销股份数。</w:t>
            </w:r>
          </w:p>
        </w:tc>
      </w:tr>
      <w:tr>
        <w:trPr>
          <w:trHeight w:val="706" w:hRule="exact"/>
        </w:trPr>
        <w:tc>
          <w:tcPr>
            <w:tcW w:w="86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108"/>
              <w:jc w:val="left"/>
              <w:rPr>
                <w:rFonts w:ascii="宋体" w:hAnsi="宋体" w:cs="宋体" w:eastAsia="宋体" w:hint="default"/>
                <w:sz w:val="18"/>
                <w:szCs w:val="18"/>
              </w:rPr>
            </w:pPr>
            <w:r>
              <w:rPr>
                <w:rFonts w:ascii="宋体" w:hAnsi="宋体" w:cs="宋体" w:eastAsia="宋体" w:hint="default"/>
                <w:sz w:val="18"/>
                <w:szCs w:val="18"/>
              </w:rPr>
              <w:t>备注（如 有）</w:t>
            </w:r>
          </w:p>
        </w:tc>
        <w:tc>
          <w:tcPr>
            <w:tcW w:w="8702" w:type="dxa"/>
            <w:gridSpan w:val="10"/>
            <w:vMerge/>
            <w:tcBorders>
              <w:left w:val="single" w:sz="10" w:space="0" w:color="D2D2D2"/>
              <w:right w:val="single" w:sz="4" w:space="0" w:color="000000"/>
            </w:tcBorders>
          </w:tcPr>
          <w:p>
            <w:pPr/>
          </w:p>
        </w:tc>
      </w:tr>
      <w:tr>
        <w:trPr>
          <w:trHeight w:val="317" w:hRule="exact"/>
        </w:trPr>
        <w:tc>
          <w:tcPr>
            <w:tcW w:w="864" w:type="dxa"/>
            <w:tcBorders>
              <w:top w:val="nil" w:sz="6" w:space="0" w:color="auto"/>
              <w:left w:val="single" w:sz="4" w:space="0" w:color="000000"/>
              <w:bottom w:val="single" w:sz="4" w:space="0" w:color="000000"/>
              <w:right w:val="single" w:sz="4" w:space="0" w:color="000000"/>
            </w:tcBorders>
            <w:shd w:val="clear" w:color="auto" w:fill="D2D2D2"/>
          </w:tcPr>
          <w:p>
            <w:pPr/>
          </w:p>
        </w:tc>
        <w:tc>
          <w:tcPr>
            <w:tcW w:w="8702" w:type="dxa"/>
            <w:gridSpan w:val="10"/>
            <w:vMerge/>
            <w:tcBorders>
              <w:left w:val="single" w:sz="10" w:space="0" w:color="D2D2D2"/>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五、公司员工情况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、员工数量、专业构成及教育程度</w:t>
      </w:r>
      <w:r>
        <w:rPr>
          <w:b w:val="0"/>
          <w:bCs w:val="0"/>
        </w:rPr>
      </w:r>
    </w:p>
    <w:p>
      <w:pPr>
        <w:spacing w:line="240" w:lineRule="auto" w:before="7"/>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653</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699</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699</w:t>
            </w:r>
          </w:p>
        </w:tc>
      </w:tr>
      <w:tr>
        <w:trPr>
          <w:trHeight w:val="408"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r>
      <w:tr>
        <w:trPr>
          <w:trHeight w:val="396"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专业构成</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7"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72</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技术研发人员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551</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其他管理人员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14</w:t>
            </w:r>
          </w:p>
        </w:tc>
      </w:tr>
      <w:tr>
        <w:trPr>
          <w:trHeight w:val="40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699</w:t>
            </w:r>
          </w:p>
        </w:tc>
      </w:tr>
      <w:tr>
        <w:trPr>
          <w:trHeight w:val="391"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硕士、博士</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26</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大学本科</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436</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大学专科</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213</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中专</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高中及以下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8</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699</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、薪酬政策</w:t>
      </w:r>
      <w:r>
        <w:rPr>
          <w:b w:val="0"/>
          <w:bCs w:val="0"/>
        </w:rPr>
      </w:r>
    </w:p>
    <w:p>
      <w:pPr>
        <w:spacing w:line="240" w:lineRule="auto" w:before="6"/>
        <w:rPr>
          <w:rFonts w:ascii="宋体" w:hAnsi="宋体" w:cs="宋体" w:eastAsia="宋体" w:hint="default"/>
          <w:b/>
          <w:bCs/>
          <w:sz w:val="30"/>
          <w:szCs w:val="30"/>
        </w:rPr>
      </w:pPr>
    </w:p>
    <w:p>
      <w:pPr>
        <w:pStyle w:val="BodyText"/>
        <w:spacing w:line="403" w:lineRule="auto"/>
        <w:ind w:right="147" w:firstLine="420"/>
        <w:jc w:val="both"/>
      </w:pPr>
      <w:r>
        <w:rPr>
          <w:spacing w:val="-2"/>
        </w:rPr>
        <w:t>公司薪酬政策紧密围绕企业战略、目标和文化，兼具竞争性与公平性，充分发挥激励作用，提高员工</w:t>
      </w:r>
      <w:r>
        <w:rPr>
          <w:w w:val="100"/>
        </w:rPr>
        <w:t> </w:t>
      </w:r>
      <w:r>
        <w:rPr>
          <w:spacing w:val="-2"/>
        </w:rPr>
        <w:t>工作积极性，增强企业凝聚力和竞争实力。完善绩效管理机制，围绕</w:t>
      </w:r>
      <w:r>
        <w:rPr>
          <w:rFonts w:ascii="Times New Roman" w:hAnsi="Times New Roman" w:cs="Times New Roman" w:eastAsia="Times New Roman" w:hint="default"/>
          <w:spacing w:val="-2"/>
        </w:rPr>
        <w:t>“</w:t>
      </w:r>
      <w:r>
        <w:rPr>
          <w:spacing w:val="-2"/>
        </w:rPr>
        <w:t>结果导向、价值导向</w:t>
      </w:r>
      <w:r>
        <w:rPr>
          <w:rFonts w:ascii="Times New Roman" w:hAnsi="Times New Roman" w:cs="Times New Roman" w:eastAsia="Times New Roman" w:hint="default"/>
          <w:spacing w:val="-2"/>
        </w:rPr>
        <w:t>”</w:t>
      </w:r>
      <w:r>
        <w:rPr>
          <w:spacing w:val="-2"/>
        </w:rPr>
        <w:t>的考评理念，</w:t>
      </w:r>
      <w:r>
        <w:rPr>
          <w:spacing w:val="-22"/>
        </w:rPr>
        <w:t> </w:t>
      </w:r>
      <w:r>
        <w:rPr>
          <w:spacing w:val="-22"/>
        </w:rPr>
      </w:r>
      <w:r>
        <w:rPr>
          <w:spacing w:val="-2"/>
        </w:rPr>
        <w:t>搭建起较为完善的绩效考核机制，激发团队活力。同时，公司通过季度和年度的绩效考核，对员工的行为</w:t>
      </w:r>
      <w:r>
        <w:rPr>
          <w:spacing w:val="-47"/>
        </w:rPr>
        <w:t> </w:t>
      </w:r>
      <w:r>
        <w:rPr>
          <w:spacing w:val="-47"/>
        </w:rPr>
      </w:r>
      <w:r>
        <w:rPr>
          <w:spacing w:val="-2"/>
        </w:rPr>
        <w:t>表现、工作业绩、业务技能等进行客观全面的评价，指导并激励员工不断提升工作水平；建立和推广以业</w:t>
      </w:r>
      <w:r>
        <w:rPr>
          <w:spacing w:val="-47"/>
        </w:rPr>
        <w:t> </w:t>
      </w:r>
      <w:r>
        <w:rPr>
          <w:spacing w:val="-47"/>
        </w:rPr>
      </w:r>
      <w:r>
        <w:rPr>
          <w:spacing w:val="-2"/>
        </w:rPr>
        <w:t>绩为导向的人才选拔、储备、激励和培养体系，提高员工工作积极性、创造力，提升产品开发、技术创新</w:t>
      </w:r>
      <w:r>
        <w:rPr>
          <w:spacing w:val="-42"/>
        </w:rPr>
        <w:t> </w:t>
      </w:r>
      <w:r>
        <w:rPr>
          <w:spacing w:val="-42"/>
        </w:rPr>
      </w:r>
      <w:r>
        <w:rPr/>
        <w:t>和市场拓展的速度与质量，实现公司预期目标的有效达成。</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8"/>
        <w:rPr>
          <w:rFonts w:ascii="宋体" w:hAnsi="宋体" w:cs="宋体" w:eastAsia="宋体" w:hint="default"/>
          <w:b/>
          <w:bCs/>
          <w:sz w:val="30"/>
          <w:szCs w:val="30"/>
        </w:rPr>
      </w:pPr>
    </w:p>
    <w:p>
      <w:pPr>
        <w:pStyle w:val="BodyText"/>
        <w:spacing w:line="405" w:lineRule="auto"/>
        <w:ind w:right="146" w:firstLine="420"/>
        <w:jc w:val="both"/>
      </w:pPr>
      <w:r>
        <w:rPr>
          <w:spacing w:val="-2"/>
        </w:rPr>
        <w:t>公司充分关注每位员工的职业愿景规划和成长，同时立足业务战略构建企业员工培训体系。公司每年</w:t>
      </w:r>
      <w:r>
        <w:rPr>
          <w:w w:val="100"/>
        </w:rPr>
        <w:t> </w:t>
      </w:r>
      <w:r>
        <w:rPr>
          <w:spacing w:val="-2"/>
        </w:rPr>
        <w:t>投入资金，系统性的开展员工职业发展调研，设计出符合需求的技术条线和管理条线的专业课程体系。技</w:t>
      </w:r>
      <w:r>
        <w:rPr>
          <w:spacing w:val="-43"/>
        </w:rPr>
        <w:t> </w:t>
      </w:r>
      <w:r>
        <w:rPr>
          <w:spacing w:val="-43"/>
        </w:rPr>
      </w:r>
      <w:r>
        <w:rPr>
          <w:spacing w:val="-2"/>
        </w:rPr>
        <w:t>术线课程，以</w:t>
      </w:r>
      <w:r>
        <w:rPr>
          <w:rFonts w:ascii="Times New Roman" w:hAnsi="Times New Roman" w:cs="Times New Roman" w:eastAsia="Times New Roman" w:hint="default"/>
          <w:spacing w:val="-2"/>
        </w:rPr>
        <w:t>IT</w:t>
      </w:r>
      <w:r>
        <w:rPr>
          <w:spacing w:val="-2"/>
        </w:rPr>
        <w:t>基础架构技术和云计算大数据技术两块内容为框架体系，硬软件结合，聘请内部技术专家</w:t>
      </w:r>
      <w:r>
        <w:rPr>
          <w:spacing w:val="-34"/>
        </w:rPr>
        <w:t> </w:t>
      </w:r>
      <w:r>
        <w:rPr>
          <w:spacing w:val="-34"/>
        </w:rPr>
      </w:r>
      <w:r>
        <w:rPr>
          <w:spacing w:val="-2"/>
        </w:rPr>
        <w:t>担任指导，同时结合厂商的考试认证体系，以培养优秀的工程师团队为主要方向；管理线课程，以培养公</w:t>
      </w:r>
      <w:r>
        <w:rPr>
          <w:spacing w:val="-47"/>
        </w:rPr>
        <w:t> </w:t>
      </w:r>
      <w:r>
        <w:rPr>
          <w:spacing w:val="-47"/>
        </w:rPr>
      </w:r>
      <w:r>
        <w:rPr>
          <w:spacing w:val="-2"/>
        </w:rPr>
        <w:t>司储备干部为目标，通过培训使员工真正了解企业文化，通过轮岗使员工了解公司的整体业务流程，最终</w:t>
      </w:r>
      <w:r>
        <w:rPr>
          <w:spacing w:val="-43"/>
        </w:rPr>
        <w:t> </w:t>
      </w:r>
      <w:r>
        <w:rPr>
          <w:spacing w:val="-43"/>
        </w:rPr>
      </w:r>
      <w:r>
        <w:rPr>
          <w:spacing w:val="-2"/>
        </w:rPr>
        <w:t>掌握基层管理人员的基本素养。此外，人力资源部门充分运用外部资源，提供员工各种类型的线上课程丰</w:t>
      </w:r>
      <w:r>
        <w:rPr>
          <w:spacing w:val="-44"/>
        </w:rPr>
        <w:t> </w:t>
      </w:r>
      <w:r>
        <w:rPr>
          <w:spacing w:val="-44"/>
        </w:rPr>
      </w:r>
      <w:r>
        <w:rPr>
          <w:spacing w:val="-2"/>
        </w:rPr>
        <w:t>富培训内容，同时聘请专业的培训咨询公司为员工量身打造针对性课程。培训体系和技能认证与员工的薪</w:t>
      </w:r>
    </w:p>
    <w:p>
      <w:pPr>
        <w:spacing w:after="0" w:line="405" w:lineRule="auto"/>
        <w:jc w:val="both"/>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pStyle w:val="BodyText"/>
        <w:spacing w:line="408" w:lineRule="auto" w:before="176"/>
        <w:ind w:right="0"/>
        <w:jc w:val="left"/>
      </w:pPr>
      <w:r>
        <w:rPr>
          <w:spacing w:val="-2"/>
        </w:rPr>
        <w:t>酬体系紧密关联，公司希望通过这些投入，能帮助员工真正提升自己的专业能力，同时全面提升公司的核</w:t>
      </w:r>
      <w:r>
        <w:rPr>
          <w:spacing w:val="-45"/>
        </w:rPr>
        <w:t> </w:t>
      </w:r>
      <w:r>
        <w:rPr>
          <w:spacing w:val="-45"/>
        </w:rPr>
      </w:r>
      <w:r>
        <w:rPr/>
        <w:t>心竞争力。</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590" w:right="3646"/>
        <w:jc w:val="center"/>
        <w:rPr>
          <w:b w:val="0"/>
          <w:bCs w:val="0"/>
        </w:rPr>
      </w:pPr>
      <w:bookmarkStart w:name="_bookmark7" w:id="8"/>
      <w:bookmarkEnd w:id="8"/>
      <w:r>
        <w:rPr>
          <w:b w:val="0"/>
          <w:bCs w:val="0"/>
        </w:rPr>
      </w:r>
      <w:r>
        <w:rPr/>
        <w:t>第九节</w:t>
      </w:r>
      <w:r>
        <w:rPr>
          <w:spacing w:val="-2"/>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01"/>
        <w:jc w:val="left"/>
        <w:rPr>
          <w:b w:val="0"/>
          <w:bCs w:val="0"/>
        </w:rPr>
      </w:pPr>
      <w:r>
        <w:rPr/>
        <w:t>一、公司治理的基本状况</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right="206" w:firstLine="420"/>
        <w:jc w:val="both"/>
      </w:pPr>
      <w:r>
        <w:rPr>
          <w:spacing w:val="-2"/>
        </w:rPr>
        <w:t>报告期内，公司严格按照《公司法》、《证券法》、《上市公司治理准则》、《深圳证券交易所创业</w:t>
      </w:r>
      <w:r>
        <w:rPr>
          <w:w w:val="100"/>
        </w:rPr>
        <w:t> </w:t>
      </w:r>
      <w:r>
        <w:rPr>
          <w:spacing w:val="-2"/>
        </w:rPr>
        <w:t>板股票上市规则》、《深圳证券交易所创业板上市公司规范运作指引》等法律、法规和中国证监会有关法</w:t>
      </w:r>
      <w:r>
        <w:rPr>
          <w:spacing w:val="-43"/>
        </w:rPr>
        <w:t> </w:t>
      </w:r>
      <w:r>
        <w:rPr>
          <w:spacing w:val="-43"/>
        </w:rPr>
      </w:r>
      <w:r>
        <w:rPr>
          <w:spacing w:val="-2"/>
        </w:rPr>
        <w:t>律法规等的要求，不断完善公司的法人治理结构，建立健全公司内部管理和控制制度，规范公司运作，提</w:t>
      </w:r>
      <w:r>
        <w:rPr>
          <w:spacing w:val="-47"/>
        </w:rPr>
        <w:t> </w:t>
      </w:r>
      <w:r>
        <w:rPr>
          <w:spacing w:val="-47"/>
        </w:rPr>
      </w:r>
      <w:r>
        <w:rPr/>
        <w:t>高公司治理水平。</w:t>
      </w:r>
    </w:p>
    <w:p>
      <w:pPr>
        <w:pStyle w:val="BodyText"/>
        <w:spacing w:line="408" w:lineRule="auto" w:before="46"/>
        <w:ind w:left="573" w:right="101" w:hanging="421"/>
        <w:jc w:val="left"/>
      </w:pPr>
      <w:r>
        <w:rPr/>
        <w:t>（一）</w:t>
      </w:r>
      <w:r>
        <w:rPr>
          <w:spacing w:val="-23"/>
        </w:rPr>
        <w:t> </w:t>
      </w:r>
      <w:r>
        <w:rPr/>
        <w:t>关于股东和股东大会</w:t>
      </w:r>
      <w:r>
        <w:rPr>
          <w:spacing w:val="-103"/>
        </w:rPr>
        <w:t> </w:t>
      </w:r>
      <w:r>
        <w:rPr>
          <w:spacing w:val="-103"/>
        </w:rPr>
      </w:r>
      <w:r>
        <w:rPr>
          <w:spacing w:val="-2"/>
        </w:rPr>
        <w:t>公司严格按照《上市公司股东大会规则》、《公司章程》、《股东大会议事规则》等规定和要求，规</w:t>
      </w:r>
    </w:p>
    <w:p>
      <w:pPr>
        <w:pStyle w:val="BodyText"/>
        <w:spacing w:line="408" w:lineRule="auto" w:before="46"/>
        <w:ind w:right="209"/>
        <w:jc w:val="both"/>
      </w:pPr>
      <w:r>
        <w:rPr>
          <w:spacing w:val="-2"/>
        </w:rPr>
        <w:t>范地召集、召开股东大会，平等对待所有股东，并尽可能为股东参加股东大会提供便利，使其充分行使股</w:t>
      </w:r>
      <w:r>
        <w:rPr>
          <w:spacing w:val="-47"/>
        </w:rPr>
        <w:t> </w:t>
      </w:r>
      <w:r>
        <w:rPr>
          <w:spacing w:val="-47"/>
        </w:rPr>
      </w:r>
      <w:r>
        <w:rPr/>
        <w:t>东权利。</w:t>
      </w:r>
    </w:p>
    <w:p>
      <w:pPr>
        <w:pStyle w:val="BodyText"/>
        <w:spacing w:line="408" w:lineRule="auto" w:before="46"/>
        <w:ind w:right="206" w:firstLine="420"/>
        <w:jc w:val="both"/>
      </w:pPr>
      <w:r>
        <w:rPr>
          <w:spacing w:val="-2"/>
        </w:rPr>
        <w:t>报告期内，公司召开的股东大会均由公司董事会召集召开，董事长主持，邀请见证律师进行现场见证</w:t>
      </w:r>
      <w:r>
        <w:rPr>
          <w:w w:val="100"/>
        </w:rPr>
        <w:t> </w:t>
      </w:r>
      <w:r>
        <w:rPr>
          <w:spacing w:val="-2"/>
        </w:rPr>
        <w:t>并出具法律意见书。在股东大会上能够保证各位股东有充分的发言权，确保全体股东特别是中小股东享有</w:t>
      </w:r>
      <w:r>
        <w:rPr>
          <w:spacing w:val="-42"/>
        </w:rPr>
        <w:t> </w:t>
      </w:r>
      <w:r>
        <w:rPr>
          <w:spacing w:val="-42"/>
        </w:rPr>
      </w:r>
      <w:r>
        <w:rPr/>
        <w:t>平等地位，充分行使自己的权力。</w:t>
      </w:r>
    </w:p>
    <w:p>
      <w:pPr>
        <w:pStyle w:val="BodyText"/>
        <w:spacing w:line="398" w:lineRule="auto" w:before="46"/>
        <w:ind w:right="206" w:firstLine="420"/>
        <w:jc w:val="both"/>
      </w:pPr>
      <w:r>
        <w:rPr>
          <w:spacing w:val="-2"/>
        </w:rPr>
        <w:t>报告期内，本公司召开的股东大会不存在违反《上市公司股东大会规则》的情形，公司未发生单独或</w:t>
      </w:r>
      <w:r>
        <w:rPr>
          <w:w w:val="100"/>
        </w:rPr>
        <w:t> </w:t>
      </w:r>
      <w:r>
        <w:rPr>
          <w:spacing w:val="-2"/>
        </w:rPr>
        <w:t>合并持有本公司有表决权股份总数</w:t>
      </w:r>
      <w:r>
        <w:rPr>
          <w:rFonts w:ascii="Times New Roman" w:hAnsi="Times New Roman" w:cs="Times New Roman" w:eastAsia="Times New Roman" w:hint="default"/>
          <w:spacing w:val="-2"/>
        </w:rPr>
        <w:t>10%</w:t>
      </w:r>
      <w:r>
        <w:rPr>
          <w:spacing w:val="-2"/>
        </w:rPr>
        <w:t>以上的股东请求召开临时股东大会的情形，也无应监事会提议召开</w:t>
      </w:r>
      <w:r>
        <w:rPr>
          <w:spacing w:val="-17"/>
        </w:rPr>
        <w:t> </w:t>
      </w:r>
      <w:r>
        <w:rPr>
          <w:spacing w:val="-17"/>
        </w:rPr>
      </w:r>
      <w:r>
        <w:rPr/>
        <w:t>的股东大会。</w:t>
      </w:r>
    </w:p>
    <w:p>
      <w:pPr>
        <w:pStyle w:val="BodyText"/>
        <w:spacing w:line="408" w:lineRule="auto" w:before="54"/>
        <w:ind w:right="206" w:firstLine="420"/>
        <w:jc w:val="both"/>
      </w:pPr>
      <w:r>
        <w:rPr>
          <w:spacing w:val="-2"/>
        </w:rPr>
        <w:t>按照《公司法》、《公司章程》的规定应由股东大会审议的重大事项，本公司均按照相应的权限审批</w:t>
      </w:r>
      <w:r>
        <w:rPr>
          <w:w w:val="100"/>
        </w:rPr>
        <w:t> </w:t>
      </w:r>
      <w:r>
        <w:rPr/>
        <w:t>后交由股东大会审议，不存在绕过股东大会的情况，也不存在先实施后审议的情况。</w:t>
      </w:r>
    </w:p>
    <w:p>
      <w:pPr>
        <w:pStyle w:val="BodyText"/>
        <w:spacing w:line="410" w:lineRule="auto" w:before="46"/>
        <w:ind w:left="573" w:right="101" w:hanging="421"/>
        <w:jc w:val="left"/>
      </w:pPr>
      <w:r>
        <w:rPr/>
        <w:t>（二）关于公司与控股股东</w:t>
      </w:r>
      <w:r>
        <w:rPr>
          <w:w w:val="100"/>
        </w:rPr>
        <w:t> </w:t>
      </w:r>
      <w:r>
        <w:rPr>
          <w:spacing w:val="-9"/>
          <w:w w:val="100"/>
        </w:rPr>
        <w:t>公司控股股东和实际控制人严格按照《上市公司治理准则》、《深圳证券交易所创业板股票上市规则》、</w:t>
      </w:r>
    </w:p>
    <w:p>
      <w:pPr>
        <w:pStyle w:val="BodyText"/>
        <w:spacing w:line="408" w:lineRule="auto" w:before="44"/>
        <w:ind w:right="206"/>
        <w:jc w:val="both"/>
      </w:pPr>
      <w:r>
        <w:rPr>
          <w:spacing w:val="-2"/>
        </w:rPr>
        <w:t>《深圳证券交易所创业板上市公司规范运作指引》、《公司章程》等规定和要求，规范自己的行为，没有</w:t>
      </w:r>
      <w:r>
        <w:rPr>
          <w:spacing w:val="-42"/>
        </w:rPr>
        <w:t> </w:t>
      </w:r>
      <w:r>
        <w:rPr>
          <w:spacing w:val="-42"/>
        </w:rPr>
      </w:r>
      <w:r>
        <w:rPr>
          <w:spacing w:val="-2"/>
        </w:rPr>
        <w:t>超越股东大会直接或间接干预公司的决策和经营活动，未损害公司及其他股东的利益。公司不存在控股股</w:t>
      </w:r>
      <w:r>
        <w:rPr>
          <w:spacing w:val="-43"/>
        </w:rPr>
        <w:t> </w:t>
      </w:r>
      <w:r>
        <w:rPr>
          <w:spacing w:val="-43"/>
        </w:rPr>
      </w:r>
      <w:r>
        <w:rPr>
          <w:spacing w:val="-2"/>
        </w:rPr>
        <w:t>东占用公司资金的现象，亦无为控股股东提供担保的情形。公司拥有独立完整的业务和自主经营能力，在</w:t>
      </w:r>
      <w:r>
        <w:rPr>
          <w:spacing w:val="-42"/>
        </w:rPr>
        <w:t> </w:t>
      </w:r>
      <w:r>
        <w:rPr>
          <w:spacing w:val="-42"/>
        </w:rPr>
      </w:r>
      <w:r>
        <w:rPr/>
        <w:t>业务、人员、资产、机构、财务上独立于控股股东，公司董事会、监事会和内部机构独立运作。</w:t>
      </w:r>
    </w:p>
    <w:p>
      <w:pPr>
        <w:pStyle w:val="BodyText"/>
        <w:spacing w:line="408" w:lineRule="auto" w:before="46"/>
        <w:ind w:left="573" w:right="101" w:hanging="421"/>
        <w:jc w:val="left"/>
      </w:pPr>
      <w:r>
        <w:rPr/>
        <w:t>（三）</w:t>
      </w:r>
      <w:r>
        <w:rPr>
          <w:spacing w:val="-23"/>
        </w:rPr>
        <w:t> </w:t>
      </w:r>
      <w:r>
        <w:rPr/>
        <w:t>关于董事和董事会</w:t>
      </w:r>
      <w:r>
        <w:rPr>
          <w:spacing w:val="-101"/>
        </w:rPr>
        <w:t> </w:t>
      </w:r>
      <w:r>
        <w:rPr>
          <w:spacing w:val="-101"/>
        </w:rPr>
      </w:r>
      <w:r>
        <w:rPr>
          <w:spacing w:val="-2"/>
        </w:rPr>
        <w:t>公司董事会设董事</w:t>
      </w:r>
      <w:r>
        <w:rPr>
          <w:rFonts w:ascii="Times New Roman" w:hAnsi="Times New Roman" w:cs="Times New Roman" w:eastAsia="Times New Roman" w:hint="default"/>
          <w:spacing w:val="-2"/>
        </w:rPr>
        <w:t>9</w:t>
      </w:r>
      <w:r>
        <w:rPr>
          <w:spacing w:val="-2"/>
        </w:rPr>
        <w:t>名，其中独立董事</w:t>
      </w:r>
      <w:r>
        <w:rPr>
          <w:rFonts w:ascii="Times New Roman" w:hAnsi="Times New Roman" w:cs="Times New Roman" w:eastAsia="Times New Roman" w:hint="default"/>
          <w:spacing w:val="-2"/>
        </w:rPr>
        <w:t>3</w:t>
      </w:r>
      <w:r>
        <w:rPr>
          <w:spacing w:val="-2"/>
        </w:rPr>
        <w:t>名，董事会的人数及人员构成符合法律、法规和《公司章程》</w:t>
      </w:r>
    </w:p>
    <w:p>
      <w:pPr>
        <w:pStyle w:val="BodyText"/>
        <w:spacing w:line="240" w:lineRule="auto" w:before="15"/>
        <w:ind w:right="101"/>
        <w:jc w:val="left"/>
      </w:pPr>
      <w:r>
        <w:rPr/>
        <w:t>的要求。各位董事能够依据《董事会议事规则》、《深圳证券交易所创业板上市公司规范运作指引》等开</w:t>
      </w:r>
    </w:p>
    <w:p>
      <w:pPr>
        <w:spacing w:after="0" w:line="240" w:lineRule="auto"/>
        <w:jc w:val="left"/>
        <w:sectPr>
          <w:pgSz w:w="11910" w:h="16840"/>
          <w:pgMar w:header="745" w:footer="979" w:top="1060" w:bottom="1160" w:left="980" w:right="920"/>
        </w:sectPr>
      </w:pPr>
    </w:p>
    <w:p>
      <w:pPr>
        <w:spacing w:line="240" w:lineRule="auto" w:before="0"/>
        <w:rPr>
          <w:rFonts w:ascii="宋体" w:hAnsi="宋体" w:cs="宋体" w:eastAsia="宋体" w:hint="default"/>
          <w:sz w:val="20"/>
          <w:szCs w:val="20"/>
        </w:rPr>
      </w:pPr>
    </w:p>
    <w:p>
      <w:pPr>
        <w:pStyle w:val="BodyText"/>
        <w:spacing w:line="408" w:lineRule="auto" w:before="176"/>
        <w:ind w:right="101"/>
        <w:jc w:val="left"/>
      </w:pPr>
      <w:r>
        <w:rPr>
          <w:spacing w:val="-2"/>
        </w:rPr>
        <w:t>展工作，出席董事会和股东大会，勤勉尽责地履行职责和义务，同时积极参加相关培训，熟悉相关法律法</w:t>
      </w:r>
      <w:r>
        <w:rPr>
          <w:spacing w:val="-50"/>
        </w:rPr>
        <w:t> </w:t>
      </w:r>
      <w:r>
        <w:rPr>
          <w:spacing w:val="-50"/>
        </w:rPr>
      </w:r>
      <w:r>
        <w:rPr/>
        <w:t>规。</w:t>
      </w:r>
    </w:p>
    <w:p>
      <w:pPr>
        <w:pStyle w:val="BodyText"/>
        <w:spacing w:line="408" w:lineRule="auto" w:before="46"/>
        <w:ind w:right="101" w:firstLine="420"/>
        <w:jc w:val="left"/>
      </w:pPr>
      <w:r>
        <w:rPr/>
        <w:t>公司按照《深圳证券交易所创业板上市公司规范运作指引》的要求，董事会下设审计、战略发展、薪</w:t>
      </w:r>
      <w:r>
        <w:rPr>
          <w:w w:val="100"/>
        </w:rPr>
        <w:t> </w:t>
      </w:r>
      <w:r>
        <w:rPr>
          <w:spacing w:val="-5"/>
        </w:rPr>
        <w:t>酬与考核、提名四个委员会。为董事会的决策提供了科学和专业的意见和参考。各委员会依据《公司章程》</w:t>
      </w:r>
      <w:r>
        <w:rPr>
          <w:spacing w:val="-8"/>
        </w:rPr>
        <w:t> </w:t>
      </w:r>
      <w:r>
        <w:rPr>
          <w:spacing w:val="-8"/>
        </w:rPr>
      </w:r>
      <w:r>
        <w:rPr/>
        <w:t>和各委员会议事规则的规定履行职权，不受公司任何其他部门和个人的干预。</w:t>
      </w:r>
    </w:p>
    <w:p>
      <w:pPr>
        <w:pStyle w:val="BodyText"/>
        <w:spacing w:line="408" w:lineRule="auto" w:before="46"/>
        <w:ind w:right="101" w:firstLine="420"/>
        <w:jc w:val="left"/>
      </w:pPr>
      <w:r>
        <w:rPr>
          <w:spacing w:val="-2"/>
        </w:rPr>
        <w:t>报告期内，公司相关董事参加了相关培训，通过进一步学习、熟悉有关法律法规、学习其他上市公司</w:t>
      </w:r>
      <w:r>
        <w:rPr>
          <w:w w:val="100"/>
        </w:rPr>
        <w:t> </w:t>
      </w:r>
      <w:r>
        <w:rPr/>
        <w:t>的违法违规案例，切实提高履行董事职责的能力。</w:t>
      </w:r>
    </w:p>
    <w:p>
      <w:pPr>
        <w:pStyle w:val="BodyText"/>
        <w:spacing w:line="408" w:lineRule="auto" w:before="46"/>
        <w:ind w:left="573" w:right="101" w:hanging="421"/>
        <w:jc w:val="left"/>
      </w:pPr>
      <w:r>
        <w:rPr/>
        <w:t>（四）</w:t>
      </w:r>
      <w:r>
        <w:rPr>
          <w:spacing w:val="-23"/>
        </w:rPr>
        <w:t> </w:t>
      </w:r>
      <w:r>
        <w:rPr/>
        <w:t>关于监事和监事会</w:t>
      </w:r>
      <w:r>
        <w:rPr>
          <w:spacing w:val="-101"/>
        </w:rPr>
        <w:t> </w:t>
      </w:r>
      <w:r>
        <w:rPr>
          <w:spacing w:val="-101"/>
        </w:rPr>
      </w:r>
      <w:r>
        <w:rPr>
          <w:spacing w:val="-2"/>
        </w:rPr>
        <w:t>公司监事会设监事</w:t>
      </w:r>
      <w:r>
        <w:rPr>
          <w:rFonts w:ascii="Times New Roman" w:hAnsi="Times New Roman" w:cs="Times New Roman" w:eastAsia="Times New Roman" w:hint="default"/>
          <w:spacing w:val="-2"/>
        </w:rPr>
        <w:t>3</w:t>
      </w:r>
      <w:r>
        <w:rPr>
          <w:spacing w:val="-2"/>
        </w:rPr>
        <w:t>名，其中职工监事</w:t>
      </w:r>
      <w:r>
        <w:rPr>
          <w:rFonts w:ascii="Times New Roman" w:hAnsi="Times New Roman" w:cs="Times New Roman" w:eastAsia="Times New Roman" w:hint="default"/>
          <w:spacing w:val="-2"/>
        </w:rPr>
        <w:t>1</w:t>
      </w:r>
      <w:r>
        <w:rPr>
          <w:spacing w:val="-2"/>
        </w:rPr>
        <w:t>名，监事会的人数和构成符合法律、法规的要求。公司已制定</w:t>
      </w:r>
    </w:p>
    <w:p>
      <w:pPr>
        <w:pStyle w:val="BodyText"/>
        <w:spacing w:line="403" w:lineRule="auto" w:before="14"/>
        <w:ind w:right="101"/>
        <w:jc w:val="left"/>
      </w:pPr>
      <w:r>
        <w:rPr>
          <w:spacing w:val="-2"/>
        </w:rPr>
        <w:t>《监事会议事规则》等制度确保监事会向全体股东负责，对公司董事、高级管理人员履行职责的合法、合</w:t>
      </w:r>
      <w:r>
        <w:rPr>
          <w:spacing w:val="-44"/>
        </w:rPr>
        <w:t> </w:t>
      </w:r>
      <w:r>
        <w:rPr>
          <w:spacing w:val="-44"/>
        </w:rPr>
      </w:r>
      <w:r>
        <w:rPr>
          <w:spacing w:val="-5"/>
        </w:rPr>
        <w:t>规性进行有效监督，维护公司及股东的合法权益。报告期内，公司监事会共召开了</w:t>
      </w:r>
      <w:r>
        <w:rPr>
          <w:rFonts w:ascii="Times New Roman" w:hAnsi="Times New Roman" w:cs="Times New Roman" w:eastAsia="Times New Roman" w:hint="default"/>
          <w:spacing w:val="-5"/>
        </w:rPr>
        <w:t>11</w:t>
      </w:r>
      <w:r>
        <w:rPr>
          <w:spacing w:val="-5"/>
        </w:rPr>
        <w:t>次会议，会议的召集、</w:t>
      </w:r>
      <w:r>
        <w:rPr>
          <w:spacing w:val="-7"/>
        </w:rPr>
        <w:t> </w:t>
      </w:r>
      <w:r>
        <w:rPr>
          <w:spacing w:val="-7"/>
        </w:rPr>
      </w:r>
      <w:r>
        <w:rPr>
          <w:spacing w:val="-2"/>
        </w:rPr>
        <w:t>召开程序符合法律法规、《公司章程》及《公司监事会议事规则》的相关规定。报告期内，监事会对公司</w:t>
      </w:r>
      <w:r>
        <w:rPr>
          <w:spacing w:val="-47"/>
        </w:rPr>
        <w:t> </w:t>
      </w:r>
      <w:r>
        <w:rPr>
          <w:spacing w:val="-47"/>
        </w:rPr>
      </w:r>
      <w:r>
        <w:rPr/>
        <w:t>的规范运作、财务状况、募集资金使用、关联交易以及董事、高级管理人员履职情况等进行了严格监督，</w:t>
      </w:r>
      <w:r>
        <w:rPr>
          <w:w w:val="100"/>
        </w:rPr>
        <w:t> </w:t>
      </w:r>
      <w:r>
        <w:rPr/>
        <w:t>确保了公司各项重大经营行为符合公司的利益，有效维护了公司股东特别是中小股东的合法权益。</w:t>
      </w:r>
    </w:p>
    <w:p>
      <w:pPr>
        <w:pStyle w:val="BodyText"/>
        <w:spacing w:line="408" w:lineRule="auto" w:before="50"/>
        <w:ind w:left="573" w:right="101" w:hanging="421"/>
        <w:jc w:val="left"/>
      </w:pPr>
      <w:r>
        <w:rPr/>
        <w:t>（五）</w:t>
      </w:r>
      <w:r>
        <w:rPr>
          <w:spacing w:val="-23"/>
        </w:rPr>
        <w:t> </w:t>
      </w:r>
      <w:r>
        <w:rPr/>
        <w:t>关于绩效评价与激励约束机制</w:t>
      </w:r>
      <w:r>
        <w:rPr>
          <w:spacing w:val="-101"/>
        </w:rPr>
        <w:t> </w:t>
      </w:r>
      <w:r>
        <w:rPr>
          <w:spacing w:val="-101"/>
        </w:rPr>
      </w:r>
      <w:r>
        <w:rPr>
          <w:spacing w:val="-2"/>
        </w:rPr>
        <w:t>公司已建立企业绩效激励与评价体系，并不断完善。公司董事、监事和高级管理人员的绩效评价标准</w:t>
      </w:r>
    </w:p>
    <w:p>
      <w:pPr>
        <w:pStyle w:val="BodyText"/>
        <w:spacing w:line="408" w:lineRule="auto" w:before="46"/>
        <w:ind w:right="101"/>
        <w:jc w:val="left"/>
      </w:pPr>
      <w:r>
        <w:rPr>
          <w:spacing w:val="-2"/>
        </w:rPr>
        <w:t>和激励约束机制符合法律、法规的规定。公司董事会设立了薪酬与考核委员会，负责薪酬政策及方案的制</w:t>
      </w:r>
      <w:r>
        <w:rPr>
          <w:spacing w:val="-44"/>
        </w:rPr>
        <w:t> </w:t>
      </w:r>
      <w:r>
        <w:rPr>
          <w:spacing w:val="-44"/>
        </w:rPr>
      </w:r>
      <w:r>
        <w:rPr/>
        <w:t>定与审定。公司高级管理人员均认真履行工作职责，较好地完成了董事会制定的经营管理任务。</w:t>
      </w:r>
    </w:p>
    <w:p>
      <w:pPr>
        <w:pStyle w:val="BodyText"/>
        <w:spacing w:line="408" w:lineRule="auto" w:before="46"/>
        <w:ind w:left="489" w:right="101" w:hanging="337"/>
        <w:jc w:val="left"/>
      </w:pPr>
      <w:r>
        <w:rPr/>
        <w:t>（六）关于公司与投资者</w:t>
      </w:r>
      <w:r>
        <w:rPr>
          <w:w w:val="100"/>
        </w:rPr>
        <w:t> </w:t>
      </w:r>
      <w:r>
        <w:rPr>
          <w:spacing w:val="-2"/>
        </w:rPr>
        <w:t>公司严格按照有关法律法规以及《信息披露管理制度》、《投资者关系管理制度》等要求，真实、准</w:t>
      </w:r>
    </w:p>
    <w:p>
      <w:pPr>
        <w:pStyle w:val="BodyText"/>
        <w:spacing w:line="405" w:lineRule="auto" w:before="46"/>
        <w:ind w:right="101"/>
        <w:jc w:val="left"/>
      </w:pPr>
      <w:r>
        <w:rPr>
          <w:spacing w:val="-2"/>
        </w:rPr>
        <w:t>确、及时、公平、完整地披露有关信息。公司指定公司董事会秘书负责信息披露工作，协调公司与投资者</w:t>
      </w:r>
      <w:r>
        <w:rPr>
          <w:spacing w:val="-43"/>
        </w:rPr>
        <w:t> </w:t>
      </w:r>
      <w:r>
        <w:rPr>
          <w:spacing w:val="-43"/>
        </w:rPr>
      </w:r>
      <w:r>
        <w:rPr/>
        <w:t>的关系，接待股东来访，回答投资者咨询，向投资者提供公司已披露的资料；并指定巨潮资讯网</w:t>
      </w:r>
      <w:r>
        <w:rPr>
          <w:w w:val="100"/>
        </w:rPr>
        <w:t> </w:t>
      </w:r>
      <w:hyperlink r:id="rId21">
        <w:r>
          <w:rPr>
            <w:rFonts w:ascii="Times New Roman" w:hAnsi="Times New Roman" w:cs="Times New Roman" w:eastAsia="Times New Roman" w:hint="default"/>
            <w:spacing w:val="-3"/>
          </w:rPr>
          <w:t>www.cninfo.com.cn</w:t>
        </w:r>
        <w:r>
          <w:rPr>
            <w:spacing w:val="-3"/>
          </w:rPr>
          <w:t>为公司信息披露的指定网站，</w:t>
        </w:r>
      </w:hyperlink>
      <w:r>
        <w:rPr>
          <w:spacing w:val="-3"/>
        </w:rPr>
        <w:t>《上海证券报》、《证券时报》为公司定期报告披露的指</w:t>
      </w:r>
      <w:r>
        <w:rPr>
          <w:spacing w:val="1"/>
        </w:rPr>
        <w:t> </w:t>
      </w:r>
      <w:r>
        <w:rPr>
          <w:spacing w:val="1"/>
        </w:rPr>
      </w:r>
      <w:r>
        <w:rPr>
          <w:spacing w:val="-2"/>
        </w:rPr>
        <w:t>定报刊，确保公司所有股东能够公平地获取公司信息。同时公司设立投资者电话专线、专用传真、专用邮</w:t>
      </w:r>
      <w:r>
        <w:rPr>
          <w:spacing w:val="-47"/>
        </w:rPr>
        <w:t> </w:t>
      </w:r>
      <w:r>
        <w:rPr>
          <w:spacing w:val="-47"/>
        </w:rPr>
      </w:r>
      <w:r>
        <w:rPr>
          <w:spacing w:val="-2"/>
        </w:rPr>
        <w:t>箱等多种渠道，采取积极回复投资者咨询、接受投资者来访与调研等多种形式。作为公众公司，在资本市</w:t>
      </w:r>
      <w:r>
        <w:rPr>
          <w:spacing w:val="-47"/>
        </w:rPr>
        <w:t> </w:t>
      </w:r>
      <w:r>
        <w:rPr>
          <w:spacing w:val="-47"/>
        </w:rPr>
      </w:r>
      <w:r>
        <w:rPr>
          <w:spacing w:val="-2"/>
        </w:rPr>
        <w:t>场需要与投资者建立良性互动的关系，公司仍需要进一步加强投资者关系管理工作，以提高公司信息透明</w:t>
      </w:r>
      <w:r>
        <w:rPr>
          <w:spacing w:val="-44"/>
        </w:rPr>
        <w:t> </w:t>
      </w:r>
      <w:r>
        <w:rPr>
          <w:spacing w:val="-44"/>
        </w:rPr>
      </w:r>
      <w:r>
        <w:rPr/>
        <w:t>度，保障全体股东的合法权益。</w:t>
      </w:r>
    </w:p>
    <w:p>
      <w:pPr>
        <w:pStyle w:val="BodyText"/>
        <w:spacing w:line="408" w:lineRule="auto" w:before="48"/>
        <w:ind w:left="573" w:right="101" w:hanging="421"/>
        <w:jc w:val="left"/>
      </w:pPr>
      <w:r>
        <w:rPr/>
        <w:t>（七）内部审计制度的建立和执行情况</w:t>
      </w:r>
      <w:r>
        <w:rPr>
          <w:w w:val="100"/>
        </w:rPr>
        <w:t> </w:t>
      </w:r>
      <w:r>
        <w:rPr>
          <w:spacing w:val="-7"/>
        </w:rPr>
        <w:t>为规范经营管理，控制风险，保证经营业务活动的正常开展，公司根据《公司法》、《证券法》、《企</w:t>
      </w:r>
    </w:p>
    <w:p>
      <w:pPr>
        <w:pStyle w:val="BodyText"/>
        <w:spacing w:line="240" w:lineRule="auto" w:before="46"/>
        <w:ind w:right="101"/>
        <w:jc w:val="left"/>
      </w:pPr>
      <w:r>
        <w:rPr/>
        <w:t>业内部控制基本规范》等有关法律、法规和规章制度，结合公司的实际情况、自身特点和管理需要，制定</w:t>
      </w:r>
    </w:p>
    <w:p>
      <w:pPr>
        <w:spacing w:after="0" w:line="240" w:lineRule="auto"/>
        <w:jc w:val="left"/>
        <w:sectPr>
          <w:pgSz w:w="11910" w:h="16840"/>
          <w:pgMar w:header="745" w:footer="979" w:top="1060" w:bottom="1160" w:left="980" w:right="920"/>
        </w:sectPr>
      </w:pPr>
    </w:p>
    <w:p>
      <w:pPr>
        <w:spacing w:line="240" w:lineRule="auto" w:before="0"/>
        <w:rPr>
          <w:rFonts w:ascii="宋体" w:hAnsi="宋体" w:cs="宋体" w:eastAsia="宋体" w:hint="default"/>
          <w:sz w:val="20"/>
          <w:szCs w:val="20"/>
        </w:rPr>
      </w:pPr>
    </w:p>
    <w:p>
      <w:pPr>
        <w:pStyle w:val="BodyText"/>
        <w:spacing w:line="408" w:lineRule="auto" w:before="176"/>
        <w:ind w:right="0"/>
        <w:jc w:val="left"/>
      </w:pPr>
      <w:r>
        <w:rPr>
          <w:spacing w:val="-2"/>
        </w:rPr>
        <w:t>了贯穿于公司生产经营各层面、各环节的内部控制体系，并不断完善。通过对公司各项治理制度的规范和</w:t>
      </w:r>
      <w:r>
        <w:rPr>
          <w:spacing w:val="-45"/>
        </w:rPr>
        <w:t> </w:t>
      </w:r>
      <w:r>
        <w:rPr>
          <w:spacing w:val="-45"/>
        </w:rPr>
      </w:r>
      <w:r>
        <w:rPr/>
        <w:t>落实，公司的治理水平不断提高，有效地保证了公司各项经营目标的实现。</w:t>
      </w:r>
    </w:p>
    <w:p>
      <w:pPr>
        <w:pStyle w:val="BodyText"/>
        <w:spacing w:line="408" w:lineRule="auto" w:before="46"/>
        <w:ind w:right="146" w:firstLine="420"/>
        <w:jc w:val="both"/>
      </w:pPr>
      <w:r>
        <w:rPr>
          <w:spacing w:val="-2"/>
        </w:rPr>
        <w:t>公司董事会下设审计委员会，主要负责公司内部审计与外部审计之间进行沟通，并监督公司内部审计</w:t>
      </w:r>
      <w:r>
        <w:rPr>
          <w:w w:val="100"/>
        </w:rPr>
        <w:t> </w:t>
      </w:r>
      <w:r>
        <w:rPr>
          <w:spacing w:val="-2"/>
        </w:rPr>
        <w:t>制度的实施，审查公司内部控制制度的执行情况，审查公司的财务信息及披露正常等。审计委员会下设独</w:t>
      </w:r>
      <w:r>
        <w:rPr>
          <w:spacing w:val="-42"/>
        </w:rPr>
        <w:t> </w:t>
      </w:r>
      <w:r>
        <w:rPr>
          <w:spacing w:val="-42"/>
        </w:rPr>
      </w:r>
      <w:r>
        <w:rPr/>
        <w:t>立的内审部，内审部直接对审计委员会负责及报告工作。</w:t>
      </w:r>
    </w:p>
    <w:p>
      <w:pPr>
        <w:pStyle w:val="BodyText"/>
        <w:spacing w:line="408" w:lineRule="auto" w:before="46"/>
        <w:ind w:left="573" w:right="0" w:hanging="421"/>
        <w:jc w:val="left"/>
      </w:pPr>
      <w:r>
        <w:rPr/>
        <w:t>（八）关于相关利益者</w:t>
      </w:r>
      <w:r>
        <w:rPr>
          <w:w w:val="100"/>
        </w:rPr>
        <w:t> </w:t>
      </w:r>
      <w:r>
        <w:rPr>
          <w:spacing w:val="-2"/>
        </w:rPr>
        <w:t>公司充分尊重和维护相关利益者的合法权益，积极与相关利益者合作，加强与各方的沟通与交流，实</w:t>
      </w:r>
    </w:p>
    <w:p>
      <w:pPr>
        <w:pStyle w:val="BodyText"/>
        <w:spacing w:line="240" w:lineRule="auto" w:before="46"/>
        <w:ind w:right="0"/>
        <w:jc w:val="left"/>
      </w:pPr>
      <w:r>
        <w:rPr/>
        <w:t>现股东、员工、社会等各方利益的协调平衡，共同推动公司持续、健康的发展。</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公司治理的实际状况与中国证监会发布的有关上市公司治理的规范性文件是否存在重大差异</w:t>
      </w:r>
    </w:p>
    <w:p>
      <w:pPr>
        <w:spacing w:line="340" w:lineRule="auto" w:before="115"/>
        <w:ind w:left="152" w:right="25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公司治理的实际状况与中国证监会发布的有关上市公司治理的规范性文件不存在重大差异。</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r>
        <w:rPr/>
        <w:t>二、公司相对于控股股东在业务、人员、资产、机构、财务等方面的独立情况</w:t>
      </w:r>
      <w:r>
        <w:rPr>
          <w:b w:val="0"/>
          <w:bCs w:val="0"/>
        </w:rPr>
      </w:r>
    </w:p>
    <w:p>
      <w:pPr>
        <w:spacing w:line="240" w:lineRule="auto" w:before="10"/>
        <w:rPr>
          <w:rFonts w:ascii="宋体" w:hAnsi="宋体" w:cs="宋体" w:eastAsia="宋体" w:hint="default"/>
          <w:b/>
          <w:bCs/>
          <w:sz w:val="30"/>
          <w:szCs w:val="30"/>
        </w:rPr>
      </w:pPr>
    </w:p>
    <w:p>
      <w:pPr>
        <w:pStyle w:val="BodyText"/>
        <w:spacing w:line="408" w:lineRule="auto"/>
        <w:ind w:right="125" w:firstLine="442"/>
        <w:jc w:val="both"/>
      </w:pPr>
      <w:r>
        <w:rPr>
          <w:spacing w:val="-3"/>
        </w:rPr>
        <w:t>公司控股股东严格按照《上市公司治理准则》、《深圳证券交易所创业板股票上市规则》、《深圳证</w:t>
      </w:r>
      <w:r>
        <w:rPr>
          <w:w w:val="100"/>
        </w:rPr>
        <w:t> </w:t>
      </w:r>
      <w:r>
        <w:rPr>
          <w:spacing w:val="-2"/>
        </w:rPr>
        <w:t>券交易所创业板上市公司规范运作指引》、《公司章程》等规定和要求，不存在超越公司股东大会直接或</w:t>
      </w:r>
      <w:r>
        <w:rPr>
          <w:spacing w:val="-43"/>
        </w:rPr>
        <w:t> </w:t>
      </w:r>
      <w:r>
        <w:rPr>
          <w:spacing w:val="-43"/>
        </w:rPr>
      </w:r>
      <w:r>
        <w:rPr>
          <w:spacing w:val="-2"/>
        </w:rPr>
        <w:t>间接干预公司的决策和经营活动的行为，未损害公司及其他股东的利益，不存在控股股东占用公司资金的</w:t>
      </w:r>
      <w:r>
        <w:rPr>
          <w:spacing w:val="-43"/>
        </w:rPr>
        <w:t> </w:t>
      </w:r>
      <w:r>
        <w:rPr>
          <w:spacing w:val="-43"/>
        </w:rPr>
      </w:r>
      <w:r>
        <w:rPr>
          <w:spacing w:val="-2"/>
        </w:rPr>
        <w:t>现象，公司亦无为控股股东提供担保的情形。公司拥有独立完整的业务和自主经营能力，在业务、资产、</w:t>
      </w:r>
      <w:r>
        <w:rPr>
          <w:spacing w:val="-21"/>
        </w:rPr>
        <w:t> </w:t>
      </w:r>
      <w:r>
        <w:rPr>
          <w:spacing w:val="-21"/>
        </w:rPr>
      </w:r>
      <w:r>
        <w:rPr/>
        <w:t>人员、机构、财务上独立于控股股东，公司董事会、监事会和内部机构独立运作。</w:t>
      </w:r>
    </w:p>
    <w:p>
      <w:pPr>
        <w:spacing w:line="240" w:lineRule="auto" w:before="6"/>
        <w:rPr>
          <w:rFonts w:ascii="宋体" w:hAnsi="宋体" w:cs="宋体" w:eastAsia="宋体" w:hint="default"/>
          <w:sz w:val="18"/>
          <w:szCs w:val="18"/>
        </w:rPr>
      </w:pPr>
    </w:p>
    <w:p>
      <w:pPr>
        <w:pStyle w:val="Heading2"/>
        <w:spacing w:line="240" w:lineRule="auto"/>
        <w:ind w:right="0"/>
        <w:jc w:val="left"/>
        <w:rPr>
          <w:b w:val="0"/>
          <w:bCs w:val="0"/>
        </w:rPr>
      </w:pPr>
      <w:r>
        <w:rPr/>
        <w:t>三、同业竞争情况</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四、报告期内召开的年度股东大会和临时股东大会的有关情况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84"/>
              <w:jc w:val="center"/>
              <w:rPr>
                <w:rFonts w:ascii="Times New Roman" w:hAnsi="Times New Roman" w:cs="Times New Roman" w:eastAsia="Times New Roman" w:hint="default"/>
                <w:sz w:val="18"/>
                <w:szCs w:val="18"/>
              </w:rPr>
            </w:pPr>
            <w:hyperlink r:id="rId16">
              <w:r>
                <w:rPr>
                  <w:rFonts w:ascii="Times New Roman"/>
                  <w:sz w:val="18"/>
                </w:rPr>
                <w:t>www.cninfo.com.cn</w:t>
              </w:r>
            </w:hyperlink>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年年度股东大 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0.62%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84"/>
              <w:jc w:val="center"/>
              <w:rPr>
                <w:rFonts w:ascii="Times New Roman" w:hAnsi="Times New Roman" w:cs="Times New Roman" w:eastAsia="Times New Roman" w:hint="default"/>
                <w:sz w:val="18"/>
                <w:szCs w:val="18"/>
              </w:rPr>
            </w:pPr>
            <w:hyperlink r:id="rId16">
              <w:r>
                <w:rPr>
                  <w:rFonts w:ascii="Times New Roman"/>
                  <w:sz w:val="18"/>
                </w:rPr>
                <w:t>www.cninfo.com.cn</w:t>
              </w:r>
            </w:hyperlink>
          </w:p>
        </w:tc>
      </w:tr>
    </w:tbl>
    <w:p>
      <w:pPr>
        <w:spacing w:after="0" w:line="240" w:lineRule="auto"/>
        <w:jc w:val="center"/>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b/>
          <w:bCs/>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五、报告期内独立董事履行职责的情况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428"/>
        <w:gridCol w:w="1164"/>
        <w:gridCol w:w="1165"/>
        <w:gridCol w:w="1162"/>
        <w:gridCol w:w="1164"/>
        <w:gridCol w:w="1289"/>
        <w:gridCol w:w="1037"/>
        <w:gridCol w:w="1164"/>
      </w:tblGrid>
      <w:tr>
        <w:trPr>
          <w:trHeight w:val="401" w:hRule="exact"/>
        </w:trPr>
        <w:tc>
          <w:tcPr>
            <w:tcW w:w="957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340"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5"/>
              <w:ind w:left="38" w:right="35"/>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5"/>
              <w:ind w:left="307" w:right="34"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5"/>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5"/>
              <w:ind w:left="307" w:right="36" w:hanging="272"/>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2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5"/>
              <w:ind w:left="549" w:right="96" w:hanging="449"/>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62" w:right="63"/>
              <w:jc w:val="center"/>
              <w:rPr>
                <w:rFonts w:ascii="宋体" w:hAnsi="宋体" w:cs="宋体" w:eastAsia="宋体" w:hint="default"/>
                <w:sz w:val="18"/>
                <w:szCs w:val="18"/>
              </w:rPr>
            </w:pPr>
            <w:r>
              <w:rPr>
                <w:rFonts w:ascii="宋体" w:hAnsi="宋体" w:cs="宋体" w:eastAsia="宋体" w:hint="default"/>
                <w:sz w:val="18"/>
                <w:szCs w:val="18"/>
              </w:rPr>
              <w:t>是否连续两 次未亲自参 加董事会会 议</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5"/>
              <w:ind w:left="396" w:right="36"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黄钰昌</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6"/>
                <w:w w:val="95"/>
                <w:sz w:val="18"/>
              </w:rPr>
              <w:t>11</w:t>
            </w:r>
            <w:r>
              <w:rPr>
                <w:rFonts w:ascii="Times New Roman"/>
                <w:w w:val="95"/>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徐宇舟</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6"/>
                <w:w w:val="95"/>
                <w:sz w:val="18"/>
              </w:rPr>
              <w:t>11</w:t>
            </w:r>
            <w:r>
              <w:rPr>
                <w:rFonts w:ascii="Times New Roman"/>
                <w:w w:val="95"/>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姚宝敬</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6"/>
                <w:w w:val="95"/>
                <w:sz w:val="18"/>
              </w:rPr>
              <w:t>11</w:t>
            </w:r>
            <w:r>
              <w:rPr>
                <w:rFonts w:ascii="Times New Roman"/>
                <w:w w:val="95"/>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连续两次未亲自出席董事会的说明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line="340" w:lineRule="auto" w:before="117"/>
        <w:ind w:left="152" w:right="59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报告期内独立董事对公司有关事项未提出异议。</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line="340" w:lineRule="auto" w:before="117"/>
        <w:ind w:left="152" w:right="58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 独立董事对公司有关建议被采纳或未被采纳的说明</w:t>
      </w:r>
    </w:p>
    <w:p>
      <w:pPr>
        <w:pStyle w:val="BodyText"/>
        <w:spacing w:line="408" w:lineRule="auto" w:before="95"/>
        <w:ind w:right="146" w:firstLine="389"/>
        <w:jc w:val="both"/>
      </w:pPr>
      <w:r>
        <w:rPr>
          <w:spacing w:val="-6"/>
        </w:rPr>
        <w:t>公司独立董事勤勉尽责，严格按照中国证监会的相关规定及《公司章程》、《董事会议事规则》和《独</w:t>
      </w:r>
      <w:r>
        <w:rPr>
          <w:w w:val="100"/>
        </w:rPr>
        <w:t> </w:t>
      </w:r>
      <w:r>
        <w:rPr>
          <w:spacing w:val="-2"/>
        </w:rPr>
        <w:t>立董事制度》开展工作，关注公司运作，独立履行职责，对公司内部控制建设、管理体系建设、人才梯队</w:t>
      </w:r>
      <w:r>
        <w:rPr>
          <w:spacing w:val="-42"/>
        </w:rPr>
        <w:t> </w:t>
      </w:r>
      <w:r>
        <w:rPr>
          <w:spacing w:val="-42"/>
        </w:rPr>
      </w:r>
      <w:r>
        <w:rPr>
          <w:spacing w:val="-2"/>
        </w:rPr>
        <w:t>建设和重大决策等方面提出了很多宝贵的专业性建议，对公司财务及生产经营活动进行了有效监督，提高</w:t>
      </w:r>
      <w:r>
        <w:rPr>
          <w:spacing w:val="-43"/>
        </w:rPr>
        <w:t> </w:t>
      </w:r>
      <w:r>
        <w:rPr>
          <w:spacing w:val="-43"/>
        </w:rPr>
      </w:r>
      <w:r>
        <w:rPr/>
        <w:t>了公司决策的科学性，为完善公司监督机制，维护公司和全体股东的合法权益发挥了应有的作用。</w:t>
      </w:r>
    </w:p>
    <w:p>
      <w:pPr>
        <w:spacing w:line="240" w:lineRule="auto" w:before="8"/>
        <w:rPr>
          <w:rFonts w:ascii="宋体" w:hAnsi="宋体" w:cs="宋体" w:eastAsia="宋体" w:hint="default"/>
          <w:sz w:val="18"/>
          <w:szCs w:val="18"/>
        </w:rPr>
      </w:pPr>
    </w:p>
    <w:p>
      <w:pPr>
        <w:pStyle w:val="Heading2"/>
        <w:spacing w:line="240" w:lineRule="auto"/>
        <w:ind w:right="0"/>
        <w:jc w:val="left"/>
        <w:rPr>
          <w:b w:val="0"/>
          <w:bCs w:val="0"/>
        </w:rPr>
      </w:pPr>
      <w:r>
        <w:rPr/>
        <w:t>六、董事会下设专门委员会在报告期内履行职责情况</w:t>
      </w:r>
      <w:r>
        <w:rPr>
          <w:b w:val="0"/>
          <w:bCs w:val="0"/>
        </w:rPr>
      </w:r>
    </w:p>
    <w:p>
      <w:pPr>
        <w:spacing w:line="240" w:lineRule="auto" w:before="10"/>
        <w:rPr>
          <w:rFonts w:ascii="宋体" w:hAnsi="宋体" w:cs="宋体" w:eastAsia="宋体" w:hint="default"/>
          <w:b/>
          <w:bCs/>
          <w:sz w:val="30"/>
          <w:szCs w:val="30"/>
        </w:rPr>
      </w:pPr>
    </w:p>
    <w:p>
      <w:pPr>
        <w:pStyle w:val="BodyText"/>
        <w:spacing w:line="240" w:lineRule="auto"/>
        <w:ind w:right="0"/>
        <w:jc w:val="left"/>
      </w:pPr>
      <w:r>
        <w:rPr>
          <w:rFonts w:ascii="Times New Roman" w:hAnsi="Times New Roman" w:cs="Times New Roman" w:eastAsia="Times New Roman" w:hint="default"/>
        </w:rPr>
        <w:t>1</w:t>
      </w:r>
      <w:r>
        <w:rPr/>
        <w:t>、董事会战略委员会履职情况</w:t>
      </w:r>
    </w:p>
    <w:p>
      <w:pPr>
        <w:pStyle w:val="BodyText"/>
        <w:spacing w:line="408" w:lineRule="auto" w:before="177"/>
        <w:ind w:right="151" w:firstLine="420"/>
        <w:jc w:val="both"/>
      </w:pPr>
      <w:r>
        <w:rPr/>
        <w:t>报告期内，董事会战略委员依照</w:t>
      </w:r>
      <w:r>
        <w:rPr>
          <w:spacing w:val="-5"/>
        </w:rPr>
        <w:t> </w:t>
      </w:r>
      <w:r>
        <w:rPr/>
        <w:t>报告期内，董事会战略委员依照相关法规及《公司章程》董事会战</w:t>
      </w:r>
      <w:r>
        <w:rPr>
          <w:w w:val="100"/>
        </w:rPr>
        <w:t> </w:t>
      </w:r>
      <w:r>
        <w:rPr>
          <w:spacing w:val="-2"/>
        </w:rPr>
        <w:t>略委员议则的规定，积极了解相关法规及《公司章程》董事会战略委员议则的规定，积极了解经营情况及</w:t>
      </w:r>
    </w:p>
    <w:p>
      <w:pPr>
        <w:spacing w:after="0" w:line="408" w:lineRule="auto"/>
        <w:jc w:val="both"/>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pStyle w:val="BodyText"/>
        <w:spacing w:line="240" w:lineRule="auto" w:before="176"/>
        <w:ind w:right="101"/>
        <w:jc w:val="left"/>
      </w:pPr>
      <w:r>
        <w:rPr/>
        <w:t>行业发展状，对未来规划等提出合理的建议。</w:t>
      </w:r>
    </w:p>
    <w:p>
      <w:pPr>
        <w:spacing w:line="240" w:lineRule="auto" w:before="10"/>
        <w:rPr>
          <w:rFonts w:ascii="宋体" w:hAnsi="宋体" w:cs="宋体" w:eastAsia="宋体" w:hint="default"/>
          <w:sz w:val="14"/>
          <w:szCs w:val="14"/>
        </w:rPr>
      </w:pPr>
    </w:p>
    <w:p>
      <w:pPr>
        <w:pStyle w:val="BodyText"/>
        <w:spacing w:line="386" w:lineRule="auto"/>
        <w:ind w:left="573" w:right="101" w:hanging="421"/>
        <w:jc w:val="left"/>
      </w:pPr>
      <w:r>
        <w:rPr>
          <w:rFonts w:ascii="Times New Roman" w:hAnsi="Times New Roman" w:cs="Times New Roman" w:eastAsia="Times New Roman" w:hint="default"/>
        </w:rPr>
        <w:t>2</w:t>
      </w:r>
      <w:r>
        <w:rPr/>
        <w:t>、董事会提名委员会履职情况</w:t>
      </w:r>
      <w:r>
        <w:rPr>
          <w:w w:val="100"/>
        </w:rPr>
        <w:t> </w:t>
      </w:r>
      <w:r>
        <w:rPr>
          <w:spacing w:val="-2"/>
        </w:rPr>
        <w:t>报告期内，董事会提名委员依照相关法规及《公司章程》议则的定积极履行职责秉着勤勉尽职的态度</w:t>
      </w:r>
    </w:p>
    <w:p>
      <w:pPr>
        <w:pStyle w:val="BodyText"/>
        <w:spacing w:line="408" w:lineRule="auto" w:before="65"/>
        <w:ind w:right="101"/>
        <w:jc w:val="left"/>
      </w:pPr>
      <w:r>
        <w:rPr>
          <w:spacing w:val="-5"/>
        </w:rPr>
        <w:t>履行责，持续研究与关注高级管理人员选拔制认真审核评价公司。报告期内，公司提名委员召开二次会议，</w:t>
      </w:r>
      <w:r>
        <w:rPr>
          <w:spacing w:val="-4"/>
        </w:rPr>
        <w:t> </w:t>
      </w:r>
      <w:r>
        <w:rPr>
          <w:spacing w:val="-4"/>
        </w:rPr>
      </w:r>
      <w:r>
        <w:rPr/>
        <w:t>分别审议相关第三届董事会非独立董事提名及独立董事提名议案。</w:t>
      </w:r>
    </w:p>
    <w:p>
      <w:pPr>
        <w:pStyle w:val="BodyText"/>
        <w:spacing w:line="386" w:lineRule="auto" w:before="46"/>
        <w:ind w:left="470" w:right="101" w:hanging="318"/>
        <w:jc w:val="left"/>
      </w:pPr>
      <w:r>
        <w:rPr>
          <w:rFonts w:ascii="Times New Roman" w:hAnsi="Times New Roman" w:cs="Times New Roman" w:eastAsia="Times New Roman" w:hint="default"/>
        </w:rPr>
        <w:t>3</w:t>
      </w:r>
      <w:r>
        <w:rPr/>
        <w:t>、董事会薪酬与考核委员会履职情况</w:t>
      </w:r>
      <w:r>
        <w:rPr>
          <w:w w:val="100"/>
        </w:rPr>
        <w:t> </w:t>
      </w:r>
      <w:r>
        <w:rPr>
          <w:spacing w:val="-2"/>
        </w:rPr>
        <w:t>报告期内，董事会薪酬与考核委员会严格按照《薪酬与考核委员会工作制度》的相关要求，切实履行</w:t>
      </w:r>
    </w:p>
    <w:p>
      <w:pPr>
        <w:pStyle w:val="BodyText"/>
        <w:spacing w:line="240" w:lineRule="auto" w:before="65"/>
        <w:ind w:right="101"/>
        <w:jc w:val="left"/>
      </w:pPr>
      <w:r>
        <w:rPr/>
        <w:t>工作职责，对人才选拔和薪酬管理方面等给出合理的建议。</w:t>
      </w:r>
    </w:p>
    <w:p>
      <w:pPr>
        <w:spacing w:line="240" w:lineRule="auto" w:before="10"/>
        <w:rPr>
          <w:rFonts w:ascii="宋体" w:hAnsi="宋体" w:cs="宋体" w:eastAsia="宋体" w:hint="default"/>
          <w:sz w:val="14"/>
          <w:szCs w:val="14"/>
        </w:rPr>
      </w:pPr>
    </w:p>
    <w:p>
      <w:pPr>
        <w:pStyle w:val="BodyText"/>
        <w:spacing w:line="386" w:lineRule="auto"/>
        <w:ind w:left="575" w:right="101" w:hanging="423"/>
        <w:jc w:val="left"/>
      </w:pPr>
      <w:r>
        <w:rPr>
          <w:rFonts w:ascii="Times New Roman" w:hAnsi="Times New Roman" w:cs="Times New Roman" w:eastAsia="Times New Roman" w:hint="default"/>
        </w:rPr>
        <w:t>4</w:t>
      </w:r>
      <w:r>
        <w:rPr/>
        <w:t>、董事会审计委员会履职情况</w:t>
      </w:r>
      <w:r>
        <w:rPr>
          <w:w w:val="100"/>
        </w:rPr>
        <w:t> </w:t>
      </w:r>
      <w:r>
        <w:rPr>
          <w:spacing w:val="-3"/>
        </w:rPr>
        <w:t>报告期内，董事会审计委员会严格按照《审计委员会工作制度》的相关要求，共召开审计委员会会议</w:t>
      </w:r>
    </w:p>
    <w:p>
      <w:pPr>
        <w:pStyle w:val="BodyText"/>
        <w:spacing w:line="408" w:lineRule="auto" w:before="65"/>
        <w:ind w:right="101"/>
        <w:jc w:val="left"/>
      </w:pPr>
      <w:r>
        <w:rPr>
          <w:spacing w:val="-2"/>
        </w:rPr>
        <w:t>四次，对公司的内部控制、募集资金的使用情况等事项进行了审阅，认真听取管理层对公司全年生产经营</w:t>
      </w:r>
      <w:r>
        <w:rPr>
          <w:spacing w:val="-45"/>
        </w:rPr>
        <w:t> </w:t>
      </w:r>
      <w:r>
        <w:rPr>
          <w:spacing w:val="-45"/>
        </w:rPr>
      </w:r>
      <w:r>
        <w:rPr/>
        <w:t>情况和重大事项进展情况的汇报，并保持与年审会计师的沟通。</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Heading2"/>
        <w:spacing w:line="240" w:lineRule="auto"/>
        <w:ind w:right="101"/>
        <w:jc w:val="left"/>
        <w:rPr>
          <w:b w:val="0"/>
          <w:bCs w:val="0"/>
        </w:rPr>
      </w:pPr>
      <w:r>
        <w:rPr/>
        <w:t>七、监事会工作情况</w:t>
      </w:r>
      <w:r>
        <w:rPr>
          <w:b w:val="0"/>
          <w:bCs w:val="0"/>
        </w:rPr>
      </w:r>
    </w:p>
    <w:p>
      <w:pPr>
        <w:spacing w:line="240" w:lineRule="auto" w:before="7"/>
        <w:rPr>
          <w:rFonts w:ascii="宋体" w:hAnsi="宋体" w:cs="宋体" w:eastAsia="宋体" w:hint="default"/>
          <w:b/>
          <w:bCs/>
          <w:sz w:val="26"/>
          <w:szCs w:val="26"/>
        </w:rPr>
      </w:pPr>
    </w:p>
    <w:p>
      <w:pPr>
        <w:spacing w:before="0"/>
        <w:ind w:left="152" w:right="101" w:firstLine="0"/>
        <w:jc w:val="left"/>
        <w:rPr>
          <w:rFonts w:ascii="宋体" w:hAnsi="宋体" w:cs="宋体" w:eastAsia="宋体" w:hint="default"/>
          <w:sz w:val="18"/>
          <w:szCs w:val="18"/>
        </w:rPr>
      </w:pPr>
      <w:r>
        <w:rPr>
          <w:rFonts w:ascii="宋体" w:hAnsi="宋体" w:cs="宋体" w:eastAsia="宋体" w:hint="default"/>
          <w:sz w:val="18"/>
          <w:szCs w:val="18"/>
        </w:rPr>
        <w:t>监事会在报告期内的监督活动中发现公司是否存在风险</w:t>
      </w:r>
    </w:p>
    <w:p>
      <w:pPr>
        <w:spacing w:line="340" w:lineRule="auto" w:before="115"/>
        <w:ind w:left="152" w:right="64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公司监事会对报告期内的监督事项无异议。</w:t>
      </w:r>
    </w:p>
    <w:p>
      <w:pPr>
        <w:spacing w:line="240" w:lineRule="auto" w:before="6"/>
        <w:rPr>
          <w:rFonts w:ascii="宋体" w:hAnsi="宋体" w:cs="宋体" w:eastAsia="宋体" w:hint="default"/>
          <w:sz w:val="19"/>
          <w:szCs w:val="19"/>
        </w:rPr>
      </w:pPr>
    </w:p>
    <w:p>
      <w:pPr>
        <w:pStyle w:val="Heading2"/>
        <w:spacing w:line="240" w:lineRule="auto"/>
        <w:ind w:right="101"/>
        <w:jc w:val="left"/>
        <w:rPr>
          <w:b w:val="0"/>
          <w:bCs w:val="0"/>
        </w:rPr>
      </w:pPr>
      <w:r>
        <w:rPr/>
        <w:t>八、高级管理人员的考评及激励情况</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right="206" w:firstLine="420"/>
        <w:jc w:val="both"/>
      </w:pPr>
      <w:r>
        <w:rPr>
          <w:spacing w:val="-2"/>
        </w:rPr>
        <w:t>公司建立了完善的高级管理人员绩效管理体系，明确了高级管理人员考核、晋升、培训和奖惩激励机</w:t>
      </w:r>
      <w:r>
        <w:rPr>
          <w:w w:val="100"/>
        </w:rPr>
        <w:t> </w:t>
      </w:r>
      <w:r>
        <w:rPr>
          <w:spacing w:val="-2"/>
        </w:rPr>
        <w:t>制，有效的提升了公司治理水平，进一步完善高级管理人员绩效评价和激励、约束机制，最大限度地调动</w:t>
      </w:r>
      <w:r>
        <w:rPr>
          <w:spacing w:val="-47"/>
        </w:rPr>
        <w:t> </w:t>
      </w:r>
      <w:r>
        <w:rPr>
          <w:spacing w:val="-47"/>
        </w:rPr>
      </w:r>
      <w:r>
        <w:rPr>
          <w:spacing w:val="-2"/>
        </w:rPr>
        <w:t>公司高级管理人员的积极性及创造性，确保公司各项业务的顺利开展，促进了公司业绩稳定持续发展，更</w:t>
      </w:r>
      <w:r>
        <w:rPr>
          <w:spacing w:val="-42"/>
        </w:rPr>
        <w:t> </w:t>
      </w:r>
      <w:r>
        <w:rPr>
          <w:spacing w:val="-42"/>
        </w:rPr>
      </w:r>
      <w:r>
        <w:rPr/>
        <w:t>好维护广大投资者的根本利益。</w:t>
      </w:r>
    </w:p>
    <w:p>
      <w:pPr>
        <w:spacing w:line="240" w:lineRule="auto" w:before="8"/>
        <w:rPr>
          <w:rFonts w:ascii="宋体" w:hAnsi="宋体" w:cs="宋体" w:eastAsia="宋体" w:hint="default"/>
          <w:sz w:val="18"/>
          <w:szCs w:val="18"/>
        </w:rPr>
      </w:pPr>
    </w:p>
    <w:p>
      <w:pPr>
        <w:pStyle w:val="Heading2"/>
        <w:spacing w:line="240" w:lineRule="auto"/>
        <w:ind w:right="101"/>
        <w:jc w:val="left"/>
        <w:rPr>
          <w:b w:val="0"/>
          <w:bCs w:val="0"/>
        </w:rPr>
      </w:pPr>
      <w:r>
        <w:rPr/>
        <w:t>九、内部控制评价报告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01"/>
        <w:jc w:val="left"/>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2"/>
        <w:rPr>
          <w:rFonts w:ascii="宋体" w:hAnsi="宋体" w:cs="宋体" w:eastAsia="宋体" w:hint="default"/>
          <w:b/>
          <w:bCs/>
          <w:sz w:val="26"/>
          <w:szCs w:val="26"/>
        </w:rPr>
      </w:pPr>
    </w:p>
    <w:p>
      <w:pPr>
        <w:spacing w:before="0"/>
        <w:ind w:left="152" w:right="10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2"/>
        <w:rPr>
          <w:rFonts w:ascii="宋体" w:hAnsi="宋体" w:cs="宋体" w:eastAsia="宋体" w:hint="default"/>
          <w:sz w:val="26"/>
          <w:szCs w:val="26"/>
        </w:rPr>
      </w:pPr>
    </w:p>
    <w:p>
      <w:pPr>
        <w:pStyle w:val="Heading3"/>
        <w:spacing w:line="240" w:lineRule="auto"/>
        <w:ind w:right="101"/>
        <w:jc w:val="left"/>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4"/>
        <w:gridCol w:w="6375"/>
      </w:tblGrid>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2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190"/>
        <w:gridCol w:w="3327"/>
        <w:gridCol w:w="3053"/>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6">
              <w:r>
                <w:rPr>
                  <w:rFonts w:ascii="Times New Roman"/>
                  <w:sz w:val="18"/>
                </w:rPr>
                <w:t>www.cninfo.com.cn</w:t>
              </w:r>
            </w:hyperlink>
          </w:p>
        </w:tc>
      </w:tr>
      <w:tr>
        <w:trPr>
          <w:trHeight w:val="715"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94"/>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95.91%</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4"/>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99.33%</w:t>
            </w:r>
          </w:p>
        </w:tc>
      </w:tr>
      <w:tr>
        <w:trPr>
          <w:trHeight w:val="397"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6"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3147"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7"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312" w:lineRule="auto"/>
              <w:ind w:left="23" w:right="17"/>
              <w:jc w:val="left"/>
              <w:rPr>
                <w:rFonts w:ascii="宋体" w:hAnsi="宋体" w:cs="宋体" w:eastAsia="宋体" w:hint="default"/>
                <w:sz w:val="18"/>
                <w:szCs w:val="18"/>
              </w:rPr>
            </w:pPr>
            <w:r>
              <w:rPr>
                <w:rFonts w:ascii="宋体" w:hAnsi="宋体" w:cs="宋体" w:eastAsia="宋体" w:hint="default"/>
                <w:sz w:val="18"/>
                <w:szCs w:val="18"/>
              </w:rPr>
              <w:t>重大缺陷的认定标准： 当一个或一组内控缺陷的存在，有合理的 可能性导致无法及时地预防或发现财务报 告中出现大于公司年度税前利润的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的 错报时，被认定为重大缺陷； 重要缺陷的认定标准： 当一个或一组内控缺陷的存在，有合理的 可能性导致无法及时地预防或发现财务报 告中出现小于公司年度税前利润的</w:t>
            </w:r>
            <w:r>
              <w:rPr>
                <w:rFonts w:ascii="宋体" w:hAnsi="宋体" w:cs="宋体" w:eastAsia="宋体" w:hint="default"/>
                <w:spacing w:val="-44"/>
                <w:sz w:val="18"/>
                <w:szCs w:val="18"/>
              </w:rPr>
              <w:t> </w:t>
            </w:r>
            <w:r>
              <w:rPr>
                <w:rFonts w:ascii="Times New Roman" w:hAnsi="Times New Roman" w:cs="Times New Roman" w:eastAsia="Times New Roman" w:hint="default"/>
                <w:spacing w:val="-39"/>
                <w:sz w:val="18"/>
                <w:szCs w:val="18"/>
              </w:rPr>
              <w:t>6%</w:t>
            </w:r>
            <w:r>
              <w:rPr>
                <w:rFonts w:ascii="宋体" w:hAnsi="宋体" w:cs="宋体" w:eastAsia="宋体" w:hint="default"/>
                <w:spacing w:val="-39"/>
                <w:sz w:val="18"/>
                <w:szCs w:val="18"/>
              </w:rPr>
              <w:t>，但</w:t>
            </w:r>
            <w:r>
              <w:rPr>
                <w:rFonts w:ascii="宋体" w:hAnsi="宋体" w:cs="宋体" w:eastAsia="宋体" w:hint="default"/>
                <w:spacing w:val="-77"/>
                <w:sz w:val="18"/>
                <w:szCs w:val="18"/>
              </w:rPr>
              <w:t> </w:t>
            </w:r>
            <w:r>
              <w:rPr>
                <w:rFonts w:ascii="宋体" w:hAnsi="宋体" w:cs="宋体" w:eastAsia="宋体" w:hint="default"/>
                <w:sz w:val="18"/>
                <w:szCs w:val="18"/>
              </w:rPr>
              <w:t>大于公司年度税前利润的</w:t>
            </w:r>
            <w:r>
              <w:rPr>
                <w:rFonts w:ascii="宋体" w:hAnsi="宋体" w:cs="宋体" w:eastAsia="宋体" w:hint="default"/>
                <w:spacing w:val="-43"/>
                <w:sz w:val="18"/>
                <w:szCs w:val="18"/>
              </w:rPr>
              <w:t> </w:t>
            </w:r>
            <w:r>
              <w:rPr>
                <w:rFonts w:ascii="Times New Roman" w:hAnsi="Times New Roman" w:cs="Times New Roman" w:eastAsia="Times New Roman" w:hint="default"/>
                <w:spacing w:val="-10"/>
                <w:sz w:val="18"/>
                <w:szCs w:val="18"/>
              </w:rPr>
              <w:t>2%</w:t>
            </w:r>
            <w:r>
              <w:rPr>
                <w:rFonts w:ascii="宋体" w:hAnsi="宋体" w:cs="宋体" w:eastAsia="宋体" w:hint="default"/>
                <w:spacing w:val="-10"/>
                <w:sz w:val="18"/>
                <w:szCs w:val="18"/>
              </w:rPr>
              <w:t>的错报时，被</w:t>
            </w:r>
            <w:r>
              <w:rPr>
                <w:rFonts w:ascii="宋体" w:hAnsi="宋体" w:cs="宋体" w:eastAsia="宋体" w:hint="default"/>
                <w:sz w:val="18"/>
                <w:szCs w:val="18"/>
              </w:rPr>
              <w:t> 认定为重要缺陷；</w:t>
            </w:r>
          </w:p>
          <w:p>
            <w:pPr>
              <w:pStyle w:val="TableParagraph"/>
              <w:spacing w:line="316" w:lineRule="auto" w:before="22"/>
              <w:ind w:left="23" w:right="46"/>
              <w:jc w:val="left"/>
              <w:rPr>
                <w:rFonts w:ascii="宋体" w:hAnsi="宋体" w:cs="宋体" w:eastAsia="宋体" w:hint="default"/>
                <w:sz w:val="18"/>
                <w:szCs w:val="18"/>
              </w:rPr>
            </w:pPr>
            <w:r>
              <w:rPr>
                <w:rFonts w:ascii="宋体" w:hAnsi="宋体" w:cs="宋体" w:eastAsia="宋体" w:hint="default"/>
                <w:sz w:val="18"/>
                <w:szCs w:val="18"/>
              </w:rPr>
              <w:t>一般缺陷的认定标准： 对不构成重大缺陷和重要缺陷之外的其他 缺陷，可能导致的错报小于公司年度税前 利润的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，会被视为一般缺陷。</w:t>
            </w:r>
          </w:p>
        </w:tc>
        <w:tc>
          <w:tcPr>
            <w:tcW w:w="3053" w:type="dxa"/>
            <w:vMerge w:val="restart"/>
            <w:tcBorders>
              <w:top w:val="single" w:sz="4" w:space="0" w:color="000000"/>
              <w:left w:val="single" w:sz="4" w:space="0" w:color="000000"/>
              <w:right w:val="single" w:sz="4" w:space="0" w:color="000000"/>
            </w:tcBorders>
          </w:tcPr>
          <w:p>
            <w:pPr>
              <w:pStyle w:val="TableParagraph"/>
              <w:spacing w:line="312" w:lineRule="auto" w:before="51"/>
              <w:ind w:left="26" w:right="20"/>
              <w:jc w:val="left"/>
              <w:rPr>
                <w:rFonts w:ascii="宋体" w:hAnsi="宋体" w:cs="宋体" w:eastAsia="宋体" w:hint="default"/>
                <w:sz w:val="18"/>
                <w:szCs w:val="18"/>
              </w:rPr>
            </w:pPr>
            <w:r>
              <w:rPr>
                <w:rFonts w:ascii="宋体" w:hAnsi="宋体" w:cs="宋体" w:eastAsia="宋体" w:hint="default"/>
                <w:sz w:val="18"/>
                <w:szCs w:val="18"/>
              </w:rPr>
              <w:t>重大缺陷的认定标准： </w:t>
            </w:r>
            <w:r>
              <w:rPr>
                <w:rFonts w:ascii="宋体" w:hAnsi="宋体" w:cs="宋体" w:eastAsia="宋体" w:hint="default"/>
                <w:spacing w:val="-4"/>
                <w:sz w:val="18"/>
                <w:szCs w:val="18"/>
              </w:rPr>
              <w:t>当一个或一组内控缺陷的存在，有合理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的可能性导致造成公司直接财产损失 大于公司资产总额的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宋体" w:hAnsi="宋体" w:cs="宋体" w:eastAsia="宋体" w:hint="default"/>
                <w:sz w:val="18"/>
                <w:szCs w:val="18"/>
              </w:rPr>
              <w:t>％时，被认定 为重大缺陷；</w:t>
            </w:r>
          </w:p>
          <w:p>
            <w:pPr>
              <w:pStyle w:val="TableParagraph"/>
              <w:spacing w:line="312" w:lineRule="auto" w:before="22"/>
              <w:ind w:left="26" w:right="20"/>
              <w:jc w:val="left"/>
              <w:rPr>
                <w:rFonts w:ascii="宋体" w:hAnsi="宋体" w:cs="宋体" w:eastAsia="宋体" w:hint="default"/>
                <w:sz w:val="18"/>
                <w:szCs w:val="18"/>
              </w:rPr>
            </w:pPr>
            <w:r>
              <w:rPr>
                <w:rFonts w:ascii="宋体" w:hAnsi="宋体" w:cs="宋体" w:eastAsia="宋体" w:hint="default"/>
                <w:sz w:val="18"/>
                <w:szCs w:val="18"/>
              </w:rPr>
              <w:t>重要缺陷的认定标准： </w:t>
            </w:r>
            <w:r>
              <w:rPr>
                <w:rFonts w:ascii="宋体" w:hAnsi="宋体" w:cs="宋体" w:eastAsia="宋体" w:hint="default"/>
                <w:spacing w:val="-4"/>
                <w:sz w:val="18"/>
                <w:szCs w:val="18"/>
              </w:rPr>
              <w:t>当一个或一组内控缺陷的存在，有合理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的可能性导致造成公司直接财产损失 大于公司资产总额的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宋体" w:hAnsi="宋体" w:cs="宋体" w:eastAsia="宋体" w:hint="default"/>
                <w:sz w:val="18"/>
                <w:szCs w:val="18"/>
              </w:rPr>
              <w:t>％，但小于公 司资产总额的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宋体" w:hAnsi="宋体" w:cs="宋体" w:eastAsia="宋体" w:hint="default"/>
                <w:sz w:val="18"/>
                <w:szCs w:val="18"/>
              </w:rPr>
              <w:t>％时，被认定为重要 缺陷；</w:t>
            </w:r>
          </w:p>
          <w:p>
            <w:pPr>
              <w:pStyle w:val="TableParagraph"/>
              <w:spacing w:line="316" w:lineRule="auto" w:before="63"/>
              <w:ind w:left="26" w:right="20"/>
              <w:jc w:val="left"/>
              <w:rPr>
                <w:rFonts w:ascii="宋体" w:hAnsi="宋体" w:cs="宋体" w:eastAsia="宋体" w:hint="default"/>
                <w:sz w:val="18"/>
                <w:szCs w:val="18"/>
              </w:rPr>
            </w:pPr>
            <w:r>
              <w:rPr>
                <w:rFonts w:ascii="宋体" w:hAnsi="宋体" w:cs="宋体" w:eastAsia="宋体" w:hint="default"/>
                <w:sz w:val="18"/>
                <w:szCs w:val="18"/>
              </w:rPr>
              <w:t>一般缺陷的认定标准： 对不构成重大缺陷和重要缺陷之外的 </w:t>
            </w:r>
            <w:r>
              <w:rPr>
                <w:rFonts w:ascii="宋体" w:hAnsi="宋体" w:cs="宋体" w:eastAsia="宋体" w:hint="default"/>
                <w:spacing w:val="-4"/>
                <w:sz w:val="18"/>
                <w:szCs w:val="18"/>
              </w:rPr>
              <w:t>其他缺陷，可能导致的直接财产损失小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于公司年度资产总额的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宋体" w:hAnsi="宋体" w:cs="宋体" w:eastAsia="宋体" w:hint="default"/>
                <w:sz w:val="18"/>
                <w:szCs w:val="18"/>
              </w:rPr>
              <w:t>，会被视 为一般缺陷。 公司确定的非财务报告内部控制缺陷 评价的定性标准如下： 非财务报告缺陷认定主要以缺陷对业 </w:t>
            </w:r>
            <w:r>
              <w:rPr>
                <w:rFonts w:ascii="宋体" w:hAnsi="宋体" w:cs="宋体" w:eastAsia="宋体" w:hint="default"/>
                <w:spacing w:val="-4"/>
                <w:sz w:val="18"/>
                <w:szCs w:val="18"/>
              </w:rPr>
              <w:t>务流程有效性的影响程度、发生的可能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性作判定。</w:t>
            </w:r>
          </w:p>
        </w:tc>
      </w:tr>
      <w:tr>
        <w:trPr>
          <w:trHeight w:val="391"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7" w:type="dxa"/>
            <w:vMerge/>
            <w:tcBorders>
              <w:left w:val="single" w:sz="9" w:space="0" w:color="D2D2D2"/>
              <w:right w:val="single" w:sz="4" w:space="0" w:color="000000"/>
            </w:tcBorders>
          </w:tcPr>
          <w:p>
            <w:pPr/>
          </w:p>
        </w:tc>
        <w:tc>
          <w:tcPr>
            <w:tcW w:w="3053" w:type="dxa"/>
            <w:vMerge/>
            <w:tcBorders>
              <w:left w:val="single" w:sz="4" w:space="0" w:color="000000"/>
              <w:right w:val="single" w:sz="4" w:space="0" w:color="000000"/>
            </w:tcBorders>
          </w:tcPr>
          <w:p>
            <w:pPr/>
          </w:p>
        </w:tc>
      </w:tr>
      <w:tr>
        <w:trPr>
          <w:trHeight w:val="3147"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7" w:type="dxa"/>
            <w:vMerge/>
            <w:tcBorders>
              <w:left w:val="single" w:sz="9" w:space="0" w:color="D2D2D2"/>
              <w:bottom w:val="single" w:sz="4" w:space="0" w:color="000000"/>
              <w:right w:val="single" w:sz="4" w:space="0" w:color="000000"/>
            </w:tcBorders>
          </w:tcPr>
          <w:p>
            <w:pPr/>
          </w:p>
        </w:tc>
        <w:tc>
          <w:tcPr>
            <w:tcW w:w="3053" w:type="dxa"/>
            <w:vMerge/>
            <w:tcBorders>
              <w:left w:val="single" w:sz="4" w:space="0" w:color="000000"/>
              <w:bottom w:val="single" w:sz="4" w:space="0" w:color="000000"/>
              <w:right w:val="single" w:sz="4" w:space="0" w:color="000000"/>
            </w:tcBorders>
          </w:tcPr>
          <w:p>
            <w:pPr/>
          </w:p>
        </w:tc>
      </w:tr>
      <w:tr>
        <w:trPr>
          <w:trHeight w:val="2072"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7" w:type="dxa"/>
            <w:vMerge w:val="restart"/>
            <w:tcBorders>
              <w:top w:val="single" w:sz="4" w:space="0" w:color="000000"/>
              <w:left w:val="single" w:sz="9" w:space="0" w:color="D2D2D2"/>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重大缺陷的认定标准：</w:t>
            </w:r>
          </w:p>
          <w:p>
            <w:pPr>
              <w:pStyle w:val="TableParagraph"/>
              <w:spacing w:line="300" w:lineRule="auto" w:before="76"/>
              <w:ind w:left="23" w:right="19"/>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）公司董事、监事和高级管理人员的舞</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弊行为；</w:t>
            </w:r>
          </w:p>
          <w:p>
            <w:pPr>
              <w:pStyle w:val="TableParagraph"/>
              <w:spacing w:line="300" w:lineRule="auto" w:before="70"/>
              <w:ind w:left="23" w:right="19"/>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）当期财务报表存在重大错报，而内部</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控制在运行过程中未能发现该错报；</w:t>
            </w:r>
          </w:p>
          <w:p>
            <w:pPr>
              <w:pStyle w:val="TableParagraph"/>
              <w:spacing w:line="300" w:lineRule="auto" w:before="31"/>
              <w:ind w:left="23" w:right="21"/>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）审计委员会和审计部门对公司的对外</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财务报告和财务报告内部控制监督无效；</w:t>
            </w:r>
          </w:p>
          <w:p>
            <w:pPr>
              <w:pStyle w:val="TableParagraph"/>
              <w:spacing w:line="300" w:lineRule="auto" w:before="31"/>
              <w:ind w:left="23" w:right="21"/>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）对已经公告的财务报告出现的重大差</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错进行错报更正。</w:t>
            </w:r>
          </w:p>
          <w:p>
            <w:pPr>
              <w:pStyle w:val="TableParagraph"/>
              <w:spacing w:line="240" w:lineRule="auto" w:before="31"/>
              <w:ind w:left="23" w:right="0"/>
              <w:jc w:val="left"/>
              <w:rPr>
                <w:rFonts w:ascii="宋体" w:hAnsi="宋体" w:cs="宋体" w:eastAsia="宋体" w:hint="default"/>
                <w:sz w:val="18"/>
                <w:szCs w:val="18"/>
              </w:rPr>
            </w:pPr>
            <w:r>
              <w:rPr>
                <w:rFonts w:ascii="宋体" w:hAnsi="宋体" w:cs="宋体" w:eastAsia="宋体" w:hint="default"/>
                <w:sz w:val="18"/>
                <w:szCs w:val="18"/>
              </w:rPr>
              <w:t>重要缺陷的认定标准：</w:t>
            </w:r>
          </w:p>
          <w:p>
            <w:pPr>
              <w:pStyle w:val="TableParagraph"/>
              <w:spacing w:line="300" w:lineRule="auto" w:before="76"/>
              <w:ind w:left="23" w:right="21"/>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）未依照公认会计准则选择和应用会计</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政策；</w:t>
            </w:r>
          </w:p>
          <w:p>
            <w:pPr>
              <w:pStyle w:val="TableParagraph"/>
              <w:spacing w:line="240" w:lineRule="auto" w:before="72"/>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）未建立反舞弊程序和控制措施；</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）对于非常规或特殊交易的账务处理没</w:t>
            </w:r>
          </w:p>
        </w:tc>
        <w:tc>
          <w:tcPr>
            <w:tcW w:w="3053" w:type="dxa"/>
            <w:vMerge w:val="restart"/>
            <w:tcBorders>
              <w:top w:val="single" w:sz="4" w:space="0" w:color="000000"/>
              <w:left w:val="single" w:sz="4" w:space="0" w:color="000000"/>
              <w:right w:val="single" w:sz="4" w:space="0" w:color="000000"/>
            </w:tcBorders>
          </w:tcPr>
          <w:p>
            <w:pPr>
              <w:pStyle w:val="TableParagraph"/>
              <w:spacing w:line="316" w:lineRule="auto" w:before="49"/>
              <w:ind w:left="26" w:right="20"/>
              <w:jc w:val="left"/>
              <w:rPr>
                <w:rFonts w:ascii="宋体" w:hAnsi="宋体" w:cs="宋体" w:eastAsia="宋体" w:hint="default"/>
                <w:sz w:val="18"/>
                <w:szCs w:val="18"/>
              </w:rPr>
            </w:pPr>
            <w:r>
              <w:rPr>
                <w:rFonts w:ascii="宋体" w:hAnsi="宋体" w:cs="宋体" w:eastAsia="宋体" w:hint="default"/>
                <w:sz w:val="18"/>
                <w:szCs w:val="18"/>
              </w:rPr>
              <w:t>重大缺陷的认定标准： </w:t>
            </w:r>
            <w:r>
              <w:rPr>
                <w:rFonts w:ascii="宋体" w:hAnsi="宋体" w:cs="宋体" w:eastAsia="宋体" w:hint="default"/>
                <w:spacing w:val="-4"/>
                <w:sz w:val="18"/>
                <w:szCs w:val="18"/>
              </w:rPr>
              <w:t>如果缺陷发生的可能性高，会严重降低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工作效率或效果、或严重加大效果的不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确定性、或使之严重偏离预期目标为重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大缺陷。具有以下特征的缺陷，认定为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重大缺陷：</w:t>
            </w:r>
          </w:p>
          <w:p>
            <w:pPr>
              <w:pStyle w:val="TableParagraph"/>
              <w:spacing w:line="300" w:lineRule="auto" w:before="19"/>
              <w:ind w:left="26" w:right="43"/>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）公司经营活动严重违反国家法律 法规；</w:t>
            </w:r>
          </w:p>
          <w:p>
            <w:pPr>
              <w:pStyle w:val="TableParagraph"/>
              <w:spacing w:line="300" w:lineRule="auto" w:before="72"/>
              <w:ind w:left="26" w:right="44"/>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）媒体负面新闻频频曝光，对公司 声誉造成重大损害；</w:t>
            </w:r>
          </w:p>
          <w:p>
            <w:pPr>
              <w:pStyle w:val="TableParagraph"/>
              <w:spacing w:line="300" w:lineRule="auto" w:before="31"/>
              <w:ind w:left="26" w:right="44"/>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）中高级管理人员和高级技术人员 严重流失；</w:t>
            </w:r>
          </w:p>
          <w:p>
            <w:pPr>
              <w:pStyle w:val="TableParagraph"/>
              <w:spacing w:line="300" w:lineRule="auto" w:before="72"/>
              <w:ind w:left="26" w:right="44"/>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）重要业务缺乏制度控制或制度系 统性失效；</w:t>
            </w:r>
          </w:p>
        </w:tc>
      </w:tr>
      <w:tr>
        <w:trPr>
          <w:trHeight w:val="394"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7" w:type="dxa"/>
            <w:vMerge/>
            <w:tcBorders>
              <w:left w:val="single" w:sz="9" w:space="0" w:color="D2D2D2"/>
              <w:right w:val="single" w:sz="4" w:space="0" w:color="000000"/>
            </w:tcBorders>
          </w:tcPr>
          <w:p>
            <w:pPr/>
          </w:p>
        </w:tc>
        <w:tc>
          <w:tcPr>
            <w:tcW w:w="3053" w:type="dxa"/>
            <w:vMerge/>
            <w:tcBorders>
              <w:left w:val="single" w:sz="4" w:space="0" w:color="000000"/>
              <w:right w:val="single" w:sz="4" w:space="0" w:color="000000"/>
            </w:tcBorders>
          </w:tcPr>
          <w:p>
            <w:pPr/>
          </w:p>
        </w:tc>
      </w:tr>
      <w:tr>
        <w:trPr>
          <w:trHeight w:val="2074"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7" w:type="dxa"/>
            <w:vMerge/>
            <w:tcBorders>
              <w:left w:val="single" w:sz="9" w:space="0" w:color="D2D2D2"/>
              <w:bottom w:val="single" w:sz="4" w:space="0" w:color="000000"/>
              <w:right w:val="single" w:sz="4" w:space="0" w:color="000000"/>
            </w:tcBorders>
          </w:tcPr>
          <w:p>
            <w:pPr/>
          </w:p>
        </w:tc>
        <w:tc>
          <w:tcPr>
            <w:tcW w:w="3053"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1"/>
          <w:szCs w:val="21"/>
        </w:rPr>
      </w:pPr>
    </w:p>
    <w:p>
      <w:pPr>
        <w:spacing w:before="44"/>
        <w:ind w:left="0" w:right="158" w:firstLine="0"/>
        <w:jc w:val="right"/>
        <w:rPr>
          <w:rFonts w:ascii="宋体" w:hAnsi="宋体" w:cs="宋体" w:eastAsia="宋体" w:hint="default"/>
          <w:sz w:val="18"/>
          <w:szCs w:val="18"/>
        </w:rPr>
      </w:pPr>
      <w:r>
        <w:rPr/>
        <w:pict>
          <v:shape style="position:absolute;margin-left:56.459999pt;margin-top:-269.938293pt;width:479.2pt;height:594.7pt;mso-position-horizontal-relative:page;mso-position-vertical-relative:paragraph;z-index:15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4"/>
                    <w:gridCol w:w="3322"/>
                    <w:gridCol w:w="3053"/>
                  </w:tblGrid>
                  <w:tr>
                    <w:trPr>
                      <w:trHeight w:val="10276"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46"/>
                          <w:jc w:val="left"/>
                          <w:rPr>
                            <w:rFonts w:ascii="宋体" w:hAnsi="宋体" w:cs="宋体" w:eastAsia="宋体" w:hint="default"/>
                            <w:sz w:val="18"/>
                            <w:szCs w:val="18"/>
                          </w:rPr>
                        </w:pPr>
                        <w:r>
                          <w:rPr>
                            <w:rFonts w:ascii="宋体" w:hAnsi="宋体" w:cs="宋体" w:eastAsia="宋体" w:hint="default"/>
                            <w:sz w:val="18"/>
                            <w:szCs w:val="18"/>
                          </w:rPr>
                          <w:t>有建立相应的控制机制或没有实施且没有 相应的补偿性控制；</w:t>
                        </w:r>
                      </w:p>
                      <w:p>
                        <w:pPr>
                          <w:pStyle w:val="TableParagraph"/>
                          <w:spacing w:line="309" w:lineRule="auto" w:before="59"/>
                          <w:ind w:left="24" w:right="21"/>
                          <w:jc w:val="both"/>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）对于期末财务报告过程的控制存在一</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项或多项缺陷且不能合理保证编制的财务 报表达到真实、完整的目标。</w:t>
                        </w:r>
                      </w:p>
                      <w:p>
                        <w:pPr>
                          <w:pStyle w:val="TableParagraph"/>
                          <w:spacing w:line="316" w:lineRule="auto" w:before="62"/>
                          <w:ind w:left="24" w:right="46"/>
                          <w:jc w:val="left"/>
                          <w:rPr>
                            <w:rFonts w:ascii="宋体" w:hAnsi="宋体" w:cs="宋体" w:eastAsia="宋体" w:hint="default"/>
                            <w:sz w:val="18"/>
                            <w:szCs w:val="18"/>
                          </w:rPr>
                        </w:pPr>
                        <w:r>
                          <w:rPr>
                            <w:rFonts w:ascii="宋体" w:hAnsi="宋体" w:cs="宋体" w:eastAsia="宋体" w:hint="default"/>
                            <w:sz w:val="18"/>
                            <w:szCs w:val="18"/>
                          </w:rPr>
                          <w:t>一般缺陷的认定标准： 是指除上述重大缺陷、重要缺陷之外的其 他控制缺陷。</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6" w:right="44"/>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）内部控制评价的结果特别是重大 缺陷或重要缺陷未得到整改；</w:t>
                        </w:r>
                      </w:p>
                      <w:p>
                        <w:pPr>
                          <w:pStyle w:val="TableParagraph"/>
                          <w:spacing w:line="314" w:lineRule="auto" w:before="31"/>
                          <w:ind w:left="26" w:right="2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）企业决策程序不科学，如重大决 策失误，给公司造成重大财产损失。 </w:t>
                        </w:r>
                        <w:r>
                          <w:rPr>
                            <w:rFonts w:ascii="宋体" w:hAnsi="宋体" w:cs="宋体" w:eastAsia="宋体" w:hint="default"/>
                            <w:spacing w:val="-4"/>
                            <w:sz w:val="18"/>
                            <w:szCs w:val="18"/>
                          </w:rPr>
                          <w:t>如果缺陷发生的可能性较高，会显著降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低工作效率或效果、或显著加大效果的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不确定性、或使之显著偏离预期目标为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重要缺陷。具有以下特征的缺陷，认定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为重要缺陷：</w:t>
                        </w:r>
                      </w:p>
                      <w:p>
                        <w:pPr>
                          <w:pStyle w:val="TableParagraph"/>
                          <w:spacing w:line="300" w:lineRule="auto" w:before="20"/>
                          <w:ind w:left="26" w:right="44"/>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）公司违反国家法律法规受到轻微 处罚；</w:t>
                        </w:r>
                      </w:p>
                      <w:p>
                        <w:pPr>
                          <w:pStyle w:val="TableParagraph"/>
                          <w:spacing w:line="240" w:lineRule="auto" w:before="73"/>
                          <w:ind w:left="2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）关键岗位业务人员流失严重；</w:t>
                        </w:r>
                      </w:p>
                      <w:p>
                        <w:pPr>
                          <w:pStyle w:val="TableParagraph"/>
                          <w:spacing w:line="300" w:lineRule="auto" w:before="63"/>
                          <w:ind w:left="26" w:right="44"/>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）媒体出现负面新闻，波及局部区 域；</w:t>
                        </w:r>
                      </w:p>
                      <w:p>
                        <w:pPr>
                          <w:pStyle w:val="TableParagraph"/>
                          <w:spacing w:line="300" w:lineRule="auto" w:before="70"/>
                          <w:ind w:left="26" w:right="44"/>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）重要业务制度控制或系统存在缺 陷；</w:t>
                        </w:r>
                      </w:p>
                      <w:p>
                        <w:pPr>
                          <w:pStyle w:val="TableParagraph"/>
                          <w:spacing w:line="240" w:lineRule="auto" w:before="72"/>
                          <w:ind w:left="2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）内部控制重要缺陷未得到整改；</w:t>
                        </w:r>
                      </w:p>
                      <w:p>
                        <w:pPr>
                          <w:pStyle w:val="TableParagraph"/>
                          <w:spacing w:line="314" w:lineRule="auto" w:before="63"/>
                          <w:ind w:left="26" w:right="-43"/>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6</w:t>
                        </w:r>
                        <w:r>
                          <w:rPr>
                            <w:rFonts w:ascii="宋体" w:hAnsi="宋体" w:cs="宋体" w:eastAsia="宋体" w:hint="default"/>
                            <w:spacing w:val="-4"/>
                            <w:sz w:val="18"/>
                            <w:szCs w:val="18"/>
                          </w:rPr>
                          <w:t>）公司决策程序导致出现一般失误</w:t>
                        </w:r>
                        <w:r>
                          <w:rPr>
                            <w:rFonts w:ascii="宋体" w:hAnsi="宋体" w:cs="宋体" w:eastAsia="宋体" w:hint="default"/>
                            <w:sz w:val="18"/>
                            <w:szCs w:val="18"/>
                          </w:rPr>
                          <w:t> 一般缺陷的认定标准： </w:t>
                        </w:r>
                        <w:r>
                          <w:rPr>
                            <w:rFonts w:ascii="宋体" w:hAnsi="宋体" w:cs="宋体" w:eastAsia="宋体" w:hint="default"/>
                            <w:spacing w:val="-4"/>
                            <w:sz w:val="18"/>
                            <w:szCs w:val="18"/>
                          </w:rPr>
                          <w:t>如果缺陷发生的可能性较小，会降低工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作效率或效果、或加大效果的不确定 性、或使之偏离预期目标为一般缺陷。 具有以下特征的缺陷，认定为一般缺 陷：</w:t>
                        </w:r>
                      </w:p>
                      <w:p>
                        <w:pPr>
                          <w:pStyle w:val="TableParagraph"/>
                          <w:spacing w:line="240" w:lineRule="auto" w:before="61"/>
                          <w:ind w:left="2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）公司决策程序效率不高；</w:t>
                        </w:r>
                      </w:p>
                      <w:p>
                        <w:pPr>
                          <w:pStyle w:val="TableParagraph"/>
                          <w:spacing w:line="300" w:lineRule="auto" w:before="63"/>
                          <w:ind w:left="26" w:right="44"/>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）公司违反内部规章，但未形成损 失；</w:t>
                        </w:r>
                      </w:p>
                      <w:p>
                        <w:pPr>
                          <w:pStyle w:val="TableParagraph"/>
                          <w:spacing w:line="240" w:lineRule="auto" w:before="70"/>
                          <w:ind w:left="26"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）公司一般岗位业务人员流失严重</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）媒体出现负面新闻，但影响不大</w:t>
                        </w:r>
                      </w:p>
                      <w:p>
                        <w:pPr>
                          <w:pStyle w:val="TableParagraph"/>
                          <w:spacing w:line="300" w:lineRule="auto" w:before="63"/>
                          <w:ind w:left="26" w:right="44"/>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）公司一般业务制度或系统存在缺 陷；</w:t>
                        </w:r>
                      </w:p>
                      <w:p>
                        <w:pPr>
                          <w:pStyle w:val="TableParagraph"/>
                          <w:spacing w:line="240" w:lineRule="auto" w:before="73"/>
                          <w:ind w:left="2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）公司一般缺陷未得到整改。</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spacing w:before="44"/>
        <w:ind w:left="0" w:right="158" w:firstLine="0"/>
        <w:jc w:val="right"/>
        <w:rPr>
          <w:rFonts w:ascii="宋体" w:hAnsi="宋体" w:cs="宋体" w:eastAsia="宋体" w:hint="default"/>
          <w:sz w:val="18"/>
          <w:szCs w:val="18"/>
        </w:rPr>
      </w:pPr>
      <w:r>
        <w:rPr>
          <w:rFonts w:ascii="宋体" w:hAnsi="宋体" w:cs="宋体" w:eastAsia="宋体" w:hint="default"/>
          <w:sz w:val="18"/>
          <w:szCs w:val="18"/>
        </w:rPr>
        <w:t>；</w:t>
      </w:r>
    </w:p>
    <w:p>
      <w:pPr>
        <w:spacing w:before="76"/>
        <w:ind w:left="0" w:right="159"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4"/>
          <w:szCs w:val="24"/>
        </w:rPr>
      </w:pPr>
    </w:p>
    <w:p>
      <w:pPr>
        <w:pStyle w:val="Heading2"/>
        <w:spacing w:line="240" w:lineRule="auto" w:before="26"/>
        <w:ind w:right="0"/>
        <w:jc w:val="left"/>
        <w:rPr>
          <w:b w:val="0"/>
          <w:bCs w:val="0"/>
        </w:rPr>
      </w:pPr>
      <w:r>
        <w:rPr/>
        <w:t>十、内部控制审计报告或鉴证报告</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125" w:right="0"/>
        <w:jc w:val="left"/>
        <w:rPr>
          <w:b w:val="0"/>
          <w:bCs w:val="0"/>
        </w:rPr>
      </w:pPr>
      <w:bookmarkStart w:name="_bookmark8" w:id="9"/>
      <w:bookmarkEnd w:id="9"/>
      <w:r>
        <w:rPr>
          <w:b w:val="0"/>
          <w:bCs w:val="0"/>
        </w:rPr>
      </w:r>
      <w:r>
        <w:rPr/>
        <w:t>第十节</w:t>
      </w:r>
      <w:r>
        <w:rPr>
          <w:spacing w:val="-6"/>
        </w:rPr>
        <w:t> </w:t>
      </w:r>
      <w:r>
        <w:rPr/>
        <w:t>公司债券相关情况</w:t>
      </w:r>
      <w:r>
        <w:rPr>
          <w:b w:val="0"/>
          <w:bCs w:val="0"/>
        </w:rPr>
      </w:r>
    </w:p>
    <w:p>
      <w:pPr>
        <w:spacing w:line="240" w:lineRule="auto" w:before="9"/>
        <w:rPr>
          <w:rFonts w:ascii="宋体" w:hAnsi="宋体" w:cs="宋体" w:eastAsia="宋体" w:hint="default"/>
          <w:b/>
          <w:bCs/>
          <w:sz w:val="42"/>
          <w:szCs w:val="42"/>
        </w:rPr>
      </w:pPr>
    </w:p>
    <w:p>
      <w:pPr>
        <w:spacing w:line="357" w:lineRule="auto" w:before="0"/>
        <w:ind w:left="152" w:right="1134" w:firstLine="0"/>
        <w:jc w:val="left"/>
        <w:rPr>
          <w:rFonts w:ascii="宋体" w:hAnsi="宋体" w:cs="宋体" w:eastAsia="宋体" w:hint="default"/>
          <w:sz w:val="18"/>
          <w:szCs w:val="18"/>
        </w:rPr>
      </w:pPr>
      <w:r>
        <w:rPr>
          <w:rFonts w:ascii="宋体" w:hAnsi="宋体" w:cs="宋体" w:eastAsia="宋体" w:hint="default"/>
          <w:sz w:val="18"/>
          <w:szCs w:val="18"/>
        </w:rPr>
        <w:t>公司是否存在公开发行并在证券交易所上市，且在年度报告批准报出日未到期或到期未能全额兑付的公司债券 否</w:t>
      </w:r>
    </w:p>
    <w:p>
      <w:pPr>
        <w:spacing w:after="0" w:line="357"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590" w:right="3651"/>
        <w:jc w:val="center"/>
        <w:rPr>
          <w:b w:val="0"/>
          <w:bCs w:val="0"/>
        </w:rPr>
      </w:pPr>
      <w:bookmarkStart w:name="_bookmark9" w:id="10"/>
      <w:bookmarkEnd w:id="10"/>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01"/>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信会师报字【</w:t>
            </w:r>
            <w:r>
              <w:rPr>
                <w:rFonts w:ascii="Times New Roman" w:hAnsi="Times New Roman" w:cs="Times New Roman" w:eastAsia="Times New Roman" w:hint="default"/>
                <w:sz w:val="18"/>
                <w:szCs w:val="18"/>
              </w:rPr>
              <w:t>2018</w:t>
            </w:r>
            <w:r>
              <w:rPr>
                <w:rFonts w:ascii="宋体" w:hAnsi="宋体" w:cs="宋体" w:eastAsia="宋体" w:hint="default"/>
                <w:sz w:val="18"/>
                <w:szCs w:val="18"/>
              </w:rPr>
              <w:t>】第</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ZA11525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朱育勤、鲍列仑</w:t>
            </w:r>
          </w:p>
        </w:tc>
      </w:tr>
    </w:tbl>
    <w:p>
      <w:pPr>
        <w:spacing w:before="49"/>
        <w:ind w:left="3590" w:right="3648" w:firstLine="0"/>
        <w:jc w:val="center"/>
        <w:rPr>
          <w:rFonts w:ascii="宋体" w:hAnsi="宋体" w:cs="宋体" w:eastAsia="宋体" w:hint="default"/>
          <w:sz w:val="18"/>
          <w:szCs w:val="18"/>
        </w:rPr>
      </w:pPr>
      <w:r>
        <w:rPr>
          <w:rFonts w:ascii="宋体" w:hAnsi="宋体" w:cs="宋体" w:eastAsia="宋体" w:hint="default"/>
          <w:sz w:val="18"/>
          <w:szCs w:val="18"/>
        </w:rPr>
        <w:t>审计报告正文</w:t>
      </w:r>
    </w:p>
    <w:p>
      <w:pPr>
        <w:spacing w:line="240" w:lineRule="auto" w:before="1"/>
        <w:rPr>
          <w:rFonts w:ascii="宋体" w:hAnsi="宋体" w:cs="宋体" w:eastAsia="宋体" w:hint="default"/>
          <w:sz w:val="13"/>
          <w:szCs w:val="13"/>
        </w:rPr>
      </w:pPr>
    </w:p>
    <w:p>
      <w:pPr>
        <w:pStyle w:val="Heading3"/>
        <w:spacing w:line="240" w:lineRule="auto"/>
        <w:ind w:left="3590" w:right="3648"/>
        <w:jc w:val="center"/>
        <w:rPr>
          <w:b w:val="0"/>
          <w:bCs w:val="0"/>
        </w:rPr>
      </w:pPr>
      <w:r>
        <w:rPr/>
        <w:t>审计报告</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7"/>
          <w:szCs w:val="27"/>
        </w:rPr>
      </w:pPr>
    </w:p>
    <w:p>
      <w:pPr>
        <w:pStyle w:val="BodyText"/>
        <w:spacing w:line="240" w:lineRule="auto" w:before="36"/>
        <w:ind w:left="0" w:right="211"/>
        <w:jc w:val="right"/>
      </w:pPr>
      <w:r>
        <w:rPr>
          <w:spacing w:val="-1"/>
        </w:rPr>
        <w:t>信会师报字</w:t>
      </w:r>
      <w:r>
        <w:rPr>
          <w:rFonts w:ascii="Times New Roman" w:hAnsi="Times New Roman" w:cs="Times New Roman" w:eastAsia="Times New Roman" w:hint="default"/>
          <w:spacing w:val="-1"/>
        </w:rPr>
        <w:t>[2018]</w:t>
      </w:r>
      <w:r>
        <w:rPr>
          <w:spacing w:val="-1"/>
        </w:rPr>
        <w:t>第</w:t>
      </w:r>
      <w:r>
        <w:rPr>
          <w:rFonts w:ascii="Times New Roman" w:hAnsi="Times New Roman" w:cs="Times New Roman" w:eastAsia="Times New Roman" w:hint="default"/>
          <w:spacing w:val="-1"/>
        </w:rPr>
        <w:t>11525</w:t>
      </w:r>
      <w:r>
        <w:rPr>
          <w:spacing w:val="-1"/>
        </w:rPr>
        <w:t>号</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p>
      <w:pPr>
        <w:pStyle w:val="Heading3"/>
        <w:spacing w:line="240" w:lineRule="auto" w:before="36"/>
        <w:ind w:right="101"/>
        <w:jc w:val="left"/>
        <w:rPr>
          <w:b w:val="0"/>
          <w:bCs w:val="0"/>
        </w:rPr>
      </w:pPr>
      <w:r>
        <w:rPr/>
        <w:t>上海天玑科技股份有限公司全体股东：</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Heading3"/>
        <w:spacing w:line="240" w:lineRule="auto" w:before="138"/>
        <w:ind w:left="573" w:right="101"/>
        <w:jc w:val="left"/>
        <w:rPr>
          <w:b w:val="0"/>
          <w:bCs w:val="0"/>
        </w:rPr>
      </w:pPr>
      <w:r>
        <w:rPr>
          <w:rFonts w:ascii="宋体" w:hAnsi="宋体" w:cs="宋体" w:eastAsia="宋体" w:hint="default"/>
        </w:rPr>
        <w:t>1.</w:t>
      </w:r>
      <w:r>
        <w:rPr>
          <w:rFonts w:ascii="宋体" w:hAnsi="宋体" w:cs="宋体" w:eastAsia="宋体" w:hint="default"/>
          <w:spacing w:val="43"/>
        </w:rPr>
        <w:t> </w:t>
      </w:r>
      <w:r>
        <w:rPr/>
        <w:t>审计意见</w:t>
      </w:r>
      <w:r>
        <w:rPr>
          <w:b w:val="0"/>
          <w:bCs w:val="0"/>
        </w:rPr>
      </w:r>
    </w:p>
    <w:p>
      <w:pPr>
        <w:spacing w:line="240" w:lineRule="auto" w:before="10"/>
        <w:rPr>
          <w:rFonts w:ascii="宋体" w:hAnsi="宋体" w:cs="宋体" w:eastAsia="宋体" w:hint="default"/>
          <w:b/>
          <w:bCs/>
          <w:sz w:val="14"/>
          <w:szCs w:val="14"/>
        </w:rPr>
      </w:pPr>
    </w:p>
    <w:p>
      <w:pPr>
        <w:pStyle w:val="BodyText"/>
        <w:spacing w:line="386" w:lineRule="auto"/>
        <w:ind w:left="513" w:right="208" w:firstLine="566"/>
        <w:jc w:val="both"/>
      </w:pPr>
      <w:r>
        <w:rPr/>
        <w:t>我们审计了上海天玑科技股份有限公司（以下简称</w:t>
      </w:r>
      <w:r>
        <w:rPr>
          <w:rFonts w:ascii="Times New Roman" w:hAnsi="Times New Roman" w:cs="Times New Roman" w:eastAsia="Times New Roman" w:hint="default"/>
        </w:rPr>
        <w:t>“</w:t>
      </w:r>
      <w:r>
        <w:rPr/>
        <w:t>天玑科技</w:t>
      </w:r>
      <w:r>
        <w:rPr>
          <w:rFonts w:ascii="Times New Roman" w:hAnsi="Times New Roman" w:cs="Times New Roman" w:eastAsia="Times New Roman" w:hint="default"/>
        </w:rPr>
        <w:t>”</w:t>
      </w:r>
      <w:r>
        <w:rPr/>
        <w:t>）财务报表，包括</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rFonts w:ascii="Times New Roman" w:hAnsi="Times New Roman" w:cs="Times New Roman" w:eastAsia="Times New Roman" w:hint="default"/>
          <w:w w:val="100"/>
        </w:rPr>
        <w:t> </w:t>
      </w:r>
      <w:r>
        <w:rPr>
          <w:spacing w:val="-1"/>
        </w:rPr>
        <w:t>日的合并及母公司资产负债表，</w:t>
      </w:r>
      <w:r>
        <w:rPr>
          <w:rFonts w:ascii="Times New Roman" w:hAnsi="Times New Roman" w:cs="Times New Roman" w:eastAsia="Times New Roman" w:hint="default"/>
          <w:spacing w:val="-1"/>
        </w:rPr>
        <w:t>2017</w:t>
      </w:r>
      <w:r>
        <w:rPr>
          <w:spacing w:val="-1"/>
        </w:rPr>
        <w:t>年度的合并及母公司利润表、合并及母公司现金流量表、合并及</w:t>
      </w:r>
      <w:r>
        <w:rPr>
          <w:spacing w:val="-22"/>
        </w:rPr>
        <w:t> </w:t>
      </w:r>
      <w:r>
        <w:rPr>
          <w:spacing w:val="-22"/>
        </w:rPr>
      </w:r>
      <w:r>
        <w:rPr/>
        <w:t>母公司股东权益变动表以及相关财务报表附注。</w:t>
      </w:r>
    </w:p>
    <w:p>
      <w:pPr>
        <w:pStyle w:val="BodyText"/>
        <w:spacing w:line="408" w:lineRule="auto" w:before="65"/>
        <w:ind w:left="513" w:right="219" w:firstLine="566"/>
        <w:jc w:val="both"/>
      </w:pPr>
      <w:r>
        <w:rPr/>
        <w:t>我们认为，后附的财务报表在所有重大方面按照企业会计准则的规定编制，公允反映了天玑科</w:t>
      </w:r>
      <w:r>
        <w:rPr>
          <w:w w:val="100"/>
        </w:rPr>
        <w:t> </w:t>
      </w:r>
      <w:r>
        <w:rPr/>
        <w:t>技</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日的合并及母公司财务状况以及</w:t>
      </w:r>
      <w:r>
        <w:rPr>
          <w:rFonts w:ascii="Times New Roman" w:hAnsi="Times New Roman" w:cs="Times New Roman" w:eastAsia="Times New Roman" w:hint="default"/>
        </w:rPr>
        <w:t>2017</w:t>
      </w:r>
      <w:r>
        <w:rPr/>
        <w:t>年度的合并及母公司经营成果和现金流量。</w:t>
      </w:r>
    </w:p>
    <w:p>
      <w:pPr>
        <w:spacing w:line="240" w:lineRule="auto" w:before="0"/>
        <w:rPr>
          <w:rFonts w:ascii="宋体" w:hAnsi="宋体" w:cs="宋体" w:eastAsia="宋体" w:hint="default"/>
          <w:sz w:val="22"/>
          <w:szCs w:val="22"/>
        </w:rPr>
      </w:pPr>
    </w:p>
    <w:p>
      <w:pPr>
        <w:spacing w:line="408" w:lineRule="auto" w:before="195"/>
        <w:ind w:left="1079" w:right="101" w:hanging="507"/>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42"/>
          <w:sz w:val="21"/>
          <w:szCs w:val="21"/>
        </w:rPr>
        <w:t> </w:t>
      </w:r>
      <w:r>
        <w:rPr>
          <w:rFonts w:ascii="宋体" w:hAnsi="宋体" w:cs="宋体" w:eastAsia="宋体" w:hint="default"/>
          <w:b/>
          <w:bCs/>
          <w:sz w:val="21"/>
          <w:szCs w:val="21"/>
        </w:rPr>
        <w:t>形成审计意见的基础</w:t>
      </w:r>
      <w:r>
        <w:rPr>
          <w:rFonts w:ascii="宋体" w:hAnsi="宋体" w:cs="宋体" w:eastAsia="宋体" w:hint="default"/>
          <w:b/>
          <w:bCs/>
          <w:spacing w:val="-103"/>
          <w:sz w:val="21"/>
          <w:szCs w:val="21"/>
        </w:rPr>
        <w:t> </w:t>
      </w:r>
      <w:r>
        <w:rPr>
          <w:rFonts w:ascii="宋体" w:hAnsi="宋体" w:cs="宋体" w:eastAsia="宋体" w:hint="default"/>
          <w:spacing w:val="-2"/>
          <w:sz w:val="21"/>
          <w:szCs w:val="21"/>
        </w:rPr>
        <w:t>我们按照中国注册会计师审计准则的规定执行了审计工作。审计报告的</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注册会计师对财务报表</w:t>
      </w:r>
    </w:p>
    <w:p>
      <w:pPr>
        <w:pStyle w:val="BodyText"/>
        <w:spacing w:line="398" w:lineRule="auto" w:before="14"/>
        <w:ind w:left="513" w:right="101"/>
        <w:jc w:val="left"/>
      </w:pPr>
      <w:r>
        <w:rPr>
          <w:spacing w:val="-3"/>
        </w:rPr>
        <w:t>审计的责任</w:t>
      </w:r>
      <w:r>
        <w:rPr>
          <w:rFonts w:ascii="Times New Roman" w:hAnsi="Times New Roman" w:cs="Times New Roman" w:eastAsia="Times New Roman" w:hint="default"/>
          <w:spacing w:val="-3"/>
        </w:rPr>
        <w:t>”</w:t>
      </w:r>
      <w:r>
        <w:rPr>
          <w:spacing w:val="-3"/>
        </w:rPr>
        <w:t>部分进一步阐述了我们在这些准则下的责任。按照中国注册会计师职业道德守则，我们独</w:t>
      </w:r>
      <w:r>
        <w:rPr>
          <w:spacing w:val="-36"/>
        </w:rPr>
        <w:t> </w:t>
      </w:r>
      <w:r>
        <w:rPr>
          <w:spacing w:val="-36"/>
        </w:rPr>
      </w:r>
      <w:r>
        <w:rPr>
          <w:spacing w:val="-3"/>
        </w:rPr>
        <w:t>立于天玑科技，并履行了职业道德方面的其他责任。我们相信，我们获取的审计证据是充分、适当的，</w:t>
      </w:r>
      <w:r>
        <w:rPr>
          <w:spacing w:val="-44"/>
        </w:rPr>
        <w:t> </w:t>
      </w:r>
      <w:r>
        <w:rPr>
          <w:spacing w:val="-44"/>
        </w:rPr>
      </w:r>
      <w:r>
        <w:rPr/>
        <w:t>为发表审计意见提供了基础。</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9"/>
          <w:szCs w:val="19"/>
        </w:rPr>
      </w:pPr>
    </w:p>
    <w:p>
      <w:pPr>
        <w:pStyle w:val="Heading3"/>
        <w:spacing w:line="240" w:lineRule="auto"/>
        <w:ind w:left="212" w:right="101"/>
        <w:jc w:val="left"/>
        <w:rPr>
          <w:b w:val="0"/>
          <w:bCs w:val="0"/>
        </w:rPr>
      </w:pPr>
      <w:r>
        <w:rPr>
          <w:rFonts w:ascii="宋体" w:hAnsi="宋体" w:cs="宋体" w:eastAsia="宋体" w:hint="default"/>
        </w:rPr>
        <w:t>1.</w:t>
      </w:r>
      <w:r>
        <w:rPr>
          <w:rFonts w:ascii="宋体" w:hAnsi="宋体" w:cs="宋体" w:eastAsia="宋体" w:hint="default"/>
          <w:spacing w:val="44"/>
        </w:rPr>
        <w:t> </w:t>
      </w:r>
      <w:r>
        <w:rPr/>
        <w:t>关键审计事项</w:t>
      </w:r>
      <w:r>
        <w:rPr>
          <w:b w:val="0"/>
          <w:bCs w:val="0"/>
        </w:rPr>
      </w:r>
    </w:p>
    <w:p>
      <w:pPr>
        <w:spacing w:after="0" w:line="240" w:lineRule="auto"/>
        <w:jc w:val="left"/>
        <w:sectPr>
          <w:pgSz w:w="11910" w:h="16840"/>
          <w:pgMar w:header="745" w:footer="979" w:top="1060" w:bottom="1160" w:left="980" w:right="920"/>
        </w:sectPr>
      </w:pPr>
    </w:p>
    <w:p>
      <w:pPr>
        <w:spacing w:line="240" w:lineRule="auto" w:before="0"/>
        <w:rPr>
          <w:rFonts w:ascii="宋体" w:hAnsi="宋体" w:cs="宋体" w:eastAsia="宋体" w:hint="default"/>
          <w:b/>
          <w:bCs/>
          <w:sz w:val="20"/>
          <w:szCs w:val="20"/>
        </w:rPr>
      </w:pPr>
    </w:p>
    <w:p>
      <w:pPr>
        <w:pStyle w:val="BodyText"/>
        <w:spacing w:line="408" w:lineRule="auto" w:before="176"/>
        <w:ind w:right="146" w:firstLine="566"/>
        <w:jc w:val="both"/>
      </w:pPr>
      <w:r>
        <w:rPr>
          <w:spacing w:val="-1"/>
        </w:rPr>
        <w:t>关键审计事项是我们根据职业判断，认为对本期财务报表审计最为重要的事项。这些事项的应对以</w:t>
      </w:r>
      <w:r>
        <w:rPr>
          <w:w w:val="100"/>
        </w:rPr>
        <w:t> </w:t>
      </w:r>
      <w:r>
        <w:rPr>
          <w:spacing w:val="-2"/>
        </w:rPr>
        <w:t>对财务报表整体进行审计并形成审计意见为背景，我们不对这些事项单独发表意见。我们确定下列事项是</w:t>
      </w:r>
      <w:r>
        <w:rPr>
          <w:spacing w:val="-43"/>
        </w:rPr>
        <w:t> </w:t>
      </w:r>
      <w:r>
        <w:rPr>
          <w:spacing w:val="-43"/>
        </w:rPr>
      </w:r>
      <w:r>
        <w:rPr/>
        <w:t>需要在审计报告中沟通的关键审计事项。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BodyText"/>
        <w:spacing w:line="240" w:lineRule="auto"/>
        <w:ind w:left="0" w:right="1495"/>
        <w:jc w:val="right"/>
      </w:pPr>
      <w:r>
        <w:rPr/>
        <w:pict>
          <v:shape style="position:absolute;margin-left:56.279999pt;margin-top:-382.496307pt;width:411pt;height:497.5pt;mso-position-horizontal-relative:page;mso-position-vertical-relative:paragraph;z-index:15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141"/>
                    <w:gridCol w:w="4057"/>
                  </w:tblGrid>
                  <w:tr>
                    <w:trPr>
                      <w:trHeight w:val="504" w:hRule="exact"/>
                    </w:trPr>
                    <w:tc>
                      <w:tcPr>
                        <w:tcW w:w="4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7" w:right="0"/>
                          <w:jc w:val="center"/>
                          <w:rPr>
                            <w:rFonts w:ascii="宋体" w:hAnsi="宋体" w:cs="宋体" w:eastAsia="宋体" w:hint="default"/>
                            <w:sz w:val="21"/>
                            <w:szCs w:val="21"/>
                          </w:rPr>
                        </w:pPr>
                        <w:r>
                          <w:rPr>
                            <w:rFonts w:ascii="宋体" w:hAnsi="宋体" w:cs="宋体" w:eastAsia="宋体" w:hint="default"/>
                            <w:b/>
                            <w:bCs/>
                            <w:sz w:val="21"/>
                            <w:szCs w:val="21"/>
                          </w:rPr>
                          <w:t>关键审计事项</w:t>
                        </w:r>
                        <w:r>
                          <w:rPr>
                            <w:rFonts w:ascii="宋体" w:hAnsi="宋体" w:cs="宋体" w:eastAsia="宋体" w:hint="default"/>
                            <w:sz w:val="21"/>
                            <w:szCs w:val="21"/>
                          </w:rPr>
                        </w:r>
                      </w:p>
                    </w:tc>
                    <w:tc>
                      <w:tcPr>
                        <w:tcW w:w="40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650" w:right="0"/>
                          <w:jc w:val="left"/>
                          <w:rPr>
                            <w:rFonts w:ascii="宋体" w:hAnsi="宋体" w:cs="宋体" w:eastAsia="宋体" w:hint="default"/>
                            <w:sz w:val="21"/>
                            <w:szCs w:val="21"/>
                          </w:rPr>
                        </w:pPr>
                        <w:r>
                          <w:rPr>
                            <w:rFonts w:ascii="宋体" w:hAnsi="宋体" w:cs="宋体" w:eastAsia="宋体" w:hint="default"/>
                            <w:b/>
                            <w:bCs/>
                            <w:sz w:val="21"/>
                            <w:szCs w:val="21"/>
                          </w:rPr>
                          <w:t>该事项在审计中是如何应对的</w:t>
                        </w:r>
                        <w:r>
                          <w:rPr>
                            <w:rFonts w:ascii="宋体" w:hAnsi="宋体" w:cs="宋体" w:eastAsia="宋体" w:hint="default"/>
                            <w:sz w:val="21"/>
                            <w:szCs w:val="21"/>
                          </w:rPr>
                        </w:r>
                      </w:p>
                    </w:tc>
                  </w:tr>
                  <w:tr>
                    <w:trPr>
                      <w:trHeight w:val="502" w:hRule="exact"/>
                    </w:trPr>
                    <w:tc>
                      <w:tcPr>
                        <w:tcW w:w="819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4" w:right="0"/>
                          <w:jc w:val="left"/>
                          <w:rPr>
                            <w:rFonts w:ascii="宋体" w:hAnsi="宋体" w:cs="宋体" w:eastAsia="宋体" w:hint="default"/>
                            <w:sz w:val="21"/>
                            <w:szCs w:val="21"/>
                          </w:rPr>
                        </w:pPr>
                        <w:r>
                          <w:rPr>
                            <w:rFonts w:ascii="宋体" w:hAnsi="宋体" w:cs="宋体" w:eastAsia="宋体" w:hint="default"/>
                            <w:b/>
                            <w:bCs/>
                            <w:sz w:val="21"/>
                            <w:szCs w:val="21"/>
                          </w:rPr>
                          <w:t>（一）应收账款的可收回性</w:t>
                        </w:r>
                        <w:r>
                          <w:rPr>
                            <w:rFonts w:ascii="宋体" w:hAnsi="宋体" w:cs="宋体" w:eastAsia="宋体" w:hint="default"/>
                            <w:sz w:val="21"/>
                            <w:szCs w:val="21"/>
                          </w:rPr>
                        </w:r>
                      </w:p>
                    </w:tc>
                  </w:tr>
                  <w:tr>
                    <w:trPr>
                      <w:trHeight w:val="8930" w:hRule="exact"/>
                    </w:trPr>
                    <w:tc>
                      <w:tcPr>
                        <w:tcW w:w="4141" w:type="dxa"/>
                        <w:tcBorders>
                          <w:top w:val="single" w:sz="6" w:space="0" w:color="000000"/>
                          <w:left w:val="single" w:sz="6" w:space="0" w:color="000000"/>
                          <w:bottom w:val="single" w:sz="6" w:space="0" w:color="000000"/>
                          <w:right w:val="single" w:sz="6" w:space="0" w:color="000000"/>
                        </w:tcBorders>
                      </w:tcPr>
                      <w:p>
                        <w:pPr>
                          <w:pStyle w:val="TableParagraph"/>
                          <w:spacing w:line="393" w:lineRule="auto" w:before="77"/>
                          <w:ind w:left="4" w:right="-3"/>
                          <w:jc w:val="left"/>
                          <w:rPr>
                            <w:rFonts w:ascii="宋体" w:hAnsi="宋体" w:cs="宋体" w:eastAsia="宋体" w:hint="default"/>
                            <w:sz w:val="21"/>
                            <w:szCs w:val="21"/>
                          </w:rPr>
                        </w:pPr>
                        <w:r>
                          <w:rPr>
                            <w:rFonts w:ascii="宋体" w:hAnsi="宋体" w:cs="宋体" w:eastAsia="宋体" w:hint="default"/>
                            <w:sz w:val="21"/>
                            <w:szCs w:val="21"/>
                          </w:rPr>
                          <w:t>事项描述：</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请参阅财务报表附注</w:t>
                        </w:r>
                        <w:r>
                          <w:rPr>
                            <w:rFonts w:ascii="Times New Roman" w:hAnsi="Times New Roman" w:cs="Times New Roman" w:eastAsia="Times New Roman" w:hint="default"/>
                            <w:sz w:val="21"/>
                            <w:szCs w:val="21"/>
                          </w:rPr>
                          <w:t>“</w:t>
                        </w:r>
                        <w:r>
                          <w:rPr>
                            <w:rFonts w:ascii="宋体" w:hAnsi="宋体" w:cs="宋体" w:eastAsia="宋体" w:hint="default"/>
                            <w:sz w:val="21"/>
                            <w:szCs w:val="21"/>
                          </w:rPr>
                          <w:t>三、重要会计政策及会</w:t>
                        </w:r>
                        <w:r>
                          <w:rPr>
                            <w:rFonts w:ascii="宋体" w:hAnsi="宋体" w:cs="宋体" w:eastAsia="宋体" w:hint="default"/>
                            <w:w w:val="100"/>
                            <w:sz w:val="21"/>
                            <w:szCs w:val="21"/>
                          </w:rPr>
                          <w:t> </w:t>
                        </w:r>
                        <w:r>
                          <w:rPr>
                            <w:rFonts w:ascii="宋体" w:hAnsi="宋体" w:cs="宋体" w:eastAsia="宋体" w:hint="default"/>
                            <w:spacing w:val="-4"/>
                            <w:sz w:val="21"/>
                            <w:szCs w:val="21"/>
                          </w:rPr>
                          <w:t>计估计</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（十一）所述的会计政策及</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五、合并</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财务报表主要项目注释</w:t>
                        </w:r>
                        <w:r>
                          <w:rPr>
                            <w:rFonts w:ascii="Times New Roman" w:hAnsi="Times New Roman" w:cs="Times New Roman" w:eastAsia="Times New Roman" w:hint="default"/>
                            <w:sz w:val="21"/>
                            <w:szCs w:val="21"/>
                          </w:rPr>
                          <w:t>”</w:t>
                        </w:r>
                        <w:r>
                          <w:rPr>
                            <w:rFonts w:ascii="宋体" w:hAnsi="宋体" w:cs="宋体" w:eastAsia="宋体" w:hint="default"/>
                            <w:sz w:val="21"/>
                            <w:szCs w:val="21"/>
                          </w:rPr>
                          <w:t>（三）。</w:t>
                        </w: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398" w:lineRule="auto"/>
                          <w:ind w:left="4" w:right="-3"/>
                          <w:jc w:val="left"/>
                          <w:rPr>
                            <w:rFonts w:ascii="宋体" w:hAnsi="宋体" w:cs="宋体" w:eastAsia="宋体" w:hint="default"/>
                            <w:sz w:val="21"/>
                            <w:szCs w:val="21"/>
                          </w:rPr>
                        </w:pPr>
                        <w:r>
                          <w:rPr>
                            <w:rFonts w:ascii="宋体" w:hAnsi="宋体" w:cs="宋体" w:eastAsia="宋体" w:hint="default"/>
                            <w:spacing w:val="-5"/>
                            <w:sz w:val="21"/>
                            <w:szCs w:val="21"/>
                          </w:rPr>
                          <w:t>截至</w:t>
                        </w:r>
                        <w:r>
                          <w:rPr>
                            <w:rFonts w:ascii="Times New Roman" w:hAnsi="Times New Roman" w:cs="Times New Roman" w:eastAsia="Times New Roman" w:hint="default"/>
                            <w:spacing w:val="-5"/>
                            <w:sz w:val="21"/>
                            <w:szCs w:val="21"/>
                          </w:rPr>
                          <w:t>2017</w:t>
                        </w:r>
                        <w:r>
                          <w:rPr>
                            <w:rFonts w:ascii="宋体" w:hAnsi="宋体" w:cs="宋体" w:eastAsia="宋体" w:hint="default"/>
                            <w:spacing w:val="-5"/>
                            <w:sz w:val="21"/>
                            <w:szCs w:val="21"/>
                          </w:rPr>
                          <w:t>年</w:t>
                        </w:r>
                        <w:r>
                          <w:rPr>
                            <w:rFonts w:ascii="Times New Roman" w:hAnsi="Times New Roman" w:cs="Times New Roman" w:eastAsia="Times New Roman" w:hint="default"/>
                            <w:spacing w:val="-5"/>
                            <w:sz w:val="21"/>
                            <w:szCs w:val="21"/>
                          </w:rPr>
                          <w:t>12</w:t>
                        </w:r>
                        <w:r>
                          <w:rPr>
                            <w:rFonts w:ascii="宋体" w:hAnsi="宋体" w:cs="宋体" w:eastAsia="宋体" w:hint="default"/>
                            <w:spacing w:val="-5"/>
                            <w:sz w:val="21"/>
                            <w:szCs w:val="21"/>
                          </w:rPr>
                          <w:t>月</w:t>
                        </w:r>
                        <w:r>
                          <w:rPr>
                            <w:rFonts w:ascii="Times New Roman" w:hAnsi="Times New Roman" w:cs="Times New Roman" w:eastAsia="Times New Roman" w:hint="default"/>
                            <w:spacing w:val="-5"/>
                            <w:sz w:val="21"/>
                            <w:szCs w:val="21"/>
                          </w:rPr>
                          <w:t>31</w:t>
                        </w:r>
                        <w:r>
                          <w:rPr>
                            <w:rFonts w:ascii="宋体" w:hAnsi="宋体" w:cs="宋体" w:eastAsia="宋体" w:hint="default"/>
                            <w:spacing w:val="-5"/>
                            <w:sz w:val="21"/>
                            <w:szCs w:val="21"/>
                          </w:rPr>
                          <w:t>日，天玑科技应收账款余额</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Times New Roman" w:hAnsi="Times New Roman" w:cs="Times New Roman" w:eastAsia="Times New Roman" w:hint="default"/>
                            <w:spacing w:val="-2"/>
                            <w:sz w:val="21"/>
                            <w:szCs w:val="21"/>
                          </w:rPr>
                          <w:t>15,066.60</w:t>
                        </w:r>
                        <w:r>
                          <w:rPr>
                            <w:rFonts w:ascii="宋体" w:hAnsi="宋体" w:cs="宋体" w:eastAsia="宋体" w:hint="default"/>
                            <w:spacing w:val="-2"/>
                            <w:sz w:val="21"/>
                            <w:szCs w:val="21"/>
                          </w:rPr>
                          <w:t>万元，坏账准备余额</w:t>
                        </w:r>
                        <w:r>
                          <w:rPr>
                            <w:rFonts w:ascii="Times New Roman" w:hAnsi="Times New Roman" w:cs="Times New Roman" w:eastAsia="Times New Roman" w:hint="default"/>
                            <w:spacing w:val="-2"/>
                            <w:sz w:val="21"/>
                            <w:szCs w:val="21"/>
                          </w:rPr>
                          <w:t>640.92</w:t>
                        </w:r>
                        <w:r>
                          <w:rPr>
                            <w:rFonts w:ascii="宋体" w:hAnsi="宋体" w:cs="宋体" w:eastAsia="宋体" w:hint="default"/>
                            <w:spacing w:val="-2"/>
                            <w:sz w:val="21"/>
                            <w:szCs w:val="21"/>
                          </w:rPr>
                          <w:t>万元。由</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于应收账款余额重大且坏账准备的评估涉及</w:t>
                        </w:r>
                        <w:r>
                          <w:rPr>
                            <w:rFonts w:ascii="宋体" w:hAnsi="宋体" w:cs="宋体" w:eastAsia="宋体" w:hint="default"/>
                            <w:w w:val="100"/>
                            <w:sz w:val="21"/>
                            <w:szCs w:val="21"/>
                          </w:rPr>
                          <w:t> </w:t>
                        </w:r>
                        <w:r>
                          <w:rPr>
                            <w:rFonts w:ascii="宋体" w:hAnsi="宋体" w:cs="宋体" w:eastAsia="宋体" w:hint="default"/>
                            <w:spacing w:val="-6"/>
                            <w:sz w:val="21"/>
                            <w:szCs w:val="21"/>
                          </w:rPr>
                          <w:t>管理层的重大判断，因此我们将应收账款减值</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作为关键审计事项。</w:t>
                        </w:r>
                      </w:p>
                    </w:tc>
                    <w:tc>
                      <w:tcPr>
                        <w:tcW w:w="4057" w:type="dxa"/>
                        <w:tcBorders>
                          <w:top w:val="single" w:sz="6" w:space="0" w:color="000000"/>
                          <w:left w:val="single" w:sz="6" w:space="0" w:color="000000"/>
                          <w:bottom w:val="single" w:sz="6" w:space="0" w:color="000000"/>
                          <w:right w:val="single" w:sz="6" w:space="0" w:color="000000"/>
                        </w:tcBorders>
                      </w:tcPr>
                      <w:p>
                        <w:pPr>
                          <w:pStyle w:val="TableParagraph"/>
                          <w:spacing w:line="400" w:lineRule="auto" w:before="77"/>
                          <w:ind w:left="4" w:right="-3"/>
                          <w:jc w:val="left"/>
                          <w:rPr>
                            <w:rFonts w:ascii="宋体" w:hAnsi="宋体" w:cs="宋体" w:eastAsia="宋体" w:hint="default"/>
                            <w:sz w:val="21"/>
                            <w:szCs w:val="21"/>
                          </w:rPr>
                        </w:pPr>
                        <w:r>
                          <w:rPr>
                            <w:rFonts w:ascii="宋体" w:hAnsi="宋体" w:cs="宋体" w:eastAsia="宋体" w:hint="default"/>
                            <w:sz w:val="21"/>
                            <w:szCs w:val="21"/>
                          </w:rPr>
                          <w:t>审计应对：</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我们针对应收账款坏账准备执行的审计程序</w:t>
                        </w:r>
                        <w:r>
                          <w:rPr>
                            <w:rFonts w:ascii="宋体" w:hAnsi="宋体" w:cs="宋体" w:eastAsia="宋体" w:hint="default"/>
                            <w:w w:val="100"/>
                            <w:sz w:val="21"/>
                            <w:szCs w:val="21"/>
                          </w:rPr>
                          <w:t> </w:t>
                        </w:r>
                        <w:r>
                          <w:rPr>
                            <w:rFonts w:ascii="宋体" w:hAnsi="宋体" w:cs="宋体" w:eastAsia="宋体" w:hint="default"/>
                            <w:sz w:val="21"/>
                            <w:szCs w:val="21"/>
                          </w:rPr>
                          <w:t>主要有：</w:t>
                        </w:r>
                        <w:r>
                          <w:rPr>
                            <w:rFonts w:ascii="宋体" w:hAnsi="宋体" w:cs="宋体" w:eastAsia="宋体" w:hint="default"/>
                            <w:w w:val="100"/>
                            <w:sz w:val="21"/>
                            <w:szCs w:val="21"/>
                          </w:rPr>
                          <w:t> </w:t>
                        </w:r>
                        <w:r>
                          <w:rPr>
                            <w:rFonts w:ascii="Times New Roman" w:hAnsi="Times New Roman" w:cs="Times New Roman" w:eastAsia="Times New Roman" w:hint="default"/>
                            <w:spacing w:val="-5"/>
                            <w:sz w:val="21"/>
                            <w:szCs w:val="21"/>
                          </w:rPr>
                          <w:t>1</w:t>
                        </w:r>
                        <w:r>
                          <w:rPr>
                            <w:rFonts w:ascii="宋体" w:hAnsi="宋体" w:cs="宋体" w:eastAsia="宋体" w:hint="default"/>
                            <w:spacing w:val="-5"/>
                            <w:sz w:val="21"/>
                            <w:szCs w:val="21"/>
                          </w:rPr>
                          <w:t>、了解、评估并测试管理层对应收账款账龄</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分析以及确定应收账款坏账准备相关的内部</w:t>
                        </w:r>
                        <w:r>
                          <w:rPr>
                            <w:rFonts w:ascii="宋体" w:hAnsi="宋体" w:cs="宋体" w:eastAsia="宋体" w:hint="default"/>
                            <w:w w:val="100"/>
                            <w:sz w:val="21"/>
                            <w:szCs w:val="21"/>
                          </w:rPr>
                          <w:t> </w:t>
                        </w:r>
                        <w:r>
                          <w:rPr>
                            <w:rFonts w:ascii="宋体" w:hAnsi="宋体" w:cs="宋体" w:eastAsia="宋体" w:hint="default"/>
                            <w:sz w:val="21"/>
                            <w:szCs w:val="21"/>
                          </w:rPr>
                          <w:t>控制；</w:t>
                        </w:r>
                        <w:r>
                          <w:rPr>
                            <w:rFonts w:ascii="宋体" w:hAnsi="宋体" w:cs="宋体" w:eastAsia="宋体" w:hint="default"/>
                            <w:spacing w:val="-102"/>
                            <w:sz w:val="21"/>
                            <w:szCs w:val="21"/>
                          </w:rPr>
                          <w:t> </w:t>
                        </w:r>
                        <w:r>
                          <w:rPr>
                            <w:rFonts w:ascii="Times New Roman" w:hAnsi="Times New Roman" w:cs="Times New Roman" w:eastAsia="Times New Roman" w:hint="default"/>
                            <w:spacing w:val="-5"/>
                            <w:sz w:val="21"/>
                            <w:szCs w:val="21"/>
                          </w:rPr>
                          <w:t>2</w:t>
                        </w:r>
                        <w:r>
                          <w:rPr>
                            <w:rFonts w:ascii="宋体" w:hAnsi="宋体" w:cs="宋体" w:eastAsia="宋体" w:hint="default"/>
                            <w:spacing w:val="-5"/>
                            <w:sz w:val="21"/>
                            <w:szCs w:val="21"/>
                          </w:rPr>
                          <w:t>、复核管理层对应收账款可收回性进行评估</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的相关考虑及客观证据，关注管理层是否充</w:t>
                        </w:r>
                        <w:r>
                          <w:rPr>
                            <w:rFonts w:ascii="宋体" w:hAnsi="宋体" w:cs="宋体" w:eastAsia="宋体" w:hint="default"/>
                            <w:w w:val="100"/>
                            <w:sz w:val="21"/>
                            <w:szCs w:val="21"/>
                          </w:rPr>
                          <w:t> </w:t>
                        </w:r>
                        <w:r>
                          <w:rPr>
                            <w:rFonts w:ascii="宋体" w:hAnsi="宋体" w:cs="宋体" w:eastAsia="宋体" w:hint="default"/>
                            <w:sz w:val="21"/>
                            <w:szCs w:val="21"/>
                          </w:rPr>
                          <w:t>分识别已发生减值的项目；</w:t>
                        </w:r>
                        <w:r>
                          <w:rPr>
                            <w:rFonts w:ascii="宋体" w:hAnsi="宋体" w:cs="宋体" w:eastAsia="宋体" w:hint="default"/>
                            <w:w w:val="100"/>
                            <w:sz w:val="21"/>
                            <w:szCs w:val="21"/>
                          </w:rPr>
                          <w:t> </w:t>
                        </w:r>
                        <w:r>
                          <w:rPr>
                            <w:rFonts w:ascii="Times New Roman" w:hAnsi="Times New Roman" w:cs="Times New Roman" w:eastAsia="Times New Roman" w:hint="default"/>
                            <w:spacing w:val="-5"/>
                            <w:sz w:val="21"/>
                            <w:szCs w:val="21"/>
                          </w:rPr>
                          <w:t>3</w:t>
                        </w:r>
                        <w:r>
                          <w:rPr>
                            <w:rFonts w:ascii="宋体" w:hAnsi="宋体" w:cs="宋体" w:eastAsia="宋体" w:hint="default"/>
                            <w:spacing w:val="-5"/>
                            <w:sz w:val="21"/>
                            <w:szCs w:val="21"/>
                          </w:rPr>
                          <w:t>、对于单项金额重大的应收账款，选取样本</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复核管理层对预计未来可获得的现金流量做</w:t>
                        </w:r>
                        <w:r>
                          <w:rPr>
                            <w:rFonts w:ascii="宋体" w:hAnsi="宋体" w:cs="宋体" w:eastAsia="宋体" w:hint="default"/>
                            <w:w w:val="100"/>
                            <w:sz w:val="21"/>
                            <w:szCs w:val="21"/>
                          </w:rPr>
                          <w:t> </w:t>
                        </w:r>
                        <w:r>
                          <w:rPr>
                            <w:rFonts w:ascii="宋体" w:hAnsi="宋体" w:cs="宋体" w:eastAsia="宋体" w:hint="default"/>
                            <w:sz w:val="21"/>
                            <w:szCs w:val="21"/>
                          </w:rPr>
                          <w:t>出评估的依据；</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Times New Roman" w:hAnsi="Times New Roman" w:cs="Times New Roman" w:eastAsia="Times New Roman" w:hint="default"/>
                            <w:spacing w:val="-5"/>
                            <w:sz w:val="21"/>
                            <w:szCs w:val="21"/>
                          </w:rPr>
                          <w:t>4</w:t>
                        </w:r>
                        <w:r>
                          <w:rPr>
                            <w:rFonts w:ascii="宋体" w:hAnsi="宋体" w:cs="宋体" w:eastAsia="宋体" w:hint="default"/>
                            <w:spacing w:val="-5"/>
                            <w:sz w:val="21"/>
                            <w:szCs w:val="21"/>
                          </w:rPr>
                          <w:t>、对于管理层按照信用风险特征组合计提坏</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账准备的应收账款，结合信用风险特征及账</w:t>
                        </w:r>
                        <w:r>
                          <w:rPr>
                            <w:rFonts w:ascii="宋体" w:hAnsi="宋体" w:cs="宋体" w:eastAsia="宋体" w:hint="default"/>
                            <w:w w:val="100"/>
                            <w:sz w:val="21"/>
                            <w:szCs w:val="21"/>
                          </w:rPr>
                          <w:t> </w:t>
                        </w:r>
                        <w:r>
                          <w:rPr>
                            <w:rFonts w:ascii="宋体" w:hAnsi="宋体" w:cs="宋体" w:eastAsia="宋体" w:hint="default"/>
                            <w:spacing w:val="-5"/>
                            <w:sz w:val="21"/>
                            <w:szCs w:val="21"/>
                          </w:rPr>
                          <w:t>龄分析，评价管理层坏账准备计提的合理性</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Times New Roman" w:hAnsi="Times New Roman" w:cs="Times New Roman" w:eastAsia="Times New Roman" w:hint="default"/>
                            <w:spacing w:val="-5"/>
                            <w:sz w:val="21"/>
                            <w:szCs w:val="21"/>
                          </w:rPr>
                          <w:t>5</w:t>
                        </w:r>
                        <w:r>
                          <w:rPr>
                            <w:rFonts w:ascii="宋体" w:hAnsi="宋体" w:cs="宋体" w:eastAsia="宋体" w:hint="default"/>
                            <w:spacing w:val="-5"/>
                            <w:sz w:val="21"/>
                            <w:szCs w:val="21"/>
                          </w:rPr>
                          <w:t>、实施函证程序，并将函证结果与管理层记</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录的金额进行了核对；</w:t>
                        </w:r>
                        <w:r>
                          <w:rPr>
                            <w:rFonts w:ascii="宋体" w:hAnsi="宋体" w:cs="宋体" w:eastAsia="宋体" w:hint="default"/>
                            <w:w w:val="100"/>
                            <w:sz w:val="21"/>
                            <w:szCs w:val="21"/>
                          </w:rPr>
                          <w:t> </w:t>
                        </w:r>
                        <w:r>
                          <w:rPr>
                            <w:rFonts w:ascii="Times New Roman" w:hAnsi="Times New Roman" w:cs="Times New Roman" w:eastAsia="Times New Roman" w:hint="default"/>
                            <w:spacing w:val="-5"/>
                            <w:sz w:val="21"/>
                            <w:szCs w:val="21"/>
                          </w:rPr>
                          <w:t>6</w:t>
                        </w:r>
                        <w:r>
                          <w:rPr>
                            <w:rFonts w:ascii="宋体" w:hAnsi="宋体" w:cs="宋体" w:eastAsia="宋体" w:hint="default"/>
                            <w:spacing w:val="-5"/>
                            <w:sz w:val="21"/>
                            <w:szCs w:val="21"/>
                          </w:rPr>
                          <w:t>、结合期后回款情况检查，评价管理层对坏</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账准备计提的合理性。</w:t>
                        </w:r>
                      </w:p>
                    </w:tc>
                  </w:tr>
                </w:tbl>
                <w:p>
                  <w:pPr/>
                </w:p>
              </w:txbxContent>
            </v:textbox>
            <w10:wrap type="none"/>
          </v:shape>
        </w:pict>
      </w:r>
      <w:r>
        <w:rPr>
          <w:w w:val="100"/>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0"/>
          <w:szCs w:val="10"/>
        </w:rPr>
      </w:pPr>
    </w:p>
    <w:tbl>
      <w:tblPr>
        <w:tblW w:w="0" w:type="auto"/>
        <w:jc w:val="left"/>
        <w:tblInd w:w="145" w:type="dxa"/>
        <w:tblLayout w:type="fixed"/>
        <w:tblCellMar>
          <w:top w:w="0" w:type="dxa"/>
          <w:left w:w="0" w:type="dxa"/>
          <w:bottom w:w="0" w:type="dxa"/>
          <w:right w:w="0" w:type="dxa"/>
        </w:tblCellMar>
        <w:tblLook w:val="01E0"/>
      </w:tblPr>
      <w:tblGrid>
        <w:gridCol w:w="4141"/>
        <w:gridCol w:w="4057"/>
      </w:tblGrid>
      <w:tr>
        <w:trPr>
          <w:trHeight w:val="504" w:hRule="exact"/>
        </w:trPr>
        <w:tc>
          <w:tcPr>
            <w:tcW w:w="819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4" w:right="0"/>
              <w:jc w:val="left"/>
              <w:rPr>
                <w:rFonts w:ascii="宋体" w:hAnsi="宋体" w:cs="宋体" w:eastAsia="宋体" w:hint="default"/>
                <w:sz w:val="21"/>
                <w:szCs w:val="21"/>
              </w:rPr>
            </w:pPr>
            <w:r>
              <w:rPr>
                <w:rFonts w:ascii="宋体" w:hAnsi="宋体" w:cs="宋体" w:eastAsia="宋体" w:hint="default"/>
                <w:b/>
                <w:bCs/>
                <w:sz w:val="21"/>
                <w:szCs w:val="21"/>
              </w:rPr>
              <w:t>（二）收入确认</w:t>
            </w:r>
            <w:r>
              <w:rPr>
                <w:rFonts w:ascii="宋体" w:hAnsi="宋体" w:cs="宋体" w:eastAsia="宋体" w:hint="default"/>
                <w:sz w:val="21"/>
                <w:szCs w:val="21"/>
              </w:rPr>
            </w:r>
          </w:p>
        </w:tc>
      </w:tr>
      <w:tr>
        <w:trPr>
          <w:trHeight w:val="502" w:hRule="exact"/>
        </w:trPr>
        <w:tc>
          <w:tcPr>
            <w:tcW w:w="4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4" w:right="0"/>
              <w:jc w:val="left"/>
              <w:rPr>
                <w:rFonts w:ascii="宋体" w:hAnsi="宋体" w:cs="宋体" w:eastAsia="宋体" w:hint="default"/>
                <w:sz w:val="21"/>
                <w:szCs w:val="21"/>
              </w:rPr>
            </w:pPr>
            <w:r>
              <w:rPr>
                <w:rFonts w:ascii="宋体" w:hAnsi="宋体" w:cs="宋体" w:eastAsia="宋体" w:hint="default"/>
                <w:sz w:val="21"/>
                <w:szCs w:val="21"/>
              </w:rPr>
              <w:t>事项描述：</w:t>
            </w:r>
          </w:p>
        </w:tc>
        <w:tc>
          <w:tcPr>
            <w:tcW w:w="40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4" w:right="0"/>
              <w:jc w:val="left"/>
              <w:rPr>
                <w:rFonts w:ascii="宋体" w:hAnsi="宋体" w:cs="宋体" w:eastAsia="宋体" w:hint="default"/>
                <w:sz w:val="21"/>
                <w:szCs w:val="21"/>
              </w:rPr>
            </w:pPr>
            <w:r>
              <w:rPr>
                <w:rFonts w:ascii="宋体" w:hAnsi="宋体" w:cs="宋体" w:eastAsia="宋体" w:hint="default"/>
                <w:sz w:val="21"/>
                <w:szCs w:val="21"/>
              </w:rPr>
              <w:t>审计应对：</w:t>
            </w:r>
          </w:p>
        </w:tc>
      </w:tr>
    </w:tbl>
    <w:p>
      <w:pPr>
        <w:spacing w:after="0" w:line="240" w:lineRule="auto"/>
        <w:jc w:val="left"/>
        <w:rPr>
          <w:rFonts w:ascii="宋体" w:hAnsi="宋体" w:cs="宋体" w:eastAsia="宋体" w:hint="default"/>
          <w:sz w:val="21"/>
          <w:szCs w:val="21"/>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4141"/>
        <w:gridCol w:w="4057"/>
      </w:tblGrid>
      <w:tr>
        <w:trPr>
          <w:trHeight w:val="7993" w:hRule="exact"/>
        </w:trPr>
        <w:tc>
          <w:tcPr>
            <w:tcW w:w="4141" w:type="dxa"/>
            <w:tcBorders>
              <w:top w:val="single" w:sz="6" w:space="0" w:color="000000"/>
              <w:left w:val="single" w:sz="6" w:space="0" w:color="000000"/>
              <w:bottom w:val="single" w:sz="6" w:space="0" w:color="000000"/>
              <w:right w:val="single" w:sz="6" w:space="0" w:color="000000"/>
            </w:tcBorders>
          </w:tcPr>
          <w:p>
            <w:pPr>
              <w:pStyle w:val="TableParagraph"/>
              <w:spacing w:line="386" w:lineRule="auto" w:before="74"/>
              <w:ind w:left="4" w:right="-20"/>
              <w:jc w:val="both"/>
              <w:rPr>
                <w:rFonts w:ascii="宋体" w:hAnsi="宋体" w:cs="宋体" w:eastAsia="宋体" w:hint="default"/>
                <w:sz w:val="21"/>
                <w:szCs w:val="21"/>
              </w:rPr>
            </w:pPr>
            <w:r>
              <w:rPr>
                <w:rFonts w:ascii="宋体" w:hAnsi="宋体" w:cs="宋体" w:eastAsia="宋体" w:hint="default"/>
                <w:sz w:val="21"/>
                <w:szCs w:val="21"/>
              </w:rPr>
              <w:t>参阅合并财务报表附注</w:t>
            </w:r>
            <w:r>
              <w:rPr>
                <w:rFonts w:ascii="Times New Roman" w:hAnsi="Times New Roman" w:cs="Times New Roman" w:eastAsia="Times New Roman" w:hint="default"/>
                <w:sz w:val="21"/>
                <w:szCs w:val="21"/>
              </w:rPr>
              <w:t>“</w:t>
            </w:r>
            <w:r>
              <w:rPr>
                <w:rFonts w:ascii="宋体" w:hAnsi="宋体" w:cs="宋体" w:eastAsia="宋体" w:hint="default"/>
                <w:sz w:val="21"/>
                <w:szCs w:val="21"/>
              </w:rPr>
              <w:t>三、重要会计政策和</w:t>
            </w:r>
            <w:r>
              <w:rPr>
                <w:rFonts w:ascii="宋体" w:hAnsi="宋体" w:cs="宋体" w:eastAsia="宋体" w:hint="default"/>
                <w:w w:val="100"/>
                <w:sz w:val="21"/>
                <w:szCs w:val="21"/>
              </w:rPr>
              <w:t> </w:t>
            </w:r>
            <w:r>
              <w:rPr>
                <w:rFonts w:ascii="宋体" w:hAnsi="宋体" w:cs="宋体" w:eastAsia="宋体" w:hint="default"/>
                <w:spacing w:val="-4"/>
                <w:sz w:val="21"/>
                <w:szCs w:val="21"/>
              </w:rPr>
              <w:t>会计估计</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（二十四）所述的会计政策及</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五、</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合并财务报表项目附注</w:t>
            </w:r>
            <w:r>
              <w:rPr>
                <w:rFonts w:ascii="Times New Roman" w:hAnsi="Times New Roman" w:cs="Times New Roman" w:eastAsia="Times New Roman" w:hint="default"/>
                <w:sz w:val="21"/>
                <w:szCs w:val="21"/>
              </w:rPr>
              <w:t>”</w:t>
            </w:r>
            <w:r>
              <w:rPr>
                <w:rFonts w:ascii="宋体" w:hAnsi="宋体" w:cs="宋体" w:eastAsia="宋体" w:hint="default"/>
                <w:sz w:val="21"/>
                <w:szCs w:val="21"/>
              </w:rPr>
              <w:t>（三十六）。</w:t>
            </w: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398" w:lineRule="auto"/>
              <w:ind w:left="4" w:right="-2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年度，天玑科技提供的主要服务包括</w:t>
            </w:r>
            <w:r>
              <w:rPr>
                <w:rFonts w:ascii="Times New Roman" w:hAnsi="Times New Roman" w:cs="Times New Roman" w:eastAsia="Times New Roman" w:hint="default"/>
                <w:sz w:val="21"/>
                <w:szCs w:val="21"/>
              </w:rPr>
              <w:t>IT</w:t>
            </w:r>
            <w:r>
              <w:rPr>
                <w:rFonts w:ascii="Times New Roman" w:hAnsi="Times New Roman" w:cs="Times New Roman" w:eastAsia="Times New Roman" w:hint="default"/>
                <w:spacing w:val="-4"/>
                <w:w w:val="100"/>
                <w:sz w:val="21"/>
                <w:szCs w:val="21"/>
              </w:rPr>
              <w:t> </w:t>
            </w:r>
            <w:r>
              <w:rPr>
                <w:rFonts w:ascii="宋体" w:hAnsi="宋体" w:cs="宋体" w:eastAsia="宋体" w:hint="default"/>
                <w:spacing w:val="-4"/>
                <w:sz w:val="21"/>
                <w:szCs w:val="21"/>
              </w:rPr>
              <w:t>支持与维护服务、</w:t>
            </w:r>
            <w:r>
              <w:rPr>
                <w:rFonts w:ascii="Times New Roman" w:hAnsi="Times New Roman" w:cs="Times New Roman" w:eastAsia="Times New Roman" w:hint="default"/>
                <w:spacing w:val="-4"/>
                <w:sz w:val="21"/>
                <w:szCs w:val="21"/>
              </w:rPr>
              <w:t>IT</w:t>
            </w:r>
            <w:r>
              <w:rPr>
                <w:rFonts w:ascii="宋体" w:hAnsi="宋体" w:cs="宋体" w:eastAsia="宋体" w:hint="default"/>
                <w:spacing w:val="-4"/>
                <w:sz w:val="21"/>
                <w:szCs w:val="21"/>
              </w:rPr>
              <w:t>外包服务、</w:t>
            </w:r>
            <w:r>
              <w:rPr>
                <w:rFonts w:ascii="Times New Roman" w:hAnsi="Times New Roman" w:cs="Times New Roman" w:eastAsia="Times New Roman" w:hint="default"/>
                <w:spacing w:val="-4"/>
                <w:sz w:val="21"/>
                <w:szCs w:val="21"/>
              </w:rPr>
              <w:t>IT</w:t>
            </w:r>
            <w:r>
              <w:rPr>
                <w:rFonts w:ascii="宋体" w:hAnsi="宋体" w:cs="宋体" w:eastAsia="宋体" w:hint="default"/>
                <w:spacing w:val="-4"/>
                <w:sz w:val="21"/>
                <w:szCs w:val="21"/>
              </w:rPr>
              <w:t>专业服务、</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Times New Roman" w:hAnsi="Times New Roman" w:cs="Times New Roman" w:eastAsia="Times New Roman" w:hint="default"/>
                <w:sz w:val="21"/>
                <w:szCs w:val="21"/>
              </w:rPr>
              <w:t>IT</w:t>
            </w:r>
            <w:r>
              <w:rPr>
                <w:rFonts w:ascii="宋体" w:hAnsi="宋体" w:cs="宋体" w:eastAsia="宋体" w:hint="default"/>
                <w:sz w:val="21"/>
                <w:szCs w:val="21"/>
              </w:rPr>
              <w:t>软件服务等技术服务以及软、硬件销售业</w:t>
            </w:r>
            <w:r>
              <w:rPr>
                <w:rFonts w:ascii="宋体" w:hAnsi="宋体" w:cs="宋体" w:eastAsia="宋体" w:hint="default"/>
                <w:w w:val="100"/>
                <w:sz w:val="21"/>
                <w:szCs w:val="21"/>
              </w:rPr>
              <w:t> </w:t>
            </w:r>
            <w:r>
              <w:rPr>
                <w:rFonts w:ascii="宋体" w:hAnsi="宋体" w:cs="宋体" w:eastAsia="宋体" w:hint="default"/>
                <w:sz w:val="21"/>
                <w:szCs w:val="21"/>
              </w:rPr>
              <w:t>务，确认的主营业务收入为人民币</w:t>
            </w:r>
            <w:r>
              <w:rPr>
                <w:rFonts w:ascii="Times New Roman" w:hAnsi="Times New Roman" w:cs="Times New Roman" w:eastAsia="Times New Roman" w:hint="default"/>
                <w:sz w:val="21"/>
                <w:szCs w:val="21"/>
              </w:rPr>
              <w:t>35,773.50</w:t>
            </w:r>
            <w:r>
              <w:rPr>
                <w:rFonts w:ascii="Times New Roman" w:hAnsi="Times New Roman" w:cs="Times New Roman" w:eastAsia="Times New Roman" w:hint="default"/>
                <w:w w:val="100"/>
                <w:sz w:val="21"/>
                <w:szCs w:val="21"/>
              </w:rPr>
              <w:t> </w:t>
            </w:r>
            <w:r>
              <w:rPr>
                <w:rFonts w:ascii="宋体" w:hAnsi="宋体" w:cs="宋体" w:eastAsia="宋体" w:hint="default"/>
                <w:spacing w:val="-5"/>
                <w:sz w:val="21"/>
                <w:szCs w:val="21"/>
              </w:rPr>
              <w:t>万元，为天玑科技合并利润表重要组成项目。</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pacing w:val="-6"/>
                <w:sz w:val="21"/>
                <w:szCs w:val="21"/>
              </w:rPr>
              <w:t>由于收入是天玑科技的关键业绩指标之一，从</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而存在管理层为了达到特定目标或期望而操</w:t>
            </w:r>
            <w:r>
              <w:rPr>
                <w:rFonts w:ascii="宋体" w:hAnsi="宋体" w:cs="宋体" w:eastAsia="宋体" w:hint="default"/>
                <w:w w:val="100"/>
                <w:sz w:val="21"/>
                <w:szCs w:val="21"/>
              </w:rPr>
              <w:t> </w:t>
            </w:r>
            <w:r>
              <w:rPr>
                <w:rFonts w:ascii="宋体" w:hAnsi="宋体" w:cs="宋体" w:eastAsia="宋体" w:hint="default"/>
                <w:spacing w:val="-6"/>
                <w:sz w:val="21"/>
                <w:szCs w:val="21"/>
              </w:rPr>
              <w:t>纵收入确认时点的固有风险，我们将天玑科技</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收入确认识别为关键审计事项。</w:t>
            </w:r>
          </w:p>
        </w:tc>
        <w:tc>
          <w:tcPr>
            <w:tcW w:w="4057" w:type="dxa"/>
            <w:tcBorders>
              <w:top w:val="single" w:sz="6" w:space="0" w:color="000000"/>
              <w:left w:val="single" w:sz="6" w:space="0" w:color="000000"/>
              <w:bottom w:val="single" w:sz="6" w:space="0" w:color="000000"/>
              <w:right w:val="single" w:sz="6" w:space="0" w:color="000000"/>
            </w:tcBorders>
          </w:tcPr>
          <w:p>
            <w:pPr>
              <w:pStyle w:val="TableParagraph"/>
              <w:spacing w:line="400" w:lineRule="auto" w:before="74"/>
              <w:ind w:left="4" w:right="-2"/>
              <w:jc w:val="left"/>
              <w:rPr>
                <w:rFonts w:ascii="宋体" w:hAnsi="宋体" w:cs="宋体" w:eastAsia="宋体" w:hint="default"/>
                <w:sz w:val="21"/>
                <w:szCs w:val="21"/>
              </w:rPr>
            </w:pPr>
            <w:r>
              <w:rPr>
                <w:rFonts w:ascii="宋体" w:hAnsi="宋体" w:cs="宋体" w:eastAsia="宋体" w:hint="default"/>
                <w:sz w:val="21"/>
                <w:szCs w:val="21"/>
              </w:rPr>
              <w:t>我们针对与收入确认相关执行的审计程序主</w:t>
            </w:r>
            <w:r>
              <w:rPr>
                <w:rFonts w:ascii="宋体" w:hAnsi="宋体" w:cs="宋体" w:eastAsia="宋体" w:hint="default"/>
                <w:w w:val="100"/>
                <w:sz w:val="21"/>
                <w:szCs w:val="21"/>
              </w:rPr>
              <w:t> </w:t>
            </w:r>
            <w:r>
              <w:rPr>
                <w:rFonts w:ascii="宋体" w:hAnsi="宋体" w:cs="宋体" w:eastAsia="宋体" w:hint="default"/>
                <w:sz w:val="21"/>
                <w:szCs w:val="21"/>
              </w:rPr>
              <w:t>要有：</w:t>
            </w:r>
            <w:r>
              <w:rPr>
                <w:rFonts w:ascii="宋体" w:hAnsi="宋体" w:cs="宋体" w:eastAsia="宋体" w:hint="default"/>
                <w:spacing w:val="-102"/>
                <w:sz w:val="21"/>
                <w:szCs w:val="21"/>
              </w:rPr>
              <w:t> </w:t>
            </w:r>
            <w:r>
              <w:rPr>
                <w:rFonts w:ascii="Times New Roman" w:hAnsi="Times New Roman" w:cs="Times New Roman" w:eastAsia="Times New Roman" w:hint="default"/>
                <w:spacing w:val="-5"/>
                <w:sz w:val="21"/>
                <w:szCs w:val="21"/>
              </w:rPr>
              <w:t>1</w:t>
            </w:r>
            <w:r>
              <w:rPr>
                <w:rFonts w:ascii="宋体" w:hAnsi="宋体" w:cs="宋体" w:eastAsia="宋体" w:hint="default"/>
                <w:spacing w:val="-5"/>
                <w:sz w:val="21"/>
                <w:szCs w:val="21"/>
              </w:rPr>
              <w:t>、了解和评价管理层与收入确认相关的关键</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内部控制的设计和运行有效性；</w:t>
            </w:r>
            <w:r>
              <w:rPr>
                <w:rFonts w:ascii="宋体" w:hAnsi="宋体" w:cs="宋体" w:eastAsia="宋体" w:hint="default"/>
                <w:w w:val="100"/>
                <w:sz w:val="21"/>
                <w:szCs w:val="21"/>
              </w:rPr>
              <w:t> </w:t>
            </w:r>
            <w:r>
              <w:rPr>
                <w:rFonts w:ascii="Times New Roman" w:hAnsi="Times New Roman" w:cs="Times New Roman" w:eastAsia="Times New Roman" w:hint="default"/>
                <w:spacing w:val="-5"/>
                <w:sz w:val="21"/>
                <w:szCs w:val="21"/>
              </w:rPr>
              <w:t>2</w:t>
            </w:r>
            <w:r>
              <w:rPr>
                <w:rFonts w:ascii="宋体" w:hAnsi="宋体" w:cs="宋体" w:eastAsia="宋体" w:hint="default"/>
                <w:spacing w:val="-5"/>
                <w:sz w:val="21"/>
                <w:szCs w:val="21"/>
              </w:rPr>
              <w:t>、根据不同业务类型，评价公司收入确认会</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计政策是否符合企业会计准则的要求；</w:t>
            </w:r>
            <w:r>
              <w:rPr>
                <w:rFonts w:ascii="宋体" w:hAnsi="宋体" w:cs="宋体" w:eastAsia="宋体" w:hint="default"/>
                <w:w w:val="100"/>
                <w:sz w:val="21"/>
                <w:szCs w:val="21"/>
              </w:rPr>
              <w:t> </w:t>
            </w:r>
            <w:r>
              <w:rPr>
                <w:rFonts w:ascii="Times New Roman" w:hAnsi="Times New Roman" w:cs="Times New Roman" w:eastAsia="Times New Roman" w:hint="default"/>
                <w:spacing w:val="-5"/>
                <w:sz w:val="21"/>
                <w:szCs w:val="21"/>
              </w:rPr>
              <w:t>3</w:t>
            </w:r>
            <w:r>
              <w:rPr>
                <w:rFonts w:ascii="宋体" w:hAnsi="宋体" w:cs="宋体" w:eastAsia="宋体" w:hint="default"/>
                <w:spacing w:val="-5"/>
                <w:sz w:val="21"/>
                <w:szCs w:val="21"/>
              </w:rPr>
              <w:t>、结合业务类型对收入以及毛利情况执行分</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析，判断本期收入金额是否出现异常波动的</w:t>
            </w:r>
            <w:r>
              <w:rPr>
                <w:rFonts w:ascii="宋体" w:hAnsi="宋体" w:cs="宋体" w:eastAsia="宋体" w:hint="default"/>
                <w:w w:val="100"/>
                <w:sz w:val="21"/>
                <w:szCs w:val="21"/>
              </w:rPr>
              <w:t> </w:t>
            </w:r>
            <w:r>
              <w:rPr>
                <w:rFonts w:ascii="宋体" w:hAnsi="宋体" w:cs="宋体" w:eastAsia="宋体" w:hint="default"/>
                <w:sz w:val="21"/>
                <w:szCs w:val="21"/>
              </w:rPr>
              <w:t>情况；</w:t>
            </w:r>
            <w:r>
              <w:rPr>
                <w:rFonts w:ascii="宋体" w:hAnsi="宋体" w:cs="宋体" w:eastAsia="宋体" w:hint="default"/>
                <w:spacing w:val="-102"/>
                <w:sz w:val="21"/>
                <w:szCs w:val="21"/>
              </w:rPr>
              <w:t> </w:t>
            </w:r>
            <w:r>
              <w:rPr>
                <w:rFonts w:ascii="Times New Roman" w:hAnsi="Times New Roman" w:cs="Times New Roman" w:eastAsia="Times New Roman" w:hint="default"/>
                <w:spacing w:val="-5"/>
                <w:sz w:val="21"/>
                <w:szCs w:val="21"/>
              </w:rPr>
              <w:t>4</w:t>
            </w:r>
            <w:r>
              <w:rPr>
                <w:rFonts w:ascii="宋体" w:hAnsi="宋体" w:cs="宋体" w:eastAsia="宋体" w:hint="default"/>
                <w:spacing w:val="-5"/>
                <w:sz w:val="21"/>
                <w:szCs w:val="21"/>
              </w:rPr>
              <w:t>、选取样本检查销售合同、项目确认单（验</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收单）等，核对收入确认是否符合公司收入</w:t>
            </w:r>
            <w:r>
              <w:rPr>
                <w:rFonts w:ascii="宋体" w:hAnsi="宋体" w:cs="宋体" w:eastAsia="宋体" w:hint="default"/>
                <w:w w:val="100"/>
                <w:sz w:val="21"/>
                <w:szCs w:val="21"/>
              </w:rPr>
              <w:t> </w:t>
            </w:r>
            <w:r>
              <w:rPr>
                <w:rFonts w:ascii="宋体" w:hAnsi="宋体" w:cs="宋体" w:eastAsia="宋体" w:hint="default"/>
                <w:sz w:val="21"/>
                <w:szCs w:val="21"/>
              </w:rPr>
              <w:t>确认的会计政策；</w:t>
            </w:r>
            <w:r>
              <w:rPr>
                <w:rFonts w:ascii="宋体" w:hAnsi="宋体" w:cs="宋体" w:eastAsia="宋体" w:hint="default"/>
                <w:w w:val="100"/>
                <w:sz w:val="21"/>
                <w:szCs w:val="21"/>
              </w:rPr>
              <w:t> </w:t>
            </w:r>
            <w:r>
              <w:rPr>
                <w:rFonts w:ascii="Times New Roman" w:hAnsi="Times New Roman" w:cs="Times New Roman" w:eastAsia="Times New Roman" w:hint="default"/>
                <w:spacing w:val="-5"/>
                <w:sz w:val="21"/>
                <w:szCs w:val="21"/>
              </w:rPr>
              <w:t>5</w:t>
            </w:r>
            <w:r>
              <w:rPr>
                <w:rFonts w:ascii="宋体" w:hAnsi="宋体" w:cs="宋体" w:eastAsia="宋体" w:hint="default"/>
                <w:spacing w:val="-5"/>
                <w:sz w:val="21"/>
                <w:szCs w:val="21"/>
              </w:rPr>
              <w:t>、选取部分客户进行函证项目款项余额及当</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期业务收入发生额；</w:t>
            </w:r>
            <w:r>
              <w:rPr>
                <w:rFonts w:ascii="宋体" w:hAnsi="宋体" w:cs="宋体" w:eastAsia="宋体" w:hint="default"/>
                <w:w w:val="100"/>
                <w:sz w:val="21"/>
                <w:szCs w:val="21"/>
              </w:rPr>
              <w:t> </w:t>
            </w:r>
            <w:r>
              <w:rPr>
                <w:rFonts w:ascii="Times New Roman" w:hAnsi="Times New Roman" w:cs="Times New Roman" w:eastAsia="Times New Roman" w:hint="default"/>
                <w:spacing w:val="-5"/>
                <w:sz w:val="21"/>
                <w:szCs w:val="21"/>
              </w:rPr>
              <w:t>6</w:t>
            </w:r>
            <w:r>
              <w:rPr>
                <w:rFonts w:ascii="宋体" w:hAnsi="宋体" w:cs="宋体" w:eastAsia="宋体" w:hint="default"/>
                <w:spacing w:val="-5"/>
                <w:sz w:val="21"/>
                <w:szCs w:val="21"/>
              </w:rPr>
              <w:t>、就资产负债表日前后记录的收入交易，选</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取样本，以评价收入是否被记录于恰当的会</w:t>
            </w:r>
            <w:r>
              <w:rPr>
                <w:rFonts w:ascii="宋体" w:hAnsi="宋体" w:cs="宋体" w:eastAsia="宋体" w:hint="default"/>
                <w:w w:val="100"/>
                <w:sz w:val="21"/>
                <w:szCs w:val="21"/>
              </w:rPr>
              <w:t> </w:t>
            </w:r>
            <w:r>
              <w:rPr>
                <w:rFonts w:ascii="宋体" w:hAnsi="宋体" w:cs="宋体" w:eastAsia="宋体" w:hint="default"/>
                <w:sz w:val="21"/>
                <w:szCs w:val="21"/>
              </w:rPr>
              <w:t>计期间。</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9"/>
          <w:szCs w:val="29"/>
        </w:rPr>
      </w:pPr>
    </w:p>
    <w:p>
      <w:pPr>
        <w:pStyle w:val="Heading3"/>
        <w:spacing w:line="240" w:lineRule="auto" w:before="36"/>
        <w:ind w:left="573" w:right="0"/>
        <w:jc w:val="left"/>
        <w:rPr>
          <w:b w:val="0"/>
          <w:bCs w:val="0"/>
        </w:rPr>
      </w:pPr>
      <w:r>
        <w:rPr>
          <w:rFonts w:ascii="宋体" w:hAnsi="宋体" w:cs="宋体" w:eastAsia="宋体" w:hint="default"/>
        </w:rPr>
        <w:t>1.</w:t>
      </w:r>
      <w:r>
        <w:rPr>
          <w:rFonts w:ascii="宋体" w:hAnsi="宋体" w:cs="宋体" w:eastAsia="宋体" w:hint="default"/>
          <w:spacing w:val="43"/>
        </w:rPr>
        <w:t> </w:t>
      </w:r>
      <w:r>
        <w:rPr/>
        <w:t>其他信息</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BodyText"/>
        <w:spacing w:line="386" w:lineRule="auto" w:before="138"/>
        <w:ind w:left="513" w:right="0" w:firstLine="566"/>
        <w:jc w:val="left"/>
      </w:pPr>
      <w:r>
        <w:rPr/>
        <w:t>天玑科技管理层（以下简称管理层）对其他信息负责。其他信息包括天玑科技</w:t>
      </w:r>
      <w:r>
        <w:rPr>
          <w:rFonts w:ascii="Times New Roman" w:hAnsi="Times New Roman" w:cs="Times New Roman" w:eastAsia="Times New Roman" w:hint="default"/>
        </w:rPr>
        <w:t>2017</w:t>
      </w:r>
      <w:r>
        <w:rPr/>
        <w:t>年年度报告</w:t>
      </w:r>
      <w:r>
        <w:rPr>
          <w:w w:val="100"/>
        </w:rPr>
        <w:t> </w:t>
      </w:r>
      <w:r>
        <w:rPr/>
        <w:t>中涵盖的信息，但不包括财务报表和我们的审计报告。</w:t>
      </w:r>
    </w:p>
    <w:p>
      <w:pPr>
        <w:pStyle w:val="BodyText"/>
        <w:spacing w:line="240" w:lineRule="auto" w:before="65"/>
        <w:ind w:left="1079" w:right="0"/>
        <w:jc w:val="left"/>
      </w:pPr>
      <w:r>
        <w:rPr/>
        <w:t>我们对财务报表发表的审计意见不涵盖其他信息，我们也不对其他信息发表任何形式的鉴证结</w:t>
      </w:r>
    </w:p>
    <w:p>
      <w:pPr>
        <w:spacing w:line="240" w:lineRule="auto" w:before="10"/>
        <w:rPr>
          <w:rFonts w:ascii="宋体" w:hAnsi="宋体" w:cs="宋体" w:eastAsia="宋体" w:hint="default"/>
          <w:sz w:val="14"/>
          <w:szCs w:val="14"/>
        </w:rPr>
      </w:pPr>
    </w:p>
    <w:p>
      <w:pPr>
        <w:pStyle w:val="BodyText"/>
        <w:spacing w:line="240" w:lineRule="auto"/>
        <w:ind w:left="513" w:right="0"/>
        <w:jc w:val="left"/>
      </w:pPr>
      <w:r>
        <w:rPr/>
        <w:t>论。</w:t>
      </w:r>
    </w:p>
    <w:p>
      <w:pPr>
        <w:spacing w:line="240" w:lineRule="auto" w:before="10"/>
        <w:rPr>
          <w:rFonts w:ascii="宋体" w:hAnsi="宋体" w:cs="宋体" w:eastAsia="宋体" w:hint="default"/>
          <w:sz w:val="14"/>
          <w:szCs w:val="14"/>
        </w:rPr>
      </w:pPr>
    </w:p>
    <w:p>
      <w:pPr>
        <w:pStyle w:val="BodyText"/>
        <w:spacing w:line="408" w:lineRule="auto"/>
        <w:ind w:left="513" w:right="0" w:firstLine="566"/>
        <w:jc w:val="left"/>
      </w:pPr>
      <w:r>
        <w:rPr/>
        <w:t>结合我们对财务报表的审计，我们的责任是阅读其他信息，在此过程中，考虑其他信息是否与</w:t>
      </w:r>
      <w:r>
        <w:rPr>
          <w:w w:val="100"/>
        </w:rPr>
        <w:t> </w:t>
      </w:r>
      <w:r>
        <w:rPr/>
        <w:t>财务报表或我们在审计过程中了解到的情况存在重大不一致或者似乎存在重大错报。</w:t>
      </w:r>
    </w:p>
    <w:p>
      <w:pPr>
        <w:pStyle w:val="BodyText"/>
        <w:spacing w:line="240" w:lineRule="auto" w:before="46"/>
        <w:ind w:left="1079" w:right="0"/>
        <w:jc w:val="left"/>
      </w:pPr>
      <w:r>
        <w:rPr/>
        <w:t>基于我们已执行的工作，如果我们确定其他信息存在重大错报，我们应当报告该事实。在这方</w:t>
      </w:r>
    </w:p>
    <w:p>
      <w:pPr>
        <w:spacing w:after="0" w:line="240" w:lineRule="auto"/>
        <w:jc w:val="left"/>
        <w:sectPr>
          <w:footerReference w:type="default" r:id="rId22"/>
          <w:pgSz w:w="11910" w:h="16840"/>
          <w:pgMar w:footer="979" w:header="745" w:top="1060" w:bottom="1160" w:left="980" w:right="980"/>
        </w:sectPr>
      </w:pPr>
    </w:p>
    <w:p>
      <w:pPr>
        <w:spacing w:line="240" w:lineRule="auto" w:before="0"/>
        <w:rPr>
          <w:rFonts w:ascii="宋体" w:hAnsi="宋体" w:cs="宋体" w:eastAsia="宋体" w:hint="default"/>
          <w:sz w:val="20"/>
          <w:szCs w:val="20"/>
        </w:rPr>
      </w:pPr>
    </w:p>
    <w:p>
      <w:pPr>
        <w:pStyle w:val="BodyText"/>
        <w:spacing w:line="240" w:lineRule="auto" w:before="176"/>
        <w:ind w:left="513" w:right="101"/>
        <w:jc w:val="left"/>
      </w:pPr>
      <w:r>
        <w:rPr/>
        <w:t>面，我们无任何事项需要报告。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37"/>
        <w:ind w:left="573" w:right="101"/>
        <w:jc w:val="left"/>
        <w:rPr>
          <w:b w:val="0"/>
          <w:bCs w:val="0"/>
        </w:rPr>
      </w:pPr>
      <w:r>
        <w:rPr>
          <w:rFonts w:ascii="宋体" w:hAnsi="宋体" w:cs="宋体" w:eastAsia="宋体" w:hint="default"/>
        </w:rPr>
        <w:t>1.</w:t>
      </w:r>
      <w:r>
        <w:rPr>
          <w:rFonts w:ascii="宋体" w:hAnsi="宋体" w:cs="宋体" w:eastAsia="宋体" w:hint="default"/>
          <w:spacing w:val="41"/>
        </w:rPr>
        <w:t> </w:t>
      </w:r>
      <w:r>
        <w:rPr/>
        <w:t>管理层和治理层对财务报表的责任</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BodyText"/>
        <w:spacing w:line="408" w:lineRule="auto" w:before="137"/>
        <w:ind w:left="513" w:right="101" w:firstLine="566"/>
        <w:jc w:val="left"/>
      </w:pPr>
      <w:r>
        <w:rPr/>
        <w:t>管理层负责按照企业会计准则的规定编制财务报表，使其实现公允反映，并设计、执行和维护</w:t>
      </w:r>
      <w:r>
        <w:rPr>
          <w:w w:val="100"/>
        </w:rPr>
        <w:t> </w:t>
      </w:r>
      <w:r>
        <w:rPr/>
        <w:t>必要的内部控制，以使财务报表不存在由于舞弊或错误导致的重大错报。</w:t>
      </w:r>
    </w:p>
    <w:p>
      <w:pPr>
        <w:pStyle w:val="BodyText"/>
        <w:spacing w:line="410" w:lineRule="auto" w:before="46"/>
        <w:ind w:left="513" w:right="101" w:firstLine="566"/>
        <w:jc w:val="left"/>
      </w:pPr>
      <w:r>
        <w:rPr>
          <w:spacing w:val="-5"/>
        </w:rPr>
        <w:t>在编制财务报表时，管理层负责评估天玑科技的持续经营能力，披露与持续经营相关的事项（如</w:t>
      </w:r>
      <w:r>
        <w:rPr>
          <w:w w:val="100"/>
        </w:rPr>
        <w:t> </w:t>
      </w:r>
      <w:r>
        <w:rPr/>
        <w:t>适用），并运用持续经营假设，除非计划进行清算、终止运营或别无其他现实的选择。</w:t>
      </w:r>
    </w:p>
    <w:p>
      <w:pPr>
        <w:pStyle w:val="BodyText"/>
        <w:spacing w:line="240" w:lineRule="auto" w:before="44"/>
        <w:ind w:left="1079" w:right="101"/>
        <w:jc w:val="left"/>
      </w:pPr>
      <w:r>
        <w:rPr/>
        <w:t>治理层负责监督天玑科技的财务报告过程。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37"/>
        <w:ind w:left="212" w:right="101"/>
        <w:jc w:val="left"/>
        <w:rPr>
          <w:b w:val="0"/>
          <w:bCs w:val="0"/>
        </w:rPr>
      </w:pPr>
      <w:r>
        <w:rPr>
          <w:rFonts w:ascii="宋体" w:hAnsi="宋体" w:cs="宋体" w:eastAsia="宋体" w:hint="default"/>
        </w:rPr>
        <w:t>1.</w:t>
      </w:r>
      <w:r>
        <w:rPr>
          <w:rFonts w:ascii="宋体" w:hAnsi="宋体" w:cs="宋体" w:eastAsia="宋体" w:hint="default"/>
          <w:spacing w:val="42"/>
        </w:rPr>
        <w:t> </w:t>
      </w:r>
      <w:r>
        <w:rPr/>
        <w:t>注册会计师对财务报表审计的责任</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BodyText"/>
        <w:spacing w:line="408" w:lineRule="auto" w:before="137"/>
        <w:ind w:right="206" w:firstLine="566"/>
        <w:jc w:val="both"/>
      </w:pPr>
      <w:r>
        <w:rPr>
          <w:spacing w:val="-1"/>
        </w:rPr>
        <w:t>我们的目标是对财务报表整体是否不存在由于舞弊或错误导致的重大错报获取合理保证，并出具包</w:t>
      </w:r>
      <w:r>
        <w:rPr>
          <w:w w:val="100"/>
        </w:rPr>
        <w:t> </w:t>
      </w:r>
      <w:r>
        <w:rPr>
          <w:spacing w:val="-2"/>
        </w:rPr>
        <w:t>含审计意见的审计报告。合理保证是高水平的保证，但并不能保证按照审计准则执行的审计在某一重大错</w:t>
      </w:r>
      <w:r>
        <w:rPr>
          <w:spacing w:val="-43"/>
        </w:rPr>
        <w:t> </w:t>
      </w:r>
      <w:r>
        <w:rPr>
          <w:spacing w:val="-43"/>
        </w:rPr>
      </w:r>
      <w:r>
        <w:rPr>
          <w:spacing w:val="-2"/>
        </w:rPr>
        <w:t>报存在时总能发现。错报可能由于舞弊或错误导致，如果合理预期错报单独或汇总起来可能影响财务报表</w:t>
      </w:r>
      <w:r>
        <w:rPr>
          <w:spacing w:val="-43"/>
        </w:rPr>
        <w:t> </w:t>
      </w:r>
      <w:r>
        <w:rPr>
          <w:spacing w:val="-43"/>
        </w:rPr>
      </w:r>
      <w:r>
        <w:rPr/>
        <w:t>使用者依据财务报表作出的经济决策，则通常认为错报是重大的。</w:t>
      </w:r>
    </w:p>
    <w:p>
      <w:pPr>
        <w:pStyle w:val="BodyText"/>
        <w:spacing w:line="408" w:lineRule="auto" w:before="46"/>
        <w:ind w:right="210" w:firstLine="566"/>
        <w:jc w:val="both"/>
      </w:pPr>
      <w:r>
        <w:rPr>
          <w:spacing w:val="-1"/>
        </w:rPr>
        <w:t>在按照审计准则执行审计工作的过程中，我们运用职业判断，并保持职业怀疑。同时，我们也执行</w:t>
      </w:r>
      <w:r>
        <w:rPr>
          <w:w w:val="100"/>
        </w:rPr>
        <w:t> </w:t>
      </w:r>
      <w:r>
        <w:rPr/>
        <w:t>以下工作：</w:t>
      </w:r>
    </w:p>
    <w:p>
      <w:pPr>
        <w:pStyle w:val="BodyText"/>
        <w:spacing w:line="400" w:lineRule="auto" w:before="46"/>
        <w:ind w:right="101" w:firstLine="566"/>
        <w:jc w:val="left"/>
      </w:pPr>
      <w:r>
        <w:rPr>
          <w:spacing w:val="-3"/>
        </w:rPr>
        <w:t>（</w:t>
      </w:r>
      <w:r>
        <w:rPr>
          <w:rFonts w:ascii="Times New Roman" w:hAnsi="Times New Roman" w:cs="Times New Roman" w:eastAsia="Times New Roman" w:hint="default"/>
          <w:spacing w:val="-3"/>
        </w:rPr>
        <w:t>1</w:t>
      </w:r>
      <w:r>
        <w:rPr>
          <w:spacing w:val="-3"/>
        </w:rPr>
        <w:t>）识别和评估由于舞弊或错误导致的财务报表重大错报风险，设计和实施审计程序以应对这些风</w:t>
      </w:r>
      <w:r>
        <w:rPr>
          <w:w w:val="100"/>
        </w:rPr>
        <w:t> </w:t>
      </w:r>
      <w:r>
        <w:rPr>
          <w:spacing w:val="-5"/>
        </w:rPr>
        <w:t>险，并获取充分、适当的审计证据，作为发表审计意见的基础。由于舞弊可能涉及串通、伪造、故意遗漏、</w:t>
      </w:r>
      <w:r>
        <w:rPr>
          <w:spacing w:val="-6"/>
        </w:rPr>
        <w:t> </w:t>
      </w:r>
      <w:r>
        <w:rPr>
          <w:spacing w:val="-6"/>
        </w:rPr>
      </w:r>
      <w:r>
        <w:rPr>
          <w:spacing w:val="-2"/>
        </w:rPr>
        <w:t>虚假陈述或凌驾于内部控制之上，未能发现由于舞弊导致的重大错报的风险高于未能发现由于错误导致的</w:t>
      </w:r>
      <w:r>
        <w:rPr>
          <w:spacing w:val="-43"/>
        </w:rPr>
        <w:t> </w:t>
      </w:r>
      <w:r>
        <w:rPr>
          <w:spacing w:val="-43"/>
        </w:rPr>
      </w:r>
      <w:r>
        <w:rPr/>
        <w:t>重大错报的风险。</w:t>
      </w:r>
    </w:p>
    <w:p>
      <w:pPr>
        <w:pStyle w:val="BodyText"/>
        <w:spacing w:line="240" w:lineRule="auto" w:before="52"/>
        <w:ind w:left="719" w:right="101"/>
        <w:jc w:val="left"/>
      </w:pPr>
      <w:r>
        <w:rPr>
          <w:spacing w:val="-3"/>
        </w:rPr>
        <w:t>（</w:t>
      </w:r>
      <w:r>
        <w:rPr>
          <w:rFonts w:ascii="Times New Roman" w:hAnsi="Times New Roman" w:cs="Times New Roman" w:eastAsia="Times New Roman" w:hint="default"/>
          <w:spacing w:val="-3"/>
        </w:rPr>
        <w:t>2</w:t>
      </w:r>
      <w:r>
        <w:rPr>
          <w:spacing w:val="-3"/>
        </w:rPr>
        <w:t>）了解与审计相关的内部控制，以设计恰当的审计程序，但目的并非对内部控制的有效性发表意</w:t>
      </w:r>
    </w:p>
    <w:p>
      <w:pPr>
        <w:pStyle w:val="BodyText"/>
        <w:spacing w:line="240" w:lineRule="auto" w:before="177"/>
        <w:ind w:right="101"/>
        <w:jc w:val="left"/>
      </w:pPr>
      <w:r>
        <w:rPr/>
        <w:t>见。</w:t>
      </w:r>
    </w:p>
    <w:p>
      <w:pPr>
        <w:spacing w:line="240" w:lineRule="auto" w:before="10"/>
        <w:rPr>
          <w:rFonts w:ascii="宋体" w:hAnsi="宋体" w:cs="宋体" w:eastAsia="宋体" w:hint="default"/>
          <w:sz w:val="14"/>
          <w:szCs w:val="14"/>
        </w:rPr>
      </w:pPr>
    </w:p>
    <w:p>
      <w:pPr>
        <w:pStyle w:val="BodyText"/>
        <w:spacing w:line="240" w:lineRule="auto"/>
        <w:ind w:left="719" w:right="101"/>
        <w:jc w:val="left"/>
      </w:pPr>
      <w:r>
        <w:rPr/>
        <w:t>（</w:t>
      </w:r>
      <w:r>
        <w:rPr>
          <w:rFonts w:ascii="Times New Roman" w:hAnsi="Times New Roman" w:cs="Times New Roman" w:eastAsia="Times New Roman" w:hint="default"/>
        </w:rPr>
        <w:t>3</w:t>
      </w:r>
      <w:r>
        <w:rPr/>
        <w:t>）评价管理层选用会计政策的恰当性和作出会计估计及相关披露的合理性。</w:t>
      </w:r>
    </w:p>
    <w:p>
      <w:pPr>
        <w:pStyle w:val="BodyText"/>
        <w:spacing w:line="403" w:lineRule="auto" w:before="177"/>
        <w:ind w:right="206" w:firstLine="566"/>
        <w:jc w:val="both"/>
      </w:pPr>
      <w:r>
        <w:rPr>
          <w:spacing w:val="-3"/>
        </w:rPr>
        <w:t>（</w:t>
      </w:r>
      <w:r>
        <w:rPr>
          <w:rFonts w:ascii="Times New Roman" w:hAnsi="Times New Roman" w:cs="Times New Roman" w:eastAsia="Times New Roman" w:hint="default"/>
          <w:spacing w:val="-3"/>
        </w:rPr>
        <w:t>4</w:t>
      </w:r>
      <w:r>
        <w:rPr>
          <w:spacing w:val="-3"/>
        </w:rPr>
        <w:t>）对管理层使用持续经营假设的恰当性得出结论。同时，根据获取的审计证据，就可能导致对天</w:t>
      </w:r>
      <w:r>
        <w:rPr>
          <w:w w:val="100"/>
        </w:rPr>
        <w:t> </w:t>
      </w:r>
      <w:r>
        <w:rPr>
          <w:spacing w:val="-2"/>
        </w:rPr>
        <w:t>玑科技持续经营能力产生重大疑虑的事项或情况是否存在重大不确定性得出结论。如果我们得出结论认为</w:t>
      </w:r>
      <w:r>
        <w:rPr>
          <w:spacing w:val="-43"/>
        </w:rPr>
        <w:t> </w:t>
      </w:r>
      <w:r>
        <w:rPr>
          <w:spacing w:val="-43"/>
        </w:rPr>
      </w:r>
      <w:r>
        <w:rPr>
          <w:spacing w:val="-2"/>
        </w:rPr>
        <w:t>存在重大不确定性，审计准则要求我们在审计报告中提请报表使用者注意财务报表中的相关披露；如果披</w:t>
      </w:r>
      <w:r>
        <w:rPr>
          <w:spacing w:val="-43"/>
        </w:rPr>
        <w:t> </w:t>
      </w:r>
      <w:r>
        <w:rPr>
          <w:spacing w:val="-43"/>
        </w:rPr>
      </w:r>
      <w:r>
        <w:rPr>
          <w:spacing w:val="-2"/>
        </w:rPr>
        <w:t>露不充分，我们应当发表非无保留意见。我们的结论基于截至审计报告日可获得的信息。然而，未来的事</w:t>
      </w:r>
      <w:r>
        <w:rPr>
          <w:spacing w:val="-47"/>
        </w:rPr>
        <w:t> </w:t>
      </w:r>
      <w:r>
        <w:rPr>
          <w:spacing w:val="-47"/>
        </w:rPr>
      </w:r>
      <w:r>
        <w:rPr/>
        <w:t>项或情况可能导致天玑科技不能持续经营。</w:t>
      </w:r>
    </w:p>
    <w:p>
      <w:pPr>
        <w:spacing w:after="0" w:line="403" w:lineRule="auto"/>
        <w:jc w:val="both"/>
        <w:sectPr>
          <w:footerReference w:type="default" r:id="rId23"/>
          <w:pgSz w:w="11910" w:h="16840"/>
          <w:pgMar w:footer="979" w:header="745" w:top="1060" w:bottom="1160" w:left="980" w:right="920"/>
          <w:pgNumType w:start="101"/>
        </w:sectPr>
      </w:pPr>
    </w:p>
    <w:p>
      <w:pPr>
        <w:spacing w:line="240" w:lineRule="auto" w:before="0"/>
        <w:rPr>
          <w:rFonts w:ascii="宋体" w:hAnsi="宋体" w:cs="宋体" w:eastAsia="宋体" w:hint="default"/>
          <w:sz w:val="20"/>
          <w:szCs w:val="20"/>
        </w:rPr>
      </w:pPr>
    </w:p>
    <w:p>
      <w:pPr>
        <w:pStyle w:val="BodyText"/>
        <w:spacing w:line="386" w:lineRule="auto" w:before="176"/>
        <w:ind w:right="148" w:firstLine="566"/>
        <w:jc w:val="both"/>
      </w:pPr>
      <w:r>
        <w:rPr>
          <w:spacing w:val="-3"/>
        </w:rPr>
        <w:t>（</w:t>
      </w:r>
      <w:r>
        <w:rPr>
          <w:rFonts w:ascii="Times New Roman" w:hAnsi="Times New Roman" w:cs="Times New Roman" w:eastAsia="Times New Roman" w:hint="default"/>
          <w:spacing w:val="-3"/>
        </w:rPr>
        <w:t>5</w:t>
      </w:r>
      <w:r>
        <w:rPr>
          <w:spacing w:val="-3"/>
        </w:rPr>
        <w:t>）评价财务报表的总体列报、结构和内容（包括披露），并评价财务报表是否公允反映相关交易</w:t>
      </w:r>
      <w:r>
        <w:rPr>
          <w:w w:val="100"/>
        </w:rPr>
        <w:t> </w:t>
      </w:r>
      <w:r>
        <w:rPr/>
        <w:t>和事项。</w:t>
      </w:r>
    </w:p>
    <w:p>
      <w:pPr>
        <w:pStyle w:val="BodyText"/>
        <w:spacing w:line="386" w:lineRule="auto" w:before="65"/>
        <w:ind w:right="149" w:firstLine="566"/>
        <w:jc w:val="both"/>
      </w:pPr>
      <w:r>
        <w:rPr>
          <w:spacing w:val="-3"/>
        </w:rPr>
        <w:t>（</w:t>
      </w:r>
      <w:r>
        <w:rPr>
          <w:rFonts w:ascii="Times New Roman" w:hAnsi="Times New Roman" w:cs="Times New Roman" w:eastAsia="Times New Roman" w:hint="default"/>
          <w:spacing w:val="-3"/>
        </w:rPr>
        <w:t>6</w:t>
      </w:r>
      <w:r>
        <w:rPr>
          <w:spacing w:val="-3"/>
        </w:rPr>
        <w:t>）就天玑科技中实体或业务活动的财务信息获取充分、适当的审计证据，以对财务报表发表审计</w:t>
      </w:r>
      <w:r>
        <w:rPr>
          <w:w w:val="100"/>
        </w:rPr>
        <w:t> </w:t>
      </w:r>
      <w:r>
        <w:rPr/>
        <w:t>意见。我们负责指导、监督和执行集团审计，并对审计意见承担全部责任。</w:t>
      </w:r>
    </w:p>
    <w:p>
      <w:pPr>
        <w:pStyle w:val="BodyText"/>
        <w:spacing w:line="408" w:lineRule="auto" w:before="65"/>
        <w:ind w:right="150" w:firstLine="566"/>
        <w:jc w:val="both"/>
      </w:pPr>
      <w:r>
        <w:rPr>
          <w:spacing w:val="-1"/>
        </w:rPr>
        <w:t>我们与治理层就计划的审计范围、时间安排和重大审计发现等事项进行沟通，包括沟通我们在审计</w:t>
      </w:r>
      <w:r>
        <w:rPr>
          <w:w w:val="100"/>
        </w:rPr>
        <w:t> </w:t>
      </w:r>
      <w:r>
        <w:rPr/>
        <w:t>中识别出的值得关注的内部控制缺陷。</w:t>
      </w:r>
    </w:p>
    <w:p>
      <w:pPr>
        <w:pStyle w:val="BodyText"/>
        <w:spacing w:line="410" w:lineRule="auto" w:before="46"/>
        <w:ind w:right="150" w:firstLine="566"/>
        <w:jc w:val="both"/>
      </w:pPr>
      <w:r>
        <w:rPr>
          <w:spacing w:val="-1"/>
        </w:rPr>
        <w:t>我们还就已遵守与独立性相关的职业道德要求向治理层提供声明，并与治理层沟通可能被合理认为</w:t>
      </w:r>
      <w:r>
        <w:rPr>
          <w:w w:val="100"/>
        </w:rPr>
        <w:t> </w:t>
      </w:r>
      <w:r>
        <w:rPr/>
        <w:t>影响我们独立性的所有关系和其他事项，以及相关的防范措施（如适用）。</w:t>
      </w:r>
    </w:p>
    <w:p>
      <w:pPr>
        <w:pStyle w:val="BodyText"/>
        <w:spacing w:line="408" w:lineRule="auto" w:before="44"/>
        <w:ind w:right="146" w:firstLine="566"/>
        <w:jc w:val="both"/>
      </w:pPr>
      <w:r>
        <w:rPr>
          <w:spacing w:val="-1"/>
        </w:rPr>
        <w:t>从与治理层沟通过的事项中，我们确定哪些事项对本期财务报表审计最为重要，因而构成关键审计</w:t>
      </w:r>
      <w:r>
        <w:rPr>
          <w:w w:val="100"/>
        </w:rPr>
        <w:t> </w:t>
      </w:r>
      <w:r>
        <w:rPr>
          <w:spacing w:val="-2"/>
        </w:rPr>
        <w:t>事项。我们在审计报告中描述这些事项，除非法律法规禁止公开披露这些事项，或在极少数情形下，如果</w:t>
      </w:r>
      <w:r>
        <w:rPr>
          <w:spacing w:val="-47"/>
        </w:rPr>
        <w:t> </w:t>
      </w:r>
      <w:r>
        <w:rPr>
          <w:spacing w:val="-47"/>
        </w:rPr>
      </w:r>
      <w:r>
        <w:rPr>
          <w:spacing w:val="-2"/>
        </w:rPr>
        <w:t>合理预期在审计报告中沟通某事项造成的负面后果超过在公众利益方面产生的益处，我们确定不应在审计</w:t>
      </w:r>
      <w:r>
        <w:rPr>
          <w:spacing w:val="-43"/>
        </w:rPr>
        <w:t> </w:t>
      </w:r>
      <w:r>
        <w:rPr>
          <w:spacing w:val="-43"/>
        </w:rPr>
      </w:r>
      <w:r>
        <w:rPr/>
        <w:t>报告中沟通该事项。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6"/>
          <w:szCs w:val="26"/>
        </w:rPr>
      </w:pPr>
    </w:p>
    <w:p>
      <w:pPr>
        <w:pStyle w:val="Heading3"/>
        <w:tabs>
          <w:tab w:pos="4963" w:val="left" w:leader="none"/>
        </w:tabs>
        <w:spacing w:line="240" w:lineRule="auto"/>
        <w:ind w:left="429" w:right="0"/>
        <w:jc w:val="left"/>
        <w:rPr>
          <w:b w:val="0"/>
          <w:bCs w:val="0"/>
        </w:rPr>
      </w:pPr>
      <w:r>
        <w:rPr/>
        <w:t>立信会计师事务所</w:t>
        <w:tab/>
        <w:t>中国注册会计师：朱育勤</w:t>
      </w:r>
      <w:r>
        <w:rPr>
          <w:b w:val="0"/>
          <w:bCs w:val="0"/>
        </w:rPr>
      </w:r>
    </w:p>
    <w:p>
      <w:pPr>
        <w:spacing w:line="240" w:lineRule="auto" w:before="10"/>
        <w:rPr>
          <w:rFonts w:ascii="宋体" w:hAnsi="宋体" w:cs="宋体" w:eastAsia="宋体" w:hint="default"/>
          <w:b/>
          <w:bCs/>
          <w:sz w:val="14"/>
          <w:szCs w:val="14"/>
        </w:rPr>
      </w:pPr>
    </w:p>
    <w:p>
      <w:pPr>
        <w:pStyle w:val="Heading3"/>
        <w:tabs>
          <w:tab w:pos="5001" w:val="left" w:leader="none"/>
        </w:tabs>
        <w:spacing w:line="240" w:lineRule="auto"/>
        <w:ind w:left="429" w:right="0"/>
        <w:jc w:val="left"/>
        <w:rPr>
          <w:b w:val="0"/>
          <w:bCs w:val="0"/>
        </w:rPr>
      </w:pPr>
      <w:r>
        <w:rPr/>
        <w:t>（特殊普通合伙）</w:t>
        <w:tab/>
        <w:t>（项目合伙人）</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6"/>
          <w:szCs w:val="26"/>
        </w:rPr>
      </w:pPr>
    </w:p>
    <w:p>
      <w:pPr>
        <w:pStyle w:val="Heading3"/>
        <w:spacing w:line="240" w:lineRule="auto"/>
        <w:ind w:left="5126" w:right="0"/>
        <w:jc w:val="left"/>
        <w:rPr>
          <w:b w:val="0"/>
          <w:bCs w:val="0"/>
        </w:rPr>
      </w:pPr>
      <w:r>
        <w:rPr/>
        <w:t>中国注册会计师：鲍列仑</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2"/>
          <w:szCs w:val="22"/>
        </w:rPr>
      </w:pPr>
    </w:p>
    <w:p>
      <w:pPr>
        <w:pStyle w:val="Heading3"/>
        <w:tabs>
          <w:tab w:pos="5275" w:val="left" w:leader="none"/>
        </w:tabs>
        <w:spacing w:line="240" w:lineRule="auto"/>
        <w:ind w:left="1204" w:right="0"/>
        <w:jc w:val="left"/>
        <w:rPr>
          <w:b w:val="0"/>
          <w:bCs w:val="0"/>
        </w:rPr>
      </w:pPr>
      <w:r>
        <w:rPr>
          <w:spacing w:val="-1"/>
        </w:rPr>
        <w:t>中国</w:t>
      </w:r>
      <w:r>
        <w:rPr>
          <w:rFonts w:ascii="Times New Roman" w:hAnsi="Times New Roman" w:cs="Times New Roman" w:eastAsia="Times New Roman" w:hint="default"/>
          <w:spacing w:val="-1"/>
        </w:rPr>
        <w:t>•</w:t>
      </w:r>
      <w:r>
        <w:rPr>
          <w:spacing w:val="-1"/>
        </w:rPr>
        <w:t>上海</w:t>
        <w:tab/>
      </w:r>
      <w:r>
        <w:rPr/>
        <w:t>二〇一八年四月九日</w:t>
      </w:r>
      <w:r>
        <w:rPr>
          <w:b w:val="0"/>
          <w:bCs w:val="0"/>
        </w:rPr>
      </w:r>
    </w:p>
    <w:p>
      <w:pPr>
        <w:spacing w:after="0" w:line="240" w:lineRule="auto"/>
        <w:jc w:val="left"/>
        <w:sectPr>
          <w:pgSz w:w="11910" w:h="16840"/>
          <w:pgMar w:header="745" w:footer="979" w:top="1060" w:bottom="1160" w:left="980" w:right="980"/>
        </w:sectPr>
      </w:pPr>
    </w:p>
    <w:p>
      <w:pPr>
        <w:spacing w:line="240" w:lineRule="auto" w:before="8"/>
        <w:rPr>
          <w:rFonts w:ascii="宋体" w:hAnsi="宋体" w:cs="宋体" w:eastAsia="宋体" w:hint="default"/>
          <w:b/>
          <w:bCs/>
          <w:sz w:val="23"/>
          <w:szCs w:val="23"/>
        </w:rPr>
      </w:pPr>
    </w:p>
    <w:p>
      <w:pPr>
        <w:pStyle w:val="Heading2"/>
        <w:spacing w:line="240" w:lineRule="auto" w:before="26"/>
        <w:ind w:right="0"/>
        <w:jc w:val="left"/>
        <w:rPr>
          <w:b w:val="0"/>
          <w:bCs w:val="0"/>
        </w:rPr>
      </w:pPr>
      <w:r>
        <w:rPr/>
        <w:t>二、财务报表</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编制单位：上海天玑科技股份有限公司</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917,682,726.17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321,447,754.59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结算备付金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拆出资金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 期损益的金融资产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1,673,648.70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1,319,024.00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144,256,749.65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167,272,640.42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4,794,376.35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6,560,086.94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应收保费</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应收分保合同准备金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应收利息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599,551.17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392,932.24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9,179,645.78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10,563,766.28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9,207,684.98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买入返售金融资产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32,614,557.28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45,906,009.17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持有待售的资产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6,763,843.34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11,918,051.13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1,118,949,218.94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573,203,829.25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发放贷款及垫款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19,839,589.00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16,000,000.00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17,858,527.93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20,972,333.33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17,837,467.35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18,745,071.94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324,210,509.52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261,059,676.01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工程物资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固定资产清理</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13,748,724.46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22,059,928.85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8,091,967.17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13,715,115.61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2,795,707.25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2,348,370.08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2,405,337.59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3,270,768.30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67,927,420.00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406,787,830.27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426,098,684.12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1,525,737,049.21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999,302,513.37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9,500,000.00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向中央银行借款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吸收存款及同业存放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拆入资金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2,018,832.00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70,834,794.89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84,577,494.24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12,375,192.43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17,280,039.37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卖出回购金融资产款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应付手续费及佣金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17,519,335.68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21,209,166.93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10,098,019.97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14,108,904.15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12,627.08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33,690,196.04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79,198,356.80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保险合同准备金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代理买卖证券款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代理承销证券款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持有待售的负债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7,163,550.56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10,179,800.52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151,681,089.57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238,085,221.09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长期应付职工薪酬</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专项应付款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1,300,206.67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1,046,408.25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1,350,000.00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1,470,000.00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2,650,206.67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2,516,408.25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154,331,296.24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240,601,629.34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316,472,493.00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275,185,795.00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709,274,029.69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202,278,360.25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减：库存股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32,739,840.00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78,499,268.21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其他综合收益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-33,791.43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128,806.58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专项储备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盈余公积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48,141,400.06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43,551,684.98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一般风险准备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未分配利润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327,966,828.33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290,999,513.74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1,369,081,119.65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733,644,892.34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少数股东权益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2,324,633.32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25,055,991.69</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1,371,405,752.97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758,700,884.03</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1,525,737,049.21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999,302,513.37</w:t>
            </w:r>
          </w:p>
        </w:tc>
      </w:tr>
    </w:tbl>
    <w:p>
      <w:pPr>
        <w:spacing w:line="240" w:lineRule="auto" w:before="11"/>
        <w:rPr>
          <w:rFonts w:ascii="Times New Roman" w:hAnsi="Times New Roman" w:cs="Times New Roman" w:eastAsia="Times New Roman" w:hint="default"/>
          <w:sz w:val="22"/>
          <w:szCs w:val="22"/>
        </w:rPr>
      </w:pPr>
    </w:p>
    <w:p>
      <w:pPr>
        <w:tabs>
          <w:tab w:pos="3425" w:val="left" w:leader="none"/>
          <w:tab w:pos="7568" w:val="left" w:leader="none"/>
        </w:tabs>
        <w:spacing w:before="44"/>
        <w:ind w:left="0" w:right="243" w:firstLine="0"/>
        <w:jc w:val="right"/>
        <w:rPr>
          <w:rFonts w:ascii="宋体" w:hAnsi="宋体" w:cs="宋体" w:eastAsia="宋体" w:hint="default"/>
          <w:sz w:val="18"/>
          <w:szCs w:val="18"/>
        </w:rPr>
      </w:pPr>
      <w:r>
        <w:rPr>
          <w:rFonts w:ascii="宋体" w:hAnsi="宋体" w:cs="宋体" w:eastAsia="宋体" w:hint="default"/>
          <w:sz w:val="18"/>
          <w:szCs w:val="18"/>
        </w:rPr>
        <w:t>法定代表人：陆文雄</w:t>
        <w:tab/>
      </w:r>
      <w:r>
        <w:rPr>
          <w:rFonts w:ascii="宋体" w:hAnsi="宋体" w:cs="宋体" w:eastAsia="宋体" w:hint="default"/>
          <w:spacing w:val="-1"/>
          <w:sz w:val="18"/>
          <w:szCs w:val="18"/>
        </w:rPr>
        <w:t>主管会计工作负责人：陆廷洁</w:t>
        <w:tab/>
      </w:r>
      <w:r>
        <w:rPr>
          <w:rFonts w:ascii="宋体" w:hAnsi="宋体" w:cs="宋体" w:eastAsia="宋体" w:hint="default"/>
          <w:sz w:val="18"/>
          <w:szCs w:val="18"/>
        </w:rPr>
        <w:t>会计机构负责人：陈朝霞</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4"/>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889,202,097.03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273,573,197.39</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 期损益的金融资产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1,673,648.70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1,319,024.00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146,075,380.26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167,209,040.26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4,355,914.80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5,230,342.48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应收利息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599,551.17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392,932.24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9,179,645.78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10,505,211.28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9,006,674.45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16,885,815.48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18,294,295.35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持有待售的资产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4,072,181.88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6,971,554.89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1,073,369,800.60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491,176,706.84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19,839,589.00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112,316,118.43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151,219,906.04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17,837,467.35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18,745,071.94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274,876,954.63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246,272,199.51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工程物资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固定资产清理</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10,529,702.39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2,059,928.85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8,091,967.17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10,240,521.07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2,768,485.06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2,274,481.21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2,405,323.71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3,397,501.85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34,134,760.00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448,665,607.74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484,344,370.47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1,522,035,408.34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975,521,077.31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9,500,000.00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2,018,832.00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56,685,095.60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63,072,122.79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12,187,253.78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17,267,539.40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15,842,612.31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18,682,417.05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8,986,740.10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13,471,523.64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12,627.08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33,681,586.04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79,187,351.80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持有待售的负债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4,629,387.85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7,718,398.76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132,012,675.68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210,930,812.52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长期应付职工薪酬</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专项应付款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989,188.85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1,350,000.00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1,470,000.00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2,459,188.85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133,362,675.68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213,390,001.37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316,472,493.00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275,185,795.00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709,274,029.69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202,278,360.25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减：库存股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32,739,840.00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78,499,268.21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专项储备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盈余公积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48,904,956.84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44,315,241.76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未分配利润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346,761,093.13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318,850,947.14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1,388,672,732.66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762,131,075.94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1,522,035,408.34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975,521,077.31</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0"/>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7"/>
      </w:tblGrid>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359,535,979.29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417,224,083.22</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其中：营业收入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359,535,979.29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417,224,083.22</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利息收入</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已赚保费</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手续费及佣金收入</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337,851,694.27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371,773,732.08</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其中：营业成本</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234,483,834.67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260,376,489.43</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利息支出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手续费及佣金支出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211.009995pt;margin-top:380.149994pt;width:158.9pt;height:20.65pt;mso-position-horizontal-relative:page;mso-position-vertical-relative:page;z-index:-1016368" coordorigin="4220,7603" coordsize="3178,413">
            <v:group style="position:absolute;left:4231;top:7614;width:2;height:392" coordorigin="4231,7614" coordsize="2,392">
              <v:shape style="position:absolute;left:4231;top:7614;width:2;height:392" coordorigin="4231,7614" coordsize="0,392" path="m4231,7614l4231,8005e" filled="false" stroked="true" strokeweight="1.08pt" strokecolor="#ffffff">
                <v:path arrowok="t"/>
              </v:shape>
            </v:group>
            <v:group style="position:absolute;left:4242;top:7614;width:3157;height:392" coordorigin="4242,7614" coordsize="3157,392">
              <v:shape style="position:absolute;left:4242;top:7614;width:3157;height:392" coordorigin="4242,7614" coordsize="3157,392" path="m4242,8005l7398,8005,7398,7614,4242,7614,4242,8005xe" filled="true" fillcolor="#ffffff" stroked="false">
                <v:path arrowok="t"/>
                <v:fill type="solid"/>
              </v:shape>
            </v:group>
            <w10:wrap type="none"/>
          </v:group>
        </w:pict>
      </w:r>
      <w:r>
        <w:rPr/>
        <w:pict>
          <v:group style="position:absolute;margin-left:211.009995pt;margin-top:516.369995pt;width:158.9pt;height:20.65pt;mso-position-horizontal-relative:page;mso-position-vertical-relative:page;z-index:-1016344" coordorigin="4220,10327" coordsize="3178,413">
            <v:group style="position:absolute;left:4231;top:10338;width:2;height:392" coordorigin="4231,10338" coordsize="2,392">
              <v:shape style="position:absolute;left:4231;top:10338;width:2;height:392" coordorigin="4231,10338" coordsize="0,392" path="m4231,10338l4231,10729e" filled="false" stroked="true" strokeweight="1.08pt" strokecolor="#ffffff">
                <v:path arrowok="t"/>
              </v:shape>
            </v:group>
            <v:group style="position:absolute;left:4242;top:10338;width:3157;height:392" coordorigin="4242,10338" coordsize="3157,392">
              <v:shape style="position:absolute;left:4242;top:10338;width:3157;height:392" coordorigin="4242,10338" coordsize="3157,392" path="m4242,10729l7398,10729,7398,10338,4242,10338,4242,10729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68"/>
        <w:gridCol w:w="1117"/>
        <w:gridCol w:w="2105"/>
        <w:gridCol w:w="3277"/>
      </w:tblGrid>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退保金</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赔付支出净额</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提取保险合同准备金净额</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保单红利支出</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分保费用</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税金及附加</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4,096,116.88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2,206,363.31</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销售费用</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20,781,131.63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26,991,473.49</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管理费用</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77,499,687.10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84,256,459.95</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财务费用</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-3,613,476.48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-6,563,128.14</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资产减值损失</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4,604,400.47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4,506,074.04</w:t>
            </w:r>
          </w:p>
        </w:tc>
      </w:tr>
      <w:tr>
        <w:trPr>
          <w:trHeight w:val="71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加：公允价值变动收益（损失以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17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26,299,967.62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6,050,572.88</w:t>
            </w:r>
          </w:p>
        </w:tc>
      </w:tr>
      <w:tr>
        <w:trPr>
          <w:trHeight w:val="71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554,987.33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1,910,064.50</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132" w:right="0"/>
              <w:jc w:val="left"/>
              <w:rPr>
                <w:rFonts w:ascii="宋体" w:hAnsi="宋体" w:cs="宋体" w:eastAsia="宋体" w:hint="default"/>
                <w:sz w:val="18"/>
                <w:szCs w:val="18"/>
              </w:rPr>
            </w:pPr>
            <w:r>
              <w:rPr>
                <w:rFonts w:ascii="宋体" w:hAnsi="宋体" w:cs="宋体" w:eastAsia="宋体" w:hint="default"/>
                <w:sz w:val="18"/>
                <w:szCs w:val="18"/>
              </w:rPr>
              <w:t>）</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6"/>
                <w:w w:val="100"/>
                <w:sz w:val="18"/>
                <w:szCs w:val="18"/>
              </w:rPr>
              <w:t>资产处置收益（损失以</w:t>
            </w:r>
            <w:r>
              <w:rPr>
                <w:rFonts w:ascii="Times New Roman" w:hAnsi="Times New Roman" w:cs="Times New Roman" w:eastAsia="Times New Roman" w:hint="default"/>
                <w:spacing w:val="-6"/>
                <w:w w:val="100"/>
                <w:sz w:val="18"/>
                <w:szCs w:val="18"/>
              </w:rPr>
              <w:t>“</w:t>
            </w:r>
            <w:r>
              <w:rPr>
                <w:rFonts w:ascii="Times New Roman" w:hAnsi="Times New Roman" w:cs="Times New Roman" w:eastAsia="Times New Roman" w:hint="default"/>
                <w:spacing w:val="-6"/>
                <w:w w:val="100"/>
                <w:sz w:val="18"/>
                <w:szCs w:val="18"/>
              </w:rPr>
              <w:t>-</w:t>
            </w:r>
            <w:r>
              <w:rPr>
                <w:rFonts w:ascii="Times New Roman" w:hAnsi="Times New Roman" w:cs="Times New Roman" w:eastAsia="Times New Roman" w:hint="default"/>
                <w:spacing w:val="-6"/>
                <w:w w:val="100"/>
                <w:sz w:val="18"/>
                <w:szCs w:val="18"/>
              </w:rPr>
              <w:t>”</w:t>
            </w:r>
            <w:r>
              <w:rPr>
                <w:rFonts w:ascii="宋体" w:hAnsi="宋体" w:cs="宋体" w:eastAsia="宋体" w:hint="default"/>
                <w:spacing w:val="-6"/>
                <w:w w:val="100"/>
                <w:sz w:val="18"/>
                <w:szCs w:val="18"/>
              </w:rPr>
              <w:t>号填</w:t>
            </w:r>
            <w:r>
              <w:rPr>
                <w:rFonts w:ascii="宋体" w:hAnsi="宋体" w:cs="宋体" w:eastAsia="宋体" w:hint="default"/>
                <w:sz w:val="18"/>
                <w:szCs w:val="18"/>
              </w:rPr>
              <w:t> 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7,844.37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204,512.57</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其他收益</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47,992,097.01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51,705,436.59</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加：营业外收入</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8,516,173.77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7,563,244.27</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减：营业外支出</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16,993,249.15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324,099.01</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117"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51"/>
              <w:ind w:left="-117" w:right="0"/>
              <w:jc w:val="left"/>
              <w:rPr>
                <w:rFonts w:ascii="宋体" w:hAnsi="宋体" w:cs="宋体" w:eastAsia="宋体" w:hint="default"/>
                <w:sz w:val="18"/>
                <w:szCs w:val="18"/>
              </w:rPr>
            </w:pPr>
            <w:r>
              <w:rPr>
                <w:rFonts w:ascii="宋体" w:hAnsi="宋体" w:cs="宋体" w:eastAsia="宋体" w:hint="default"/>
                <w:sz w:val="18"/>
                <w:szCs w:val="18"/>
              </w:rPr>
              <w:t>）</w:t>
            </w:r>
          </w:p>
        </w:tc>
        <w:tc>
          <w:tcPr>
            <w:tcW w:w="21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3"/>
              <w:ind w:left="1042" w:right="0"/>
              <w:jc w:val="left"/>
              <w:rPr>
                <w:rFonts w:ascii="Times New Roman" w:hAnsi="Times New Roman" w:cs="Times New Roman" w:eastAsia="Times New Roman" w:hint="default"/>
                <w:sz w:val="18"/>
                <w:szCs w:val="18"/>
              </w:rPr>
            </w:pPr>
            <w:r>
              <w:rPr>
                <w:rFonts w:ascii="Times New Roman"/>
                <w:sz w:val="18"/>
              </w:rPr>
              <w:t>39,515,021.63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58,944,581.85</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减：所得税费用</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7,460,512.25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8,665,790.82</w:t>
            </w:r>
          </w:p>
        </w:tc>
      </w:tr>
      <w:tr>
        <w:trPr>
          <w:trHeight w:val="404"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32,054,509.38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50,278,791.03</w:t>
            </w:r>
          </w:p>
        </w:tc>
      </w:tr>
      <w:tr>
        <w:trPr>
          <w:trHeight w:val="71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2"/>
                <w:sz w:val="18"/>
                <w:szCs w:val="18"/>
              </w:rPr>
              <w:t> </w:t>
            </w:r>
            <w:r>
              <w:rPr>
                <w:rFonts w:ascii="宋体" w:hAnsi="宋体" w:cs="宋体" w:eastAsia="宋体" w:hint="default"/>
                <w:spacing w:val="-2"/>
                <w:sz w:val="18"/>
                <w:szCs w:val="18"/>
              </w:rPr>
              <w:t>（一）持续经营净利润（净亏损以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32,054,509.38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50,278,791.03</w:t>
            </w:r>
          </w:p>
        </w:tc>
      </w:tr>
      <w:tr>
        <w:trPr>
          <w:trHeight w:val="715"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2"/>
                <w:sz w:val="18"/>
                <w:szCs w:val="18"/>
              </w:rPr>
              <w:t> </w:t>
            </w:r>
            <w:r>
              <w:rPr>
                <w:rFonts w:ascii="宋体" w:hAnsi="宋体" w:cs="宋体" w:eastAsia="宋体" w:hint="default"/>
                <w:spacing w:val="-2"/>
                <w:sz w:val="18"/>
                <w:szCs w:val="18"/>
              </w:rPr>
              <w:t>（二）终止经营净利润（净亏损以</w:t>
            </w:r>
          </w:p>
          <w:p>
            <w:pPr>
              <w:pStyle w:val="TableParagraph"/>
              <w:spacing w:line="240" w:lineRule="auto" w:before="7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归属于母公司所有者的净利润</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54,954,319.42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57,773,537.53</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少数股东损益</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2086" w:right="0"/>
              <w:jc w:val="left"/>
              <w:rPr>
                <w:rFonts w:ascii="Times New Roman" w:hAnsi="Times New Roman" w:cs="Times New Roman" w:eastAsia="Times New Roman" w:hint="default"/>
                <w:sz w:val="18"/>
                <w:szCs w:val="18"/>
              </w:rPr>
            </w:pPr>
            <w:r>
              <w:rPr>
                <w:rFonts w:ascii="Times New Roman"/>
                <w:sz w:val="18"/>
              </w:rPr>
              <w:t>-22,899,810.04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-7,494,746.50</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-162,598.01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180,670.77</w:t>
            </w:r>
          </w:p>
        </w:tc>
      </w:tr>
      <w:tr>
        <w:trPr>
          <w:trHeight w:val="716"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归属母公司所有者的其他综合收益 的税后净额</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-162,598.01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180,670.77</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9"/>
                <w:sz w:val="18"/>
                <w:szCs w:val="18"/>
              </w:rPr>
              <w:t> </w:t>
            </w:r>
            <w:r>
              <w:rPr>
                <w:rFonts w:ascii="宋体" w:hAnsi="宋体" w:cs="宋体" w:eastAsia="宋体" w:hint="default"/>
                <w:spacing w:val="-2"/>
                <w:sz w:val="18"/>
                <w:szCs w:val="18"/>
              </w:rPr>
              <w:t>（一）以后不能重分类进损益的其</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7"/>
      </w:tblGrid>
      <w:tr>
        <w:trPr>
          <w:trHeight w:val="36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1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9"/>
                <w:sz w:val="18"/>
                <w:szCs w:val="18"/>
              </w:rPr>
              <w:t> </w:t>
            </w: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-162,598.01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180,670.77</w:t>
            </w:r>
          </w:p>
        </w:tc>
      </w:tr>
      <w:tr>
        <w:trPr>
          <w:trHeight w:val="1028"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1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 值变动损益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 部分</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-162,598.01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180,670.77</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53"/>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31,891,911.37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50,459,461.80</w:t>
            </w: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53"/>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归属于母公司所有者的综合收益 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54,791,721.41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57,954,208.30</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归属于少数股东的综合收益总额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-22,899,810.04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-7,494,746.50</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（一）基本每股收益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0.20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0.22</w:t>
            </w:r>
          </w:p>
        </w:tc>
      </w:tr>
      <w:tr>
        <w:trPr>
          <w:trHeight w:val="40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（二）稀释每股收益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0.20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0.21</w:t>
            </w:r>
          </w:p>
        </w:tc>
      </w:tr>
    </w:tbl>
    <w:p>
      <w:pPr>
        <w:tabs>
          <w:tab w:pos="3578" w:val="left" w:leader="none"/>
          <w:tab w:pos="7721" w:val="left" w:leader="none"/>
        </w:tabs>
        <w:spacing w:line="595" w:lineRule="auto" w:before="49"/>
        <w:ind w:left="152" w:right="242" w:firstLine="0"/>
        <w:jc w:val="left"/>
        <w:rPr>
          <w:rFonts w:ascii="宋体" w:hAnsi="宋体" w:cs="宋体" w:eastAsia="宋体" w:hint="default"/>
          <w:sz w:val="21"/>
          <w:szCs w:val="21"/>
        </w:rPr>
      </w:pPr>
      <w:r>
        <w:rPr>
          <w:rFonts w:ascii="宋体" w:hAnsi="宋体" w:cs="宋体" w:eastAsia="宋体" w:hint="default"/>
          <w:sz w:val="18"/>
          <w:szCs w:val="18"/>
        </w:rPr>
        <w:t>本期发生同一控制下企业合并的，被合并方在合并前实现的净利润为：</w:t>
      </w:r>
      <w:r>
        <w:rPr>
          <w:rFonts w:ascii="Times New Roman" w:hAnsi="Times New Roman" w:cs="Times New Roman" w:eastAsia="Times New Roman" w:hint="default"/>
          <w:sz w:val="18"/>
          <w:szCs w:val="18"/>
        </w:rPr>
        <w:t>0 </w:t>
      </w:r>
      <w:r>
        <w:rPr>
          <w:rFonts w:ascii="宋体" w:hAnsi="宋体" w:cs="宋体" w:eastAsia="宋体" w:hint="default"/>
          <w:sz w:val="18"/>
          <w:szCs w:val="18"/>
        </w:rPr>
        <w:t>元，上期被合并方实现的净利润为：</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 法定代表人：陆文雄</w:t>
        <w:tab/>
      </w:r>
      <w:r>
        <w:rPr>
          <w:rFonts w:ascii="宋体" w:hAnsi="宋体" w:cs="宋体" w:eastAsia="宋体" w:hint="default"/>
          <w:spacing w:val="-1"/>
          <w:sz w:val="18"/>
          <w:szCs w:val="18"/>
        </w:rPr>
        <w:t>主管会计工作负责人：陆廷洁</w:t>
        <w:tab/>
      </w:r>
      <w:r>
        <w:rPr>
          <w:rFonts w:ascii="宋体" w:hAnsi="宋体" w:cs="宋体" w:eastAsia="宋体" w:hint="default"/>
          <w:sz w:val="18"/>
          <w:szCs w:val="18"/>
        </w:rPr>
        <w:t>会计机构负责人：陈朝霞</w:t>
      </w:r>
      <w:r>
        <w:rPr>
          <w:rFonts w:ascii="宋体" w:hAnsi="宋体" w:cs="宋体" w:eastAsia="宋体" w:hint="default"/>
          <w:sz w:val="18"/>
          <w:szCs w:val="18"/>
        </w:rPr>
        <w:t> </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355,264,266.17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382,684,942.91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减：营业成本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238,620,382.37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245,474,644.02</w:t>
            </w:r>
          </w:p>
        </w:tc>
      </w:tr>
    </w:tbl>
    <w:p>
      <w:pPr>
        <w:spacing w:after="0" w:line="240" w:lineRule="auto"/>
        <w:jc w:val="right"/>
        <w:rPr>
          <w:rFonts w:ascii="Times New Roman" w:hAnsi="Times New Roman" w:cs="Times New Roman" w:eastAsia="Times New Roman" w:hint="default"/>
          <w:sz w:val="18"/>
          <w:szCs w:val="18"/>
        </w:rPr>
        <w:sectPr>
          <w:footerReference w:type="default" r:id="rId24"/>
          <w:pgSz w:w="11910" w:h="16840"/>
          <w:pgMar w:footer="979" w:header="745" w:top="1060" w:bottom="1160" w:left="980" w:right="980"/>
          <w:pgNumType w:start="11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3,807,559.25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1,690,836.11</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17,128,183.41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20,981,863.43</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57,625,067.51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58,240,054.88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-3,225,863.35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-6,337,323.63</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资产减值损失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4,634,549.70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3,401,207.99</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加：公允价值变动收益（损失以</w:t>
            </w:r>
          </w:p>
          <w:p>
            <w:pPr>
              <w:pStyle w:val="TableParagraph"/>
              <w:spacing w:line="240" w:lineRule="auto" w:before="7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74"/>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9,436,046.59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21,340,068.55</w:t>
            </w:r>
          </w:p>
        </w:tc>
      </w:tr>
      <w:tr>
        <w:trPr>
          <w:trHeight w:val="71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22"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其中：对联营企业和合营企 业的投资收益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821,977.09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2,737,961.96</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3"/>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资产处置收益（损失以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w:t>
            </w:r>
            <w:r>
              <w:rPr>
                <w:rFonts w:ascii="宋体" w:hAnsi="宋体" w:cs="宋体" w:eastAsia="宋体" w:hint="default"/>
                <w:sz w:val="18"/>
                <w:szCs w:val="18"/>
              </w:rPr>
              <w:t> 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8,287.10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37,787.04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46,118,720.97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80,611,515.70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8,157,559.15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6,763,779.97</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868,174.74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321,540.04</w:t>
            </w:r>
          </w:p>
        </w:tc>
      </w:tr>
      <w:tr>
        <w:trPr>
          <w:trHeight w:val="71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53,408,105.38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87,053,755.63</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7,510,954.56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8,654,103.79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45,897,150.82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78,399,651.84</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45,897,150.82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78,399,651.84</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22"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（一）以后不能重分类进损益的 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51"/>
              <w:jc w:val="both"/>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（二）以后将重分类进损益的其 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67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36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中享有的份额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 效部分</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45,897,150.82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78,399,651.84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（一）基本每股收益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（二）稀释每股收益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0"/>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404,355,607.53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390,782,780.86</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客户存款和同业存放款项净增加 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向中央银行借款净增加额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向其他金融机构拆入资金净增加 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收到原保险合同保费取得的现金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收到再保险业务现金净额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保户储金及投资款净增加额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处置以公允价值计量且其变动计 入当期损益的金融资产净增加额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收取利息、手续费及佣金的现金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拆入资金净增加额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回购业务资金净增加额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14,841,018.29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25,843,222.92</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419,196,625.82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416,626,003.78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176,815,228.21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147,158,893.50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客户贷款及垫款净增加额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存放中央银行和同业款项净增加 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支付原保险合同赔付款项的现金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支付保单红利的现金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支付给职工以及为职工支付的现 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139,422,175.84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162,676,220.48</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29,606,177.34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15,968,714.61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27,341,699.51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35,308,365.89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373,185,280.90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361,112,194.48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46,011,344.92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55,513,809.30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160,411.00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取得投资收益收到的现金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9,215,504.67</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14,315.00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64,017.37</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33,398,669.69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33,649,881.12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42,788,900.36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33,713,898.49</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9,630,825.90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223,523,993.21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6,450,000.00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质押贷款净增加额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13,630,825.90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229,973,993.21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29,158,074.46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-196,260,094.72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591,810,761.02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86,085,800.00</w:t>
            </w: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其中：子公司吸收少数股东投资 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6,650,000.00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发行债券收到的现金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591,810,761.02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95,585,800.00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13,639,913.50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10,063,751.62</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其中：子公司支付给少数股东的 股利、利润</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46,168,652.81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14,567,288.59</w:t>
            </w: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69,308,566.31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29,631,040.21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522,502,194.71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65,954,759.79</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-162,598.01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179,692.82</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597,509,016.08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-74,611,832.81</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319,717,529.36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394,329,362.17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917,226,545.44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319,717,529.36</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0"/>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383,310,305.91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350,129,817.13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15,550,448.74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27,996,668.15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398,860,754.65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378,126,485.28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164,866,354.43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140,218,059.17</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支付给职工以及为职工支付的现 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124,856,074.61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121,557,148.97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27,812,800.68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10,748,920.35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35,347,635.32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23,577,310.86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352,882,865.04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296,101,439.35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45,977,889.61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82,025,045.93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2,110,411.00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取得投资收益收到的现金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9,215,504.67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2,327,348.64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14,015.00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59,017.37</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51,209,785.06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37,200,000.00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62,549,715.73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39,586,366.01</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9,626,855.91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220,262,845.91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44,200,000.00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13,926,855.91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264,462,845.91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48,622,859.82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-224,876,479.90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591,610,761.02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79,435,800.00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9,500,000.00</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发行债券收到的现金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591,610,761.02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88,935,800.00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13,639,913.50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9,960,435.52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46,168,652.81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14,567,288.59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69,308,566.31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24,527,724.11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522,302,194.71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64,408,075.89</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616,902,944.14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-78,443,358.08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加：期初现金及现金等价物余额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271,842,972.16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350,286,330.24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888,745,916.30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271,842,972.16</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0"/>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1426"/>
        <w:gridCol w:w="562"/>
        <w:gridCol w:w="533"/>
        <w:gridCol w:w="531"/>
        <w:gridCol w:w="530"/>
        <w:gridCol w:w="665"/>
        <w:gridCol w:w="665"/>
        <w:gridCol w:w="665"/>
        <w:gridCol w:w="665"/>
        <w:gridCol w:w="665"/>
        <w:gridCol w:w="665"/>
        <w:gridCol w:w="665"/>
        <w:gridCol w:w="665"/>
        <w:gridCol w:w="660"/>
      </w:tblGrid>
      <w:tr>
        <w:trPr>
          <w:trHeight w:val="402" w:hRule="exact"/>
        </w:trPr>
        <w:tc>
          <w:tcPr>
            <w:tcW w:w="1426" w:type="dxa"/>
            <w:vMerge w:val="restart"/>
            <w:tcBorders>
              <w:top w:val="single" w:sz="4" w:space="0" w:color="000000"/>
              <w:left w:val="single" w:sz="4" w:space="0" w:color="000000"/>
              <w:right w:val="single" w:sz="4" w:space="0" w:color="000000"/>
            </w:tcBorders>
            <w:shd w:val="clear" w:color="auto" w:fill="D2D2D2"/>
          </w:tcPr>
          <w:p>
            <w:pPr/>
          </w:p>
        </w:tc>
        <w:tc>
          <w:tcPr>
            <w:tcW w:w="8135"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26" w:type="dxa"/>
            <w:vMerge/>
            <w:tcBorders>
              <w:left w:val="single" w:sz="4" w:space="0" w:color="000000"/>
              <w:right w:val="single" w:sz="4" w:space="0" w:color="000000"/>
            </w:tcBorders>
            <w:shd w:val="clear" w:color="auto" w:fill="D2D2D2"/>
          </w:tcPr>
          <w:p>
            <w:pPr/>
          </w:p>
        </w:tc>
        <w:tc>
          <w:tcPr>
            <w:tcW w:w="6810"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6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6" w:type="dxa"/>
            <w:vMerge/>
            <w:tcBorders>
              <w:left w:val="single" w:sz="4" w:space="0" w:color="000000"/>
              <w:bottom w:val="nil" w:sz="6" w:space="0" w:color="auto"/>
              <w:right w:val="single" w:sz="4" w:space="0" w:color="000000"/>
            </w:tcBorders>
            <w:shd w:val="clear" w:color="auto" w:fill="D2D2D2"/>
          </w:tcPr>
          <w:p>
            <w:pPr/>
          </w:p>
        </w:tc>
        <w:tc>
          <w:tcPr>
            <w:tcW w:w="6810"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5"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57" w:right="5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60" w:type="dxa"/>
            <w:vMerge/>
            <w:tcBorders>
              <w:left w:val="single" w:sz="4" w:space="0" w:color="000000"/>
              <w:right w:val="single" w:sz="4" w:space="0" w:color="000000"/>
            </w:tcBorders>
            <w:shd w:val="clear" w:color="auto" w:fill="D2D2D2"/>
          </w:tcPr>
          <w:p>
            <w:pPr/>
          </w:p>
        </w:tc>
      </w:tr>
      <w:tr>
        <w:trPr>
          <w:trHeight w:val="174" w:hRule="exact"/>
        </w:trPr>
        <w:tc>
          <w:tcPr>
            <w:tcW w:w="1426"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4"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48" w:right="55"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7" w:right="5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7"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48" w:right="56"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184" w:hRule="exact"/>
        </w:trPr>
        <w:tc>
          <w:tcPr>
            <w:tcW w:w="1426"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1"/>
              <w:ind w:left="170" w:right="79"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1"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1"/>
              <w:ind w:left="171" w:right="77"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167" w:hRule="exact"/>
        </w:trPr>
        <w:tc>
          <w:tcPr>
            <w:tcW w:w="1426"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3" w:type="dxa"/>
            <w:vMerge/>
            <w:tcBorders>
              <w:left w:val="single" w:sz="4" w:space="0" w:color="000000"/>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156" w:hRule="exact"/>
        </w:trPr>
        <w:tc>
          <w:tcPr>
            <w:tcW w:w="1426"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3" w:type="dxa"/>
            <w:vMerge/>
            <w:tcBorders>
              <w:left w:val="single" w:sz="4" w:space="0" w:color="000000"/>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60"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26"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3" w:type="dxa"/>
            <w:vMerge/>
            <w:tcBorders>
              <w:left w:val="single" w:sz="4" w:space="0" w:color="000000"/>
              <w:bottom w:val="single" w:sz="4" w:space="0" w:color="000000"/>
              <w:right w:val="single" w:sz="4" w:space="0" w:color="000000"/>
            </w:tcBorders>
            <w:shd w:val="clear" w:color="auto" w:fill="D2D2D2"/>
          </w:tcPr>
          <w:p>
            <w:pPr/>
          </w:p>
        </w:tc>
        <w:tc>
          <w:tcPr>
            <w:tcW w:w="531"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26"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10" w:space="0" w:color="D2D2D2"/>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275,18</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5,795.</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w:t>
            </w:r>
          </w:p>
        </w:tc>
        <w:tc>
          <w:tcPr>
            <w:tcW w:w="533"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202,278</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,360.25</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78,499,</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268.21</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128,806</w:t>
            </w:r>
          </w:p>
          <w:p>
            <w:pPr>
              <w:pStyle w:val="TableParagraph"/>
              <w:spacing w:line="240" w:lineRule="auto" w:before="105"/>
              <w:ind w:left="408" w:right="0"/>
              <w:jc w:val="left"/>
              <w:rPr>
                <w:rFonts w:ascii="Times New Roman" w:hAnsi="Times New Roman" w:cs="Times New Roman" w:eastAsia="Times New Roman" w:hint="default"/>
                <w:sz w:val="18"/>
                <w:szCs w:val="18"/>
              </w:rPr>
            </w:pPr>
            <w:r>
              <w:rPr>
                <w:rFonts w:ascii="Times New Roman"/>
                <w:sz w:val="18"/>
              </w:rPr>
              <w:t>.58</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43,551,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684.98</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290,999</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,513.74</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25,055,</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991.69</w:t>
            </w: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758,700</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,884.03</w:t>
            </w:r>
          </w:p>
        </w:tc>
      </w:tr>
      <w:tr>
        <w:trPr>
          <w:trHeight w:val="391" w:hRule="exact"/>
        </w:trPr>
        <w:tc>
          <w:tcPr>
            <w:tcW w:w="14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10" w:space="0" w:color="D2D2D2"/>
              <w:right w:val="single" w:sz="4" w:space="0" w:color="000000"/>
            </w:tcBorders>
          </w:tcPr>
          <w:p>
            <w:pPr/>
          </w:p>
        </w:tc>
        <w:tc>
          <w:tcPr>
            <w:tcW w:w="533"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317" w:hRule="exact"/>
        </w:trPr>
        <w:tc>
          <w:tcPr>
            <w:tcW w:w="1426"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10" w:space="0" w:color="D2D2D2"/>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716"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1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前期差 错更正</w:t>
            </w:r>
          </w:p>
        </w:tc>
        <w:tc>
          <w:tcPr>
            <w:tcW w:w="56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同一控 制下企业合并</w:t>
            </w:r>
          </w:p>
        </w:tc>
        <w:tc>
          <w:tcPr>
            <w:tcW w:w="56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56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1426"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10" w:space="0" w:color="D2D2D2"/>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275,18</w:t>
            </w:r>
          </w:p>
          <w:p>
            <w:pPr>
              <w:pStyle w:val="TableParagraph"/>
              <w:spacing w:line="240" w:lineRule="auto" w:before="102"/>
              <w:ind w:left="71" w:right="0"/>
              <w:jc w:val="left"/>
              <w:rPr>
                <w:rFonts w:ascii="Times New Roman" w:hAnsi="Times New Roman" w:cs="Times New Roman" w:eastAsia="Times New Roman" w:hint="default"/>
                <w:sz w:val="18"/>
                <w:szCs w:val="18"/>
              </w:rPr>
            </w:pPr>
            <w:r>
              <w:rPr>
                <w:rFonts w:ascii="Times New Roman"/>
                <w:sz w:val="18"/>
              </w:rPr>
              <w:t>5,795.</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w:t>
            </w:r>
          </w:p>
        </w:tc>
        <w:tc>
          <w:tcPr>
            <w:tcW w:w="533"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202,278</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,360.25</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78,499,</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268.21</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128,806</w:t>
            </w:r>
          </w:p>
          <w:p>
            <w:pPr>
              <w:pStyle w:val="TableParagraph"/>
              <w:spacing w:line="240" w:lineRule="auto" w:before="102"/>
              <w:ind w:left="408" w:right="0"/>
              <w:jc w:val="left"/>
              <w:rPr>
                <w:rFonts w:ascii="Times New Roman" w:hAnsi="Times New Roman" w:cs="Times New Roman" w:eastAsia="Times New Roman" w:hint="default"/>
                <w:sz w:val="18"/>
                <w:szCs w:val="18"/>
              </w:rPr>
            </w:pPr>
            <w:r>
              <w:rPr>
                <w:rFonts w:ascii="Times New Roman"/>
                <w:sz w:val="18"/>
              </w:rPr>
              <w:t>.58</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43,551,</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684.98</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290,999</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,513.74</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25,055,</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991.69</w:t>
            </w: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758,700</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,884.03</w:t>
            </w:r>
          </w:p>
        </w:tc>
      </w:tr>
      <w:tr>
        <w:trPr>
          <w:trHeight w:val="391" w:hRule="exact"/>
        </w:trPr>
        <w:tc>
          <w:tcPr>
            <w:tcW w:w="14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vMerge/>
            <w:tcBorders>
              <w:left w:val="single" w:sz="10" w:space="0" w:color="D2D2D2"/>
              <w:right w:val="single" w:sz="4" w:space="0" w:color="000000"/>
            </w:tcBorders>
          </w:tcPr>
          <w:p>
            <w:pPr/>
          </w:p>
        </w:tc>
        <w:tc>
          <w:tcPr>
            <w:tcW w:w="533"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317" w:hRule="exact"/>
        </w:trPr>
        <w:tc>
          <w:tcPr>
            <w:tcW w:w="1426"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10" w:space="0" w:color="D2D2D2"/>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1025"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41,286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,698.0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506,995</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,669.44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-45,759,</w:t>
            </w:r>
          </w:p>
          <w:p>
            <w:pPr>
              <w:pStyle w:val="TableParagraph"/>
              <w:spacing w:line="240" w:lineRule="auto" w:before="105"/>
              <w:ind w:left="118" w:right="0"/>
              <w:jc w:val="center"/>
              <w:rPr>
                <w:rFonts w:ascii="Times New Roman" w:hAnsi="Times New Roman" w:cs="Times New Roman" w:eastAsia="Times New Roman" w:hint="default"/>
                <w:sz w:val="18"/>
                <w:szCs w:val="18"/>
              </w:rPr>
            </w:pPr>
            <w:r>
              <w:rPr>
                <w:rFonts w:ascii="Times New Roman"/>
                <w:sz w:val="18"/>
              </w:rPr>
              <w:t>428.21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-162,59</w:t>
            </w:r>
          </w:p>
          <w:p>
            <w:pPr>
              <w:pStyle w:val="TableParagraph"/>
              <w:spacing w:line="240" w:lineRule="auto" w:before="105"/>
              <w:ind w:left="319" w:right="0"/>
              <w:jc w:val="left"/>
              <w:rPr>
                <w:rFonts w:ascii="Times New Roman" w:hAnsi="Times New Roman" w:cs="Times New Roman" w:eastAsia="Times New Roman" w:hint="default"/>
                <w:sz w:val="18"/>
                <w:szCs w:val="18"/>
              </w:rPr>
            </w:pPr>
            <w:r>
              <w:rPr>
                <w:rFonts w:ascii="Times New Roman"/>
                <w:sz w:val="18"/>
              </w:rPr>
              <w:t>8.01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4,589,7</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15.08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36,967,</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314.59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-22,731,</w:t>
            </w:r>
          </w:p>
          <w:p>
            <w:pPr>
              <w:pStyle w:val="TableParagraph"/>
              <w:spacing w:line="240" w:lineRule="auto" w:before="105"/>
              <w:ind w:left="118" w:right="0"/>
              <w:jc w:val="center"/>
              <w:rPr>
                <w:rFonts w:ascii="Times New Roman" w:hAnsi="Times New Roman" w:cs="Times New Roman" w:eastAsia="Times New Roman" w:hint="default"/>
                <w:sz w:val="18"/>
                <w:szCs w:val="18"/>
              </w:rPr>
            </w:pPr>
            <w:r>
              <w:rPr>
                <w:rFonts w:ascii="Times New Roman"/>
                <w:sz w:val="18"/>
              </w:rPr>
              <w:t>358.37</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612,704</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,868.94</w:t>
            </w:r>
          </w:p>
        </w:tc>
      </w:tr>
      <w:tr>
        <w:trPr>
          <w:trHeight w:val="715"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 w:right="0"/>
              <w:jc w:val="left"/>
              <w:rPr>
                <w:rFonts w:ascii="Times New Roman" w:hAnsi="Times New Roman" w:cs="Times New Roman" w:eastAsia="Times New Roman" w:hint="default"/>
                <w:sz w:val="18"/>
                <w:szCs w:val="18"/>
              </w:rPr>
            </w:pPr>
            <w:r>
              <w:rPr>
                <w:rFonts w:ascii="Times New Roman"/>
                <w:sz w:val="18"/>
              </w:rPr>
              <w:t>-162,59</w:t>
            </w:r>
          </w:p>
          <w:p>
            <w:pPr>
              <w:pStyle w:val="TableParagraph"/>
              <w:spacing w:line="240" w:lineRule="auto" w:before="102"/>
              <w:ind w:left="319" w:right="0"/>
              <w:jc w:val="left"/>
              <w:rPr>
                <w:rFonts w:ascii="Times New Roman" w:hAnsi="Times New Roman" w:cs="Times New Roman" w:eastAsia="Times New Roman" w:hint="default"/>
                <w:sz w:val="18"/>
                <w:szCs w:val="18"/>
              </w:rPr>
            </w:pPr>
            <w:r>
              <w:rPr>
                <w:rFonts w:ascii="Times New Roman"/>
                <w:sz w:val="18"/>
              </w:rPr>
              <w:t>8.01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3" w:right="0"/>
              <w:jc w:val="left"/>
              <w:rPr>
                <w:rFonts w:ascii="Times New Roman" w:hAnsi="Times New Roman" w:cs="Times New Roman" w:eastAsia="Times New Roman" w:hint="default"/>
                <w:sz w:val="18"/>
                <w:szCs w:val="18"/>
              </w:rPr>
            </w:pPr>
            <w:r>
              <w:rPr>
                <w:rFonts w:ascii="Times New Roman"/>
                <w:sz w:val="18"/>
              </w:rPr>
              <w:t>54,954,</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319.42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 w:right="0"/>
              <w:jc w:val="center"/>
              <w:rPr>
                <w:rFonts w:ascii="Times New Roman" w:hAnsi="Times New Roman" w:cs="Times New Roman" w:eastAsia="Times New Roman" w:hint="default"/>
                <w:sz w:val="18"/>
                <w:szCs w:val="18"/>
              </w:rPr>
            </w:pPr>
            <w:r>
              <w:rPr>
                <w:rFonts w:ascii="Times New Roman"/>
                <w:sz w:val="18"/>
              </w:rPr>
              <w:t>-22,899,</w:t>
            </w:r>
          </w:p>
          <w:p>
            <w:pPr>
              <w:pStyle w:val="TableParagraph"/>
              <w:spacing w:line="240" w:lineRule="auto" w:before="102"/>
              <w:ind w:left="118" w:right="0"/>
              <w:jc w:val="center"/>
              <w:rPr>
                <w:rFonts w:ascii="Times New Roman" w:hAnsi="Times New Roman" w:cs="Times New Roman" w:eastAsia="Times New Roman" w:hint="default"/>
                <w:sz w:val="18"/>
                <w:szCs w:val="18"/>
              </w:rPr>
            </w:pPr>
            <w:r>
              <w:rPr>
                <w:rFonts w:ascii="Times New Roman"/>
                <w:sz w:val="18"/>
              </w:rPr>
              <w:t>810.04</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left"/>
              <w:rPr>
                <w:rFonts w:ascii="Times New Roman" w:hAnsi="Times New Roman" w:cs="Times New Roman" w:eastAsia="Times New Roman" w:hint="default"/>
                <w:sz w:val="18"/>
                <w:szCs w:val="18"/>
              </w:rPr>
            </w:pPr>
            <w:r>
              <w:rPr>
                <w:rFonts w:ascii="Times New Roman"/>
                <w:sz w:val="18"/>
              </w:rPr>
              <w:t>31,891,</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911.37</w:t>
            </w:r>
          </w:p>
        </w:tc>
      </w:tr>
      <w:tr>
        <w:trPr>
          <w:trHeight w:val="161" w:hRule="exact"/>
        </w:trPr>
        <w:tc>
          <w:tcPr>
            <w:tcW w:w="1426"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10" w:space="0" w:color="D2D2D2"/>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41,286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,698.0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3"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506,995</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,669.44</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-45,759,</w:t>
            </w:r>
          </w:p>
          <w:p>
            <w:pPr>
              <w:pStyle w:val="TableParagraph"/>
              <w:spacing w:line="240" w:lineRule="auto" w:before="105"/>
              <w:ind w:left="118" w:right="0"/>
              <w:jc w:val="center"/>
              <w:rPr>
                <w:rFonts w:ascii="Times New Roman" w:hAnsi="Times New Roman" w:cs="Times New Roman" w:eastAsia="Times New Roman" w:hint="default"/>
                <w:sz w:val="18"/>
                <w:szCs w:val="18"/>
              </w:rPr>
            </w:pPr>
            <w:r>
              <w:rPr>
                <w:rFonts w:ascii="Times New Roman"/>
                <w:sz w:val="18"/>
              </w:rPr>
              <w:t>428.21</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168,451</w:t>
            </w:r>
          </w:p>
          <w:p>
            <w:pPr>
              <w:pStyle w:val="TableParagraph"/>
              <w:spacing w:line="240" w:lineRule="auto" w:before="105"/>
              <w:ind w:left="408" w:right="0"/>
              <w:jc w:val="left"/>
              <w:rPr>
                <w:rFonts w:ascii="Times New Roman" w:hAnsi="Times New Roman" w:cs="Times New Roman" w:eastAsia="Times New Roman" w:hint="default"/>
                <w:sz w:val="18"/>
                <w:szCs w:val="18"/>
              </w:rPr>
            </w:pPr>
            <w:r>
              <w:rPr>
                <w:rFonts w:ascii="Times New Roman"/>
                <w:sz w:val="18"/>
              </w:rPr>
              <w:t>.67</w:t>
            </w: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594,210</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,247.32</w:t>
            </w:r>
          </w:p>
        </w:tc>
      </w:tr>
      <w:tr>
        <w:trPr>
          <w:trHeight w:val="703" w:hRule="exact"/>
        </w:trPr>
        <w:tc>
          <w:tcPr>
            <w:tcW w:w="14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2" w:type="dxa"/>
            <w:vMerge/>
            <w:tcBorders>
              <w:left w:val="single" w:sz="10" w:space="0" w:color="D2D2D2"/>
              <w:right w:val="single" w:sz="4" w:space="0" w:color="000000"/>
            </w:tcBorders>
          </w:tcPr>
          <w:p>
            <w:pPr/>
          </w:p>
        </w:tc>
        <w:tc>
          <w:tcPr>
            <w:tcW w:w="533"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161" w:hRule="exact"/>
        </w:trPr>
        <w:tc>
          <w:tcPr>
            <w:tcW w:w="1426"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10" w:space="0" w:color="D2D2D2"/>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163" w:hRule="exact"/>
        </w:trPr>
        <w:tc>
          <w:tcPr>
            <w:tcW w:w="1426"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10" w:space="0" w:color="D2D2D2"/>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41,286</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,698.0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3"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503,842</w:t>
            </w:r>
          </w:p>
          <w:p>
            <w:pPr>
              <w:pStyle w:val="TableParagraph"/>
              <w:spacing w:line="240" w:lineRule="auto" w:before="103"/>
              <w:ind w:left="91" w:right="0"/>
              <w:jc w:val="left"/>
              <w:rPr>
                <w:rFonts w:ascii="Times New Roman" w:hAnsi="Times New Roman" w:cs="Times New Roman" w:eastAsia="Times New Roman" w:hint="default"/>
                <w:sz w:val="18"/>
                <w:szCs w:val="18"/>
              </w:rPr>
            </w:pPr>
            <w:r>
              <w:rPr>
                <w:rFonts w:ascii="Times New Roman"/>
                <w:sz w:val="18"/>
              </w:rPr>
              <w:t>,803.58</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200,000</w:t>
            </w:r>
          </w:p>
          <w:p>
            <w:pPr>
              <w:pStyle w:val="TableParagraph"/>
              <w:spacing w:line="240" w:lineRule="auto" w:before="103"/>
              <w:ind w:left="408" w:right="0"/>
              <w:jc w:val="left"/>
              <w:rPr>
                <w:rFonts w:ascii="Times New Roman" w:hAnsi="Times New Roman" w:cs="Times New Roman" w:eastAsia="Times New Roman" w:hint="default"/>
                <w:sz w:val="18"/>
                <w:szCs w:val="18"/>
              </w:rPr>
            </w:pPr>
            <w:r>
              <w:rPr>
                <w:rFonts w:ascii="Times New Roman"/>
                <w:sz w:val="18"/>
              </w:rPr>
              <w:t>.00</w:t>
            </w: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545,329</w:t>
            </w:r>
          </w:p>
          <w:p>
            <w:pPr>
              <w:pStyle w:val="TableParagraph"/>
              <w:spacing w:line="240" w:lineRule="auto" w:before="103"/>
              <w:ind w:left="86" w:right="0"/>
              <w:jc w:val="left"/>
              <w:rPr>
                <w:rFonts w:ascii="Times New Roman" w:hAnsi="Times New Roman" w:cs="Times New Roman" w:eastAsia="Times New Roman" w:hint="default"/>
                <w:sz w:val="18"/>
                <w:szCs w:val="18"/>
              </w:rPr>
            </w:pPr>
            <w:r>
              <w:rPr>
                <w:rFonts w:ascii="Times New Roman"/>
                <w:sz w:val="18"/>
              </w:rPr>
              <w:t>,501.58</w:t>
            </w:r>
          </w:p>
        </w:tc>
      </w:tr>
      <w:tr>
        <w:trPr>
          <w:trHeight w:val="704" w:hRule="exact"/>
        </w:trPr>
        <w:tc>
          <w:tcPr>
            <w:tcW w:w="14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97" w:lineRule="auto" w:before="49"/>
              <w:ind w:left="1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vMerge/>
            <w:tcBorders>
              <w:left w:val="single" w:sz="10" w:space="0" w:color="D2D2D2"/>
              <w:right w:val="single" w:sz="4" w:space="0" w:color="000000"/>
            </w:tcBorders>
          </w:tcPr>
          <w:p>
            <w:pPr/>
          </w:p>
        </w:tc>
        <w:tc>
          <w:tcPr>
            <w:tcW w:w="533"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161" w:hRule="exact"/>
        </w:trPr>
        <w:tc>
          <w:tcPr>
            <w:tcW w:w="1426"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10" w:space="0" w:color="D2D2D2"/>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713"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1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3,152,8</w:t>
            </w:r>
          </w:p>
          <w:p>
            <w:pPr>
              <w:pStyle w:val="TableParagraph"/>
              <w:spacing w:line="240" w:lineRule="auto" w:before="102"/>
              <w:ind w:left="202" w:right="0"/>
              <w:jc w:val="center"/>
              <w:rPr>
                <w:rFonts w:ascii="Times New Roman" w:hAnsi="Times New Roman" w:cs="Times New Roman" w:eastAsia="Times New Roman" w:hint="default"/>
                <w:sz w:val="18"/>
                <w:szCs w:val="18"/>
              </w:rPr>
            </w:pPr>
            <w:r>
              <w:rPr>
                <w:rFonts w:ascii="Times New Roman"/>
                <w:sz w:val="18"/>
              </w:rPr>
              <w:t>65.86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-45,759,</w:t>
            </w:r>
          </w:p>
          <w:p>
            <w:pPr>
              <w:pStyle w:val="TableParagraph"/>
              <w:spacing w:line="240" w:lineRule="auto" w:before="102"/>
              <w:ind w:left="118" w:right="0"/>
              <w:jc w:val="center"/>
              <w:rPr>
                <w:rFonts w:ascii="Times New Roman" w:hAnsi="Times New Roman" w:cs="Times New Roman" w:eastAsia="Times New Roman" w:hint="default"/>
                <w:sz w:val="18"/>
                <w:szCs w:val="18"/>
              </w:rPr>
            </w:pPr>
            <w:r>
              <w:rPr>
                <w:rFonts w:ascii="Times New Roman"/>
                <w:sz w:val="18"/>
              </w:rPr>
              <w:t>428.21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48,912,</w:t>
            </w:r>
          </w:p>
          <w:p>
            <w:pPr>
              <w:pStyle w:val="TableParagraph"/>
              <w:spacing w:line="240" w:lineRule="auto" w:before="102"/>
              <w:ind w:left="131" w:right="0"/>
              <w:jc w:val="left"/>
              <w:rPr>
                <w:rFonts w:ascii="Times New Roman" w:hAnsi="Times New Roman" w:cs="Times New Roman" w:eastAsia="Times New Roman" w:hint="default"/>
                <w:sz w:val="18"/>
                <w:szCs w:val="18"/>
              </w:rPr>
            </w:pPr>
            <w:r>
              <w:rPr>
                <w:rFonts w:ascii="Times New Roman"/>
                <w:sz w:val="18"/>
              </w:rPr>
              <w:t>294.07</w:t>
            </w:r>
          </w:p>
        </w:tc>
      </w:tr>
      <w:tr>
        <w:trPr>
          <w:trHeight w:val="161" w:hRule="exact"/>
        </w:trPr>
        <w:tc>
          <w:tcPr>
            <w:tcW w:w="1426"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10" w:space="0" w:color="D2D2D2"/>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-31,548.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33</w:t>
            </w: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-31,548.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33</w:t>
            </w:r>
          </w:p>
        </w:tc>
      </w:tr>
      <w:tr>
        <w:trPr>
          <w:trHeight w:val="391" w:hRule="exact"/>
        </w:trPr>
        <w:tc>
          <w:tcPr>
            <w:tcW w:w="14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vMerge/>
            <w:tcBorders>
              <w:left w:val="single" w:sz="10" w:space="0" w:color="D2D2D2"/>
              <w:right w:val="single" w:sz="4" w:space="0" w:color="000000"/>
            </w:tcBorders>
          </w:tcPr>
          <w:p>
            <w:pPr/>
          </w:p>
        </w:tc>
        <w:tc>
          <w:tcPr>
            <w:tcW w:w="533"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161" w:hRule="exact"/>
        </w:trPr>
        <w:tc>
          <w:tcPr>
            <w:tcW w:w="1426"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10" w:space="0" w:color="D2D2D2"/>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163" w:hRule="exact"/>
        </w:trPr>
        <w:tc>
          <w:tcPr>
            <w:tcW w:w="1426"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10" w:space="0" w:color="D2D2D2"/>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3"/>
              <w:ind w:left="67" w:right="0"/>
              <w:jc w:val="center"/>
              <w:rPr>
                <w:rFonts w:ascii="Times New Roman" w:hAnsi="Times New Roman" w:cs="Times New Roman" w:eastAsia="Times New Roman" w:hint="default"/>
                <w:sz w:val="18"/>
                <w:szCs w:val="18"/>
              </w:rPr>
            </w:pPr>
            <w:r>
              <w:rPr>
                <w:rFonts w:ascii="Times New Roman"/>
                <w:sz w:val="18"/>
              </w:rPr>
              <w:t>4,589,7</w:t>
            </w:r>
          </w:p>
          <w:p>
            <w:pPr>
              <w:pStyle w:val="TableParagraph"/>
              <w:spacing w:line="240" w:lineRule="auto" w:before="103"/>
              <w:ind w:left="202" w:right="0"/>
              <w:jc w:val="center"/>
              <w:rPr>
                <w:rFonts w:ascii="Times New Roman" w:hAnsi="Times New Roman" w:cs="Times New Roman" w:eastAsia="Times New Roman" w:hint="default"/>
                <w:sz w:val="18"/>
                <w:szCs w:val="18"/>
              </w:rPr>
            </w:pPr>
            <w:r>
              <w:rPr>
                <w:rFonts w:ascii="Times New Roman"/>
                <w:sz w:val="18"/>
              </w:rPr>
              <w:t>15.08</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3"/>
              <w:ind w:left="12" w:right="0"/>
              <w:jc w:val="center"/>
              <w:rPr>
                <w:rFonts w:ascii="Times New Roman" w:hAnsi="Times New Roman" w:cs="Times New Roman" w:eastAsia="Times New Roman" w:hint="default"/>
                <w:sz w:val="18"/>
                <w:szCs w:val="18"/>
              </w:rPr>
            </w:pPr>
            <w:r>
              <w:rPr>
                <w:rFonts w:ascii="Times New Roman"/>
                <w:sz w:val="18"/>
              </w:rPr>
              <w:t>-17,987,</w:t>
            </w:r>
          </w:p>
          <w:p>
            <w:pPr>
              <w:pStyle w:val="TableParagraph"/>
              <w:spacing w:line="240" w:lineRule="auto" w:before="103"/>
              <w:ind w:left="117" w:right="0"/>
              <w:jc w:val="center"/>
              <w:rPr>
                <w:rFonts w:ascii="Times New Roman" w:hAnsi="Times New Roman" w:cs="Times New Roman" w:eastAsia="Times New Roman" w:hint="default"/>
                <w:sz w:val="18"/>
                <w:szCs w:val="18"/>
              </w:rPr>
            </w:pPr>
            <w:r>
              <w:rPr>
                <w:rFonts w:ascii="Times New Roman"/>
                <w:sz w:val="18"/>
              </w:rPr>
              <w:t>004.83</w:t>
            </w:r>
          </w:p>
        </w:tc>
        <w:tc>
          <w:tcPr>
            <w:tcW w:w="665" w:type="dxa"/>
            <w:vMerge w:val="restart"/>
            <w:tcBorders>
              <w:top w:val="single" w:sz="4" w:space="0" w:color="000000"/>
              <w:left w:val="single" w:sz="4" w:space="0" w:color="000000"/>
              <w:right w:val="single" w:sz="4" w:space="0" w:color="000000"/>
            </w:tcBorders>
          </w:tcPr>
          <w:p>
            <w:pP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-13,397,</w:t>
            </w:r>
          </w:p>
          <w:p>
            <w:pPr>
              <w:pStyle w:val="TableParagraph"/>
              <w:spacing w:line="240" w:lineRule="auto" w:before="103"/>
              <w:ind w:left="108" w:right="0"/>
              <w:jc w:val="center"/>
              <w:rPr>
                <w:rFonts w:ascii="Times New Roman" w:hAnsi="Times New Roman" w:cs="Times New Roman" w:eastAsia="Times New Roman" w:hint="default"/>
                <w:sz w:val="18"/>
                <w:szCs w:val="18"/>
              </w:rPr>
            </w:pPr>
            <w:r>
              <w:rPr>
                <w:rFonts w:ascii="Times New Roman"/>
                <w:sz w:val="18"/>
              </w:rPr>
              <w:t>289.75</w:t>
            </w:r>
          </w:p>
        </w:tc>
      </w:tr>
      <w:tr>
        <w:trPr>
          <w:trHeight w:val="392" w:hRule="exact"/>
        </w:trPr>
        <w:tc>
          <w:tcPr>
            <w:tcW w:w="14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vMerge/>
            <w:tcBorders>
              <w:left w:val="single" w:sz="10" w:space="0" w:color="D2D2D2"/>
              <w:right w:val="single" w:sz="4" w:space="0" w:color="000000"/>
            </w:tcBorders>
          </w:tcPr>
          <w:p>
            <w:pPr/>
          </w:p>
        </w:tc>
        <w:tc>
          <w:tcPr>
            <w:tcW w:w="533"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161" w:hRule="exact"/>
        </w:trPr>
        <w:tc>
          <w:tcPr>
            <w:tcW w:w="1426"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10" w:space="0" w:color="D2D2D2"/>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403"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91" w:right="0"/>
              <w:jc w:val="left"/>
              <w:rPr>
                <w:rFonts w:ascii="Times New Roman" w:hAnsi="Times New Roman" w:cs="Times New Roman" w:eastAsia="Times New Roman" w:hint="default"/>
                <w:sz w:val="18"/>
                <w:szCs w:val="18"/>
              </w:rPr>
            </w:pPr>
            <w:r>
              <w:rPr>
                <w:rFonts w:ascii="Times New Roman"/>
                <w:sz w:val="18"/>
              </w:rPr>
              <w:t>4,589,7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33" w:right="0"/>
              <w:jc w:val="left"/>
              <w:rPr>
                <w:rFonts w:ascii="Times New Roman" w:hAnsi="Times New Roman" w:cs="Times New Roman" w:eastAsia="Times New Roman" w:hint="default"/>
                <w:sz w:val="18"/>
                <w:szCs w:val="18"/>
              </w:rPr>
            </w:pPr>
            <w:r>
              <w:rPr>
                <w:rFonts w:ascii="Times New Roman"/>
                <w:sz w:val="18"/>
              </w:rPr>
              <w:t>-4,589,7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3"/>
        <w:gridCol w:w="531"/>
        <w:gridCol w:w="530"/>
        <w:gridCol w:w="665"/>
        <w:gridCol w:w="665"/>
        <w:gridCol w:w="665"/>
        <w:gridCol w:w="665"/>
        <w:gridCol w:w="665"/>
        <w:gridCol w:w="665"/>
        <w:gridCol w:w="665"/>
        <w:gridCol w:w="665"/>
        <w:gridCol w:w="660"/>
      </w:tblGrid>
      <w:tr>
        <w:trPr>
          <w:trHeight w:val="36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5" w:right="0"/>
              <w:jc w:val="left"/>
              <w:rPr>
                <w:rFonts w:ascii="Times New Roman" w:hAnsi="Times New Roman" w:cs="Times New Roman" w:eastAsia="Times New Roman" w:hint="default"/>
                <w:sz w:val="18"/>
                <w:szCs w:val="18"/>
              </w:rPr>
            </w:pPr>
            <w:r>
              <w:rPr>
                <w:rFonts w:ascii="Times New Roman"/>
                <w:sz w:val="18"/>
              </w:rPr>
              <w:t>15.08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8" w:right="0"/>
              <w:jc w:val="left"/>
              <w:rPr>
                <w:rFonts w:ascii="Times New Roman" w:hAnsi="Times New Roman" w:cs="Times New Roman" w:eastAsia="Times New Roman" w:hint="default"/>
                <w:sz w:val="18"/>
                <w:szCs w:val="18"/>
              </w:rPr>
            </w:pPr>
            <w:r>
              <w:rPr>
                <w:rFonts w:ascii="Times New Roman"/>
                <w:sz w:val="18"/>
              </w:rPr>
              <w:t>15.08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-13,397,</w:t>
            </w:r>
          </w:p>
          <w:p>
            <w:pPr>
              <w:pStyle w:val="TableParagraph"/>
              <w:spacing w:line="240" w:lineRule="auto" w:before="105"/>
              <w:ind w:left="117" w:right="0"/>
              <w:jc w:val="center"/>
              <w:rPr>
                <w:rFonts w:ascii="Times New Roman" w:hAnsi="Times New Roman" w:cs="Times New Roman" w:eastAsia="Times New Roman" w:hint="default"/>
                <w:sz w:val="18"/>
                <w:szCs w:val="18"/>
              </w:rPr>
            </w:pPr>
            <w:r>
              <w:rPr>
                <w:rFonts w:ascii="Times New Roman"/>
                <w:sz w:val="18"/>
              </w:rPr>
              <w:t>289.75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-13,397,</w:t>
            </w:r>
          </w:p>
          <w:p>
            <w:pPr>
              <w:pStyle w:val="TableParagraph"/>
              <w:spacing w:line="240" w:lineRule="auto" w:before="105"/>
              <w:ind w:left="108" w:right="0"/>
              <w:jc w:val="center"/>
              <w:rPr>
                <w:rFonts w:ascii="Times New Roman" w:hAnsi="Times New Roman" w:cs="Times New Roman" w:eastAsia="Times New Roman" w:hint="default"/>
                <w:sz w:val="18"/>
                <w:szCs w:val="18"/>
              </w:rPr>
            </w:pPr>
            <w:r>
              <w:rPr>
                <w:rFonts w:ascii="Times New Roman"/>
                <w:sz w:val="18"/>
              </w:rPr>
              <w:t>289.75</w:t>
            </w: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316,47</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2,493.</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709,274</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,029.69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32,739,</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840.00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-33,791.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48,141,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400.06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327,966</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,828.33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2,324,6</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33.32</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1,371,4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05,752.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97</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38"/>
        <w:gridCol w:w="562"/>
        <w:gridCol w:w="530"/>
        <w:gridCol w:w="531"/>
        <w:gridCol w:w="533"/>
        <w:gridCol w:w="662"/>
        <w:gridCol w:w="665"/>
        <w:gridCol w:w="668"/>
        <w:gridCol w:w="665"/>
        <w:gridCol w:w="662"/>
        <w:gridCol w:w="665"/>
        <w:gridCol w:w="680"/>
        <w:gridCol w:w="653"/>
        <w:gridCol w:w="658"/>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2D2D2"/>
          </w:tcPr>
          <w:p>
            <w:pP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2" w:hRule="exact"/>
        </w:trPr>
        <w:tc>
          <w:tcPr>
            <w:tcW w:w="1438" w:type="dxa"/>
            <w:vMerge/>
            <w:tcBorders>
              <w:left w:val="single" w:sz="4" w:space="0" w:color="000000"/>
              <w:right w:val="single" w:sz="4" w:space="0" w:color="000000"/>
            </w:tcBorders>
            <w:shd w:val="clear" w:color="auto" w:fill="D2D2D2"/>
          </w:tcPr>
          <w:p>
            <w:pPr/>
          </w:p>
        </w:tc>
        <w:tc>
          <w:tcPr>
            <w:tcW w:w="682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3" w:type="dxa"/>
            <w:vMerge w:val="restart"/>
            <w:tcBorders>
              <w:top w:val="single" w:sz="4" w:space="0" w:color="000000"/>
              <w:left w:val="single" w:sz="4" w:space="0" w:color="000000"/>
              <w:right w:val="single" w:sz="4" w:space="0" w:color="000000"/>
            </w:tcBorders>
            <w:shd w:val="clear" w:color="auto" w:fill="D2D2D2"/>
          </w:tcPr>
          <w:p>
            <w:pPr/>
          </w:p>
        </w:tc>
        <w:tc>
          <w:tcPr>
            <w:tcW w:w="65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0" w:hRule="exact"/>
        </w:trPr>
        <w:tc>
          <w:tcPr>
            <w:tcW w:w="1438" w:type="dxa"/>
            <w:vMerge/>
            <w:tcBorders>
              <w:left w:val="single" w:sz="4" w:space="0" w:color="000000"/>
              <w:bottom w:val="nil" w:sz="6" w:space="0" w:color="auto"/>
              <w:right w:val="single" w:sz="4" w:space="0" w:color="000000"/>
            </w:tcBorders>
            <w:shd w:val="clear" w:color="auto" w:fill="D2D2D2"/>
          </w:tcPr>
          <w:p>
            <w:pPr/>
          </w:p>
        </w:tc>
        <w:tc>
          <w:tcPr>
            <w:tcW w:w="6822" w:type="dxa"/>
            <w:gridSpan w:val="11"/>
            <w:vMerge/>
            <w:tcBorders>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nil" w:sz="6" w:space="0" w:color="auto"/>
              <w:right w:val="single" w:sz="4" w:space="0" w:color="000000"/>
            </w:tcBorders>
            <w:shd w:val="clear" w:color="auto" w:fill="D2D2D2"/>
          </w:tcPr>
          <w:p>
            <w:pPr/>
          </w:p>
        </w:tc>
        <w:tc>
          <w:tcPr>
            <w:tcW w:w="65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5" w:right="50"/>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5" w:hRule="exact"/>
        </w:trPr>
        <w:tc>
          <w:tcPr>
            <w:tcW w:w="143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8"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80" w:type="dxa"/>
            <w:tcBorders>
              <w:top w:val="single" w:sz="4" w:space="0" w:color="000000"/>
              <w:left w:val="single" w:sz="4" w:space="0" w:color="000000"/>
              <w:bottom w:val="nil" w:sz="6" w:space="0" w:color="auto"/>
              <w:right w:val="single" w:sz="4" w:space="0" w:color="000000"/>
            </w:tcBorders>
            <w:shd w:val="clear" w:color="auto" w:fill="D2D2D2"/>
          </w:tcPr>
          <w:p>
            <w:pPr/>
          </w:p>
        </w:tc>
        <w:tc>
          <w:tcPr>
            <w:tcW w:w="65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5"/>
              <w:ind w:left="50" w:right="50"/>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8" w:type="dxa"/>
            <w:vMerge/>
            <w:tcBorders>
              <w:left w:val="single" w:sz="4" w:space="0" w:color="000000"/>
              <w:right w:val="single" w:sz="4" w:space="0" w:color="000000"/>
            </w:tcBorders>
            <w:shd w:val="clear" w:color="auto" w:fill="D2D2D2"/>
          </w:tcPr>
          <w:p>
            <w:pPr/>
          </w:p>
        </w:tc>
      </w:tr>
      <w:tr>
        <w:trPr>
          <w:trHeight w:val="175" w:hRule="exact"/>
        </w:trPr>
        <w:tc>
          <w:tcPr>
            <w:tcW w:w="1438"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4" w:type="dxa"/>
            <w:gridSpan w:val="3"/>
            <w:vMerge/>
            <w:tcBorders>
              <w:left w:val="single" w:sz="4" w:space="0" w:color="000000"/>
              <w:bottom w:val="single" w:sz="4" w:space="0" w:color="000000"/>
              <w:right w:val="single" w:sz="4" w:space="0" w:color="000000"/>
            </w:tcBorders>
            <w:shd w:val="clear" w:color="auto" w:fill="D2D2D2"/>
          </w:tcPr>
          <w:p>
            <w:pPr/>
          </w:p>
        </w:tc>
        <w:tc>
          <w:tcPr>
            <w:tcW w:w="66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3"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48" w:right="55"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9" w:right="5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3"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7"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53" w:right="63"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3" w:type="dxa"/>
            <w:vMerge/>
            <w:tcBorders>
              <w:left w:val="single" w:sz="4" w:space="0" w:color="000000"/>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184" w:hRule="exact"/>
        </w:trPr>
        <w:tc>
          <w:tcPr>
            <w:tcW w:w="1438"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1"/>
              <w:ind w:left="170" w:right="77"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1"/>
              <w:ind w:left="171" w:right="77"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3" w:type="dxa"/>
            <w:tcBorders>
              <w:top w:val="single" w:sz="4" w:space="0" w:color="000000"/>
              <w:left w:val="single" w:sz="4" w:space="0" w:color="000000"/>
              <w:bottom w:val="nil" w:sz="6" w:space="0" w:color="auto"/>
              <w:right w:val="single" w:sz="4" w:space="0" w:color="000000"/>
            </w:tcBorders>
            <w:shd w:val="clear" w:color="auto" w:fill="D2D2D2"/>
          </w:tcPr>
          <w:p>
            <w:pP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8"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80" w:type="dxa"/>
            <w:vMerge/>
            <w:tcBorders>
              <w:left w:val="single" w:sz="4" w:space="0" w:color="000000"/>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169" w:hRule="exact"/>
        </w:trPr>
        <w:tc>
          <w:tcPr>
            <w:tcW w:w="1438"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8"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80" w:type="dxa"/>
            <w:vMerge/>
            <w:tcBorders>
              <w:left w:val="single" w:sz="4" w:space="0" w:color="000000"/>
              <w:right w:val="single" w:sz="4" w:space="0" w:color="000000"/>
            </w:tcBorders>
            <w:shd w:val="clear" w:color="auto" w:fill="D2D2D2"/>
          </w:tcPr>
          <w:p>
            <w:pPr/>
          </w:p>
        </w:tc>
        <w:tc>
          <w:tcPr>
            <w:tcW w:w="653" w:type="dxa"/>
            <w:vMerge/>
            <w:tcBorders>
              <w:left w:val="single" w:sz="4" w:space="0" w:color="000000"/>
              <w:bottom w:val="nil" w:sz="6" w:space="0" w:color="auto"/>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156" w:hRule="exact"/>
        </w:trPr>
        <w:tc>
          <w:tcPr>
            <w:tcW w:w="1438"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3" w:type="dxa"/>
            <w:vMerge/>
            <w:tcBorders>
              <w:left w:val="single" w:sz="4" w:space="0" w:color="000000"/>
              <w:bottom w:val="nil" w:sz="6" w:space="0" w:color="auto"/>
              <w:right w:val="single" w:sz="4" w:space="0" w:color="000000"/>
            </w:tcBorders>
            <w:shd w:val="clear" w:color="auto" w:fill="D2D2D2"/>
          </w:tcPr>
          <w:p>
            <w:pPr/>
          </w:p>
        </w:tc>
        <w:tc>
          <w:tcPr>
            <w:tcW w:w="662"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8"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2"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80" w:type="dxa"/>
            <w:vMerge/>
            <w:tcBorders>
              <w:left w:val="single" w:sz="4" w:space="0" w:color="000000"/>
              <w:bottom w:val="nil" w:sz="6" w:space="0" w:color="auto"/>
              <w:right w:val="single" w:sz="4" w:space="0" w:color="000000"/>
            </w:tcBorders>
            <w:shd w:val="clear" w:color="auto" w:fill="D2D2D2"/>
          </w:tcPr>
          <w:p>
            <w:pPr/>
          </w:p>
        </w:tc>
        <w:tc>
          <w:tcPr>
            <w:tcW w:w="653" w:type="dxa"/>
            <w:vMerge w:val="restart"/>
            <w:tcBorders>
              <w:top w:val="nil" w:sz="6" w:space="0" w:color="auto"/>
              <w:left w:val="single" w:sz="4" w:space="0" w:color="000000"/>
              <w:right w:val="single" w:sz="4" w:space="0" w:color="000000"/>
            </w:tcBorders>
            <w:shd w:val="clear" w:color="auto" w:fill="D2D2D2"/>
          </w:tcPr>
          <w:p>
            <w:pPr/>
          </w:p>
        </w:tc>
        <w:tc>
          <w:tcPr>
            <w:tcW w:w="658" w:type="dxa"/>
            <w:vMerge/>
            <w:tcBorders>
              <w:left w:val="single" w:sz="4" w:space="0" w:color="000000"/>
              <w:bottom w:val="nil" w:sz="6" w:space="0" w:color="auto"/>
              <w:right w:val="single" w:sz="4" w:space="0" w:color="000000"/>
            </w:tcBorders>
            <w:shd w:val="clear" w:color="auto" w:fill="D2D2D2"/>
          </w:tcPr>
          <w:p>
            <w:pPr/>
          </w:p>
        </w:tc>
      </w:tr>
      <w:tr>
        <w:trPr>
          <w:trHeight w:val="227"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1" w:type="dxa"/>
            <w:vMerge/>
            <w:tcBorders>
              <w:left w:val="single" w:sz="4" w:space="0" w:color="000000"/>
              <w:bottom w:val="single" w:sz="4" w:space="0" w:color="000000"/>
              <w:right w:val="single" w:sz="4" w:space="0" w:color="000000"/>
            </w:tcBorders>
            <w:shd w:val="clear" w:color="auto" w:fill="D2D2D2"/>
          </w:tcPr>
          <w:p>
            <w:pPr/>
          </w:p>
        </w:tc>
        <w:tc>
          <w:tcPr>
            <w:tcW w:w="53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8"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80" w:type="dxa"/>
            <w:tcBorders>
              <w:top w:val="nil" w:sz="6" w:space="0" w:color="auto"/>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single" w:sz="4" w:space="0" w:color="000000"/>
              <w:right w:val="single" w:sz="4" w:space="0" w:color="000000"/>
            </w:tcBorders>
            <w:shd w:val="clear" w:color="auto" w:fill="D2D2D2"/>
          </w:tcPr>
          <w:p>
            <w:pPr/>
          </w:p>
        </w:tc>
        <w:tc>
          <w:tcPr>
            <w:tcW w:w="65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9" w:hRule="exact"/>
        </w:trPr>
        <w:tc>
          <w:tcPr>
            <w:tcW w:w="1438"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3"/>
              <w:ind w:left="29" w:right="0"/>
              <w:jc w:val="left"/>
              <w:rPr>
                <w:rFonts w:ascii="Times New Roman" w:hAnsi="Times New Roman" w:cs="Times New Roman" w:eastAsia="Times New Roman" w:hint="default"/>
                <w:sz w:val="18"/>
                <w:szCs w:val="18"/>
              </w:rPr>
            </w:pPr>
            <w:r>
              <w:rPr>
                <w:rFonts w:ascii="Times New Roman"/>
                <w:sz w:val="18"/>
              </w:rPr>
              <w:t>272,68</w:t>
            </w:r>
          </w:p>
          <w:p>
            <w:pPr>
              <w:pStyle w:val="TableParagraph"/>
              <w:spacing w:line="240" w:lineRule="auto" w:before="102"/>
              <w:ind w:left="73" w:right="0"/>
              <w:jc w:val="left"/>
              <w:rPr>
                <w:rFonts w:ascii="Times New Roman" w:hAnsi="Times New Roman" w:cs="Times New Roman" w:eastAsia="Times New Roman" w:hint="default"/>
                <w:sz w:val="18"/>
                <w:szCs w:val="18"/>
              </w:rPr>
            </w:pPr>
            <w:r>
              <w:rPr>
                <w:rFonts w:ascii="Times New Roman"/>
                <w:sz w:val="18"/>
              </w:rPr>
              <w:t>0,395.</w:t>
            </w:r>
          </w:p>
          <w:p>
            <w:pPr>
              <w:pStyle w:val="TableParagraph"/>
              <w:spacing w:line="240" w:lineRule="auto" w:before="105"/>
              <w:ind w:left="344"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136,555</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,406.70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12,577,</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560.00</w:t>
            </w:r>
          </w:p>
        </w:tc>
        <w:tc>
          <w:tcPr>
            <w:tcW w:w="668"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-51,864.</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19</w:t>
            </w:r>
          </w:p>
        </w:tc>
        <w:tc>
          <w:tcPr>
            <w:tcW w:w="665"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35,711,</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719.80</w:t>
            </w:r>
          </w:p>
        </w:tc>
        <w:tc>
          <w:tcPr>
            <w:tcW w:w="665" w:type="dxa"/>
            <w:vMerge w:val="restart"/>
            <w:tcBorders>
              <w:top w:val="single" w:sz="4" w:space="0" w:color="000000"/>
              <w:left w:val="single" w:sz="4" w:space="0" w:color="000000"/>
              <w:right w:val="single" w:sz="4" w:space="0" w:color="000000"/>
            </w:tcBorders>
          </w:tcPr>
          <w:p>
            <w:pPr/>
          </w:p>
        </w:tc>
        <w:tc>
          <w:tcPr>
            <w:tcW w:w="68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250,322</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,437.14</w:t>
            </w: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12,958,</w:t>
            </w:r>
          </w:p>
          <w:p>
            <w:pPr>
              <w:pStyle w:val="TableParagraph"/>
              <w:spacing w:line="240" w:lineRule="auto" w:before="102"/>
              <w:ind w:left="124" w:right="0"/>
              <w:jc w:val="left"/>
              <w:rPr>
                <w:rFonts w:ascii="Times New Roman" w:hAnsi="Times New Roman" w:cs="Times New Roman" w:eastAsia="Times New Roman" w:hint="default"/>
                <w:sz w:val="18"/>
                <w:szCs w:val="18"/>
              </w:rPr>
            </w:pPr>
            <w:r>
              <w:rPr>
                <w:rFonts w:ascii="Times New Roman"/>
                <w:sz w:val="18"/>
              </w:rPr>
              <w:t>309.81</w:t>
            </w:r>
          </w:p>
        </w:tc>
        <w:tc>
          <w:tcPr>
            <w:tcW w:w="658"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695,598</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,844.26</w:t>
            </w:r>
          </w:p>
        </w:tc>
      </w:tr>
      <w:tr>
        <w:trPr>
          <w:trHeight w:val="391" w:hRule="exact"/>
        </w:trPr>
        <w:tc>
          <w:tcPr>
            <w:tcW w:w="14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80"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r>
      <w:tr>
        <w:trPr>
          <w:trHeight w:val="317" w:hRule="exact"/>
        </w:trPr>
        <w:tc>
          <w:tcPr>
            <w:tcW w:w="1438"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8"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80"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前期差 错更正</w:t>
            </w:r>
          </w:p>
        </w:tc>
        <w:tc>
          <w:tcPr>
            <w:tcW w:w="56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同一控 制下企业合并</w:t>
            </w:r>
          </w:p>
        </w:tc>
        <w:tc>
          <w:tcPr>
            <w:tcW w:w="56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1"/>
        <w:gridCol w:w="533"/>
        <w:gridCol w:w="662"/>
        <w:gridCol w:w="665"/>
        <w:gridCol w:w="668"/>
        <w:gridCol w:w="665"/>
        <w:gridCol w:w="662"/>
        <w:gridCol w:w="665"/>
        <w:gridCol w:w="680"/>
        <w:gridCol w:w="653"/>
        <w:gridCol w:w="658"/>
      </w:tblGrid>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272,68</w:t>
            </w:r>
          </w:p>
          <w:p>
            <w:pPr>
              <w:pStyle w:val="TableParagraph"/>
              <w:spacing w:line="240" w:lineRule="auto" w:before="102"/>
              <w:ind w:left="79" w:right="0"/>
              <w:jc w:val="left"/>
              <w:rPr>
                <w:rFonts w:ascii="Times New Roman" w:hAnsi="Times New Roman" w:cs="Times New Roman" w:eastAsia="Times New Roman" w:hint="default"/>
                <w:sz w:val="18"/>
                <w:szCs w:val="18"/>
              </w:rPr>
            </w:pPr>
            <w:r>
              <w:rPr>
                <w:rFonts w:ascii="Times New Roman"/>
                <w:sz w:val="18"/>
              </w:rPr>
              <w:t>0,395.</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136,555</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,406.70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12,577,</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560.00</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-51,864.</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19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35,711,</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719.80</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250,322</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,437.14</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12,958,</w:t>
            </w:r>
          </w:p>
          <w:p>
            <w:pPr>
              <w:pStyle w:val="TableParagraph"/>
              <w:spacing w:line="240" w:lineRule="auto" w:before="102"/>
              <w:ind w:left="124" w:right="0"/>
              <w:jc w:val="left"/>
              <w:rPr>
                <w:rFonts w:ascii="Times New Roman" w:hAnsi="Times New Roman" w:cs="Times New Roman" w:eastAsia="Times New Roman" w:hint="default"/>
                <w:sz w:val="18"/>
                <w:szCs w:val="18"/>
              </w:rPr>
            </w:pPr>
            <w:r>
              <w:rPr>
                <w:rFonts w:ascii="Times New Roman"/>
                <w:sz w:val="18"/>
              </w:rPr>
              <w:t>309.81</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695,598</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,844.26</w:t>
            </w: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2,505,</w:t>
            </w:r>
          </w:p>
          <w:p>
            <w:pPr>
              <w:pStyle w:val="TableParagraph"/>
              <w:spacing w:line="240" w:lineRule="auto" w:before="105"/>
              <w:ind w:left="35" w:right="0"/>
              <w:jc w:val="left"/>
              <w:rPr>
                <w:rFonts w:ascii="Times New Roman" w:hAnsi="Times New Roman" w:cs="Times New Roman" w:eastAsia="Times New Roman" w:hint="default"/>
                <w:sz w:val="18"/>
                <w:szCs w:val="18"/>
              </w:rPr>
            </w:pPr>
            <w:r>
              <w:rPr>
                <w:rFonts w:ascii="Times New Roman"/>
                <w:sz w:val="18"/>
              </w:rPr>
              <w:t>400.00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65,722,</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953.55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65,921,</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708.21</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180,670</w:t>
            </w:r>
          </w:p>
          <w:p>
            <w:pPr>
              <w:pStyle w:val="TableParagraph"/>
              <w:spacing w:line="240" w:lineRule="auto" w:before="105"/>
              <w:ind w:left="410" w:right="0"/>
              <w:jc w:val="left"/>
              <w:rPr>
                <w:rFonts w:ascii="Times New Roman" w:hAnsi="Times New Roman" w:cs="Times New Roman" w:eastAsia="Times New Roman" w:hint="default"/>
                <w:sz w:val="18"/>
                <w:szCs w:val="18"/>
              </w:rPr>
            </w:pPr>
            <w:r>
              <w:rPr>
                <w:rFonts w:ascii="Times New Roman"/>
                <w:sz w:val="18"/>
              </w:rPr>
              <w:t>.77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7,839,9</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65.18</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40,677,</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076.60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12,097,</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681.88</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63,102,</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039.77</w:t>
            </w: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22"/>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 w:right="0"/>
              <w:jc w:val="left"/>
              <w:rPr>
                <w:rFonts w:ascii="Times New Roman" w:hAnsi="Times New Roman" w:cs="Times New Roman" w:eastAsia="Times New Roman" w:hint="default"/>
                <w:sz w:val="18"/>
                <w:szCs w:val="18"/>
              </w:rPr>
            </w:pPr>
            <w:r>
              <w:rPr>
                <w:rFonts w:ascii="Times New Roman"/>
                <w:sz w:val="18"/>
              </w:rPr>
              <w:t>180,670</w:t>
            </w:r>
          </w:p>
          <w:p>
            <w:pPr>
              <w:pStyle w:val="TableParagraph"/>
              <w:spacing w:line="240" w:lineRule="auto" w:before="102"/>
              <w:ind w:left="410" w:right="0"/>
              <w:jc w:val="left"/>
              <w:rPr>
                <w:rFonts w:ascii="Times New Roman" w:hAnsi="Times New Roman" w:cs="Times New Roman" w:eastAsia="Times New Roman" w:hint="default"/>
                <w:sz w:val="18"/>
                <w:szCs w:val="18"/>
              </w:rPr>
            </w:pPr>
            <w:r>
              <w:rPr>
                <w:rFonts w:ascii="Times New Roman"/>
                <w:sz w:val="18"/>
              </w:rPr>
              <w:t>.77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57,773,</w:t>
            </w:r>
          </w:p>
          <w:p>
            <w:pPr>
              <w:pStyle w:val="TableParagraph"/>
              <w:spacing w:line="240" w:lineRule="auto" w:before="102"/>
              <w:ind w:left="151" w:right="0"/>
              <w:jc w:val="left"/>
              <w:rPr>
                <w:rFonts w:ascii="Times New Roman" w:hAnsi="Times New Roman" w:cs="Times New Roman" w:eastAsia="Times New Roman" w:hint="default"/>
                <w:sz w:val="18"/>
                <w:szCs w:val="18"/>
              </w:rPr>
            </w:pPr>
            <w:r>
              <w:rPr>
                <w:rFonts w:ascii="Times New Roman"/>
                <w:sz w:val="18"/>
              </w:rPr>
              <w:t>537.53</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0" w:right="0"/>
              <w:jc w:val="left"/>
              <w:rPr>
                <w:rFonts w:ascii="Times New Roman" w:hAnsi="Times New Roman" w:cs="Times New Roman" w:eastAsia="Times New Roman" w:hint="default"/>
                <w:sz w:val="18"/>
                <w:szCs w:val="18"/>
              </w:rPr>
            </w:pPr>
            <w:r>
              <w:rPr>
                <w:rFonts w:ascii="Times New Roman"/>
                <w:sz w:val="18"/>
              </w:rPr>
              <w:t>-7,494,</w:t>
            </w:r>
          </w:p>
          <w:p>
            <w:pPr>
              <w:pStyle w:val="TableParagraph"/>
              <w:spacing w:line="240" w:lineRule="auto" w:before="102"/>
              <w:ind w:left="124" w:right="0"/>
              <w:jc w:val="left"/>
              <w:rPr>
                <w:rFonts w:ascii="Times New Roman" w:hAnsi="Times New Roman" w:cs="Times New Roman" w:eastAsia="Times New Roman" w:hint="default"/>
                <w:sz w:val="18"/>
                <w:szCs w:val="18"/>
              </w:rPr>
            </w:pPr>
            <w:r>
              <w:rPr>
                <w:rFonts w:ascii="Times New Roman"/>
                <w:sz w:val="18"/>
              </w:rPr>
              <w:t>746.50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left"/>
              <w:rPr>
                <w:rFonts w:ascii="Times New Roman" w:hAnsi="Times New Roman" w:cs="Times New Roman" w:eastAsia="Times New Roman" w:hint="default"/>
                <w:sz w:val="18"/>
                <w:szCs w:val="18"/>
              </w:rPr>
            </w:pPr>
            <w:r>
              <w:rPr>
                <w:rFonts w:ascii="Times New Roman"/>
                <w:sz w:val="18"/>
              </w:rPr>
              <w:t>50,459,</w:t>
            </w:r>
          </w:p>
          <w:p>
            <w:pPr>
              <w:pStyle w:val="TableParagraph"/>
              <w:spacing w:line="240" w:lineRule="auto" w:before="102"/>
              <w:ind w:left="131" w:right="0"/>
              <w:jc w:val="left"/>
              <w:rPr>
                <w:rFonts w:ascii="Times New Roman" w:hAnsi="Times New Roman" w:cs="Times New Roman" w:eastAsia="Times New Roman" w:hint="default"/>
                <w:sz w:val="18"/>
                <w:szCs w:val="18"/>
              </w:rPr>
            </w:pPr>
            <w:r>
              <w:rPr>
                <w:rFonts w:ascii="Times New Roman"/>
                <w:sz w:val="18"/>
              </w:rPr>
              <w:t>461.80</w:t>
            </w: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22"/>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2,505,</w:t>
            </w:r>
          </w:p>
          <w:p>
            <w:pPr>
              <w:pStyle w:val="TableParagraph"/>
              <w:spacing w:line="240" w:lineRule="auto" w:before="105"/>
              <w:ind w:left="35" w:right="0"/>
              <w:jc w:val="left"/>
              <w:rPr>
                <w:rFonts w:ascii="Times New Roman" w:hAnsi="Times New Roman" w:cs="Times New Roman" w:eastAsia="Times New Roman" w:hint="default"/>
                <w:sz w:val="18"/>
                <w:szCs w:val="18"/>
              </w:rPr>
            </w:pPr>
            <w:r>
              <w:rPr>
                <w:rFonts w:ascii="Times New Roman"/>
                <w:sz w:val="18"/>
              </w:rPr>
              <w:t>400.00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65,722,</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953.55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65,921,</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708.21</w:t>
            </w: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19,592,</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428.38</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21,899,</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073.72</w:t>
            </w: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 w:right="0"/>
              <w:jc w:val="left"/>
              <w:rPr>
                <w:rFonts w:ascii="Times New Roman" w:hAnsi="Times New Roman" w:cs="Times New Roman" w:eastAsia="Times New Roman" w:hint="default"/>
                <w:sz w:val="18"/>
                <w:szCs w:val="18"/>
              </w:rPr>
            </w:pPr>
            <w:r>
              <w:rPr>
                <w:rFonts w:ascii="Times New Roman"/>
                <w:sz w:val="18"/>
              </w:rPr>
              <w:t>2,505,</w:t>
            </w:r>
          </w:p>
          <w:p>
            <w:pPr>
              <w:pStyle w:val="TableParagraph"/>
              <w:spacing w:line="240" w:lineRule="auto" w:before="102"/>
              <w:ind w:left="35" w:right="0"/>
              <w:jc w:val="left"/>
              <w:rPr>
                <w:rFonts w:ascii="Times New Roman" w:hAnsi="Times New Roman" w:cs="Times New Roman" w:eastAsia="Times New Roman" w:hint="default"/>
                <w:sz w:val="18"/>
                <w:szCs w:val="18"/>
              </w:rPr>
            </w:pPr>
            <w:r>
              <w:rPr>
                <w:rFonts w:ascii="Times New Roman"/>
                <w:sz w:val="18"/>
              </w:rPr>
              <w:t>400.00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1" w:right="0"/>
              <w:jc w:val="left"/>
              <w:rPr>
                <w:rFonts w:ascii="Times New Roman" w:hAnsi="Times New Roman" w:cs="Times New Roman" w:eastAsia="Times New Roman" w:hint="default"/>
                <w:sz w:val="18"/>
                <w:szCs w:val="18"/>
              </w:rPr>
            </w:pPr>
            <w:r>
              <w:rPr>
                <w:rFonts w:ascii="Times New Roman"/>
                <w:sz w:val="18"/>
              </w:rPr>
              <w:t>62,360,</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553.91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 w:right="0"/>
              <w:jc w:val="left"/>
              <w:rPr>
                <w:rFonts w:ascii="Times New Roman" w:hAnsi="Times New Roman" w:cs="Times New Roman" w:eastAsia="Times New Roman" w:hint="default"/>
                <w:sz w:val="18"/>
                <w:szCs w:val="18"/>
              </w:rPr>
            </w:pPr>
            <w:r>
              <w:rPr>
                <w:rFonts w:ascii="Times New Roman"/>
                <w:sz w:val="18"/>
              </w:rPr>
              <w:t>31,650,</w:t>
            </w:r>
          </w:p>
          <w:p>
            <w:pPr>
              <w:pStyle w:val="TableParagraph"/>
              <w:spacing w:line="240" w:lineRule="auto" w:before="102"/>
              <w:ind w:left="124" w:right="0"/>
              <w:jc w:val="left"/>
              <w:rPr>
                <w:rFonts w:ascii="Times New Roman" w:hAnsi="Times New Roman" w:cs="Times New Roman" w:eastAsia="Times New Roman" w:hint="default"/>
                <w:sz w:val="18"/>
                <w:szCs w:val="18"/>
              </w:rPr>
            </w:pPr>
            <w:r>
              <w:rPr>
                <w:rFonts w:ascii="Times New Roman"/>
                <w:sz w:val="18"/>
              </w:rPr>
              <w:t>000.00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left"/>
              <w:rPr>
                <w:rFonts w:ascii="Times New Roman" w:hAnsi="Times New Roman" w:cs="Times New Roman" w:eastAsia="Times New Roman" w:hint="default"/>
                <w:sz w:val="18"/>
                <w:szCs w:val="18"/>
              </w:rPr>
            </w:pPr>
            <w:r>
              <w:rPr>
                <w:rFonts w:ascii="Times New Roman"/>
                <w:sz w:val="18"/>
              </w:rPr>
              <w:t>96,515,</w:t>
            </w:r>
          </w:p>
          <w:p>
            <w:pPr>
              <w:pStyle w:val="TableParagraph"/>
              <w:spacing w:line="240" w:lineRule="auto" w:before="102"/>
              <w:ind w:left="131" w:right="0"/>
              <w:jc w:val="left"/>
              <w:rPr>
                <w:rFonts w:ascii="Times New Roman" w:hAnsi="Times New Roman" w:cs="Times New Roman" w:eastAsia="Times New Roman" w:hint="default"/>
                <w:sz w:val="18"/>
                <w:szCs w:val="18"/>
              </w:rPr>
            </w:pPr>
            <w:r>
              <w:rPr>
                <w:rFonts w:ascii="Times New Roman"/>
                <w:sz w:val="18"/>
              </w:rPr>
              <w:t>953.91</w:t>
            </w: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3,362,3</w:t>
            </w:r>
          </w:p>
          <w:p>
            <w:pPr>
              <w:pStyle w:val="TableParagraph"/>
              <w:spacing w:line="240" w:lineRule="auto" w:before="102"/>
              <w:ind w:left="204" w:right="0"/>
              <w:jc w:val="center"/>
              <w:rPr>
                <w:rFonts w:ascii="Times New Roman" w:hAnsi="Times New Roman" w:cs="Times New Roman" w:eastAsia="Times New Roman" w:hint="default"/>
                <w:sz w:val="18"/>
                <w:szCs w:val="18"/>
              </w:rPr>
            </w:pPr>
            <w:r>
              <w:rPr>
                <w:rFonts w:ascii="Times New Roman"/>
                <w:sz w:val="18"/>
              </w:rPr>
              <w:t>99.64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65,921,</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708.21</w:t>
            </w: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-62,559,</w:t>
            </w:r>
          </w:p>
          <w:p>
            <w:pPr>
              <w:pStyle w:val="TableParagraph"/>
              <w:spacing w:line="240" w:lineRule="auto" w:before="102"/>
              <w:ind w:left="110" w:right="0"/>
              <w:jc w:val="center"/>
              <w:rPr>
                <w:rFonts w:ascii="Times New Roman" w:hAnsi="Times New Roman" w:cs="Times New Roman" w:eastAsia="Times New Roman" w:hint="default"/>
                <w:sz w:val="18"/>
                <w:szCs w:val="18"/>
              </w:rPr>
            </w:pPr>
            <w:r>
              <w:rPr>
                <w:rFonts w:ascii="Times New Roman"/>
                <w:sz w:val="18"/>
              </w:rPr>
              <w:t>308.57</w:t>
            </w: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-12,057</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,571.62</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-12,057,</w:t>
            </w:r>
          </w:p>
          <w:p>
            <w:pPr>
              <w:pStyle w:val="TableParagraph"/>
              <w:spacing w:line="240" w:lineRule="auto" w:before="105"/>
              <w:ind w:left="110" w:right="0"/>
              <w:jc w:val="center"/>
              <w:rPr>
                <w:rFonts w:ascii="Times New Roman" w:hAnsi="Times New Roman" w:cs="Times New Roman" w:eastAsia="Times New Roman" w:hint="default"/>
                <w:sz w:val="18"/>
                <w:szCs w:val="18"/>
              </w:rPr>
            </w:pPr>
            <w:r>
              <w:rPr>
                <w:rFonts w:ascii="Times New Roman"/>
                <w:sz w:val="18"/>
              </w:rPr>
              <w:t>571.62</w:t>
            </w: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0" w:right="0"/>
              <w:jc w:val="center"/>
              <w:rPr>
                <w:rFonts w:ascii="Times New Roman" w:hAnsi="Times New Roman" w:cs="Times New Roman" w:eastAsia="Times New Roman" w:hint="default"/>
                <w:sz w:val="18"/>
                <w:szCs w:val="18"/>
              </w:rPr>
            </w:pPr>
            <w:r>
              <w:rPr>
                <w:rFonts w:ascii="Times New Roman"/>
                <w:sz w:val="18"/>
              </w:rPr>
              <w:t>7,839,9</w:t>
            </w:r>
          </w:p>
          <w:p>
            <w:pPr>
              <w:pStyle w:val="TableParagraph"/>
              <w:spacing w:line="240" w:lineRule="auto" w:before="102"/>
              <w:ind w:left="204" w:right="0"/>
              <w:jc w:val="center"/>
              <w:rPr>
                <w:rFonts w:ascii="Times New Roman" w:hAnsi="Times New Roman" w:cs="Times New Roman" w:eastAsia="Times New Roman" w:hint="default"/>
                <w:sz w:val="18"/>
                <w:szCs w:val="18"/>
              </w:rPr>
            </w:pPr>
            <w:r>
              <w:rPr>
                <w:rFonts w:ascii="Times New Roman"/>
                <w:sz w:val="18"/>
              </w:rPr>
              <w:t>65.18</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 w:right="0"/>
              <w:jc w:val="center"/>
              <w:rPr>
                <w:rFonts w:ascii="Times New Roman" w:hAnsi="Times New Roman" w:cs="Times New Roman" w:eastAsia="Times New Roman" w:hint="default"/>
                <w:sz w:val="18"/>
                <w:szCs w:val="18"/>
              </w:rPr>
            </w:pPr>
            <w:r>
              <w:rPr>
                <w:rFonts w:ascii="Times New Roman"/>
                <w:sz w:val="18"/>
              </w:rPr>
              <w:t>-17,096,</w:t>
            </w:r>
          </w:p>
          <w:p>
            <w:pPr>
              <w:pStyle w:val="TableParagraph"/>
              <w:spacing w:line="240" w:lineRule="auto" w:before="102"/>
              <w:ind w:left="127" w:right="0"/>
              <w:jc w:val="center"/>
              <w:rPr>
                <w:rFonts w:ascii="Times New Roman" w:hAnsi="Times New Roman" w:cs="Times New Roman" w:eastAsia="Times New Roman" w:hint="default"/>
                <w:sz w:val="18"/>
                <w:szCs w:val="18"/>
              </w:rPr>
            </w:pPr>
            <w:r>
              <w:rPr>
                <w:rFonts w:ascii="Times New Roman"/>
                <w:sz w:val="18"/>
              </w:rPr>
              <w:t>460.93</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 w:right="0"/>
              <w:jc w:val="center"/>
              <w:rPr>
                <w:rFonts w:ascii="Times New Roman" w:hAnsi="Times New Roman" w:cs="Times New Roman" w:eastAsia="Times New Roman" w:hint="default"/>
                <w:sz w:val="18"/>
                <w:szCs w:val="18"/>
              </w:rPr>
            </w:pPr>
            <w:r>
              <w:rPr>
                <w:rFonts w:ascii="Times New Roman"/>
                <w:sz w:val="18"/>
              </w:rPr>
              <w:t>-9,256,4</w:t>
            </w:r>
          </w:p>
          <w:p>
            <w:pPr>
              <w:pStyle w:val="TableParagraph"/>
              <w:spacing w:line="240" w:lineRule="auto" w:before="102"/>
              <w:ind w:left="200" w:right="0"/>
              <w:jc w:val="center"/>
              <w:rPr>
                <w:rFonts w:ascii="Times New Roman" w:hAnsi="Times New Roman" w:cs="Times New Roman" w:eastAsia="Times New Roman" w:hint="default"/>
                <w:sz w:val="18"/>
                <w:szCs w:val="18"/>
              </w:rPr>
            </w:pPr>
            <w:r>
              <w:rPr>
                <w:rFonts w:ascii="Times New Roman"/>
                <w:sz w:val="18"/>
              </w:rPr>
              <w:t>95.75</w:t>
            </w: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center"/>
              <w:rPr>
                <w:rFonts w:ascii="Times New Roman" w:hAnsi="Times New Roman" w:cs="Times New Roman" w:eastAsia="Times New Roman" w:hint="default"/>
                <w:sz w:val="18"/>
                <w:szCs w:val="18"/>
              </w:rPr>
            </w:pPr>
            <w:r>
              <w:rPr>
                <w:rFonts w:ascii="Times New Roman"/>
                <w:sz w:val="18"/>
              </w:rPr>
              <w:t>7,839,9</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65.18</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-7,839,9</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65.18</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-9,256,4</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95.75</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-9,256,4</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95.75</w:t>
            </w:r>
          </w:p>
        </w:tc>
      </w:tr>
      <w:tr>
        <w:trPr>
          <w:trHeight w:val="40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2"/>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1"/>
        <w:gridCol w:w="533"/>
        <w:gridCol w:w="662"/>
        <w:gridCol w:w="665"/>
        <w:gridCol w:w="668"/>
        <w:gridCol w:w="665"/>
        <w:gridCol w:w="662"/>
        <w:gridCol w:w="665"/>
        <w:gridCol w:w="680"/>
        <w:gridCol w:w="653"/>
        <w:gridCol w:w="658"/>
      </w:tblGrid>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275,18</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5,795.</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202,278</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,360.25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78,499,</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268.21</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128,806</w:t>
            </w:r>
          </w:p>
          <w:p>
            <w:pPr>
              <w:pStyle w:val="TableParagraph"/>
              <w:spacing w:line="240" w:lineRule="auto" w:before="105"/>
              <w:ind w:left="410" w:right="0"/>
              <w:jc w:val="left"/>
              <w:rPr>
                <w:rFonts w:ascii="Times New Roman" w:hAnsi="Times New Roman" w:cs="Times New Roman" w:eastAsia="Times New Roman" w:hint="default"/>
                <w:sz w:val="18"/>
                <w:szCs w:val="18"/>
              </w:rPr>
            </w:pPr>
            <w:r>
              <w:rPr>
                <w:rFonts w:ascii="Times New Roman"/>
                <w:sz w:val="18"/>
              </w:rPr>
              <w:t>.58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43,551,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684.98</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290,999</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,513.74</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25,055,</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991.69</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758,700</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,884.03</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0"/>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18"/>
        <w:gridCol w:w="702"/>
        <w:gridCol w:w="665"/>
        <w:gridCol w:w="667"/>
        <w:gridCol w:w="665"/>
        <w:gridCol w:w="797"/>
        <w:gridCol w:w="797"/>
        <w:gridCol w:w="797"/>
        <w:gridCol w:w="799"/>
        <w:gridCol w:w="797"/>
        <w:gridCol w:w="677"/>
        <w:gridCol w:w="780"/>
      </w:tblGrid>
      <w:tr>
        <w:trPr>
          <w:trHeight w:val="396"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4"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305" w:right="33"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153" w:right="62"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2"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0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7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199"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702"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206"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2"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7"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2" w:type="dxa"/>
            <w:vMerge w:val="restart"/>
            <w:tcBorders>
              <w:top w:val="single" w:sz="4" w:space="0" w:color="000000"/>
              <w:left w:val="single" w:sz="10" w:space="0" w:color="D2D2D2"/>
              <w:right w:val="single" w:sz="4" w:space="0" w:color="000000"/>
            </w:tcBorders>
          </w:tcPr>
          <w:p>
            <w:pPr>
              <w:pStyle w:val="TableParagraph"/>
              <w:spacing w:line="240" w:lineRule="auto" w:before="91"/>
              <w:ind w:left="16" w:right="0"/>
              <w:jc w:val="center"/>
              <w:rPr>
                <w:rFonts w:ascii="Times New Roman" w:hAnsi="Times New Roman" w:cs="Times New Roman" w:eastAsia="Times New Roman" w:hint="default"/>
                <w:sz w:val="18"/>
                <w:szCs w:val="18"/>
              </w:rPr>
            </w:pPr>
            <w:r>
              <w:rPr>
                <w:rFonts w:ascii="Times New Roman"/>
                <w:sz w:val="18"/>
              </w:rPr>
              <w:t>275,185,</w:t>
            </w:r>
          </w:p>
          <w:p>
            <w:pPr>
              <w:pStyle w:val="TableParagraph"/>
              <w:spacing w:line="240" w:lineRule="auto" w:before="105"/>
              <w:ind w:left="152" w:right="0"/>
              <w:jc w:val="center"/>
              <w:rPr>
                <w:rFonts w:ascii="Times New Roman" w:hAnsi="Times New Roman" w:cs="Times New Roman" w:eastAsia="Times New Roman" w:hint="default"/>
                <w:sz w:val="18"/>
                <w:szCs w:val="18"/>
              </w:rPr>
            </w:pPr>
            <w:r>
              <w:rPr>
                <w:rFonts w:ascii="Times New Roman"/>
                <w:sz w:val="18"/>
              </w:rPr>
              <w:t>795.00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202,278,3</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60.25</w:t>
            </w:r>
          </w:p>
        </w:tc>
        <w:tc>
          <w:tcPr>
            <w:tcW w:w="797" w:type="dxa"/>
            <w:vMerge w:val="restart"/>
            <w:tcBorders>
              <w:top w:val="single" w:sz="18" w:space="0" w:color="D2D2D2"/>
              <w:left w:val="single" w:sz="4" w:space="0" w:color="000000"/>
              <w:right w:val="single" w:sz="4" w:space="0" w:color="000000"/>
            </w:tcBorders>
          </w:tcPr>
          <w:p>
            <w:pPr>
              <w:pStyle w:val="TableParagraph"/>
              <w:spacing w:line="240" w:lineRule="auto" w:before="73"/>
              <w:ind w:left="45" w:right="0"/>
              <w:jc w:val="left"/>
              <w:rPr>
                <w:rFonts w:ascii="Times New Roman" w:hAnsi="Times New Roman" w:cs="Times New Roman" w:eastAsia="Times New Roman" w:hint="default"/>
                <w:sz w:val="18"/>
                <w:szCs w:val="18"/>
              </w:rPr>
            </w:pPr>
            <w:r>
              <w:rPr>
                <w:rFonts w:ascii="Times New Roman"/>
                <w:sz w:val="18"/>
              </w:rPr>
              <w:t>78,499,26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8.21</w:t>
            </w:r>
          </w:p>
        </w:tc>
        <w:tc>
          <w:tcPr>
            <w:tcW w:w="797" w:type="dxa"/>
            <w:vMerge w:val="restart"/>
            <w:tcBorders>
              <w:top w:val="single" w:sz="18" w:space="0" w:color="D2D2D2"/>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44,315,24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1.76</w:t>
            </w:r>
          </w:p>
        </w:tc>
        <w:tc>
          <w:tcPr>
            <w:tcW w:w="677" w:type="dxa"/>
            <w:vMerge w:val="restart"/>
            <w:tcBorders>
              <w:top w:val="single" w:sz="18" w:space="0" w:color="D2D2D2"/>
              <w:left w:val="single" w:sz="4" w:space="0" w:color="000000"/>
              <w:right w:val="single" w:sz="4" w:space="0" w:color="000000"/>
            </w:tcBorders>
          </w:tcPr>
          <w:p>
            <w:pPr>
              <w:pStyle w:val="TableParagraph"/>
              <w:spacing w:line="240" w:lineRule="auto" w:before="73"/>
              <w:ind w:left="57" w:right="0"/>
              <w:jc w:val="left"/>
              <w:rPr>
                <w:rFonts w:ascii="Times New Roman" w:hAnsi="Times New Roman" w:cs="Times New Roman" w:eastAsia="Times New Roman" w:hint="default"/>
                <w:sz w:val="18"/>
                <w:szCs w:val="18"/>
              </w:rPr>
            </w:pPr>
            <w:r>
              <w:rPr>
                <w:rFonts w:ascii="Times New Roman"/>
                <w:sz w:val="18"/>
              </w:rPr>
              <w:t>318,850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,947.14</w:t>
            </w:r>
          </w:p>
        </w:tc>
        <w:tc>
          <w:tcPr>
            <w:tcW w:w="780" w:type="dxa"/>
            <w:vMerge w:val="restart"/>
            <w:tcBorders>
              <w:top w:val="single" w:sz="18" w:space="0" w:color="D2D2D2"/>
              <w:left w:val="single" w:sz="4" w:space="0" w:color="000000"/>
              <w:right w:val="single" w:sz="4" w:space="0" w:color="000000"/>
            </w:tcBorders>
          </w:tcPr>
          <w:p>
            <w:pPr>
              <w:pStyle w:val="TableParagraph"/>
              <w:spacing w:line="240" w:lineRule="auto" w:before="73"/>
              <w:ind w:left="28" w:right="0"/>
              <w:jc w:val="left"/>
              <w:rPr>
                <w:rFonts w:ascii="Times New Roman" w:hAnsi="Times New Roman" w:cs="Times New Roman" w:eastAsia="Times New Roman" w:hint="default"/>
                <w:sz w:val="18"/>
                <w:szCs w:val="18"/>
              </w:rPr>
            </w:pPr>
            <w:r>
              <w:rPr>
                <w:rFonts w:ascii="Times New Roman"/>
                <w:sz w:val="18"/>
              </w:rPr>
              <w:t>762,131,0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75.94</w:t>
            </w:r>
          </w:p>
        </w:tc>
      </w:tr>
      <w:tr>
        <w:trPr>
          <w:trHeight w:val="394"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702"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2"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71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33"/>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前期差 错更正</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2" w:type="dxa"/>
            <w:vMerge w:val="restart"/>
            <w:tcBorders>
              <w:top w:val="single" w:sz="4" w:space="0" w:color="000000"/>
              <w:left w:val="single" w:sz="10" w:space="0" w:color="D2D2D2"/>
              <w:right w:val="single" w:sz="4" w:space="0" w:color="000000"/>
            </w:tcBorders>
          </w:tcPr>
          <w:p>
            <w:pPr>
              <w:pStyle w:val="TableParagraph"/>
              <w:spacing w:line="240" w:lineRule="auto" w:before="91"/>
              <w:ind w:left="16" w:right="0"/>
              <w:jc w:val="center"/>
              <w:rPr>
                <w:rFonts w:ascii="Times New Roman" w:hAnsi="Times New Roman" w:cs="Times New Roman" w:eastAsia="Times New Roman" w:hint="default"/>
                <w:sz w:val="18"/>
                <w:szCs w:val="18"/>
              </w:rPr>
            </w:pPr>
            <w:r>
              <w:rPr>
                <w:rFonts w:ascii="Times New Roman"/>
                <w:sz w:val="18"/>
              </w:rPr>
              <w:t>275,185,</w:t>
            </w:r>
          </w:p>
          <w:p>
            <w:pPr>
              <w:pStyle w:val="TableParagraph"/>
              <w:spacing w:line="240" w:lineRule="auto" w:before="105"/>
              <w:ind w:left="152" w:right="0"/>
              <w:jc w:val="center"/>
              <w:rPr>
                <w:rFonts w:ascii="Times New Roman" w:hAnsi="Times New Roman" w:cs="Times New Roman" w:eastAsia="Times New Roman" w:hint="default"/>
                <w:sz w:val="18"/>
                <w:szCs w:val="18"/>
              </w:rPr>
            </w:pPr>
            <w:r>
              <w:rPr>
                <w:rFonts w:ascii="Times New Roman"/>
                <w:sz w:val="18"/>
              </w:rPr>
              <w:t>795.00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202,278,3</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60.25</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78,499,26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8.21</w:t>
            </w: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44,315,24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1.76</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318,850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,947.14</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762,131,0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75.94</w:t>
            </w:r>
          </w:p>
        </w:tc>
      </w:tr>
      <w:tr>
        <w:trPr>
          <w:trHeight w:val="394"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702"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2"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1025"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49"/>
              <w:ind w:left="12" w:right="8"/>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7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41,286,6</w:t>
            </w:r>
          </w:p>
          <w:p>
            <w:pPr>
              <w:pStyle w:val="TableParagraph"/>
              <w:spacing w:line="240" w:lineRule="auto" w:before="102"/>
              <w:ind w:left="260" w:right="0"/>
              <w:jc w:val="left"/>
              <w:rPr>
                <w:rFonts w:ascii="Times New Roman" w:hAnsi="Times New Roman" w:cs="Times New Roman" w:eastAsia="Times New Roman" w:hint="default"/>
                <w:sz w:val="18"/>
                <w:szCs w:val="18"/>
              </w:rPr>
            </w:pPr>
            <w:r>
              <w:rPr>
                <w:rFonts w:ascii="Times New Roman"/>
                <w:sz w:val="18"/>
              </w:rPr>
              <w:t>98.00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506,995,6</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69.44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-45,759,4</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28.21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4,589,715</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.08</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27,910,</w:t>
            </w:r>
          </w:p>
          <w:p>
            <w:pPr>
              <w:pStyle w:val="TableParagraph"/>
              <w:spacing w:line="240" w:lineRule="auto" w:before="102"/>
              <w:ind w:left="148" w:right="0"/>
              <w:jc w:val="left"/>
              <w:rPr>
                <w:rFonts w:ascii="Times New Roman" w:hAnsi="Times New Roman" w:cs="Times New Roman" w:eastAsia="Times New Roman" w:hint="default"/>
                <w:sz w:val="18"/>
                <w:szCs w:val="18"/>
              </w:rPr>
            </w:pPr>
            <w:r>
              <w:rPr>
                <w:rFonts w:ascii="Times New Roman"/>
                <w:sz w:val="18"/>
              </w:rPr>
              <w:t>145.99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626,541,6</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56.72</w:t>
            </w:r>
          </w:p>
        </w:tc>
      </w:tr>
      <w:tr>
        <w:trPr>
          <w:trHeight w:val="71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45,897,</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150.82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45,897,15</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0.82</w:t>
            </w:r>
          </w:p>
        </w:tc>
      </w:tr>
      <w:tr>
        <w:trPr>
          <w:trHeight w:val="71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8"/>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7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41,286,6</w:t>
            </w:r>
          </w:p>
          <w:p>
            <w:pPr>
              <w:pStyle w:val="TableParagraph"/>
              <w:spacing w:line="240" w:lineRule="auto" w:before="102"/>
              <w:ind w:left="260" w:right="0"/>
              <w:jc w:val="left"/>
              <w:rPr>
                <w:rFonts w:ascii="Times New Roman" w:hAnsi="Times New Roman" w:cs="Times New Roman" w:eastAsia="Times New Roman" w:hint="default"/>
                <w:sz w:val="18"/>
                <w:szCs w:val="18"/>
              </w:rPr>
            </w:pPr>
            <w:r>
              <w:rPr>
                <w:rFonts w:ascii="Times New Roman"/>
                <w:sz w:val="18"/>
              </w:rPr>
              <w:t>98.00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506,995,6</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69.44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-45,759,4</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28.21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594,041,7</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95.65</w:t>
            </w:r>
          </w:p>
        </w:tc>
      </w:tr>
      <w:tr>
        <w:trPr>
          <w:trHeight w:val="715"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7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41,286,6</w:t>
            </w:r>
          </w:p>
          <w:p>
            <w:pPr>
              <w:pStyle w:val="TableParagraph"/>
              <w:spacing w:line="240" w:lineRule="auto" w:before="105"/>
              <w:ind w:left="260" w:right="0"/>
              <w:jc w:val="left"/>
              <w:rPr>
                <w:rFonts w:ascii="Times New Roman" w:hAnsi="Times New Roman" w:cs="Times New Roman" w:eastAsia="Times New Roman" w:hint="default"/>
                <w:sz w:val="18"/>
                <w:szCs w:val="18"/>
              </w:rPr>
            </w:pPr>
            <w:r>
              <w:rPr>
                <w:rFonts w:ascii="Times New Roman"/>
                <w:sz w:val="18"/>
              </w:rPr>
              <w:t>98.00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503,842,8</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03.58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545,129,5</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01.58</w:t>
            </w:r>
          </w:p>
        </w:tc>
      </w:tr>
      <w:tr>
        <w:trPr>
          <w:trHeight w:val="71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1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3,152,865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-45,759,4</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28.21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48,912,29</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4.07</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4,589,715</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.08</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 w:right="0"/>
              <w:jc w:val="center"/>
              <w:rPr>
                <w:rFonts w:ascii="Times New Roman" w:hAnsi="Times New Roman" w:cs="Times New Roman" w:eastAsia="Times New Roman" w:hint="default"/>
                <w:sz w:val="18"/>
                <w:szCs w:val="18"/>
              </w:rPr>
            </w:pPr>
            <w:r>
              <w:rPr>
                <w:rFonts w:ascii="Times New Roman"/>
                <w:sz w:val="18"/>
              </w:rPr>
              <w:t>-17,987,</w:t>
            </w:r>
          </w:p>
          <w:p>
            <w:pPr>
              <w:pStyle w:val="TableParagraph"/>
              <w:spacing w:line="240" w:lineRule="auto" w:before="102"/>
              <w:ind w:left="125" w:right="0"/>
              <w:jc w:val="center"/>
              <w:rPr>
                <w:rFonts w:ascii="Times New Roman" w:hAnsi="Times New Roman" w:cs="Times New Roman" w:eastAsia="Times New Roman" w:hint="default"/>
                <w:sz w:val="18"/>
                <w:szCs w:val="18"/>
              </w:rPr>
            </w:pPr>
            <w:r>
              <w:rPr>
                <w:rFonts w:ascii="Times New Roman"/>
                <w:sz w:val="18"/>
              </w:rPr>
              <w:t>004.83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9" w:right="0"/>
              <w:jc w:val="left"/>
              <w:rPr>
                <w:rFonts w:ascii="Times New Roman" w:hAnsi="Times New Roman" w:cs="Times New Roman" w:eastAsia="Times New Roman" w:hint="default"/>
                <w:sz w:val="18"/>
                <w:szCs w:val="18"/>
              </w:rPr>
            </w:pPr>
            <w:r>
              <w:rPr>
                <w:rFonts w:ascii="Times New Roman"/>
                <w:sz w:val="18"/>
              </w:rPr>
              <w:t>-13,397,2</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89.75</w:t>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4,589,715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.08</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 w:right="0"/>
              <w:jc w:val="center"/>
              <w:rPr>
                <w:rFonts w:ascii="Times New Roman" w:hAnsi="Times New Roman" w:cs="Times New Roman" w:eastAsia="Times New Roman" w:hint="default"/>
                <w:sz w:val="18"/>
                <w:szCs w:val="18"/>
              </w:rPr>
            </w:pPr>
            <w:r>
              <w:rPr>
                <w:rFonts w:ascii="Times New Roman"/>
                <w:sz w:val="18"/>
              </w:rPr>
              <w:t>-4,589,7</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15.08</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 w:right="0"/>
              <w:jc w:val="center"/>
              <w:rPr>
                <w:rFonts w:ascii="Times New Roman" w:hAnsi="Times New Roman" w:cs="Times New Roman" w:eastAsia="Times New Roman" w:hint="default"/>
                <w:sz w:val="18"/>
                <w:szCs w:val="18"/>
              </w:rPr>
            </w:pPr>
            <w:r>
              <w:rPr>
                <w:rFonts w:ascii="Times New Roman"/>
                <w:sz w:val="18"/>
              </w:rPr>
              <w:t>-13,397,</w:t>
            </w:r>
          </w:p>
          <w:p>
            <w:pPr>
              <w:pStyle w:val="TableParagraph"/>
              <w:spacing w:line="240" w:lineRule="auto" w:before="102"/>
              <w:ind w:left="125" w:right="0"/>
              <w:jc w:val="center"/>
              <w:rPr>
                <w:rFonts w:ascii="Times New Roman" w:hAnsi="Times New Roman" w:cs="Times New Roman" w:eastAsia="Times New Roman" w:hint="default"/>
                <w:sz w:val="18"/>
                <w:szCs w:val="18"/>
              </w:rPr>
            </w:pPr>
            <w:r>
              <w:rPr>
                <w:rFonts w:ascii="Times New Roman"/>
                <w:sz w:val="18"/>
              </w:rPr>
              <w:t>289.75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9" w:right="0"/>
              <w:jc w:val="left"/>
              <w:rPr>
                <w:rFonts w:ascii="Times New Roman" w:hAnsi="Times New Roman" w:cs="Times New Roman" w:eastAsia="Times New Roman" w:hint="default"/>
                <w:sz w:val="18"/>
                <w:szCs w:val="18"/>
              </w:rPr>
            </w:pPr>
            <w:r>
              <w:rPr>
                <w:rFonts w:ascii="Times New Roman"/>
                <w:sz w:val="18"/>
              </w:rPr>
              <w:t>-13,397,2</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89.75</w:t>
            </w: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316,472,</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493.00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709,274,0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29.69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32,739,84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48,904,95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6.84</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346,761</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,093.13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1,388,672</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,732.66</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28"/>
        <w:gridCol w:w="691"/>
        <w:gridCol w:w="665"/>
        <w:gridCol w:w="667"/>
        <w:gridCol w:w="665"/>
        <w:gridCol w:w="797"/>
        <w:gridCol w:w="797"/>
        <w:gridCol w:w="797"/>
        <w:gridCol w:w="799"/>
        <w:gridCol w:w="797"/>
        <w:gridCol w:w="677"/>
        <w:gridCol w:w="780"/>
      </w:tblGrid>
      <w:tr>
        <w:trPr>
          <w:trHeight w:val="396"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2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8"/>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0"/>
              <w:ind w:left="305" w:right="33"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0"/>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0"/>
              <w:ind w:left="153" w:right="62"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0"/>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3" w:hRule="exact"/>
        </w:trPr>
        <w:tc>
          <w:tcPr>
            <w:tcW w:w="1428"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199" w:hRule="exact"/>
        </w:trPr>
        <w:tc>
          <w:tcPr>
            <w:tcW w:w="1428"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206" w:hRule="exact"/>
        </w:trPr>
        <w:tc>
          <w:tcPr>
            <w:tcW w:w="1428"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7"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272,680,</w:t>
            </w:r>
          </w:p>
          <w:p>
            <w:pPr>
              <w:pStyle w:val="TableParagraph"/>
              <w:spacing w:line="240" w:lineRule="auto" w:before="105"/>
              <w:ind w:left="142" w:right="0"/>
              <w:jc w:val="center"/>
              <w:rPr>
                <w:rFonts w:ascii="Times New Roman" w:hAnsi="Times New Roman" w:cs="Times New Roman" w:eastAsia="Times New Roman" w:hint="default"/>
                <w:sz w:val="18"/>
                <w:szCs w:val="18"/>
              </w:rPr>
            </w:pPr>
            <w:r>
              <w:rPr>
                <w:rFonts w:ascii="Times New Roman"/>
                <w:sz w:val="18"/>
              </w:rPr>
              <w:t>395.00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136,555,4</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06.70</w:t>
            </w:r>
          </w:p>
        </w:tc>
        <w:tc>
          <w:tcPr>
            <w:tcW w:w="797" w:type="dxa"/>
            <w:vMerge w:val="restart"/>
            <w:tcBorders>
              <w:top w:val="single" w:sz="18" w:space="0" w:color="D2D2D2"/>
              <w:left w:val="single" w:sz="4" w:space="0" w:color="000000"/>
              <w:right w:val="single" w:sz="4" w:space="0" w:color="000000"/>
            </w:tcBorders>
          </w:tcPr>
          <w:p>
            <w:pPr>
              <w:pStyle w:val="TableParagraph"/>
              <w:spacing w:line="240" w:lineRule="auto" w:before="73"/>
              <w:ind w:left="45" w:right="0"/>
              <w:jc w:val="left"/>
              <w:rPr>
                <w:rFonts w:ascii="Times New Roman" w:hAnsi="Times New Roman" w:cs="Times New Roman" w:eastAsia="Times New Roman" w:hint="default"/>
                <w:sz w:val="18"/>
                <w:szCs w:val="18"/>
              </w:rPr>
            </w:pPr>
            <w:r>
              <w:rPr>
                <w:rFonts w:ascii="Times New Roman"/>
                <w:sz w:val="18"/>
              </w:rPr>
              <w:t>12,577,56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vMerge w:val="restart"/>
            <w:tcBorders>
              <w:top w:val="single" w:sz="18" w:space="0" w:color="D2D2D2"/>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35,711,71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9.80</w:t>
            </w:r>
          </w:p>
        </w:tc>
        <w:tc>
          <w:tcPr>
            <w:tcW w:w="677" w:type="dxa"/>
            <w:vMerge w:val="restart"/>
            <w:tcBorders>
              <w:top w:val="single" w:sz="18" w:space="0" w:color="D2D2D2"/>
              <w:left w:val="single" w:sz="4" w:space="0" w:color="000000"/>
              <w:right w:val="single" w:sz="4" w:space="0" w:color="000000"/>
            </w:tcBorders>
          </w:tcPr>
          <w:p>
            <w:pPr>
              <w:pStyle w:val="TableParagraph"/>
              <w:spacing w:line="240" w:lineRule="auto" w:before="73"/>
              <w:ind w:left="57" w:right="0"/>
              <w:jc w:val="left"/>
              <w:rPr>
                <w:rFonts w:ascii="Times New Roman" w:hAnsi="Times New Roman" w:cs="Times New Roman" w:eastAsia="Times New Roman" w:hint="default"/>
                <w:sz w:val="18"/>
                <w:szCs w:val="18"/>
              </w:rPr>
            </w:pPr>
            <w:r>
              <w:rPr>
                <w:rFonts w:ascii="Times New Roman"/>
                <w:sz w:val="18"/>
              </w:rPr>
              <w:t>255,816</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,500.95</w:t>
            </w:r>
          </w:p>
        </w:tc>
        <w:tc>
          <w:tcPr>
            <w:tcW w:w="780" w:type="dxa"/>
            <w:vMerge w:val="restart"/>
            <w:tcBorders>
              <w:top w:val="single" w:sz="18" w:space="0" w:color="D2D2D2"/>
              <w:left w:val="single" w:sz="4" w:space="0" w:color="000000"/>
              <w:right w:val="single" w:sz="4" w:space="0" w:color="000000"/>
            </w:tcBorders>
          </w:tcPr>
          <w:p>
            <w:pPr>
              <w:pStyle w:val="TableParagraph"/>
              <w:spacing w:line="240" w:lineRule="auto" w:before="73"/>
              <w:ind w:left="28" w:right="0"/>
              <w:jc w:val="left"/>
              <w:rPr>
                <w:rFonts w:ascii="Times New Roman" w:hAnsi="Times New Roman" w:cs="Times New Roman" w:eastAsia="Times New Roman" w:hint="default"/>
                <w:sz w:val="18"/>
                <w:szCs w:val="18"/>
              </w:rPr>
            </w:pPr>
            <w:r>
              <w:rPr>
                <w:rFonts w:ascii="Times New Roman"/>
                <w:sz w:val="18"/>
              </w:rPr>
              <w:t>688,186,4</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62.45</w:t>
            </w:r>
          </w:p>
        </w:tc>
      </w:tr>
      <w:tr>
        <w:trPr>
          <w:trHeight w:val="394" w:hRule="exact"/>
        </w:trPr>
        <w:tc>
          <w:tcPr>
            <w:tcW w:w="14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71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1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4"/>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前期差 错更正</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272,680,</w:t>
            </w:r>
          </w:p>
          <w:p>
            <w:pPr>
              <w:pStyle w:val="TableParagraph"/>
              <w:spacing w:line="240" w:lineRule="auto" w:before="105"/>
              <w:ind w:left="142" w:right="0"/>
              <w:jc w:val="center"/>
              <w:rPr>
                <w:rFonts w:ascii="Times New Roman" w:hAnsi="Times New Roman" w:cs="Times New Roman" w:eastAsia="Times New Roman" w:hint="default"/>
                <w:sz w:val="18"/>
                <w:szCs w:val="18"/>
              </w:rPr>
            </w:pPr>
            <w:r>
              <w:rPr>
                <w:rFonts w:ascii="Times New Roman"/>
                <w:sz w:val="18"/>
              </w:rPr>
              <w:t>395.00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136,555,4</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06.70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12,577,56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35,711,71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9.80</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255,816</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,500.95</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688,186,4</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62.45</w:t>
            </w:r>
          </w:p>
        </w:tc>
      </w:tr>
      <w:tr>
        <w:trPr>
          <w:trHeight w:val="394" w:hRule="exact"/>
        </w:trPr>
        <w:tc>
          <w:tcPr>
            <w:tcW w:w="14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bl>
    <w:p>
      <w:pPr>
        <w:spacing w:after="0"/>
        <w:sectPr>
          <w:footerReference w:type="default" r:id="rId25"/>
          <w:pgSz w:w="11910" w:h="16840"/>
          <w:pgMar w:footer="979" w:header="745" w:top="1060" w:bottom="1160" w:left="980" w:right="980"/>
          <w:pgNumType w:start="12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102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18"/>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2,505,40</w:t>
            </w:r>
          </w:p>
          <w:p>
            <w:pPr>
              <w:pStyle w:val="TableParagraph"/>
              <w:spacing w:line="240" w:lineRule="auto" w:before="105"/>
              <w:ind w:left="347"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65,722,95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65,921,70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8.21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8,603,521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.96</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63,034,</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446.19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73,944,61</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3.49</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2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78,399,</w:t>
            </w:r>
          </w:p>
          <w:p>
            <w:pPr>
              <w:pStyle w:val="TableParagraph"/>
              <w:spacing w:line="240" w:lineRule="auto" w:before="102"/>
              <w:ind w:left="148" w:right="0"/>
              <w:jc w:val="left"/>
              <w:rPr>
                <w:rFonts w:ascii="Times New Roman" w:hAnsi="Times New Roman" w:cs="Times New Roman" w:eastAsia="Times New Roman" w:hint="default"/>
                <w:sz w:val="18"/>
                <w:szCs w:val="18"/>
              </w:rPr>
            </w:pPr>
            <w:r>
              <w:rPr>
                <w:rFonts w:ascii="Times New Roman"/>
                <w:sz w:val="18"/>
              </w:rPr>
              <w:t>651.84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78,399,65</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1.84</w:t>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2,505,40</w:t>
            </w:r>
          </w:p>
          <w:p>
            <w:pPr>
              <w:pStyle w:val="TableParagraph"/>
              <w:spacing w:line="240" w:lineRule="auto" w:before="105"/>
              <w:ind w:left="347"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65,722,95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65,921,70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8.21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2,306,645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.34</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 w:right="0"/>
              <w:jc w:val="left"/>
              <w:rPr>
                <w:rFonts w:ascii="Times New Roman" w:hAnsi="Times New Roman" w:cs="Times New Roman" w:eastAsia="Times New Roman" w:hint="default"/>
                <w:sz w:val="18"/>
                <w:szCs w:val="18"/>
              </w:rPr>
            </w:pPr>
            <w:r>
              <w:rPr>
                <w:rFonts w:ascii="Times New Roman"/>
                <w:sz w:val="18"/>
              </w:rPr>
              <w:t>2,505,40</w:t>
            </w:r>
          </w:p>
          <w:p>
            <w:pPr>
              <w:pStyle w:val="TableParagraph"/>
              <w:spacing w:line="240" w:lineRule="auto" w:before="102"/>
              <w:ind w:left="347"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62,360,55</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3.91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64,865,95</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3.91</w:t>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3,362,399</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.64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65,921,70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8.21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-62,559,3</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08.57</w:t>
            </w: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7,839,965</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.18</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 w:right="0"/>
              <w:jc w:val="center"/>
              <w:rPr>
                <w:rFonts w:ascii="Times New Roman" w:hAnsi="Times New Roman" w:cs="Times New Roman" w:eastAsia="Times New Roman" w:hint="default"/>
                <w:sz w:val="18"/>
                <w:szCs w:val="18"/>
              </w:rPr>
            </w:pPr>
            <w:r>
              <w:rPr>
                <w:rFonts w:ascii="Times New Roman"/>
                <w:sz w:val="18"/>
              </w:rPr>
              <w:t>-17,096,</w:t>
            </w:r>
          </w:p>
          <w:p>
            <w:pPr>
              <w:pStyle w:val="TableParagraph"/>
              <w:spacing w:line="240" w:lineRule="auto" w:before="102"/>
              <w:ind w:left="125" w:right="0"/>
              <w:jc w:val="center"/>
              <w:rPr>
                <w:rFonts w:ascii="Times New Roman" w:hAnsi="Times New Roman" w:cs="Times New Roman" w:eastAsia="Times New Roman" w:hint="default"/>
                <w:sz w:val="18"/>
                <w:szCs w:val="18"/>
              </w:rPr>
            </w:pPr>
            <w:r>
              <w:rPr>
                <w:rFonts w:ascii="Times New Roman"/>
                <w:sz w:val="18"/>
              </w:rPr>
              <w:t>460.93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9" w:right="0"/>
              <w:jc w:val="left"/>
              <w:rPr>
                <w:rFonts w:ascii="Times New Roman" w:hAnsi="Times New Roman" w:cs="Times New Roman" w:eastAsia="Times New Roman" w:hint="default"/>
                <w:sz w:val="18"/>
                <w:szCs w:val="18"/>
              </w:rPr>
            </w:pPr>
            <w:r>
              <w:rPr>
                <w:rFonts w:ascii="Times New Roman"/>
                <w:sz w:val="18"/>
              </w:rPr>
              <w:t>-9,256,49</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5.75</w:t>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7,839,965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.18</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 w:right="0"/>
              <w:jc w:val="center"/>
              <w:rPr>
                <w:rFonts w:ascii="Times New Roman" w:hAnsi="Times New Roman" w:cs="Times New Roman" w:eastAsia="Times New Roman" w:hint="default"/>
                <w:sz w:val="18"/>
                <w:szCs w:val="18"/>
              </w:rPr>
            </w:pPr>
            <w:r>
              <w:rPr>
                <w:rFonts w:ascii="Times New Roman"/>
                <w:sz w:val="18"/>
              </w:rPr>
              <w:t>-7,839,9</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65.18</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 w:right="0"/>
              <w:jc w:val="center"/>
              <w:rPr>
                <w:rFonts w:ascii="Times New Roman" w:hAnsi="Times New Roman" w:cs="Times New Roman" w:eastAsia="Times New Roman" w:hint="default"/>
                <w:sz w:val="18"/>
                <w:szCs w:val="18"/>
              </w:rPr>
            </w:pPr>
            <w:r>
              <w:rPr>
                <w:rFonts w:ascii="Times New Roman"/>
                <w:sz w:val="18"/>
              </w:rPr>
              <w:t>-9,256,4</w:t>
            </w:r>
          </w:p>
          <w:p>
            <w:pPr>
              <w:pStyle w:val="TableParagraph"/>
              <w:spacing w:line="240" w:lineRule="auto" w:before="102"/>
              <w:ind w:left="214" w:right="0"/>
              <w:jc w:val="center"/>
              <w:rPr>
                <w:rFonts w:ascii="Times New Roman" w:hAnsi="Times New Roman" w:cs="Times New Roman" w:eastAsia="Times New Roman" w:hint="default"/>
                <w:sz w:val="18"/>
                <w:szCs w:val="18"/>
              </w:rPr>
            </w:pPr>
            <w:r>
              <w:rPr>
                <w:rFonts w:ascii="Times New Roman"/>
                <w:sz w:val="18"/>
              </w:rPr>
              <w:t>95.75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9" w:right="0"/>
              <w:jc w:val="left"/>
              <w:rPr>
                <w:rFonts w:ascii="Times New Roman" w:hAnsi="Times New Roman" w:cs="Times New Roman" w:eastAsia="Times New Roman" w:hint="default"/>
                <w:sz w:val="18"/>
                <w:szCs w:val="18"/>
              </w:rPr>
            </w:pPr>
            <w:r>
              <w:rPr>
                <w:rFonts w:ascii="Times New Roman"/>
                <w:sz w:val="18"/>
              </w:rPr>
              <w:t>-9,256,49</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5.75</w:t>
            </w: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20"/>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763,556.7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8</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 w:right="0"/>
              <w:jc w:val="center"/>
              <w:rPr>
                <w:rFonts w:ascii="Times New Roman" w:hAnsi="Times New Roman" w:cs="Times New Roman" w:eastAsia="Times New Roman" w:hint="default"/>
                <w:sz w:val="18"/>
                <w:szCs w:val="18"/>
              </w:rPr>
            </w:pPr>
            <w:r>
              <w:rPr>
                <w:rFonts w:ascii="Times New Roman"/>
                <w:sz w:val="18"/>
              </w:rPr>
              <w:t>1,731,2</w:t>
            </w:r>
          </w:p>
          <w:p>
            <w:pPr>
              <w:pStyle w:val="TableParagraph"/>
              <w:spacing w:line="240" w:lineRule="auto" w:before="102"/>
              <w:ind w:left="214" w:right="0"/>
              <w:jc w:val="center"/>
              <w:rPr>
                <w:rFonts w:ascii="Times New Roman" w:hAnsi="Times New Roman" w:cs="Times New Roman" w:eastAsia="Times New Roman" w:hint="default"/>
                <w:sz w:val="18"/>
                <w:szCs w:val="18"/>
              </w:rPr>
            </w:pPr>
            <w:r>
              <w:rPr>
                <w:rFonts w:ascii="Times New Roman"/>
                <w:sz w:val="18"/>
              </w:rPr>
              <w:t>55.28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2,494,812</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.06</w:t>
            </w:r>
          </w:p>
        </w:tc>
      </w:tr>
      <w:tr>
        <w:trPr>
          <w:trHeight w:val="716"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275,185,</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795.00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202,278,3</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60.25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78,499,26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8.21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44,315,24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1.76</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318,850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,947.14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762,131,0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75.94</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10"/>
        <w:rPr>
          <w:rFonts w:ascii="Times New Roman" w:hAnsi="Times New Roman" w:cs="Times New Roman" w:eastAsia="Times New Roman" w:hint="default"/>
          <w:sz w:val="26"/>
          <w:szCs w:val="26"/>
        </w:rPr>
      </w:pPr>
    </w:p>
    <w:p>
      <w:pPr>
        <w:pStyle w:val="Heading2"/>
        <w:spacing w:line="240" w:lineRule="auto" w:before="26"/>
        <w:ind w:right="101"/>
        <w:jc w:val="left"/>
        <w:rPr>
          <w:b w:val="0"/>
          <w:bCs w:val="0"/>
        </w:rPr>
      </w:pPr>
      <w:r>
        <w:rPr/>
        <w:t>三、公司基本情况</w:t>
      </w:r>
      <w:r>
        <w:rPr>
          <w:b w:val="0"/>
          <w:bCs w:val="0"/>
        </w:rPr>
      </w:r>
    </w:p>
    <w:p>
      <w:pPr>
        <w:spacing w:line="240" w:lineRule="auto" w:before="10"/>
        <w:rPr>
          <w:rFonts w:ascii="宋体" w:hAnsi="宋体" w:cs="宋体" w:eastAsia="宋体" w:hint="default"/>
          <w:b/>
          <w:bCs/>
          <w:sz w:val="30"/>
          <w:szCs w:val="30"/>
        </w:rPr>
      </w:pPr>
    </w:p>
    <w:p>
      <w:pPr>
        <w:pStyle w:val="BodyText"/>
        <w:spacing w:line="391" w:lineRule="auto"/>
        <w:ind w:right="101" w:firstLine="420"/>
        <w:jc w:val="left"/>
      </w:pPr>
      <w:r>
        <w:rPr/>
        <w:t>上海天玑科技股份有限公司（以下简称</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）前身系上海天玑科技有限责任公司，由陆</w:t>
      </w:r>
      <w:r>
        <w:rPr>
          <w:w w:val="100"/>
        </w:rPr>
        <w:t> </w:t>
      </w:r>
      <w:r>
        <w:rPr>
          <w:spacing w:val="-2"/>
        </w:rPr>
        <w:t>文雄等</w:t>
      </w:r>
      <w:r>
        <w:rPr>
          <w:rFonts w:ascii="Times New Roman" w:hAnsi="Times New Roman" w:cs="Times New Roman" w:eastAsia="Times New Roman" w:hint="default"/>
          <w:spacing w:val="-2"/>
        </w:rPr>
        <w:t>7</w:t>
      </w:r>
      <w:r>
        <w:rPr>
          <w:spacing w:val="-2"/>
        </w:rPr>
        <w:t>个自然人于</w:t>
      </w:r>
      <w:r>
        <w:rPr>
          <w:rFonts w:ascii="Times New Roman" w:hAnsi="Times New Roman" w:cs="Times New Roman" w:eastAsia="Times New Roman" w:hint="default"/>
          <w:spacing w:val="-2"/>
        </w:rPr>
        <w:t>2001</w:t>
      </w:r>
      <w:r>
        <w:rPr>
          <w:spacing w:val="-2"/>
        </w:rPr>
        <w:t>年</w:t>
      </w:r>
      <w:r>
        <w:rPr>
          <w:rFonts w:ascii="Times New Roman" w:hAnsi="Times New Roman" w:cs="Times New Roman" w:eastAsia="Times New Roman" w:hint="default"/>
          <w:spacing w:val="-2"/>
        </w:rPr>
        <w:t>10</w:t>
      </w:r>
      <w:r>
        <w:rPr>
          <w:spacing w:val="-2"/>
        </w:rPr>
        <w:t>月共同出资设立。</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6</w:t>
      </w:r>
      <w:r>
        <w:rPr>
          <w:spacing w:val="-2"/>
        </w:rPr>
        <w:t>月，根据公司发起人协议及章程的规定，原上海天</w:t>
      </w:r>
      <w:r>
        <w:rPr>
          <w:spacing w:val="-35"/>
        </w:rPr>
        <w:t> </w:t>
      </w:r>
      <w:r>
        <w:rPr>
          <w:spacing w:val="-35"/>
        </w:rPr>
      </w:r>
      <w:r>
        <w:rPr>
          <w:spacing w:val="-2"/>
        </w:rPr>
        <w:t>玑科技有限责任公司以其净资产折股整体变更为上海天玑科技股份有限公司。公司的营业执照统一社会信</w:t>
      </w:r>
      <w:r>
        <w:rPr>
          <w:spacing w:val="-43"/>
        </w:rPr>
        <w:t> </w:t>
      </w:r>
      <w:r>
        <w:rPr>
          <w:spacing w:val="-43"/>
        </w:rPr>
      </w:r>
      <w:r>
        <w:rPr>
          <w:spacing w:val="-3"/>
        </w:rPr>
        <w:t>用代码：</w:t>
      </w:r>
      <w:r>
        <w:rPr>
          <w:rFonts w:ascii="Times New Roman" w:hAnsi="Times New Roman" w:cs="Times New Roman" w:eastAsia="Times New Roman" w:hint="default"/>
          <w:spacing w:val="-3"/>
        </w:rPr>
        <w:t>91310000703400561X</w:t>
      </w:r>
      <w:r>
        <w:rPr>
          <w:spacing w:val="-3"/>
        </w:rPr>
        <w:t>。</w:t>
      </w:r>
      <w:r>
        <w:rPr>
          <w:rFonts w:ascii="Times New Roman" w:hAnsi="Times New Roman" w:cs="Times New Roman" w:eastAsia="Times New Roman" w:hint="default"/>
          <w:spacing w:val="-3"/>
        </w:rPr>
        <w:t>2011</w:t>
      </w:r>
      <w:r>
        <w:rPr>
          <w:spacing w:val="-3"/>
        </w:rPr>
        <w:t>年</w:t>
      </w:r>
      <w:r>
        <w:rPr>
          <w:rFonts w:ascii="Times New Roman" w:hAnsi="Times New Roman" w:cs="Times New Roman" w:eastAsia="Times New Roman" w:hint="default"/>
          <w:spacing w:val="-3"/>
        </w:rPr>
        <w:t>7</w:t>
      </w:r>
      <w:r>
        <w:rPr>
          <w:spacing w:val="-3"/>
        </w:rPr>
        <w:t>月</w:t>
      </w:r>
      <w:r>
        <w:rPr>
          <w:rFonts w:ascii="Times New Roman" w:hAnsi="Times New Roman" w:cs="Times New Roman" w:eastAsia="Times New Roman" w:hint="default"/>
          <w:spacing w:val="-3"/>
        </w:rPr>
        <w:t>19</w:t>
      </w:r>
      <w:r>
        <w:rPr>
          <w:spacing w:val="-3"/>
        </w:rPr>
        <w:t>日在深圳证券交易所上市交易。所属行业为信息技术服务业。</w:t>
      </w:r>
      <w:r>
        <w:rPr>
          <w:spacing w:val="-6"/>
        </w:rPr>
        <w:t> </w:t>
      </w:r>
      <w:r>
        <w:rPr>
          <w:spacing w:val="-6"/>
        </w:rPr>
      </w:r>
      <w:r>
        <w:rPr>
          <w:spacing w:val="-3"/>
        </w:rPr>
        <w:t>截至</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日，本公司累计发行股本总数</w:t>
      </w:r>
      <w:r>
        <w:rPr>
          <w:rFonts w:ascii="Times New Roman" w:hAnsi="Times New Roman" w:cs="Times New Roman" w:eastAsia="Times New Roman" w:hint="default"/>
          <w:spacing w:val="-3"/>
        </w:rPr>
        <w:t>316,472,493</w:t>
      </w:r>
      <w:r>
        <w:rPr>
          <w:spacing w:val="-3"/>
        </w:rPr>
        <w:t>股，注册资本为</w:t>
      </w:r>
      <w:r>
        <w:rPr>
          <w:rFonts w:ascii="Times New Roman" w:hAnsi="Times New Roman" w:cs="Times New Roman" w:eastAsia="Times New Roman" w:hint="default"/>
          <w:spacing w:val="-3"/>
        </w:rPr>
        <w:t>316,472,493.00</w:t>
      </w:r>
      <w:r>
        <w:rPr>
          <w:spacing w:val="-3"/>
        </w:rPr>
        <w:t>元，注册地：上</w:t>
      </w:r>
      <w:r>
        <w:rPr/>
        <w:t> </w:t>
      </w:r>
      <w:r>
        <w:rPr/>
        <w:t>海市青浦区清河湾路</w:t>
      </w:r>
      <w:r>
        <w:rPr>
          <w:rFonts w:ascii="Times New Roman" w:hAnsi="Times New Roman" w:cs="Times New Roman" w:eastAsia="Times New Roman" w:hint="default"/>
        </w:rPr>
        <w:t>1200</w:t>
      </w:r>
      <w:r>
        <w:rPr/>
        <w:t>号</w:t>
      </w:r>
      <w:r>
        <w:rPr>
          <w:rFonts w:ascii="Times New Roman" w:hAnsi="Times New Roman" w:cs="Times New Roman" w:eastAsia="Times New Roman" w:hint="default"/>
        </w:rPr>
        <w:t>1008</w:t>
      </w:r>
      <w:r>
        <w:rPr/>
        <w:t>室；总部地址：上海市闵行区田林路</w:t>
      </w:r>
      <w:r>
        <w:rPr>
          <w:rFonts w:ascii="Times New Roman" w:hAnsi="Times New Roman" w:cs="Times New Roman" w:eastAsia="Times New Roman" w:hint="default"/>
        </w:rPr>
        <w:t>1016</w:t>
      </w:r>
      <w:r>
        <w:rPr/>
        <w:t>号科技绿洲三期</w:t>
      </w:r>
      <w:r>
        <w:rPr>
          <w:rFonts w:ascii="Times New Roman" w:hAnsi="Times New Roman" w:cs="Times New Roman" w:eastAsia="Times New Roman" w:hint="default"/>
        </w:rPr>
        <w:t>6</w:t>
      </w:r>
      <w:r>
        <w:rPr/>
        <w:t>号楼。</w:t>
      </w:r>
    </w:p>
    <w:p>
      <w:pPr>
        <w:pStyle w:val="BodyText"/>
        <w:spacing w:line="408" w:lineRule="auto" w:before="31"/>
        <w:ind w:right="206" w:firstLine="420"/>
        <w:jc w:val="both"/>
      </w:pPr>
      <w:r>
        <w:rPr>
          <w:spacing w:val="-2"/>
        </w:rPr>
        <w:t>本公司主要经营活动为：计算机软硬件开发、销售、维修，系统集成，通讯设备的销售及维修，提供</w:t>
      </w:r>
      <w:r>
        <w:rPr>
          <w:w w:val="100"/>
        </w:rPr>
        <w:t> </w:t>
      </w:r>
      <w:r>
        <w:rPr>
          <w:spacing w:val="-2"/>
        </w:rPr>
        <w:t>相关的技术咨询、服务，自有设备租赁，从事货物及技术进出口业务。【依法须经批准的项目，经相关部</w:t>
      </w:r>
      <w:r>
        <w:rPr>
          <w:spacing w:val="-41"/>
        </w:rPr>
        <w:t> </w:t>
      </w:r>
      <w:r>
        <w:rPr>
          <w:spacing w:val="-41"/>
        </w:rPr>
      </w:r>
      <w:r>
        <w:rPr/>
        <w:t>门批准后方可开展经营活动】</w:t>
      </w:r>
    </w:p>
    <w:p>
      <w:pPr>
        <w:pStyle w:val="BodyText"/>
        <w:spacing w:line="386" w:lineRule="auto" w:before="46"/>
        <w:ind w:right="101" w:firstLine="420"/>
        <w:jc w:val="left"/>
      </w:pPr>
      <w:r>
        <w:rPr>
          <w:spacing w:val="-1"/>
        </w:rPr>
        <w:t>公司提供的主要服务包括</w:t>
      </w:r>
      <w:r>
        <w:rPr>
          <w:rFonts w:ascii="Times New Roman" w:hAnsi="Times New Roman" w:cs="Times New Roman" w:eastAsia="Times New Roman" w:hint="default"/>
          <w:spacing w:val="-1"/>
        </w:rPr>
        <w:t>IT</w:t>
      </w:r>
      <w:r>
        <w:rPr>
          <w:spacing w:val="-1"/>
        </w:rPr>
        <w:t>支持与维护服务、</w:t>
      </w:r>
      <w:r>
        <w:rPr>
          <w:rFonts w:ascii="Times New Roman" w:hAnsi="Times New Roman" w:cs="Times New Roman" w:eastAsia="Times New Roman" w:hint="default"/>
          <w:spacing w:val="-1"/>
        </w:rPr>
        <w:t>IT</w:t>
      </w:r>
      <w:r>
        <w:rPr>
          <w:spacing w:val="-1"/>
        </w:rPr>
        <w:t>外包服务、</w:t>
      </w:r>
      <w:r>
        <w:rPr>
          <w:rFonts w:ascii="Times New Roman" w:hAnsi="Times New Roman" w:cs="Times New Roman" w:eastAsia="Times New Roman" w:hint="default"/>
          <w:spacing w:val="-1"/>
        </w:rPr>
        <w:t>IT</w:t>
      </w:r>
      <w:r>
        <w:rPr>
          <w:spacing w:val="-1"/>
        </w:rPr>
        <w:t>专业服务、</w:t>
      </w:r>
      <w:r>
        <w:rPr>
          <w:rFonts w:ascii="Times New Roman" w:hAnsi="Times New Roman" w:cs="Times New Roman" w:eastAsia="Times New Roman" w:hint="default"/>
          <w:spacing w:val="-1"/>
        </w:rPr>
        <w:t>IT</w:t>
      </w:r>
      <w:r>
        <w:rPr>
          <w:spacing w:val="-1"/>
        </w:rPr>
        <w:t>软件服务等技术服务以及</w:t>
      </w:r>
      <w:r>
        <w:rPr>
          <w:w w:val="100"/>
        </w:rPr>
        <w:t> </w:t>
      </w:r>
      <w:r>
        <w:rPr/>
        <w:t>软、硬件销售业务。</w:t>
      </w:r>
    </w:p>
    <w:p>
      <w:pPr>
        <w:pStyle w:val="BodyText"/>
        <w:spacing w:line="340" w:lineRule="auto" w:before="65"/>
        <w:ind w:left="573" w:right="1784"/>
        <w:jc w:val="left"/>
      </w:pPr>
      <w:r>
        <w:rPr/>
        <w:t>本公司的实际控制人为陆文雄。</w:t>
      </w:r>
      <w:r>
        <w:rPr>
          <w:w w:val="100"/>
        </w:rPr>
        <w:t> </w:t>
      </w:r>
      <w:r>
        <w:rPr>
          <w:spacing w:val="-2"/>
        </w:rPr>
        <w:t>本财务报表业经公司全体董事（董事会）于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9</w:t>
      </w:r>
      <w:r>
        <w:rPr>
          <w:spacing w:val="-2"/>
        </w:rPr>
        <w:t>日批准报出。</w:t>
      </w:r>
    </w:p>
    <w:p>
      <w:pPr>
        <w:spacing w:line="240" w:lineRule="auto" w:before="0"/>
        <w:rPr>
          <w:rFonts w:ascii="宋体" w:hAnsi="宋体" w:cs="宋体" w:eastAsia="宋体" w:hint="default"/>
          <w:sz w:val="18"/>
          <w:szCs w:val="18"/>
        </w:rPr>
      </w:pPr>
    </w:p>
    <w:p>
      <w:pPr>
        <w:pStyle w:val="BodyText"/>
        <w:spacing w:line="240" w:lineRule="auto"/>
        <w:ind w:left="866" w:right="101"/>
        <w:jc w:val="left"/>
      </w:pPr>
      <w:r>
        <w:rPr/>
        <w:t>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日止，本公司合并财务报表范围内子公司如下：</w:t>
      </w:r>
    </w:p>
    <w:p>
      <w:pPr>
        <w:spacing w:line="240" w:lineRule="auto" w:before="8"/>
        <w:rPr>
          <w:rFonts w:ascii="宋体" w:hAnsi="宋体" w:cs="宋体" w:eastAsia="宋体" w:hint="default"/>
          <w:sz w:val="2"/>
          <w:szCs w:val="2"/>
        </w:rPr>
      </w:pPr>
    </w:p>
    <w:tbl>
      <w:tblPr>
        <w:tblW w:w="0" w:type="auto"/>
        <w:jc w:val="left"/>
        <w:tblInd w:w="762" w:type="dxa"/>
        <w:tblLayout w:type="fixed"/>
        <w:tblCellMar>
          <w:top w:w="0" w:type="dxa"/>
          <w:left w:w="0" w:type="dxa"/>
          <w:bottom w:w="0" w:type="dxa"/>
          <w:right w:w="0" w:type="dxa"/>
        </w:tblCellMar>
        <w:tblLook w:val="01E0"/>
      </w:tblPr>
      <w:tblGrid>
        <w:gridCol w:w="7722"/>
      </w:tblGrid>
      <w:tr>
        <w:trPr>
          <w:trHeight w:val="353" w:hRule="exact"/>
        </w:trPr>
        <w:tc>
          <w:tcPr>
            <w:tcW w:w="7722" w:type="dxa"/>
            <w:tcBorders>
              <w:top w:val="single" w:sz="6" w:space="0" w:color="000000"/>
              <w:left w:val="nil" w:sz="6" w:space="0" w:color="auto"/>
              <w:bottom w:val="single" w:sz="12" w:space="0" w:color="000000"/>
              <w:right w:val="nil" w:sz="6" w:space="0" w:color="auto"/>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r>
      <w:tr>
        <w:trPr>
          <w:trHeight w:val="353" w:hRule="exact"/>
        </w:trPr>
        <w:tc>
          <w:tcPr>
            <w:tcW w:w="7722"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极品数据系统公司（</w:t>
            </w:r>
            <w:r>
              <w:rPr>
                <w:rFonts w:ascii="Times New Roman" w:hAnsi="Times New Roman" w:cs="Times New Roman" w:eastAsia="Times New Roman" w:hint="default"/>
                <w:sz w:val="18"/>
                <w:szCs w:val="18"/>
              </w:rPr>
              <w:t>TopDataSystemsInc.</w:t>
            </w:r>
            <w:r>
              <w:rPr>
                <w:rFonts w:ascii="宋体" w:hAnsi="宋体" w:cs="宋体" w:eastAsia="宋体" w:hint="default"/>
                <w:sz w:val="18"/>
                <w:szCs w:val="18"/>
              </w:rPr>
              <w:t>）</w:t>
            </w:r>
          </w:p>
        </w:tc>
      </w:tr>
      <w:tr>
        <w:trPr>
          <w:trHeight w:val="350" w:hRule="exact"/>
        </w:trPr>
        <w:tc>
          <w:tcPr>
            <w:tcW w:w="7722"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11" w:right="0"/>
              <w:jc w:val="left"/>
              <w:rPr>
                <w:rFonts w:ascii="宋体" w:hAnsi="宋体" w:cs="宋体" w:eastAsia="宋体" w:hint="default"/>
                <w:sz w:val="18"/>
                <w:szCs w:val="18"/>
              </w:rPr>
            </w:pPr>
            <w:r>
              <w:rPr>
                <w:rFonts w:ascii="宋体" w:hAnsi="宋体" w:cs="宋体" w:eastAsia="宋体" w:hint="default"/>
                <w:sz w:val="18"/>
                <w:szCs w:val="18"/>
              </w:rPr>
              <w:t>上海力克数码科技有限公司</w:t>
            </w:r>
          </w:p>
        </w:tc>
      </w:tr>
      <w:tr>
        <w:trPr>
          <w:trHeight w:val="353" w:hRule="exact"/>
        </w:trPr>
        <w:tc>
          <w:tcPr>
            <w:tcW w:w="7722"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极品数据系统（香港）有限公司</w:t>
            </w:r>
          </w:p>
        </w:tc>
      </w:tr>
      <w:tr>
        <w:trPr>
          <w:trHeight w:val="353" w:hRule="exact"/>
        </w:trPr>
        <w:tc>
          <w:tcPr>
            <w:tcW w:w="7722"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西安天玑力拓信息技术有限公司</w:t>
            </w:r>
          </w:p>
        </w:tc>
      </w:tr>
      <w:tr>
        <w:trPr>
          <w:trHeight w:val="350" w:hRule="exact"/>
        </w:trPr>
        <w:tc>
          <w:tcPr>
            <w:tcW w:w="7722"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11" w:right="0"/>
              <w:jc w:val="left"/>
              <w:rPr>
                <w:rFonts w:ascii="宋体" w:hAnsi="宋体" w:cs="宋体" w:eastAsia="宋体" w:hint="default"/>
                <w:sz w:val="18"/>
                <w:szCs w:val="18"/>
              </w:rPr>
            </w:pPr>
            <w:r>
              <w:rPr>
                <w:rFonts w:ascii="宋体" w:hAnsi="宋体" w:cs="宋体" w:eastAsia="宋体" w:hint="default"/>
                <w:sz w:val="18"/>
                <w:szCs w:val="18"/>
              </w:rPr>
              <w:t>上海领卓企业管理咨询有限公司</w:t>
            </w:r>
          </w:p>
        </w:tc>
      </w:tr>
      <w:tr>
        <w:trPr>
          <w:trHeight w:val="353" w:hRule="exact"/>
        </w:trPr>
        <w:tc>
          <w:tcPr>
            <w:tcW w:w="7722"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上海天玑数据技术有限公司</w:t>
            </w:r>
          </w:p>
        </w:tc>
      </w:tr>
      <w:tr>
        <w:trPr>
          <w:trHeight w:val="353" w:hRule="exact"/>
        </w:trPr>
        <w:tc>
          <w:tcPr>
            <w:tcW w:w="7722"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北京天玑力拓信息技术有限公司</w:t>
            </w:r>
          </w:p>
        </w:tc>
      </w:tr>
      <w:tr>
        <w:trPr>
          <w:trHeight w:val="351" w:hRule="exact"/>
        </w:trPr>
        <w:tc>
          <w:tcPr>
            <w:tcW w:w="7722"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11" w:right="0"/>
              <w:jc w:val="left"/>
              <w:rPr>
                <w:rFonts w:ascii="宋体" w:hAnsi="宋体" w:cs="宋体" w:eastAsia="宋体" w:hint="default"/>
                <w:sz w:val="18"/>
                <w:szCs w:val="18"/>
              </w:rPr>
            </w:pPr>
            <w:r>
              <w:rPr>
                <w:rFonts w:ascii="宋体" w:hAnsi="宋体" w:cs="宋体" w:eastAsia="宋体" w:hint="default"/>
                <w:sz w:val="18"/>
                <w:szCs w:val="18"/>
              </w:rPr>
              <w:t>杭州平民软件有限公司</w:t>
            </w:r>
          </w:p>
        </w:tc>
      </w:tr>
      <w:tr>
        <w:trPr>
          <w:trHeight w:val="353" w:hRule="exact"/>
        </w:trPr>
        <w:tc>
          <w:tcPr>
            <w:tcW w:w="7722"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杭州广捷科技有限公司</w:t>
            </w:r>
          </w:p>
        </w:tc>
      </w:tr>
      <w:tr>
        <w:trPr>
          <w:trHeight w:val="353" w:hRule="exact"/>
        </w:trPr>
        <w:tc>
          <w:tcPr>
            <w:tcW w:w="7722"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杭州鸿昇科技有限公司</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pStyle w:val="Heading2"/>
        <w:spacing w:line="240" w:lineRule="auto" w:before="26"/>
        <w:ind w:right="101"/>
        <w:jc w:val="left"/>
        <w:rPr>
          <w:b w:val="0"/>
          <w:bCs w:val="0"/>
        </w:rPr>
      </w:pPr>
      <w:r>
        <w:rPr/>
        <w:t>四、财务报表的编制基础</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01"/>
        <w:jc w:val="left"/>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6"/>
        <w:rPr>
          <w:rFonts w:ascii="宋体" w:hAnsi="宋体" w:cs="宋体" w:eastAsia="宋体" w:hint="default"/>
          <w:b/>
          <w:bCs/>
          <w:sz w:val="30"/>
          <w:szCs w:val="30"/>
        </w:rPr>
      </w:pPr>
    </w:p>
    <w:p>
      <w:pPr>
        <w:pStyle w:val="BodyText"/>
        <w:spacing w:line="386" w:lineRule="auto"/>
        <w:ind w:right="101"/>
        <w:jc w:val="left"/>
      </w:pPr>
      <w:r>
        <w:rPr>
          <w:spacing w:val="-2"/>
        </w:rPr>
        <w:t>公司以持续经营为基础，根据实际发生的交易和事项，按照财政部颁布的《企业会计准则</w:t>
      </w:r>
      <w:r>
        <w:rPr>
          <w:rFonts w:ascii="Times New Roman" w:hAnsi="Times New Roman" w:cs="Times New Roman" w:eastAsia="Times New Roman" w:hint="default"/>
          <w:spacing w:val="-2"/>
        </w:rPr>
        <w:t>——</w:t>
      </w:r>
      <w:r>
        <w:rPr>
          <w:spacing w:val="-2"/>
        </w:rPr>
        <w:t>基本准则》</w:t>
      </w:r>
      <w:r>
        <w:rPr>
          <w:spacing w:val="-21"/>
        </w:rPr>
        <w:t> </w:t>
      </w:r>
      <w:r>
        <w:rPr>
          <w:spacing w:val="-21"/>
        </w:rPr>
      </w:r>
      <w:r>
        <w:rPr/>
        <w:t>和各项具体会计准则、企业会计准则应用指南、企业会计准则解释及其他相关规定（以下合称</w:t>
      </w:r>
      <w:r>
        <w:rPr>
          <w:rFonts w:ascii="Times New Roman" w:hAnsi="Times New Roman" w:cs="Times New Roman" w:eastAsia="Times New Roman" w:hint="default"/>
        </w:rPr>
        <w:t>“</w:t>
      </w:r>
      <w:r>
        <w:rPr/>
        <w:t>企业会计</w:t>
      </w:r>
    </w:p>
    <w:p>
      <w:pPr>
        <w:spacing w:after="0" w:line="386" w:lineRule="auto"/>
        <w:jc w:val="left"/>
        <w:sectPr>
          <w:pgSz w:w="11910" w:h="16840"/>
          <w:pgMar w:header="745" w:footer="979" w:top="1060" w:bottom="1160" w:left="980" w:right="920"/>
        </w:sectPr>
      </w:pPr>
    </w:p>
    <w:p>
      <w:pPr>
        <w:spacing w:line="240" w:lineRule="auto" w:before="0"/>
        <w:rPr>
          <w:rFonts w:ascii="宋体" w:hAnsi="宋体" w:cs="宋体" w:eastAsia="宋体" w:hint="default"/>
          <w:sz w:val="20"/>
          <w:szCs w:val="20"/>
        </w:rPr>
      </w:pPr>
    </w:p>
    <w:p>
      <w:pPr>
        <w:pStyle w:val="BodyText"/>
        <w:spacing w:line="386" w:lineRule="auto" w:before="176"/>
        <w:ind w:right="214"/>
        <w:jc w:val="left"/>
      </w:pPr>
      <w:r>
        <w:rPr/>
        <w:t>准则</w:t>
      </w:r>
      <w:r>
        <w:rPr>
          <w:rFonts w:ascii="Times New Roman" w:hAnsi="Times New Roman" w:cs="Times New Roman" w:eastAsia="Times New Roman" w:hint="default"/>
        </w:rPr>
        <w:t>”</w:t>
      </w:r>
      <w:r>
        <w:rPr/>
        <w:t>），以及中国证券监督管理委员会《公开发行证券的公司信息披露编报规则第</w:t>
      </w:r>
      <w:r>
        <w:rPr>
          <w:rFonts w:ascii="Times New Roman" w:hAnsi="Times New Roman" w:cs="Times New Roman" w:eastAsia="Times New Roman" w:hint="default"/>
        </w:rPr>
        <w:t>15</w:t>
      </w:r>
      <w:r>
        <w:rPr>
          <w:rFonts w:ascii="Times New Roman" w:hAnsi="Times New Roman" w:cs="Times New Roman" w:eastAsia="Times New Roman" w:hint="default"/>
          <w:spacing w:val="24"/>
        </w:rPr>
        <w:t> </w:t>
      </w:r>
      <w:r>
        <w:rPr/>
        <w:t>号</w:t>
      </w:r>
      <w:r>
        <w:rPr>
          <w:rFonts w:ascii="Times New Roman" w:hAnsi="Times New Roman" w:cs="Times New Roman" w:eastAsia="Times New Roman" w:hint="default"/>
        </w:rPr>
        <w:t>——</w:t>
      </w:r>
      <w:r>
        <w:rPr/>
        <w:t>财务报告的</w:t>
      </w:r>
      <w:r>
        <w:rPr>
          <w:w w:val="100"/>
        </w:rPr>
        <w:t> </w:t>
      </w:r>
      <w:r>
        <w:rPr/>
        <w:t>一般规定》的披露规定编制财务报表。</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pStyle w:val="BodyText"/>
        <w:spacing w:line="571" w:lineRule="auto"/>
        <w:ind w:right="1784"/>
        <w:jc w:val="left"/>
        <w:rPr>
          <w:rFonts w:ascii="宋体" w:hAnsi="宋体" w:cs="宋体" w:eastAsia="宋体" w:hint="default"/>
        </w:rPr>
      </w:pPr>
      <w:r>
        <w:rPr>
          <w:rFonts w:ascii="Times New Roman" w:hAnsi="Times New Roman" w:cs="Times New Roman" w:eastAsia="Times New Roman" w:hint="default"/>
          <w:b/>
          <w:bCs/>
        </w:rPr>
        <w:t>2</w:t>
      </w:r>
      <w:r>
        <w:rPr>
          <w:rFonts w:ascii="宋体" w:hAnsi="宋体" w:cs="宋体" w:eastAsia="宋体" w:hint="default"/>
          <w:b/>
          <w:bCs/>
        </w:rPr>
        <w:t>、持续经营</w:t>
      </w:r>
      <w:r>
        <w:rPr>
          <w:rFonts w:ascii="宋体" w:hAnsi="宋体" w:cs="宋体" w:eastAsia="宋体" w:hint="default"/>
          <w:b/>
          <w:bCs/>
          <w:spacing w:val="-104"/>
        </w:rPr>
        <w:t> </w:t>
      </w:r>
      <w:r>
        <w:rPr/>
        <w:t>公司自本报告期末至少</w:t>
      </w:r>
      <w:r>
        <w:rPr>
          <w:rFonts w:ascii="宋体" w:hAnsi="宋体" w:cs="宋体" w:eastAsia="宋体" w:hint="default"/>
        </w:rPr>
        <w:t>12</w:t>
      </w:r>
      <w:r>
        <w:rPr/>
        <w:t>个月内具备持续经营能力，无影响持续经营能力的重大事项。</w:t>
      </w:r>
      <w:r>
        <w:rPr>
          <w:rFonts w:ascii="宋体" w:hAnsi="宋体" w:cs="宋体" w:eastAsia="宋体" w:hint="default"/>
        </w:rPr>
        <w:t> </w:t>
      </w:r>
    </w:p>
    <w:p>
      <w:pPr>
        <w:spacing w:line="240" w:lineRule="auto" w:before="0"/>
        <w:rPr>
          <w:rFonts w:ascii="宋体" w:hAnsi="宋体" w:cs="宋体" w:eastAsia="宋体" w:hint="default"/>
          <w:sz w:val="20"/>
          <w:szCs w:val="20"/>
        </w:rPr>
      </w:pPr>
    </w:p>
    <w:p>
      <w:pPr>
        <w:pStyle w:val="Heading2"/>
        <w:spacing w:line="240" w:lineRule="auto" w:before="152"/>
        <w:ind w:right="101"/>
        <w:jc w:val="left"/>
        <w:rPr>
          <w:b w:val="0"/>
          <w:bCs w:val="0"/>
        </w:rPr>
      </w:pPr>
      <w:r>
        <w:rPr/>
        <w:t>五、重要会计政策及会计估计</w:t>
      </w:r>
      <w:r>
        <w:rPr>
          <w:b w:val="0"/>
          <w:bCs w:val="0"/>
        </w:rPr>
      </w:r>
    </w:p>
    <w:p>
      <w:pPr>
        <w:spacing w:line="240" w:lineRule="auto" w:before="4"/>
        <w:rPr>
          <w:rFonts w:ascii="宋体" w:hAnsi="宋体" w:cs="宋体" w:eastAsia="宋体" w:hint="default"/>
          <w:b/>
          <w:bCs/>
          <w:sz w:val="26"/>
          <w:szCs w:val="26"/>
        </w:rPr>
      </w:pPr>
    </w:p>
    <w:p>
      <w:pPr>
        <w:spacing w:line="360" w:lineRule="auto" w:before="0"/>
        <w:ind w:left="152" w:right="6774"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spacing w:line="412" w:lineRule="auto" w:before="25"/>
        <w:ind w:left="152" w:right="101" w:firstLine="0"/>
        <w:jc w:val="left"/>
        <w:rPr>
          <w:rFonts w:ascii="宋体" w:hAnsi="宋体" w:cs="宋体" w:eastAsia="宋体" w:hint="default"/>
          <w:sz w:val="21"/>
          <w:szCs w:val="21"/>
        </w:rPr>
      </w:pPr>
      <w:r>
        <w:rPr>
          <w:rFonts w:ascii="宋体" w:hAnsi="宋体" w:cs="宋体" w:eastAsia="宋体" w:hint="default"/>
          <w:sz w:val="18"/>
          <w:szCs w:val="18"/>
        </w:rPr>
        <w:t>具体会计政策和会计估计提示： </w:t>
      </w:r>
      <w:r>
        <w:rPr>
          <w:rFonts w:ascii="宋体" w:hAnsi="宋体" w:cs="宋体" w:eastAsia="宋体" w:hint="default"/>
          <w:spacing w:val="-5"/>
          <w:sz w:val="21"/>
          <w:szCs w:val="21"/>
        </w:rPr>
        <w:t>公司所编制的财务报表符合企业会计准则的要求，真实、完整地反映了报告期公司的财务状况、经营成果、</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z w:val="21"/>
          <w:szCs w:val="21"/>
        </w:rPr>
        <w:t>现金流量等有关信息。</w:t>
      </w:r>
      <w:r>
        <w:rPr>
          <w:rFonts w:ascii="宋体" w:hAnsi="宋体" w:cs="宋体" w:eastAsia="宋体" w:hint="default"/>
          <w:sz w:val="21"/>
          <w:szCs w:val="21"/>
        </w:rPr>
        <w:t> </w:t>
      </w:r>
    </w:p>
    <w:p>
      <w:pPr>
        <w:spacing w:line="240" w:lineRule="auto" w:before="3"/>
        <w:rPr>
          <w:rFonts w:ascii="宋体" w:hAnsi="宋体" w:cs="宋体" w:eastAsia="宋体" w:hint="default"/>
          <w:sz w:val="20"/>
          <w:szCs w:val="20"/>
        </w:rPr>
      </w:pPr>
    </w:p>
    <w:p>
      <w:pPr>
        <w:pStyle w:val="Heading3"/>
        <w:spacing w:line="240" w:lineRule="auto"/>
        <w:ind w:right="101"/>
        <w:jc w:val="left"/>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right="101"/>
        <w:jc w:val="left"/>
        <w:rPr>
          <w:rFonts w:ascii="宋体" w:hAnsi="宋体" w:cs="宋体" w:eastAsia="宋体" w:hint="default"/>
        </w:rPr>
      </w:pPr>
      <w:r>
        <w:rPr>
          <w:spacing w:val="-5"/>
        </w:rPr>
        <w:t>公司所编制的财务报表符合企业会计准则的要求，真实、完整地反映了报告期公司的财务状况、经营成果、</w:t>
      </w:r>
      <w:r>
        <w:rPr>
          <w:spacing w:val="-3"/>
        </w:rPr>
        <w:t> </w:t>
      </w:r>
      <w:r>
        <w:rPr>
          <w:spacing w:val="-3"/>
        </w:rPr>
      </w:r>
      <w:r>
        <w:rPr/>
        <w:t>现金流量等有关信息。</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p>
      <w:pPr>
        <w:spacing w:line="568" w:lineRule="auto" w:before="0"/>
        <w:ind w:left="152" w:right="479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、会计期间</w:t>
      </w:r>
      <w:r>
        <w:rPr>
          <w:rFonts w:ascii="宋体" w:hAnsi="宋体" w:cs="宋体" w:eastAsia="宋体" w:hint="default"/>
          <w:b/>
          <w:bCs/>
          <w:spacing w:val="-104"/>
          <w:sz w:val="21"/>
          <w:szCs w:val="21"/>
        </w:rPr>
        <w:t> </w:t>
      </w:r>
      <w:r>
        <w:rPr>
          <w:rFonts w:ascii="宋体" w:hAnsi="宋体" w:cs="宋体" w:eastAsia="宋体" w:hint="default"/>
          <w:sz w:val="21"/>
          <w:szCs w:val="21"/>
        </w:rPr>
        <w:t>自公历</w:t>
      </w:r>
      <w:r>
        <w:rPr>
          <w:rFonts w:ascii="宋体" w:hAnsi="宋体" w:cs="宋体" w:eastAsia="宋体" w:hint="default"/>
          <w:sz w:val="21"/>
          <w:szCs w:val="21"/>
        </w:rPr>
        <w:t>1</w:t>
      </w:r>
      <w:r>
        <w:rPr>
          <w:rFonts w:ascii="宋体" w:hAnsi="宋体" w:cs="宋体" w:eastAsia="宋体" w:hint="default"/>
          <w:sz w:val="21"/>
          <w:szCs w:val="21"/>
        </w:rPr>
        <w:t>月</w:t>
      </w:r>
      <w:r>
        <w:rPr>
          <w:rFonts w:ascii="宋体" w:hAnsi="宋体" w:cs="宋体" w:eastAsia="宋体" w:hint="default"/>
          <w:sz w:val="21"/>
          <w:szCs w:val="21"/>
        </w:rPr>
        <w:t>1</w:t>
      </w:r>
      <w:r>
        <w:rPr>
          <w:rFonts w:ascii="宋体" w:hAnsi="宋体" w:cs="宋体" w:eastAsia="宋体" w:hint="default"/>
          <w:sz w:val="21"/>
          <w:szCs w:val="21"/>
        </w:rPr>
        <w:t>日至</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31</w:t>
      </w:r>
      <w:r>
        <w:rPr>
          <w:rFonts w:ascii="宋体" w:hAnsi="宋体" w:cs="宋体" w:eastAsia="宋体" w:hint="default"/>
          <w:sz w:val="21"/>
          <w:szCs w:val="21"/>
        </w:rPr>
        <w:t>日止为一个会计年度。</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p>
    <w:p>
      <w:pPr>
        <w:spacing w:line="571" w:lineRule="auto" w:before="179"/>
        <w:ind w:left="152" w:right="641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、营业周期</w:t>
      </w:r>
      <w:r>
        <w:rPr>
          <w:rFonts w:ascii="宋体" w:hAnsi="宋体" w:cs="宋体" w:eastAsia="宋体" w:hint="default"/>
          <w:b/>
          <w:bCs/>
          <w:spacing w:val="-104"/>
          <w:sz w:val="21"/>
          <w:szCs w:val="21"/>
        </w:rPr>
        <w:t> </w:t>
      </w:r>
      <w:r>
        <w:rPr>
          <w:rFonts w:ascii="宋体" w:hAnsi="宋体" w:cs="宋体" w:eastAsia="宋体" w:hint="default"/>
          <w:sz w:val="21"/>
          <w:szCs w:val="21"/>
        </w:rPr>
        <w:t>本公司营业周期为</w:t>
      </w:r>
      <w:r>
        <w:rPr>
          <w:rFonts w:ascii="宋体" w:hAnsi="宋体" w:cs="宋体" w:eastAsia="宋体" w:hint="default"/>
          <w:sz w:val="21"/>
          <w:szCs w:val="21"/>
        </w:rPr>
        <w:t>12</w:t>
      </w:r>
      <w:r>
        <w:rPr>
          <w:rFonts w:ascii="宋体" w:hAnsi="宋体" w:cs="宋体" w:eastAsia="宋体" w:hint="default"/>
          <w:sz w:val="21"/>
          <w:szCs w:val="21"/>
        </w:rPr>
        <w:t>个月。</w:t>
      </w:r>
      <w:r>
        <w:rPr>
          <w:rFonts w:ascii="宋体" w:hAnsi="宋体" w:cs="宋体" w:eastAsia="宋体" w:hint="default"/>
          <w:sz w:val="21"/>
          <w:szCs w:val="21"/>
        </w:rPr>
        <w:t> </w:t>
      </w:r>
    </w:p>
    <w:p>
      <w:pPr>
        <w:spacing w:line="506" w:lineRule="auto" w:before="126"/>
        <w:ind w:left="152" w:right="641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、记账本位币</w:t>
      </w:r>
      <w:r>
        <w:rPr>
          <w:rFonts w:ascii="宋体" w:hAnsi="宋体" w:cs="宋体" w:eastAsia="宋体" w:hint="default"/>
          <w:b/>
          <w:bCs/>
          <w:spacing w:val="-103"/>
          <w:sz w:val="21"/>
          <w:szCs w:val="21"/>
        </w:rPr>
        <w:t> </w:t>
      </w:r>
      <w:r>
        <w:rPr>
          <w:rFonts w:ascii="宋体" w:hAnsi="宋体" w:cs="宋体" w:eastAsia="宋体" w:hint="default"/>
          <w:spacing w:val="-2"/>
          <w:sz w:val="21"/>
          <w:szCs w:val="21"/>
        </w:rPr>
        <w:t>本公司采用人民币为记账本位币。</w:t>
      </w:r>
    </w:p>
    <w:p>
      <w:pPr>
        <w:spacing w:line="571" w:lineRule="auto" w:before="104"/>
        <w:ind w:left="152" w:right="10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、同一控制下和非同一控制下企业合并的会计处理方法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同一控制下企业合并：本公司在企业合并中取得的资产和负债，按照合并日被合并方资产、负债（包括最</w:t>
      </w:r>
    </w:p>
    <w:p>
      <w:pPr>
        <w:spacing w:after="0" w:line="571" w:lineRule="auto"/>
        <w:jc w:val="left"/>
        <w:rPr>
          <w:rFonts w:ascii="宋体" w:hAnsi="宋体" w:cs="宋体" w:eastAsia="宋体" w:hint="default"/>
          <w:sz w:val="21"/>
          <w:szCs w:val="21"/>
        </w:rPr>
        <w:sectPr>
          <w:pgSz w:w="11910" w:h="16840"/>
          <w:pgMar w:header="745" w:footer="979" w:top="1060" w:bottom="1160" w:left="980" w:right="920"/>
        </w:sectPr>
      </w:pPr>
    </w:p>
    <w:p>
      <w:pPr>
        <w:spacing w:line="240" w:lineRule="auto" w:before="0"/>
        <w:rPr>
          <w:rFonts w:ascii="宋体" w:hAnsi="宋体" w:cs="宋体" w:eastAsia="宋体" w:hint="default"/>
          <w:sz w:val="20"/>
          <w:szCs w:val="20"/>
        </w:rPr>
      </w:pPr>
    </w:p>
    <w:p>
      <w:pPr>
        <w:pStyle w:val="BodyText"/>
        <w:spacing w:line="408" w:lineRule="auto" w:before="176"/>
        <w:ind w:right="101"/>
        <w:jc w:val="left"/>
        <w:rPr>
          <w:rFonts w:ascii="宋体" w:hAnsi="宋体" w:cs="宋体" w:eastAsia="宋体" w:hint="default"/>
        </w:rPr>
      </w:pPr>
      <w:r>
        <w:rPr>
          <w:spacing w:val="-2"/>
        </w:rPr>
        <w:t>终控制方收购被合并方而形成的商誉）在最终控制方合并财务报表中的账面价值计量。在合并中取得的净</w:t>
      </w:r>
      <w:r>
        <w:rPr>
          <w:spacing w:val="-43"/>
        </w:rPr>
        <w:t> </w:t>
      </w:r>
      <w:r>
        <w:rPr>
          <w:spacing w:val="-43"/>
        </w:rPr>
      </w:r>
      <w:r>
        <w:rPr/>
        <w:t>资产账面价值与支付的合并对价账面价值（或发行股份面值总额）的差额，调整资本公积中的股本溢价，</w:t>
      </w:r>
      <w:r>
        <w:rPr>
          <w:w w:val="100"/>
        </w:rPr>
        <w:t> </w:t>
      </w:r>
      <w:r>
        <w:rPr/>
        <w:t>资本公积中的股本溢价不足冲减的，调整留存收益。</w:t>
      </w:r>
      <w:r>
        <w:rPr>
          <w:rFonts w:ascii="宋体" w:hAnsi="宋体" w:cs="宋体" w:eastAsia="宋体" w:hint="default"/>
          <w:w w:val="100"/>
        </w:rPr>
        <w:t> </w:t>
      </w:r>
      <w:r>
        <w:rPr/>
        <w:t>非同一控制下企业合并：本公司在购买日对作为企业合并对价付出的资产、发生或承担的负债按照公允价</w:t>
      </w:r>
      <w:r>
        <w:rPr>
          <w:w w:val="100"/>
        </w:rPr>
        <w:t> </w:t>
      </w:r>
      <w:r>
        <w:rPr>
          <w:spacing w:val="-2"/>
        </w:rPr>
        <w:t>值计量，公允价值与其账面价值的差额，计入当期损益。本公司对合并成本大于合并中取得的被购买方可</w:t>
      </w:r>
      <w:r>
        <w:rPr>
          <w:spacing w:val="-44"/>
        </w:rPr>
        <w:t> </w:t>
      </w:r>
      <w:r>
        <w:rPr>
          <w:spacing w:val="-44"/>
        </w:rPr>
      </w:r>
      <w:r>
        <w:rPr>
          <w:spacing w:val="-2"/>
        </w:rPr>
        <w:t>辨认净资产公允价值份额的差额，确认为商誉；合并成本小于合并中取得的被购买方可辨认净资产公允价</w:t>
      </w:r>
      <w:r>
        <w:rPr>
          <w:spacing w:val="-43"/>
        </w:rPr>
        <w:t> </w:t>
      </w:r>
      <w:r>
        <w:rPr>
          <w:spacing w:val="-43"/>
        </w:rPr>
      </w:r>
      <w:r>
        <w:rPr/>
        <w:t>值份额的差额，经复核后，计入当期损益。</w:t>
      </w:r>
      <w:r>
        <w:rPr>
          <w:rFonts w:ascii="宋体" w:hAnsi="宋体" w:cs="宋体" w:eastAsia="宋体" w:hint="default"/>
          <w:w w:val="100"/>
        </w:rPr>
        <w:t> </w:t>
      </w:r>
      <w:r>
        <w:rPr>
          <w:spacing w:val="-5"/>
        </w:rPr>
        <w:t>为企业合并发生的审计、法律服务、评估咨询等中介费用以及其他直接相关费用，于发生时计入当期损益；</w:t>
      </w:r>
      <w:r>
        <w:rPr>
          <w:spacing w:val="-3"/>
        </w:rPr>
        <w:t> </w:t>
      </w:r>
      <w:r>
        <w:rPr>
          <w:spacing w:val="-3"/>
        </w:rPr>
      </w:r>
      <w:r>
        <w:rPr/>
        <w:t>为企业合并而发行权益性证券的交易费用，冲减权益。</w:t>
      </w:r>
      <w:r>
        <w:rPr>
          <w:rFonts w:ascii="宋体" w:hAnsi="宋体" w:cs="宋体" w:eastAsia="宋体" w:hint="default"/>
        </w:rPr>
        <w:t> </w:t>
      </w:r>
    </w:p>
    <w:p>
      <w:pPr>
        <w:spacing w:line="240" w:lineRule="auto" w:before="8"/>
        <w:rPr>
          <w:rFonts w:ascii="宋体" w:hAnsi="宋体" w:cs="宋体" w:eastAsia="宋体" w:hint="default"/>
          <w:sz w:val="20"/>
          <w:szCs w:val="20"/>
        </w:rPr>
      </w:pPr>
    </w:p>
    <w:p>
      <w:pPr>
        <w:pStyle w:val="Heading3"/>
        <w:spacing w:line="240" w:lineRule="auto"/>
        <w:ind w:right="101"/>
        <w:jc w:val="left"/>
        <w:rPr>
          <w:b w:val="0"/>
          <w:bCs w:val="0"/>
        </w:rPr>
      </w:pPr>
      <w:r>
        <w:rPr>
          <w:rFonts w:ascii="Times New Roman" w:hAnsi="Times New Roman" w:cs="Times New Roman" w:eastAsia="Times New Roman" w:hint="default"/>
        </w:rPr>
        <w:t>6</w:t>
      </w:r>
      <w:r>
        <w:rPr/>
        <w:t>、</w:t>
      </w:r>
      <w:r>
        <w:rPr>
          <w:spacing w:val="-61"/>
        </w:rPr>
        <w:t> </w:t>
      </w:r>
      <w:r>
        <w:rPr/>
        <w:t>合并财务报表的编制方法</w:t>
      </w:r>
      <w:r>
        <w:rPr>
          <w:b w:val="0"/>
          <w:bCs w:val="0"/>
        </w:rPr>
      </w:r>
    </w:p>
    <w:p>
      <w:pPr>
        <w:spacing w:line="240" w:lineRule="auto" w:before="10"/>
        <w:rPr>
          <w:rFonts w:ascii="宋体" w:hAnsi="宋体" w:cs="宋体" w:eastAsia="宋体" w:hint="default"/>
          <w:b/>
          <w:bCs/>
          <w:sz w:val="24"/>
          <w:szCs w:val="24"/>
        </w:rPr>
      </w:pPr>
    </w:p>
    <w:p>
      <w:pPr>
        <w:pStyle w:val="BodyText"/>
        <w:spacing w:line="338" w:lineRule="auto"/>
        <w:ind w:right="101"/>
        <w:jc w:val="left"/>
      </w:pPr>
      <w:r>
        <w:rPr>
          <w:rFonts w:ascii="宋体" w:hAnsi="宋体" w:cs="宋体" w:eastAsia="宋体" w:hint="default"/>
          <w:b/>
          <w:bCs/>
        </w:rPr>
        <w:t>1</w:t>
      </w:r>
      <w:r>
        <w:rPr>
          <w:rFonts w:ascii="宋体" w:hAnsi="宋体" w:cs="宋体" w:eastAsia="宋体" w:hint="default"/>
          <w:b/>
          <w:bCs/>
        </w:rPr>
        <w:t>、合并范围</w:t>
      </w:r>
      <w:r>
        <w:rPr>
          <w:rFonts w:ascii="宋体" w:hAnsi="宋体" w:cs="宋体" w:eastAsia="宋体" w:hint="default"/>
          <w:b/>
          <w:bCs/>
          <w:w w:val="100"/>
        </w:rPr>
        <w:t> </w:t>
      </w:r>
      <w:r>
        <w:rPr>
          <w:spacing w:val="-2"/>
        </w:rPr>
        <w:t>本公司合并财务报表的合并范围以控制为基础确定，所有子公司（包括本公司所控制的被投资方可分割的</w:t>
      </w:r>
    </w:p>
    <w:p>
      <w:pPr>
        <w:pStyle w:val="BodyText"/>
        <w:spacing w:line="240" w:lineRule="auto" w:before="107"/>
        <w:ind w:right="101"/>
        <w:jc w:val="left"/>
        <w:rPr>
          <w:rFonts w:ascii="宋体" w:hAnsi="宋体" w:cs="宋体" w:eastAsia="宋体" w:hint="default"/>
        </w:rPr>
      </w:pPr>
      <w:r>
        <w:rPr/>
        <w:t>部分）均纳入合并财务报表。</w:t>
      </w:r>
      <w:r>
        <w:rPr>
          <w:rFonts w:ascii="宋体" w:hAnsi="宋体" w:cs="宋体" w:eastAsia="宋体" w:hint="default"/>
        </w:rPr>
        <w:t> </w:t>
      </w:r>
    </w:p>
    <w:p>
      <w:pPr>
        <w:spacing w:line="240" w:lineRule="auto" w:before="0"/>
        <w:rPr>
          <w:rFonts w:ascii="宋体" w:hAnsi="宋体" w:cs="宋体" w:eastAsia="宋体" w:hint="default"/>
          <w:sz w:val="20"/>
          <w:szCs w:val="20"/>
        </w:rPr>
      </w:pPr>
    </w:p>
    <w:p>
      <w:pPr>
        <w:pStyle w:val="BodyText"/>
        <w:spacing w:line="338" w:lineRule="auto" w:before="167"/>
        <w:ind w:right="101"/>
        <w:jc w:val="left"/>
      </w:pPr>
      <w:r>
        <w:rPr>
          <w:rFonts w:ascii="宋体" w:hAnsi="宋体" w:cs="宋体" w:eastAsia="宋体" w:hint="default"/>
          <w:b/>
          <w:bCs/>
        </w:rPr>
        <w:t>2</w:t>
      </w:r>
      <w:r>
        <w:rPr>
          <w:rFonts w:ascii="宋体" w:hAnsi="宋体" w:cs="宋体" w:eastAsia="宋体" w:hint="default"/>
          <w:b/>
          <w:bCs/>
        </w:rPr>
        <w:t>、</w:t>
      </w:r>
      <w:r>
        <w:rPr>
          <w:rFonts w:ascii="宋体" w:hAnsi="宋体" w:cs="宋体" w:eastAsia="宋体" w:hint="default"/>
          <w:b/>
          <w:bCs/>
          <w:spacing w:val="-63"/>
        </w:rPr>
        <w:t> </w:t>
      </w:r>
      <w:r>
        <w:rPr>
          <w:rFonts w:ascii="宋体" w:hAnsi="宋体" w:cs="宋体" w:eastAsia="宋体" w:hint="default"/>
          <w:b/>
          <w:bCs/>
        </w:rPr>
        <w:t>合并程序</w:t>
      </w:r>
      <w:r>
        <w:rPr>
          <w:rFonts w:ascii="宋体" w:hAnsi="宋体" w:cs="宋体" w:eastAsia="宋体" w:hint="default"/>
          <w:b/>
          <w:bCs/>
          <w:w w:val="100"/>
        </w:rPr>
        <w:t> </w:t>
      </w:r>
      <w:r>
        <w:rPr>
          <w:spacing w:val="-2"/>
        </w:rPr>
        <w:t>本公司以自身和各子公司的财务报表为基础，根据其他有关资料，编制合并财务报表。本公司编制合并财</w:t>
      </w:r>
    </w:p>
    <w:p>
      <w:pPr>
        <w:pStyle w:val="BodyText"/>
        <w:spacing w:line="408" w:lineRule="auto" w:before="107"/>
        <w:ind w:right="101"/>
        <w:jc w:val="left"/>
        <w:rPr>
          <w:rFonts w:ascii="宋体" w:hAnsi="宋体" w:cs="宋体" w:eastAsia="宋体" w:hint="default"/>
        </w:rPr>
      </w:pPr>
      <w:r>
        <w:rPr>
          <w:spacing w:val="-2"/>
        </w:rPr>
        <w:t>务报表，将整个企业集团视为一个会计主体，依据相关企业会计准则的确认、计量和列报要求，按照统一</w:t>
      </w:r>
      <w:r>
        <w:rPr>
          <w:spacing w:val="-47"/>
        </w:rPr>
        <w:t> </w:t>
      </w:r>
      <w:r>
        <w:rPr>
          <w:spacing w:val="-47"/>
        </w:rPr>
      </w:r>
      <w:r>
        <w:rPr/>
        <w:t>的会计政策，反映本企业集团整体财务状况、经营成果和现金流量。</w:t>
      </w:r>
      <w:r>
        <w:rPr>
          <w:rFonts w:ascii="宋体" w:hAnsi="宋体" w:cs="宋体" w:eastAsia="宋体" w:hint="default"/>
          <w:w w:val="100"/>
        </w:rPr>
        <w:t> </w:t>
      </w:r>
      <w:r>
        <w:rPr>
          <w:spacing w:val="-2"/>
        </w:rPr>
        <w:t>所有纳入合并财务报表合并范围的子公司所采用的会计政策、会计期间与本公司一致，如子公司采用的会</w:t>
      </w:r>
      <w:r>
        <w:rPr>
          <w:spacing w:val="-42"/>
        </w:rPr>
        <w:t> </w:t>
      </w:r>
      <w:r>
        <w:rPr>
          <w:spacing w:val="-42"/>
        </w:rPr>
      </w:r>
      <w:r>
        <w:rPr>
          <w:spacing w:val="-2"/>
        </w:rPr>
        <w:t>计政策、会计期间与本公司不一致的，在编制合并财务报表时，按本公司的会计政策、会计期间进行必要</w:t>
      </w:r>
      <w:r>
        <w:rPr>
          <w:spacing w:val="-50"/>
        </w:rPr>
        <w:t> </w:t>
      </w:r>
      <w:r>
        <w:rPr>
          <w:spacing w:val="-50"/>
        </w:rPr>
      </w:r>
      <w:r>
        <w:rPr>
          <w:spacing w:val="-2"/>
        </w:rPr>
        <w:t>的调整。对于非同一控制下企业合并取得的子公司，以购买日可辨认净资产公允价值为基础对其财务报表</w:t>
      </w:r>
      <w:r>
        <w:rPr>
          <w:spacing w:val="-43"/>
        </w:rPr>
        <w:t> </w:t>
      </w:r>
      <w:r>
        <w:rPr>
          <w:spacing w:val="-43"/>
        </w:rPr>
      </w:r>
      <w:r>
        <w:rPr>
          <w:spacing w:val="-2"/>
        </w:rPr>
        <w:t>进行调整。对于同一控制下企业合并取得的子公司，以其资产、负债（包括最终控制方收购该子公司而形</w:t>
      </w:r>
      <w:r>
        <w:rPr>
          <w:spacing w:val="-44"/>
        </w:rPr>
        <w:t> </w:t>
      </w:r>
      <w:r>
        <w:rPr>
          <w:spacing w:val="-44"/>
        </w:rPr>
      </w:r>
      <w:r>
        <w:rPr/>
        <w:t>成的商誉）在最终控制方财务报表中的账面价值为基础对其财务报表进行调整。</w:t>
      </w:r>
      <w:r>
        <w:rPr>
          <w:rFonts w:ascii="宋体" w:hAnsi="宋体" w:cs="宋体" w:eastAsia="宋体" w:hint="default"/>
          <w:w w:val="100"/>
        </w:rPr>
        <w:t> </w:t>
      </w:r>
      <w:r>
        <w:rPr>
          <w:spacing w:val="-2"/>
        </w:rPr>
        <w:t>子公司所有者权益、当期净损益和当期综合收益中属于少数股东的份额分别在合并资产负债表中所有者权</w:t>
      </w:r>
      <w:r>
        <w:rPr>
          <w:spacing w:val="-43"/>
        </w:rPr>
        <w:t> </w:t>
      </w:r>
      <w:r>
        <w:rPr>
          <w:spacing w:val="-43"/>
        </w:rPr>
      </w:r>
      <w:r>
        <w:rPr>
          <w:spacing w:val="-2"/>
        </w:rPr>
        <w:t>益项目下、合并利润表中净利润项目下和综合收益总额项目下单独列示。子公司少数股东分担的当期亏损</w:t>
      </w:r>
      <w:r>
        <w:rPr>
          <w:spacing w:val="-43"/>
        </w:rPr>
        <w:t> </w:t>
      </w:r>
      <w:r>
        <w:rPr>
          <w:spacing w:val="-43"/>
        </w:rPr>
      </w:r>
      <w:r>
        <w:rPr/>
        <w:t>超过了少数股东在该子公司期初所有者权益中所享有份额而形成的余额，冲减少数股东权益。</w:t>
      </w:r>
      <w:r>
        <w:rPr>
          <w:rFonts w:ascii="宋体" w:hAnsi="宋体" w:cs="宋体" w:eastAsia="宋体" w:hint="default"/>
        </w:rPr>
        <w:t> </w:t>
      </w:r>
    </w:p>
    <w:p>
      <w:pPr>
        <w:pStyle w:val="BodyText"/>
        <w:spacing w:line="408" w:lineRule="auto" w:before="46"/>
        <w:ind w:right="101"/>
        <w:jc w:val="left"/>
      </w:pPr>
      <w:r>
        <w:rPr/>
        <w:t>（</w:t>
      </w:r>
      <w:r>
        <w:rPr>
          <w:rFonts w:ascii="宋体" w:hAnsi="宋体" w:cs="宋体" w:eastAsia="宋体" w:hint="default"/>
        </w:rPr>
        <w:t>1</w:t>
      </w:r>
      <w:r>
        <w:rPr/>
        <w:t>）增加子公司或业务</w:t>
      </w:r>
      <w:r>
        <w:rPr>
          <w:rFonts w:ascii="宋体" w:hAnsi="宋体" w:cs="宋体" w:eastAsia="宋体" w:hint="default"/>
          <w:w w:val="100"/>
        </w:rPr>
        <w:t> </w:t>
      </w:r>
      <w:r>
        <w:rPr>
          <w:spacing w:val="-2"/>
        </w:rPr>
        <w:t>在报告期内，若因同一控制下企业合并增加子公司或业务的，则调整合并资产负债表的期初数；将子公司</w:t>
      </w:r>
      <w:r>
        <w:rPr>
          <w:spacing w:val="-43"/>
        </w:rPr>
        <w:t> </w:t>
      </w:r>
      <w:r>
        <w:rPr>
          <w:spacing w:val="-43"/>
        </w:rPr>
      </w:r>
      <w:r>
        <w:rPr>
          <w:spacing w:val="-2"/>
        </w:rPr>
        <w:t>或业务合并当期期初至报告期末的收入、费用、利润纳入合并利润表；将子公司或业务合并当期期初至报</w:t>
      </w:r>
      <w:r>
        <w:rPr>
          <w:spacing w:val="-43"/>
        </w:rPr>
        <w:t> </w:t>
      </w:r>
      <w:r>
        <w:rPr>
          <w:spacing w:val="-43"/>
        </w:rPr>
      </w:r>
      <w:r>
        <w:rPr>
          <w:spacing w:val="-2"/>
        </w:rPr>
        <w:t>告期末的现金流量纳入合并现金流量表，同时对比较报表的相关项目进行调整，视同合并后的报告主体自</w:t>
      </w:r>
    </w:p>
    <w:p>
      <w:pPr>
        <w:spacing w:after="0" w:line="408" w:lineRule="auto"/>
        <w:jc w:val="left"/>
        <w:sectPr>
          <w:pgSz w:w="11910" w:h="16840"/>
          <w:pgMar w:header="745" w:footer="979" w:top="1060" w:bottom="1160" w:left="980" w:right="920"/>
        </w:sectPr>
      </w:pPr>
    </w:p>
    <w:p>
      <w:pPr>
        <w:spacing w:line="240" w:lineRule="auto" w:before="0"/>
        <w:rPr>
          <w:rFonts w:ascii="宋体" w:hAnsi="宋体" w:cs="宋体" w:eastAsia="宋体" w:hint="default"/>
          <w:sz w:val="20"/>
          <w:szCs w:val="20"/>
        </w:rPr>
      </w:pPr>
    </w:p>
    <w:p>
      <w:pPr>
        <w:pStyle w:val="BodyText"/>
        <w:spacing w:line="408" w:lineRule="auto" w:before="176"/>
        <w:ind w:right="101"/>
        <w:jc w:val="left"/>
        <w:rPr>
          <w:rFonts w:ascii="宋体" w:hAnsi="宋体" w:cs="宋体" w:eastAsia="宋体" w:hint="default"/>
        </w:rPr>
      </w:pPr>
      <w:r>
        <w:rPr/>
        <w:t>最终控制方开始控制时点起一直存在。</w:t>
      </w:r>
      <w:r>
        <w:rPr>
          <w:rFonts w:ascii="宋体" w:hAnsi="宋体" w:cs="宋体" w:eastAsia="宋体" w:hint="default"/>
          <w:w w:val="100"/>
        </w:rPr>
        <w:t> </w:t>
      </w:r>
      <w:r>
        <w:rPr>
          <w:spacing w:val="-2"/>
        </w:rPr>
        <w:t>因追加投资等原因能够对同一控制下的被投资方实施控制的，视同参与合并的各方在最终控制方开始控制</w:t>
      </w:r>
      <w:r>
        <w:rPr>
          <w:spacing w:val="-43"/>
        </w:rPr>
        <w:t> </w:t>
      </w:r>
      <w:r>
        <w:rPr>
          <w:spacing w:val="-43"/>
        </w:rPr>
      </w:r>
      <w:r>
        <w:rPr>
          <w:spacing w:val="-2"/>
        </w:rPr>
        <w:t>时即以目前的状态存在进行调整。在取得被合并方控制权之前持有的股权投资，在取得原股权之日与合并</w:t>
      </w:r>
      <w:r>
        <w:rPr>
          <w:spacing w:val="-44"/>
        </w:rPr>
        <w:t> </w:t>
      </w:r>
      <w:r>
        <w:rPr>
          <w:spacing w:val="-44"/>
        </w:rPr>
      </w:r>
      <w:r>
        <w:rPr>
          <w:spacing w:val="-2"/>
        </w:rPr>
        <w:t>方和被合并方同处于同一控制之日孰晚日起至合并日之间已确认有关损益、其他综合收益以及其他净资产</w:t>
      </w:r>
      <w:r>
        <w:rPr>
          <w:spacing w:val="-43"/>
        </w:rPr>
        <w:t> </w:t>
      </w:r>
      <w:r>
        <w:rPr>
          <w:spacing w:val="-43"/>
        </w:rPr>
      </w:r>
      <w:r>
        <w:rPr/>
        <w:t>变动，分别冲减比较报表期间的期初留存收益或当期损益。</w:t>
      </w:r>
      <w:r>
        <w:rPr>
          <w:rFonts w:ascii="宋体" w:hAnsi="宋体" w:cs="宋体" w:eastAsia="宋体" w:hint="default"/>
          <w:w w:val="100"/>
        </w:rPr>
        <w:t> </w:t>
      </w:r>
      <w:r>
        <w:rPr>
          <w:spacing w:val="-2"/>
        </w:rPr>
        <w:t>在报告期内，若因非同一控制下企业合并增加子公司或业务的，则不调整合并资产负债表期初数；将该子</w:t>
      </w:r>
      <w:r>
        <w:rPr>
          <w:spacing w:val="-43"/>
        </w:rPr>
        <w:t> </w:t>
      </w:r>
      <w:r>
        <w:rPr>
          <w:spacing w:val="-43"/>
        </w:rPr>
      </w:r>
      <w:r>
        <w:rPr>
          <w:spacing w:val="-2"/>
        </w:rPr>
        <w:t>公司或业务自购买日至报告期末的收入、费用、利润纳入合并利润表；该子公司或业务自购买日至报告期</w:t>
      </w:r>
      <w:r>
        <w:rPr>
          <w:spacing w:val="-43"/>
        </w:rPr>
        <w:t> </w:t>
      </w:r>
      <w:r>
        <w:rPr>
          <w:spacing w:val="-43"/>
        </w:rPr>
      </w:r>
      <w:r>
        <w:rPr/>
        <w:t>末的现金流量纳入合并现金流量表。</w:t>
      </w:r>
      <w:r>
        <w:rPr>
          <w:rFonts w:ascii="宋体" w:hAnsi="宋体" w:cs="宋体" w:eastAsia="宋体" w:hint="default"/>
          <w:w w:val="100"/>
        </w:rPr>
        <w:t> </w:t>
      </w:r>
      <w:r>
        <w:rPr>
          <w:spacing w:val="-2"/>
        </w:rPr>
        <w:t>因追加投资等原因能够对非同一控制下的被投资方实施控制的，对于购买日之前持有的被购买方的股权，</w:t>
      </w:r>
      <w:r>
        <w:rPr>
          <w:spacing w:val="-21"/>
        </w:rPr>
        <w:t> </w:t>
      </w:r>
      <w:r>
        <w:rPr>
          <w:spacing w:val="-21"/>
        </w:rPr>
      </w:r>
      <w:r>
        <w:rPr>
          <w:spacing w:val="-2"/>
        </w:rPr>
        <w:t>本公司按照该股权在购买日的公允价值进行重新计量，公允价值与其账面价值的差额计入当期投资收益。</w:t>
      </w:r>
      <w:r>
        <w:rPr>
          <w:spacing w:val="-21"/>
        </w:rPr>
        <w:t> </w:t>
      </w:r>
      <w:r>
        <w:rPr>
          <w:spacing w:val="-21"/>
        </w:rPr>
      </w:r>
      <w:r>
        <w:rPr>
          <w:spacing w:val="-2"/>
        </w:rPr>
        <w:t>购买日之前持有的被购买方的股权涉及权益法核算下的其他综合收益以及除净损益、其他综合收益和利润</w:t>
      </w:r>
      <w:r>
        <w:rPr>
          <w:spacing w:val="-43"/>
        </w:rPr>
        <w:t> </w:t>
      </w:r>
      <w:r>
        <w:rPr>
          <w:spacing w:val="-43"/>
        </w:rPr>
      </w:r>
      <w:r>
        <w:rPr>
          <w:spacing w:val="-2"/>
        </w:rPr>
        <w:t>分配之外的其他所有者权益变动的，与其相关的其他综合收益、其他所有者权益变动转为购买日所属当期</w:t>
      </w:r>
      <w:r>
        <w:rPr>
          <w:spacing w:val="-43"/>
        </w:rPr>
        <w:t> </w:t>
      </w:r>
      <w:r>
        <w:rPr>
          <w:spacing w:val="-43"/>
        </w:rPr>
      </w:r>
      <w:r>
        <w:rPr/>
        <w:t>投资收益，由于被投资方重新计量设定受益计划净负债或净资产变动而产生的其他综合收益除外。</w:t>
      </w:r>
      <w:r>
        <w:rPr>
          <w:rFonts w:ascii="宋体" w:hAnsi="宋体" w:cs="宋体" w:eastAsia="宋体" w:hint="default"/>
        </w:rPr>
        <w:t> </w:t>
      </w:r>
    </w:p>
    <w:p>
      <w:pPr>
        <w:pStyle w:val="BodyText"/>
        <w:spacing w:line="240" w:lineRule="auto" w:before="46"/>
        <w:ind w:right="101"/>
        <w:jc w:val="left"/>
        <w:rPr>
          <w:rFonts w:ascii="宋体" w:hAnsi="宋体" w:cs="宋体" w:eastAsia="宋体" w:hint="default"/>
        </w:rPr>
      </w:pPr>
      <w:r>
        <w:rPr/>
        <w:t>（</w:t>
      </w:r>
      <w:r>
        <w:rPr>
          <w:rFonts w:ascii="宋体" w:hAnsi="宋体" w:cs="宋体" w:eastAsia="宋体" w:hint="default"/>
        </w:rPr>
        <w:t>2</w:t>
      </w:r>
      <w:r>
        <w:rPr/>
        <w:t>）处置子公司或业务</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408" w:lineRule="auto"/>
        <w:ind w:right="101"/>
        <w:jc w:val="left"/>
        <w:rPr>
          <w:rFonts w:ascii="宋体" w:hAnsi="宋体" w:cs="宋体" w:eastAsia="宋体" w:hint="default"/>
        </w:rPr>
      </w:pPr>
      <w:r>
        <w:rPr/>
        <w:t>①一般处理方法</w:t>
      </w:r>
      <w:r>
        <w:rPr>
          <w:rFonts w:ascii="宋体" w:hAnsi="宋体" w:cs="宋体" w:eastAsia="宋体" w:hint="default"/>
          <w:w w:val="100"/>
        </w:rPr>
        <w:t> </w:t>
      </w:r>
      <w:r>
        <w:rPr>
          <w:spacing w:val="-2"/>
        </w:rPr>
        <w:t>在报告期内，本公司处置子公司或业务，则该子公司或业务期初至处置日的收入、费用、利润纳入合并利</w:t>
      </w:r>
      <w:r>
        <w:rPr>
          <w:spacing w:val="-47"/>
        </w:rPr>
        <w:t> </w:t>
      </w:r>
      <w:r>
        <w:rPr>
          <w:spacing w:val="-47"/>
        </w:rPr>
      </w:r>
      <w:r>
        <w:rPr/>
        <w:t>润表；该子公司或业务期初至处置日的现金流量纳入合并现金流量表。</w:t>
      </w:r>
      <w:r>
        <w:rPr>
          <w:rFonts w:ascii="宋体" w:hAnsi="宋体" w:cs="宋体" w:eastAsia="宋体" w:hint="default"/>
          <w:w w:val="100"/>
        </w:rPr>
        <w:t> </w:t>
      </w:r>
      <w:r>
        <w:rPr>
          <w:spacing w:val="-2"/>
        </w:rPr>
        <w:t>因处置部分股权投资或其他原因丧失了对被投资方控制权时，对于处置后的剩余股权投资，本公司按照其</w:t>
      </w:r>
      <w:r>
        <w:rPr>
          <w:spacing w:val="-42"/>
        </w:rPr>
        <w:t> </w:t>
      </w:r>
      <w:r>
        <w:rPr>
          <w:spacing w:val="-42"/>
        </w:rPr>
      </w:r>
      <w:r>
        <w:rPr>
          <w:spacing w:val="-2"/>
        </w:rPr>
        <w:t>在丧失控制权日的公允价值进行重新计量。处置股权取得的对价与剩余股权公允价值之和，减去按原持股</w:t>
      </w:r>
      <w:r>
        <w:rPr>
          <w:spacing w:val="-43"/>
        </w:rPr>
        <w:t> </w:t>
      </w:r>
      <w:r>
        <w:rPr>
          <w:spacing w:val="-43"/>
        </w:rPr>
      </w:r>
      <w:r>
        <w:rPr>
          <w:spacing w:val="-2"/>
        </w:rPr>
        <w:t>比例计算应享有原有子公司自购买日或合并日开始持续计算的净资产的份额与商誉之和的差额，计入丧失</w:t>
      </w:r>
      <w:r>
        <w:rPr>
          <w:spacing w:val="-43"/>
        </w:rPr>
        <w:t> </w:t>
      </w:r>
      <w:r>
        <w:rPr>
          <w:spacing w:val="-43"/>
        </w:rPr>
      </w:r>
      <w:r>
        <w:rPr>
          <w:spacing w:val="-2"/>
        </w:rPr>
        <w:t>控制权当期的投资收益。与原有子公司股权投资相关的其他综合收益或除净损益、其他综合收益及利润分</w:t>
      </w:r>
      <w:r>
        <w:rPr>
          <w:spacing w:val="-42"/>
        </w:rPr>
        <w:t> </w:t>
      </w:r>
      <w:r>
        <w:rPr>
          <w:spacing w:val="-42"/>
        </w:rPr>
      </w:r>
      <w:r>
        <w:rPr>
          <w:spacing w:val="-2"/>
        </w:rPr>
        <w:t>配之外的其他所有者权益变动，在丧失控制权时转为当期投资收益，由于被投资方重新计量设定受益计划</w:t>
      </w:r>
      <w:r>
        <w:rPr>
          <w:spacing w:val="-43"/>
        </w:rPr>
        <w:t> </w:t>
      </w:r>
      <w:r>
        <w:rPr>
          <w:spacing w:val="-43"/>
        </w:rPr>
      </w:r>
      <w:r>
        <w:rPr/>
        <w:t>净负债或净资产变动而产生的其他综合收益除外。</w:t>
      </w:r>
      <w:r>
        <w:rPr>
          <w:rFonts w:ascii="宋体" w:hAnsi="宋体" w:cs="宋体" w:eastAsia="宋体" w:hint="default"/>
          <w:w w:val="100"/>
        </w:rPr>
        <w:t> </w:t>
      </w:r>
      <w:r>
        <w:rPr>
          <w:spacing w:val="-2"/>
        </w:rPr>
        <w:t>因其他投资方对子公司增资而导致本公司持股比例下降从而丧失控制权的，按照上述原则进行会计处理。</w:t>
      </w:r>
      <w:r>
        <w:rPr>
          <w:rFonts w:ascii="宋体" w:hAnsi="宋体" w:cs="宋体" w:eastAsia="宋体" w:hint="default"/>
        </w:rPr>
        <w:t> </w:t>
      </w:r>
    </w:p>
    <w:p>
      <w:pPr>
        <w:pStyle w:val="BodyText"/>
        <w:spacing w:line="408" w:lineRule="auto" w:before="46"/>
        <w:ind w:right="174"/>
        <w:jc w:val="left"/>
        <w:rPr>
          <w:rFonts w:ascii="宋体" w:hAnsi="宋体" w:cs="宋体" w:eastAsia="宋体" w:hint="default"/>
        </w:rPr>
      </w:pPr>
      <w:r>
        <w:rPr/>
        <w:t>②分步处置子公司</w:t>
      </w:r>
      <w:r>
        <w:rPr>
          <w:rFonts w:ascii="宋体" w:hAnsi="宋体" w:cs="宋体" w:eastAsia="宋体" w:hint="default"/>
          <w:w w:val="100"/>
        </w:rPr>
        <w:t> </w:t>
      </w:r>
      <w:r>
        <w:rPr/>
        <w:t>通过多次交易分步处置对子公司股权投资直至丧失控制权的，处置对子公司股权投资的各项交易的条款、</w:t>
      </w:r>
      <w:r>
        <w:rPr>
          <w:w w:val="100"/>
        </w:rPr>
        <w:t> </w:t>
      </w:r>
      <w:r>
        <w:rPr>
          <w:spacing w:val="-2"/>
        </w:rPr>
        <w:t>条件以及经济影响符合以下一种或多种情况，通常表明应将多次交易事项作为一揽子交易进行会计处理：</w:t>
      </w:r>
      <w:r>
        <w:rPr>
          <w:spacing w:val="-48"/>
        </w:rPr>
        <w:t> </w:t>
      </w:r>
      <w:r>
        <w:rPr>
          <w:rFonts w:ascii="宋体" w:hAnsi="宋体" w:cs="宋体" w:eastAsia="宋体" w:hint="default"/>
          <w:spacing w:val="-48"/>
        </w:rPr>
      </w:r>
      <w:r>
        <w:rPr/>
        <w:t>ⅰ．这些交易是同时或者在考虑了彼此影响的情况下订立的；</w:t>
      </w:r>
      <w:r>
        <w:rPr>
          <w:rFonts w:ascii="宋体" w:hAnsi="宋体" w:cs="宋体" w:eastAsia="宋体" w:hint="default"/>
          <w:w w:val="100"/>
        </w:rPr>
        <w:t> </w:t>
      </w:r>
      <w:r>
        <w:rPr/>
        <w:t>ⅱ．这些交易整体才能达成一项完整的商业结果；</w:t>
      </w:r>
      <w:r>
        <w:rPr>
          <w:rFonts w:ascii="宋体" w:hAnsi="宋体" w:cs="宋体" w:eastAsia="宋体" w:hint="default"/>
          <w:w w:val="100"/>
        </w:rPr>
        <w:t> </w:t>
      </w:r>
      <w:r>
        <w:rPr/>
        <w:t>ⅲ．一项交易的发生取决于其他至少一项交易的发生；</w:t>
      </w:r>
      <w:r>
        <w:rPr>
          <w:rFonts w:ascii="宋体" w:hAnsi="宋体" w:cs="宋体" w:eastAsia="宋体" w:hint="default"/>
        </w:rPr>
        <w:t> </w:t>
      </w:r>
    </w:p>
    <w:p>
      <w:pPr>
        <w:spacing w:after="0" w:line="408" w:lineRule="auto"/>
        <w:jc w:val="left"/>
        <w:rPr>
          <w:rFonts w:ascii="宋体" w:hAnsi="宋体" w:cs="宋体" w:eastAsia="宋体" w:hint="default"/>
        </w:rPr>
        <w:sectPr>
          <w:footerReference w:type="default" r:id="rId26"/>
          <w:pgSz w:w="11910" w:h="16840"/>
          <w:pgMar w:footer="979" w:header="745" w:top="1060" w:bottom="1160" w:left="980" w:right="920"/>
          <w:pgNumType w:start="125"/>
        </w:sectPr>
      </w:pPr>
    </w:p>
    <w:p>
      <w:pPr>
        <w:spacing w:line="240" w:lineRule="auto" w:before="0"/>
        <w:rPr>
          <w:rFonts w:ascii="宋体" w:hAnsi="宋体" w:cs="宋体" w:eastAsia="宋体" w:hint="default"/>
          <w:sz w:val="20"/>
          <w:szCs w:val="20"/>
        </w:rPr>
      </w:pPr>
    </w:p>
    <w:p>
      <w:pPr>
        <w:pStyle w:val="BodyText"/>
        <w:spacing w:line="408" w:lineRule="auto" w:before="176"/>
        <w:ind w:right="0"/>
        <w:jc w:val="left"/>
        <w:rPr>
          <w:rFonts w:ascii="宋体" w:hAnsi="宋体" w:cs="宋体" w:eastAsia="宋体" w:hint="default"/>
        </w:rPr>
      </w:pPr>
      <w:r>
        <w:rPr/>
        <w:t>ⅳ．一项交易单独看是不经济的，但是和其他交易一并考虑时是经济的。</w:t>
      </w:r>
      <w:r>
        <w:rPr>
          <w:rFonts w:ascii="宋体" w:hAnsi="宋体" w:cs="宋体" w:eastAsia="宋体" w:hint="default"/>
          <w:w w:val="100"/>
        </w:rPr>
        <w:t> </w:t>
      </w:r>
      <w:r>
        <w:rPr>
          <w:spacing w:val="-2"/>
        </w:rPr>
        <w:t>处置对子公司股权投资直至丧失控制权的各项交易属于一揽子交易的，本公司将各项交易作为一项处置子</w:t>
      </w:r>
      <w:r>
        <w:rPr>
          <w:spacing w:val="-43"/>
        </w:rPr>
        <w:t> </w:t>
      </w:r>
      <w:r>
        <w:rPr>
          <w:spacing w:val="-43"/>
        </w:rPr>
      </w:r>
      <w:r>
        <w:rPr>
          <w:spacing w:val="-2"/>
        </w:rPr>
        <w:t>公司并丧失控制权的交易进行会计处理；但是，在丧失控制权之前每一次处置价款与处置投资对应的享有</w:t>
      </w:r>
      <w:r>
        <w:rPr>
          <w:spacing w:val="-42"/>
        </w:rPr>
        <w:t> </w:t>
      </w:r>
      <w:r>
        <w:rPr>
          <w:spacing w:val="-42"/>
        </w:rPr>
      </w:r>
      <w:r>
        <w:rPr>
          <w:spacing w:val="-2"/>
        </w:rPr>
        <w:t>该子公司净资产份额的差额，在合并财务报表中确认为其他综合收益，在丧失控制权时一并转入丧失控制</w:t>
      </w:r>
      <w:r>
        <w:rPr>
          <w:spacing w:val="-43"/>
        </w:rPr>
        <w:t> </w:t>
      </w:r>
      <w:r>
        <w:rPr>
          <w:spacing w:val="-43"/>
        </w:rPr>
      </w:r>
      <w:r>
        <w:rPr/>
        <w:t>权当期的损益。</w:t>
      </w:r>
      <w:r>
        <w:rPr>
          <w:rFonts w:ascii="宋体" w:hAnsi="宋体" w:cs="宋体" w:eastAsia="宋体" w:hint="default"/>
          <w:w w:val="100"/>
        </w:rPr>
        <w:t> </w:t>
      </w:r>
      <w:r>
        <w:rPr>
          <w:spacing w:val="-2"/>
        </w:rPr>
        <w:t>处置对子公司股权投资直至丧失控制权的各项交易不属于一揽子交易的，在丧失控制权之前，按不丧失控</w:t>
      </w:r>
      <w:r>
        <w:rPr>
          <w:spacing w:val="-44"/>
        </w:rPr>
        <w:t> </w:t>
      </w:r>
      <w:r>
        <w:rPr>
          <w:spacing w:val="-44"/>
        </w:rPr>
      </w:r>
      <w:r>
        <w:rPr>
          <w:spacing w:val="-2"/>
        </w:rPr>
        <w:t>制权的情况下部分处置对子公司的股权投资的相关政策进行会计处理；在丧失控制权时，按处置子公司一</w:t>
      </w:r>
      <w:r>
        <w:rPr>
          <w:spacing w:val="-43"/>
        </w:rPr>
        <w:t> </w:t>
      </w:r>
      <w:r>
        <w:rPr>
          <w:spacing w:val="-43"/>
        </w:rPr>
      </w:r>
      <w:r>
        <w:rPr/>
        <w:t>般处理方法进行会计处理。</w:t>
      </w:r>
      <w:r>
        <w:rPr>
          <w:rFonts w:ascii="宋体" w:hAnsi="宋体" w:cs="宋体" w:eastAsia="宋体" w:hint="default"/>
        </w:rPr>
        <w:t> </w:t>
      </w:r>
    </w:p>
    <w:p>
      <w:pPr>
        <w:pStyle w:val="BodyText"/>
        <w:spacing w:line="408" w:lineRule="auto" w:before="46"/>
        <w:ind w:right="0"/>
        <w:jc w:val="left"/>
        <w:rPr>
          <w:rFonts w:ascii="宋体" w:hAnsi="宋体" w:cs="宋体" w:eastAsia="宋体" w:hint="default"/>
        </w:rPr>
      </w:pPr>
      <w:r>
        <w:rPr/>
        <w:t>（</w:t>
      </w:r>
      <w:r>
        <w:rPr>
          <w:rFonts w:ascii="宋体" w:hAnsi="宋体" w:cs="宋体" w:eastAsia="宋体" w:hint="default"/>
        </w:rPr>
        <w:t>3</w:t>
      </w:r>
      <w:r>
        <w:rPr/>
        <w:t>）购买子公司少数股权</w:t>
      </w:r>
      <w:r>
        <w:rPr>
          <w:rFonts w:ascii="宋体" w:hAnsi="宋体" w:cs="宋体" w:eastAsia="宋体" w:hint="default"/>
          <w:w w:val="100"/>
        </w:rPr>
        <w:t> </w:t>
      </w:r>
      <w:r>
        <w:rPr/>
        <w:t>本公司因购买少数股权新取得的长期股权投资与按照新增持股比例计算应享有子公司自购买日（或合并</w:t>
      </w:r>
      <w:r>
        <w:rPr>
          <w:w w:val="100"/>
        </w:rPr>
        <w:t> </w:t>
      </w:r>
      <w:r>
        <w:rPr>
          <w:spacing w:val="-2"/>
        </w:rPr>
        <w:t>日）开始持续计算的净资产份额之间的差额，调整合并资产负债表中的资本公积中的股本溢价，资本公积</w:t>
      </w:r>
      <w:r>
        <w:rPr>
          <w:spacing w:val="-42"/>
        </w:rPr>
        <w:t> </w:t>
      </w:r>
      <w:r>
        <w:rPr>
          <w:spacing w:val="-42"/>
        </w:rPr>
      </w:r>
      <w:r>
        <w:rPr/>
        <w:t>中的股本溢价不足冲减的，调整留存收益。</w:t>
      </w:r>
      <w:r>
        <w:rPr>
          <w:rFonts w:ascii="宋体" w:hAnsi="宋体" w:cs="宋体" w:eastAsia="宋体" w:hint="default"/>
        </w:rPr>
        <w:t> </w:t>
      </w:r>
    </w:p>
    <w:p>
      <w:pPr>
        <w:pStyle w:val="BodyText"/>
        <w:spacing w:line="408" w:lineRule="auto" w:before="46"/>
        <w:ind w:right="0"/>
        <w:jc w:val="left"/>
        <w:rPr>
          <w:rFonts w:ascii="宋体" w:hAnsi="宋体" w:cs="宋体" w:eastAsia="宋体" w:hint="default"/>
        </w:rPr>
      </w:pPr>
      <w:r>
        <w:rPr/>
        <w:t>（</w:t>
      </w:r>
      <w:r>
        <w:rPr>
          <w:rFonts w:ascii="宋体" w:hAnsi="宋体" w:cs="宋体" w:eastAsia="宋体" w:hint="default"/>
        </w:rPr>
        <w:t>4</w:t>
      </w:r>
      <w:r>
        <w:rPr/>
        <w:t>）不丧失控制权的情况下部分处置对子公司的股权投资</w:t>
      </w:r>
      <w:r>
        <w:rPr>
          <w:rFonts w:ascii="宋体" w:hAnsi="宋体" w:cs="宋体" w:eastAsia="宋体" w:hint="default"/>
          <w:w w:val="100"/>
        </w:rPr>
        <w:t> </w:t>
      </w:r>
      <w:r>
        <w:rPr/>
        <w:t>在不丧失控制权的情况下因部分处置对子公司的长期股权投资而取得的处置价款与处置长期股权投资相</w:t>
      </w:r>
      <w:r>
        <w:rPr>
          <w:w w:val="100"/>
        </w:rPr>
        <w:t> </w:t>
      </w:r>
      <w:r>
        <w:rPr>
          <w:spacing w:val="-2"/>
        </w:rPr>
        <w:t>对应享有子公司自购买日或合并日开始持续计算的净资产份额之间的差额，调整合并资产负债表中的资本</w:t>
      </w:r>
      <w:r>
        <w:rPr>
          <w:spacing w:val="-43"/>
        </w:rPr>
        <w:t> </w:t>
      </w:r>
      <w:r>
        <w:rPr>
          <w:spacing w:val="-43"/>
        </w:rPr>
      </w:r>
      <w:r>
        <w:rPr/>
        <w:t>公积中的股本溢价，资本公积中的股本溢价不足冲减的，调整留存收益。</w:t>
      </w:r>
      <w:r>
        <w:rPr>
          <w:rFonts w:ascii="宋体" w:hAnsi="宋体" w:cs="宋体" w:eastAsia="宋体" w:hint="default"/>
        </w:rPr>
        <w:t> </w:t>
      </w:r>
    </w:p>
    <w:p>
      <w:pPr>
        <w:spacing w:line="240" w:lineRule="auto" w:before="6"/>
        <w:rPr>
          <w:rFonts w:ascii="宋体" w:hAnsi="宋体" w:cs="宋体" w:eastAsia="宋体" w:hint="default"/>
          <w:sz w:val="15"/>
          <w:szCs w:val="15"/>
        </w:rPr>
      </w:pPr>
    </w:p>
    <w:p>
      <w:pPr>
        <w:spacing w:line="670" w:lineRule="atLeast" w:before="0"/>
        <w:ind w:left="152" w:right="5826" w:firstLine="0"/>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7</w:t>
      </w:r>
      <w:r>
        <w:rPr>
          <w:rFonts w:ascii="宋体" w:hAnsi="宋体" w:cs="宋体" w:eastAsia="宋体" w:hint="default"/>
          <w:b/>
          <w:bCs/>
          <w:spacing w:val="-1"/>
          <w:sz w:val="21"/>
          <w:szCs w:val="21"/>
        </w:rPr>
        <w:t>、合营安排分类及共同经营会计处理方法</w:t>
      </w:r>
      <w:r>
        <w:rPr>
          <w:rFonts w:ascii="宋体" w:hAnsi="宋体" w:cs="宋体" w:eastAsia="宋体" w:hint="default"/>
          <w:b/>
          <w:bCs/>
          <w:spacing w:val="-86"/>
          <w:sz w:val="21"/>
          <w:szCs w:val="21"/>
        </w:rPr>
        <w:t> </w:t>
      </w:r>
      <w:r>
        <w:rPr>
          <w:rFonts w:ascii="宋体" w:hAnsi="宋体" w:cs="宋体" w:eastAsia="宋体" w:hint="default"/>
          <w:b/>
          <w:bCs/>
          <w:spacing w:val="-86"/>
          <w:sz w:val="21"/>
          <w:szCs w:val="21"/>
        </w:rPr>
      </w:r>
      <w:r>
        <w:rPr>
          <w:rFonts w:ascii="宋体" w:hAnsi="宋体" w:cs="宋体" w:eastAsia="宋体" w:hint="default"/>
          <w:sz w:val="21"/>
          <w:szCs w:val="21"/>
        </w:rPr>
        <w:t>合营安排分为共同经营和合营企业。</w:t>
      </w:r>
      <w:r>
        <w:rPr>
          <w:rFonts w:ascii="宋体" w:hAnsi="宋体" w:cs="宋体" w:eastAsia="宋体" w:hint="default"/>
          <w:sz w:val="21"/>
          <w:szCs w:val="21"/>
        </w:rPr>
        <w:t> </w:t>
      </w:r>
    </w:p>
    <w:p>
      <w:pPr>
        <w:spacing w:line="240" w:lineRule="auto" w:before="10"/>
        <w:rPr>
          <w:rFonts w:ascii="宋体" w:hAnsi="宋体" w:cs="宋体" w:eastAsia="宋体" w:hint="default"/>
          <w:sz w:val="14"/>
          <w:szCs w:val="14"/>
        </w:rPr>
      </w:pPr>
    </w:p>
    <w:p>
      <w:pPr>
        <w:pStyle w:val="BodyText"/>
        <w:spacing w:line="408" w:lineRule="auto"/>
        <w:ind w:right="0"/>
        <w:jc w:val="left"/>
        <w:rPr>
          <w:rFonts w:ascii="宋体" w:hAnsi="宋体" w:cs="宋体" w:eastAsia="宋体" w:hint="default"/>
        </w:rPr>
      </w:pPr>
      <w:r>
        <w:rPr/>
        <w:t>当本公司是合营安排的合营方，享有该安排相关资产且承担该安排相关负债时，为共同经营。</w:t>
      </w:r>
      <w:r>
        <w:rPr>
          <w:rFonts w:ascii="宋体" w:hAnsi="宋体" w:cs="宋体" w:eastAsia="宋体" w:hint="default"/>
          <w:w w:val="100"/>
        </w:rPr>
        <w:t> </w:t>
      </w:r>
      <w:r>
        <w:rPr/>
        <w:t>本公司确认与共同经营中利益份额相关的下列项目，并按照相关企业会计准则的规定进行会计处理：</w:t>
      </w:r>
      <w:r>
        <w:rPr>
          <w:rFonts w:ascii="宋体" w:hAnsi="宋体" w:cs="宋体" w:eastAsia="宋体" w:hint="default"/>
        </w:rPr>
        <w:t> </w:t>
      </w:r>
    </w:p>
    <w:p>
      <w:pPr>
        <w:pStyle w:val="BodyText"/>
        <w:spacing w:line="240" w:lineRule="auto" w:before="46"/>
        <w:ind w:right="0"/>
        <w:jc w:val="left"/>
        <w:rPr>
          <w:rFonts w:ascii="宋体" w:hAnsi="宋体" w:cs="宋体" w:eastAsia="宋体" w:hint="default"/>
        </w:rPr>
      </w:pPr>
      <w:r>
        <w:rPr/>
        <w:t>（</w:t>
      </w:r>
      <w:r>
        <w:rPr>
          <w:rFonts w:ascii="宋体" w:hAnsi="宋体" w:cs="宋体" w:eastAsia="宋体" w:hint="default"/>
        </w:rPr>
        <w:t>1</w:t>
      </w:r>
      <w:r>
        <w:rPr/>
        <w:t>）确认本公司单独所持有的资产，以及按本公司份额确认共同持有的资产；</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40" w:lineRule="auto"/>
        <w:ind w:right="0"/>
        <w:jc w:val="left"/>
        <w:rPr>
          <w:rFonts w:ascii="宋体" w:hAnsi="宋体" w:cs="宋体" w:eastAsia="宋体" w:hint="default"/>
        </w:rPr>
      </w:pPr>
      <w:r>
        <w:rPr/>
        <w:t>（</w:t>
      </w:r>
      <w:r>
        <w:rPr>
          <w:rFonts w:ascii="宋体" w:hAnsi="宋体" w:cs="宋体" w:eastAsia="宋体" w:hint="default"/>
        </w:rPr>
        <w:t>2</w:t>
      </w:r>
      <w:r>
        <w:rPr/>
        <w:t>）确认本公司单独所承担的负债，以及按本公司份额确认共同承担的负债；</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40" w:lineRule="auto"/>
        <w:ind w:right="0"/>
        <w:jc w:val="left"/>
        <w:rPr>
          <w:rFonts w:ascii="宋体" w:hAnsi="宋体" w:cs="宋体" w:eastAsia="宋体" w:hint="default"/>
        </w:rPr>
      </w:pPr>
      <w:r>
        <w:rPr/>
        <w:t>（</w:t>
      </w:r>
      <w:r>
        <w:rPr>
          <w:rFonts w:ascii="宋体" w:hAnsi="宋体" w:cs="宋体" w:eastAsia="宋体" w:hint="default"/>
        </w:rPr>
        <w:t>3</w:t>
      </w:r>
      <w:r>
        <w:rPr/>
        <w:t>）确认出售本公司享有的共同经营产出份额所产生的收入；</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40" w:lineRule="auto"/>
        <w:ind w:right="0"/>
        <w:jc w:val="left"/>
        <w:rPr>
          <w:rFonts w:ascii="宋体" w:hAnsi="宋体" w:cs="宋体" w:eastAsia="宋体" w:hint="default"/>
        </w:rPr>
      </w:pPr>
      <w:r>
        <w:rPr/>
        <w:t>（</w:t>
      </w:r>
      <w:r>
        <w:rPr>
          <w:rFonts w:ascii="宋体" w:hAnsi="宋体" w:cs="宋体" w:eastAsia="宋体" w:hint="default"/>
        </w:rPr>
        <w:t>4</w:t>
      </w:r>
      <w:r>
        <w:rPr/>
        <w:t>）按本公司份额确认共同经营因出售产出所产生的收入；</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408" w:lineRule="auto"/>
        <w:ind w:right="139"/>
        <w:jc w:val="left"/>
        <w:rPr>
          <w:rFonts w:ascii="宋体" w:hAnsi="宋体" w:cs="宋体" w:eastAsia="宋体" w:hint="default"/>
        </w:rPr>
      </w:pPr>
      <w:r>
        <w:rPr/>
        <w:t>（</w:t>
      </w:r>
      <w:r>
        <w:rPr>
          <w:rFonts w:ascii="宋体" w:hAnsi="宋体" w:cs="宋体" w:eastAsia="宋体" w:hint="default"/>
        </w:rPr>
        <w:t>5</w:t>
      </w:r>
      <w:r>
        <w:rPr/>
        <w:t>）确认单独所发生的费用，以及按本公司份额确认共同经营发生的费用。</w:t>
      </w:r>
      <w:r>
        <w:rPr>
          <w:rFonts w:ascii="宋体" w:hAnsi="宋体" w:cs="宋体" w:eastAsia="宋体" w:hint="default"/>
          <w:w w:val="100"/>
        </w:rPr>
        <w:t> </w:t>
      </w:r>
      <w:r>
        <w:rPr>
          <w:spacing w:val="-2"/>
        </w:rPr>
        <w:t>本公司对合营企业投资的会计政策见本报告第十一节财务报告五重要会计政策及会计估计</w:t>
      </w:r>
      <w:r>
        <w:rPr>
          <w:rFonts w:ascii="宋体" w:hAnsi="宋体" w:cs="宋体" w:eastAsia="宋体" w:hint="default"/>
          <w:spacing w:val="-2"/>
        </w:rPr>
        <w:t>14</w:t>
      </w:r>
      <w:r>
        <w:rPr>
          <w:spacing w:val="-2"/>
        </w:rPr>
        <w:t>长期股权投</w:t>
      </w:r>
      <w:r>
        <w:rPr>
          <w:spacing w:val="-19"/>
        </w:rPr>
        <w:t> </w:t>
      </w:r>
      <w:r>
        <w:rPr>
          <w:spacing w:val="-19"/>
        </w:rPr>
      </w:r>
      <w:r>
        <w:rPr/>
        <w:t>资。</w:t>
      </w:r>
      <w:r>
        <w:rPr>
          <w:rFonts w:ascii="宋体" w:hAnsi="宋体" w:cs="宋体" w:eastAsia="宋体" w:hint="default"/>
        </w:rPr>
        <w:t> </w:t>
      </w:r>
    </w:p>
    <w:p>
      <w:pPr>
        <w:spacing w:after="0" w:line="408" w:lineRule="auto"/>
        <w:jc w:val="left"/>
        <w:rPr>
          <w:rFonts w:ascii="宋体" w:hAnsi="宋体" w:cs="宋体" w:eastAsia="宋体" w:hint="default"/>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01"/>
        <w:jc w:val="left"/>
        <w:rPr>
          <w:b w:val="0"/>
          <w:bCs w:val="0"/>
        </w:rPr>
      </w:pPr>
      <w:r>
        <w:rPr>
          <w:rFonts w:ascii="Times New Roman" w:hAnsi="Times New Roman" w:cs="Times New Roman" w:eastAsia="Times New Roman" w:hint="default"/>
        </w:rPr>
        <w:t>8</w:t>
      </w:r>
      <w:r>
        <w:rPr/>
        <w:t>、现金及现金等价物的确定标准</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right="207"/>
        <w:jc w:val="both"/>
        <w:rPr>
          <w:rFonts w:ascii="宋体" w:hAnsi="宋体" w:cs="宋体" w:eastAsia="宋体" w:hint="default"/>
        </w:rPr>
      </w:pPr>
      <w:r>
        <w:rPr>
          <w:spacing w:val="-7"/>
        </w:rPr>
        <w:t>在编制现金流量表时，将本公司库存现金以及可以随时用于支付的存款确认为现金。将同时具备期限短（从</w:t>
      </w:r>
      <w:r>
        <w:rPr>
          <w:spacing w:val="-20"/>
        </w:rPr>
        <w:t> </w:t>
      </w:r>
      <w:r>
        <w:rPr>
          <w:spacing w:val="-20"/>
        </w:rPr>
      </w:r>
      <w:r>
        <w:rPr>
          <w:spacing w:val="-2"/>
        </w:rPr>
        <w:t>购买日起三个月内到期）、流动性强、易于转换为已知现金、价值变动风险很小四个条件的投资，确定为</w:t>
      </w:r>
      <w:r>
        <w:rPr>
          <w:spacing w:val="-43"/>
        </w:rPr>
        <w:t> </w:t>
      </w:r>
      <w:r>
        <w:rPr>
          <w:spacing w:val="-43"/>
        </w:rPr>
      </w:r>
      <w:r>
        <w:rPr/>
        <w:t>现金等价物。</w:t>
      </w:r>
      <w:r>
        <w:rPr>
          <w:rFonts w:ascii="宋体" w:hAnsi="宋体" w:cs="宋体" w:eastAsia="宋体" w:hint="default"/>
        </w:rPr>
        <w:t> </w:t>
      </w:r>
    </w:p>
    <w:p>
      <w:pPr>
        <w:spacing w:line="240" w:lineRule="auto" w:before="8"/>
        <w:rPr>
          <w:rFonts w:ascii="宋体" w:hAnsi="宋体" w:cs="宋体" w:eastAsia="宋体" w:hint="default"/>
          <w:sz w:val="20"/>
          <w:szCs w:val="20"/>
        </w:rPr>
      </w:pPr>
    </w:p>
    <w:p>
      <w:pPr>
        <w:pStyle w:val="Heading3"/>
        <w:spacing w:line="240" w:lineRule="auto"/>
        <w:ind w:right="101"/>
        <w:jc w:val="left"/>
        <w:rPr>
          <w:b w:val="0"/>
          <w:bCs w:val="0"/>
        </w:rPr>
      </w:pPr>
      <w:r>
        <w:rPr>
          <w:rFonts w:ascii="Times New Roman" w:hAnsi="Times New Roman" w:cs="Times New Roman" w:eastAsia="Times New Roman" w:hint="default"/>
        </w:rPr>
        <w:t>9</w:t>
      </w:r>
      <w:r>
        <w:rPr/>
        <w:t>、外币业务和外币报表折算</w:t>
      </w:r>
      <w:r>
        <w:rPr>
          <w:b w:val="0"/>
          <w:bCs w:val="0"/>
        </w:rPr>
      </w:r>
    </w:p>
    <w:p>
      <w:pPr>
        <w:spacing w:line="240" w:lineRule="auto" w:before="6"/>
        <w:rPr>
          <w:rFonts w:ascii="宋体" w:hAnsi="宋体" w:cs="宋体" w:eastAsia="宋体" w:hint="default"/>
          <w:b/>
          <w:bCs/>
          <w:sz w:val="30"/>
          <w:szCs w:val="30"/>
        </w:rPr>
      </w:pPr>
    </w:p>
    <w:p>
      <w:pPr>
        <w:pStyle w:val="BodyText"/>
        <w:spacing w:line="410" w:lineRule="auto"/>
        <w:ind w:right="1784"/>
        <w:jc w:val="left"/>
        <w:rPr>
          <w:rFonts w:ascii="宋体" w:hAnsi="宋体" w:cs="宋体" w:eastAsia="宋体" w:hint="default"/>
        </w:rPr>
      </w:pPr>
      <w:r>
        <w:rPr>
          <w:rFonts w:ascii="宋体" w:hAnsi="宋体" w:cs="宋体" w:eastAsia="宋体" w:hint="default"/>
          <w:b/>
          <w:bCs/>
        </w:rPr>
        <w:t>1</w:t>
      </w:r>
      <w:r>
        <w:rPr>
          <w:rFonts w:ascii="宋体" w:hAnsi="宋体" w:cs="宋体" w:eastAsia="宋体" w:hint="default"/>
          <w:b/>
          <w:bCs/>
        </w:rPr>
        <w:t>、外币业务</w:t>
      </w:r>
      <w:r>
        <w:rPr>
          <w:rFonts w:ascii="宋体" w:hAnsi="宋体" w:cs="宋体" w:eastAsia="宋体" w:hint="default"/>
          <w:b/>
          <w:bCs/>
          <w:w w:val="99"/>
        </w:rPr>
        <w:t> </w:t>
      </w:r>
      <w:r>
        <w:rPr/>
        <w:t>外币业务采用交易发生当月的月初汇率作为折算汇率，折合成人民币记账。</w:t>
      </w:r>
      <w:r>
        <w:rPr>
          <w:rFonts w:ascii="宋体" w:hAnsi="宋体" w:cs="宋体" w:eastAsia="宋体" w:hint="default"/>
        </w:rPr>
        <w:t> </w:t>
      </w:r>
    </w:p>
    <w:p>
      <w:pPr>
        <w:pStyle w:val="BodyText"/>
        <w:spacing w:line="408" w:lineRule="auto" w:before="44"/>
        <w:ind w:right="101"/>
        <w:jc w:val="left"/>
        <w:rPr>
          <w:rFonts w:ascii="宋体" w:hAnsi="宋体" w:cs="宋体" w:eastAsia="宋体" w:hint="default"/>
        </w:rPr>
      </w:pPr>
      <w:r>
        <w:rPr>
          <w:spacing w:val="-2"/>
        </w:rPr>
        <w:t>外币货币性项目余额按资产负债表日即期汇率折算，由此产生的汇兑差额，除属于与购建符合资本化条件</w:t>
      </w:r>
      <w:r>
        <w:rPr>
          <w:spacing w:val="-43"/>
        </w:rPr>
        <w:t> </w:t>
      </w:r>
      <w:r>
        <w:rPr>
          <w:spacing w:val="-43"/>
        </w:rPr>
      </w:r>
      <w:r>
        <w:rPr>
          <w:spacing w:val="-2"/>
        </w:rPr>
        <w:t>的资产相关的外币专门借款产生的汇兑差额按照借款费用资本化的原则处理外，均计入当期损益。以历史</w:t>
      </w:r>
      <w:r>
        <w:rPr>
          <w:spacing w:val="-43"/>
        </w:rPr>
        <w:t> </w:t>
      </w:r>
      <w:r>
        <w:rPr>
          <w:spacing w:val="-43"/>
        </w:rPr>
      </w:r>
      <w:r>
        <w:rPr/>
        <w:t>成本计量的外币非货币性项目，仍采用交易发生日的即期汇率折算，不改变其记账本位币金额。以</w:t>
      </w:r>
      <w:r>
        <w:rPr>
          <w:rFonts w:ascii="宋体" w:hAnsi="宋体" w:cs="宋体" w:eastAsia="宋体" w:hint="default"/>
          <w:w w:val="100"/>
        </w:rPr>
        <w:t> </w:t>
      </w:r>
      <w:r>
        <w:rPr>
          <w:spacing w:val="-2"/>
        </w:rPr>
        <w:t>公允价值计量的外币非货币性项目，采用公允价值确定日的即期汇率折算，由此产生的汇兑差额计入当期</w:t>
      </w:r>
      <w:r>
        <w:rPr>
          <w:spacing w:val="-42"/>
        </w:rPr>
        <w:t> </w:t>
      </w:r>
      <w:r>
        <w:rPr>
          <w:spacing w:val="-42"/>
        </w:rPr>
      </w:r>
      <w:r>
        <w:rPr/>
        <w:t>损益或资本公积。</w:t>
      </w:r>
      <w:r>
        <w:rPr>
          <w:rFonts w:ascii="宋体" w:hAnsi="宋体" w:cs="宋体" w:eastAsia="宋体" w:hint="default"/>
        </w:rPr>
        <w:t> </w:t>
      </w:r>
    </w:p>
    <w:p>
      <w:pPr>
        <w:spacing w:line="240" w:lineRule="auto" w:before="7"/>
        <w:rPr>
          <w:rFonts w:ascii="宋体" w:hAnsi="宋体" w:cs="宋体" w:eastAsia="宋体" w:hint="default"/>
          <w:sz w:val="21"/>
          <w:szCs w:val="21"/>
        </w:rPr>
      </w:pPr>
    </w:p>
    <w:p>
      <w:pPr>
        <w:spacing w:line="338" w:lineRule="auto" w:before="0"/>
        <w:ind w:left="152" w:right="101"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63"/>
          <w:sz w:val="21"/>
          <w:szCs w:val="21"/>
        </w:rPr>
        <w:t> </w:t>
      </w:r>
      <w:r>
        <w:rPr>
          <w:rFonts w:ascii="宋体" w:hAnsi="宋体" w:cs="宋体" w:eastAsia="宋体" w:hint="default"/>
          <w:b/>
          <w:bCs/>
          <w:sz w:val="21"/>
          <w:szCs w:val="21"/>
        </w:rPr>
        <w:t>外币财务报表的折算</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2"/>
          <w:sz w:val="21"/>
          <w:szCs w:val="21"/>
        </w:rPr>
        <w:t>资产负债表中的资产和负债项目，采用资产负债表日的即期汇率折算；所有者权益项目除“未分配利润”</w:t>
      </w:r>
    </w:p>
    <w:p>
      <w:pPr>
        <w:pStyle w:val="BodyText"/>
        <w:spacing w:line="408" w:lineRule="auto" w:before="107"/>
        <w:ind w:right="101"/>
        <w:jc w:val="left"/>
        <w:rPr>
          <w:rFonts w:ascii="宋体" w:hAnsi="宋体" w:cs="宋体" w:eastAsia="宋体" w:hint="default"/>
        </w:rPr>
      </w:pPr>
      <w:r>
        <w:rPr>
          <w:spacing w:val="-2"/>
        </w:rPr>
        <w:t>项目外，其他项目采用发生时的即期汇率折算。利润表中的收入和费用项目，采用交易年度的平均汇率折</w:t>
      </w:r>
      <w:r>
        <w:rPr>
          <w:spacing w:val="-44"/>
        </w:rPr>
        <w:t> </w:t>
      </w:r>
      <w:r>
        <w:rPr>
          <w:spacing w:val="-44"/>
        </w:rPr>
      </w:r>
      <w:r>
        <w:rPr/>
        <w:t>算。按照上述折算产生的外币财务报表折算差额，在资产负债表所有者权益项目下单独列示。</w:t>
      </w:r>
      <w:r>
        <w:rPr>
          <w:rFonts w:ascii="宋体" w:hAnsi="宋体" w:cs="宋体" w:eastAsia="宋体" w:hint="default"/>
          <w:w w:val="100"/>
        </w:rPr>
        <w:t> </w:t>
      </w:r>
      <w:r>
        <w:rPr>
          <w:spacing w:val="-5"/>
        </w:rPr>
        <w:t>处置境外经营时，将资产负债表中所有者权益项目下列示的、与该境外经营相关的外币财务报表折算差额， </w:t>
      </w:r>
      <w:r>
        <w:rPr>
          <w:spacing w:val="-2"/>
        </w:rPr>
        <w:t>自所有者权益项目转入处置当期损益；部分处置境外经营的，按处置的比例计算处置部分的外币财务报表</w:t>
      </w:r>
      <w:r>
        <w:rPr>
          <w:spacing w:val="-43"/>
        </w:rPr>
        <w:t> </w:t>
      </w:r>
      <w:r>
        <w:rPr>
          <w:spacing w:val="-43"/>
        </w:rPr>
      </w:r>
      <w:r>
        <w:rPr/>
        <w:t>折算差额，转入处置当期损益。</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Heading3"/>
        <w:spacing w:line="240" w:lineRule="auto"/>
        <w:ind w:right="101"/>
        <w:jc w:val="left"/>
        <w:rPr>
          <w:b w:val="0"/>
          <w:bCs w:val="0"/>
        </w:rPr>
      </w:pPr>
      <w:r>
        <w:rPr>
          <w:rFonts w:ascii="Times New Roman" w:hAnsi="Times New Roman" w:cs="Times New Roman" w:eastAsia="Times New Roman" w:hint="default"/>
        </w:rPr>
        <w:t>10</w:t>
      </w:r>
      <w:r>
        <w:rPr/>
        <w:t>、金融工具</w:t>
      </w:r>
      <w:r>
        <w:rPr>
          <w:b w:val="0"/>
          <w:bCs w:val="0"/>
        </w:rPr>
      </w:r>
    </w:p>
    <w:p>
      <w:pPr>
        <w:spacing w:line="240" w:lineRule="auto" w:before="8"/>
        <w:rPr>
          <w:rFonts w:ascii="宋体" w:hAnsi="宋体" w:cs="宋体" w:eastAsia="宋体" w:hint="default"/>
          <w:b/>
          <w:bCs/>
          <w:sz w:val="30"/>
          <w:szCs w:val="30"/>
        </w:rPr>
      </w:pPr>
    </w:p>
    <w:p>
      <w:pPr>
        <w:pStyle w:val="BodyText"/>
        <w:spacing w:line="240" w:lineRule="auto"/>
        <w:ind w:right="101"/>
        <w:jc w:val="left"/>
        <w:rPr>
          <w:rFonts w:ascii="宋体" w:hAnsi="宋体" w:cs="宋体" w:eastAsia="宋体" w:hint="default"/>
        </w:rPr>
      </w:pPr>
      <w:r>
        <w:rPr/>
        <w:t>金融工具包括金融资产、金融负债和权益工具。</w:t>
      </w:r>
      <w:r>
        <w:rPr>
          <w:rFonts w:ascii="宋体" w:hAnsi="宋体" w:cs="宋体" w:eastAsia="宋体" w:hint="default"/>
        </w:rPr>
        <w:t> </w:t>
      </w:r>
    </w:p>
    <w:p>
      <w:pPr>
        <w:pStyle w:val="BodyText"/>
        <w:spacing w:line="321" w:lineRule="auto" w:before="116"/>
        <w:ind w:right="101"/>
        <w:jc w:val="left"/>
      </w:pPr>
      <w:r>
        <w:rPr>
          <w:rFonts w:ascii="Times New Roman" w:hAnsi="Times New Roman" w:cs="Times New Roman" w:eastAsia="Times New Roman" w:hint="default"/>
          <w:b/>
          <w:bCs/>
        </w:rPr>
        <w:t>1</w:t>
      </w:r>
      <w:r>
        <w:rPr>
          <w:rFonts w:ascii="宋体" w:hAnsi="宋体" w:cs="宋体" w:eastAsia="宋体" w:hint="default"/>
          <w:b/>
          <w:bCs/>
        </w:rPr>
        <w:t>、</w:t>
      </w:r>
      <w:r>
        <w:rPr>
          <w:rFonts w:ascii="宋体" w:hAnsi="宋体" w:cs="宋体" w:eastAsia="宋体" w:hint="default"/>
          <w:b/>
          <w:bCs/>
          <w:spacing w:val="-3"/>
        </w:rPr>
        <w:t> </w:t>
      </w:r>
      <w:r>
        <w:rPr>
          <w:rFonts w:ascii="宋体" w:hAnsi="宋体" w:cs="宋体" w:eastAsia="宋体" w:hint="default"/>
          <w:b/>
          <w:bCs/>
        </w:rPr>
        <w:t>金融工具的分类</w:t>
      </w:r>
      <w:r>
        <w:rPr>
          <w:rFonts w:ascii="宋体" w:hAnsi="宋体" w:cs="宋体" w:eastAsia="宋体" w:hint="default"/>
          <w:b/>
          <w:bCs/>
          <w:spacing w:val="-103"/>
        </w:rPr>
        <w:t> </w:t>
      </w:r>
      <w:r>
        <w:rPr>
          <w:rFonts w:ascii="宋体" w:hAnsi="宋体" w:cs="宋体" w:eastAsia="宋体" w:hint="default"/>
          <w:b/>
          <w:bCs/>
          <w:spacing w:val="-103"/>
        </w:rPr>
      </w:r>
      <w:r>
        <w:rPr>
          <w:spacing w:val="-2"/>
        </w:rPr>
        <w:t>管理层按照取得持有金融资产和承担金融负债的目的，将其划分为：以公允价值计量且其变动计入当期损</w:t>
      </w:r>
    </w:p>
    <w:p>
      <w:pPr>
        <w:pStyle w:val="BodyText"/>
        <w:spacing w:line="408" w:lineRule="auto" w:before="121"/>
        <w:ind w:right="101"/>
        <w:jc w:val="left"/>
        <w:rPr>
          <w:rFonts w:ascii="宋体" w:hAnsi="宋体" w:cs="宋体" w:eastAsia="宋体" w:hint="default"/>
        </w:rPr>
      </w:pPr>
      <w:r>
        <w:rPr>
          <w:spacing w:val="-2"/>
        </w:rPr>
        <w:t>益的金融资产或金融负债，包括交易性金融资产或金融负债和直接指定为以公允价值计量且其变动计入当</w:t>
      </w:r>
      <w:r>
        <w:rPr>
          <w:spacing w:val="-43"/>
        </w:rPr>
        <w:t> </w:t>
      </w:r>
      <w:r>
        <w:rPr>
          <w:spacing w:val="-43"/>
        </w:rPr>
      </w:r>
      <w:r>
        <w:rPr/>
        <w:t>期损益的金融资产或金融负债；应收款项；其他金融负债等。</w:t>
      </w:r>
      <w:r>
        <w:rPr>
          <w:rFonts w:ascii="宋体" w:hAnsi="宋体" w:cs="宋体" w:eastAsia="宋体" w:hint="default"/>
        </w:rPr>
        <w:t> </w:t>
      </w:r>
    </w:p>
    <w:p>
      <w:pPr>
        <w:spacing w:line="240" w:lineRule="auto" w:before="7"/>
        <w:rPr>
          <w:rFonts w:ascii="宋体" w:hAnsi="宋体" w:cs="宋体" w:eastAsia="宋体" w:hint="default"/>
          <w:sz w:val="21"/>
          <w:szCs w:val="21"/>
        </w:rPr>
      </w:pPr>
    </w:p>
    <w:p>
      <w:pPr>
        <w:pStyle w:val="Heading3"/>
        <w:spacing w:line="240" w:lineRule="auto"/>
        <w:ind w:right="101"/>
        <w:jc w:val="left"/>
        <w:rPr>
          <w:b w:val="0"/>
          <w:bCs w:val="0"/>
        </w:rPr>
      </w:pPr>
      <w:r>
        <w:rPr>
          <w:rFonts w:ascii="Times New Roman" w:hAnsi="Times New Roman" w:cs="Times New Roman" w:eastAsia="Times New Roman" w:hint="default"/>
        </w:rPr>
        <w:t>2</w:t>
      </w:r>
      <w:r>
        <w:rPr/>
        <w:t>、</w:t>
      </w:r>
      <w:r>
        <w:rPr>
          <w:spacing w:val="-3"/>
        </w:rPr>
        <w:t> </w:t>
      </w:r>
      <w:r>
        <w:rPr/>
        <w:t>金融工具的确认依据和计量方法</w:t>
      </w:r>
      <w:r>
        <w:rPr>
          <w:b w:val="0"/>
          <w:bCs w:val="0"/>
        </w:rPr>
      </w:r>
    </w:p>
    <w:p>
      <w:pPr>
        <w:spacing w:after="0" w:line="240" w:lineRule="auto"/>
        <w:jc w:val="left"/>
        <w:sectPr>
          <w:pgSz w:w="11910" w:h="16840"/>
          <w:pgMar w:header="745" w:footer="979" w:top="1060" w:bottom="1160" w:left="980" w:right="920"/>
        </w:sectPr>
      </w:pPr>
    </w:p>
    <w:p>
      <w:pPr>
        <w:spacing w:line="240" w:lineRule="auto" w:before="0"/>
        <w:rPr>
          <w:rFonts w:ascii="宋体" w:hAnsi="宋体" w:cs="宋体" w:eastAsia="宋体" w:hint="default"/>
          <w:b/>
          <w:bCs/>
          <w:sz w:val="20"/>
          <w:szCs w:val="20"/>
        </w:rPr>
      </w:pPr>
    </w:p>
    <w:p>
      <w:pPr>
        <w:pStyle w:val="BodyText"/>
        <w:spacing w:line="408" w:lineRule="auto" w:before="176"/>
        <w:ind w:right="0"/>
        <w:jc w:val="left"/>
        <w:rPr>
          <w:rFonts w:ascii="宋体" w:hAnsi="宋体" w:cs="宋体" w:eastAsia="宋体" w:hint="default"/>
        </w:rPr>
      </w:pPr>
      <w:r>
        <w:rPr/>
        <w:t>（</w:t>
      </w:r>
      <w:r>
        <w:rPr>
          <w:rFonts w:ascii="宋体" w:hAnsi="宋体" w:cs="宋体" w:eastAsia="宋体" w:hint="default"/>
        </w:rPr>
        <w:t>1</w:t>
      </w:r>
      <w:r>
        <w:rPr/>
        <w:t>）以公允价值计量且其变动计入当期损益的金融资产（金融负债）</w:t>
      </w:r>
      <w:r>
        <w:rPr>
          <w:rFonts w:ascii="宋体" w:hAnsi="宋体" w:cs="宋体" w:eastAsia="宋体" w:hint="default"/>
          <w:w w:val="100"/>
        </w:rPr>
        <w:t> </w:t>
      </w:r>
      <w:r>
        <w:rPr>
          <w:spacing w:val="-2"/>
        </w:rPr>
        <w:t>取得时以公允价值（扣除已宣告但尚未发放的现金股利或已到付息期但尚未领取的债券利息）作为初始确</w:t>
      </w:r>
      <w:r>
        <w:rPr>
          <w:spacing w:val="-44"/>
        </w:rPr>
        <w:t> </w:t>
      </w:r>
      <w:r>
        <w:rPr>
          <w:spacing w:val="-44"/>
        </w:rPr>
      </w:r>
      <w:r>
        <w:rPr/>
        <w:t>认金额，相关的交易费用计入当期损益。</w:t>
      </w:r>
      <w:r>
        <w:rPr>
          <w:rFonts w:ascii="宋体" w:hAnsi="宋体" w:cs="宋体" w:eastAsia="宋体" w:hint="default"/>
          <w:w w:val="100"/>
        </w:rPr>
        <w:t> </w:t>
      </w:r>
      <w:r>
        <w:rPr/>
        <w:t>持有期间将取得的利息或现金股利确认为投资收益，期末将公允价值变动计入当期损益。</w:t>
      </w:r>
      <w:r>
        <w:rPr>
          <w:rFonts w:ascii="宋体" w:hAnsi="宋体" w:cs="宋体" w:eastAsia="宋体" w:hint="default"/>
          <w:w w:val="100"/>
        </w:rPr>
        <w:t> </w:t>
      </w:r>
      <w:r>
        <w:rPr/>
        <w:t>处置时，其公允价值与初始入账金额之间的差额确认为投资收益，同时调整公允价值变动损益。</w:t>
      </w:r>
      <w:r>
        <w:rPr>
          <w:rFonts w:ascii="宋体" w:hAnsi="宋体" w:cs="宋体" w:eastAsia="宋体" w:hint="default"/>
        </w:rPr>
        <w:t> </w:t>
      </w:r>
    </w:p>
    <w:p>
      <w:pPr>
        <w:pStyle w:val="BodyText"/>
        <w:spacing w:line="408" w:lineRule="auto" w:before="46"/>
        <w:ind w:right="0"/>
        <w:jc w:val="left"/>
        <w:rPr>
          <w:rFonts w:ascii="宋体" w:hAnsi="宋体" w:cs="宋体" w:eastAsia="宋体" w:hint="default"/>
        </w:rPr>
      </w:pPr>
      <w:r>
        <w:rPr/>
        <w:t>（</w:t>
      </w:r>
      <w:r>
        <w:rPr>
          <w:rFonts w:ascii="宋体" w:hAnsi="宋体" w:cs="宋体" w:eastAsia="宋体" w:hint="default"/>
        </w:rPr>
        <w:t>2</w:t>
      </w:r>
      <w:r>
        <w:rPr/>
        <w:t>）应收款项</w:t>
      </w:r>
      <w:r>
        <w:rPr>
          <w:rFonts w:ascii="宋体" w:hAnsi="宋体" w:cs="宋体" w:eastAsia="宋体" w:hint="default"/>
          <w:w w:val="100"/>
        </w:rPr>
        <w:t> </w:t>
      </w:r>
      <w:r>
        <w:rPr>
          <w:spacing w:val="-2"/>
        </w:rPr>
        <w:t>公司对外销售商品或提供劳务形成的应收债权，以及公司持有的其他企业的不包括在活跃市场上有报价的</w:t>
      </w:r>
      <w:r>
        <w:rPr>
          <w:spacing w:val="-43"/>
        </w:rPr>
        <w:t> </w:t>
      </w:r>
      <w:r>
        <w:rPr>
          <w:spacing w:val="-43"/>
        </w:rPr>
      </w:r>
      <w:r>
        <w:rPr/>
        <w:t>债务工具的债权，包括应收账款、应收票据、预付</w:t>
      </w:r>
      <w:r>
        <w:rPr>
          <w:rFonts w:ascii="宋体" w:hAnsi="宋体" w:cs="宋体" w:eastAsia="宋体" w:hint="default"/>
          <w:w w:val="100"/>
        </w:rPr>
        <w:t> </w:t>
      </w:r>
      <w:r>
        <w:rPr/>
        <w:t>账款、其他应收款、长期应收款等，以向购货方应收的合同或协议价款作为初始确认金额。</w:t>
      </w:r>
      <w:r>
        <w:rPr>
          <w:rFonts w:ascii="宋体" w:hAnsi="宋体" w:cs="宋体" w:eastAsia="宋体" w:hint="default"/>
          <w:w w:val="100"/>
        </w:rPr>
        <w:t> </w:t>
      </w:r>
      <w:r>
        <w:rPr/>
        <w:t>收回或处置时，将取得的价款与该应收款项账面价值之间的差额计入当期损益。</w:t>
      </w:r>
      <w:r>
        <w:rPr>
          <w:rFonts w:ascii="宋体" w:hAnsi="宋体" w:cs="宋体" w:eastAsia="宋体" w:hint="default"/>
        </w:rPr>
        <w:t> </w:t>
      </w:r>
    </w:p>
    <w:p>
      <w:pPr>
        <w:pStyle w:val="BodyText"/>
        <w:spacing w:line="408" w:lineRule="auto" w:before="46"/>
        <w:ind w:right="596"/>
        <w:jc w:val="left"/>
        <w:rPr>
          <w:rFonts w:ascii="宋体" w:hAnsi="宋体" w:cs="宋体" w:eastAsia="宋体" w:hint="default"/>
        </w:rPr>
      </w:pPr>
      <w:r>
        <w:rPr/>
        <w:t>（</w:t>
      </w:r>
      <w:r>
        <w:rPr>
          <w:rFonts w:ascii="宋体" w:hAnsi="宋体" w:cs="宋体" w:eastAsia="宋体" w:hint="default"/>
        </w:rPr>
        <w:t>3</w:t>
      </w:r>
      <w:r>
        <w:rPr/>
        <w:t>）其他金融负债</w:t>
      </w:r>
      <w:r>
        <w:rPr>
          <w:rFonts w:ascii="宋体" w:hAnsi="宋体" w:cs="宋体" w:eastAsia="宋体" w:hint="default"/>
          <w:w w:val="100"/>
        </w:rPr>
        <w:t> </w:t>
      </w:r>
      <w:r>
        <w:rPr/>
        <w:t>按其公允价值和相关交易费用之和作为初始确认金额。采用摊余成本进行后续计量。</w:t>
      </w:r>
      <w:r>
        <w:rPr>
          <w:rFonts w:ascii="宋体" w:hAnsi="宋体" w:cs="宋体" w:eastAsia="宋体" w:hint="default"/>
        </w:rPr>
        <w:t> </w:t>
      </w:r>
    </w:p>
    <w:p>
      <w:pPr>
        <w:spacing w:line="240" w:lineRule="auto" w:before="7"/>
        <w:rPr>
          <w:rFonts w:ascii="宋体" w:hAnsi="宋体" w:cs="宋体" w:eastAsia="宋体" w:hint="default"/>
          <w:sz w:val="21"/>
          <w:szCs w:val="21"/>
        </w:rPr>
      </w:pPr>
    </w:p>
    <w:p>
      <w:pPr>
        <w:spacing w:line="321" w:lineRule="auto"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金融资产转移的确认依据和计量方法</w:t>
      </w:r>
      <w:r>
        <w:rPr>
          <w:rFonts w:ascii="宋体" w:hAnsi="宋体" w:cs="宋体" w:eastAsia="宋体" w:hint="default"/>
          <w:b/>
          <w:bCs/>
          <w:w w:val="100"/>
          <w:sz w:val="21"/>
          <w:szCs w:val="21"/>
        </w:rPr>
        <w:t> </w:t>
      </w:r>
      <w:r>
        <w:rPr>
          <w:rFonts w:ascii="宋体" w:hAnsi="宋体" w:cs="宋体" w:eastAsia="宋体" w:hint="default"/>
          <w:spacing w:val="-2"/>
          <w:sz w:val="21"/>
          <w:szCs w:val="21"/>
        </w:rPr>
        <w:t>公司发生金融资产转移时，如已将金融资产所有权上几乎所有的风险和报酬转移给转入方，则终止确认该</w:t>
      </w:r>
    </w:p>
    <w:p>
      <w:pPr>
        <w:pStyle w:val="BodyText"/>
        <w:spacing w:line="408" w:lineRule="auto" w:before="122"/>
        <w:ind w:right="0"/>
        <w:jc w:val="left"/>
        <w:rPr>
          <w:rFonts w:ascii="宋体" w:hAnsi="宋体" w:cs="宋体" w:eastAsia="宋体" w:hint="default"/>
        </w:rPr>
      </w:pPr>
      <w:r>
        <w:rPr/>
        <w:t>金融资产；如保留了金融资产所有权上几乎所有的风险和报酬的，则不终止确认该金融资产。</w:t>
      </w:r>
      <w:r>
        <w:rPr>
          <w:rFonts w:ascii="宋体" w:hAnsi="宋体" w:cs="宋体" w:eastAsia="宋体" w:hint="default"/>
          <w:w w:val="100"/>
        </w:rPr>
        <w:t> </w:t>
      </w:r>
      <w:r>
        <w:rPr>
          <w:spacing w:val="-2"/>
        </w:rPr>
        <w:t>在判断金融资产转移是否满足上述金融资产终止确认条件时，采用实质重于形式的原则。公司将金融资产</w:t>
      </w:r>
      <w:r>
        <w:rPr>
          <w:spacing w:val="-43"/>
        </w:rPr>
        <w:t> </w:t>
      </w:r>
      <w:r>
        <w:rPr>
          <w:spacing w:val="-43"/>
        </w:rPr>
      </w:r>
      <w:r>
        <w:rPr>
          <w:spacing w:val="-2"/>
        </w:rPr>
        <w:t>转移区分为金融资产整体转移和部分转移。金融资产整体转移满足终止确认条件的，将下列两项金额的差</w:t>
      </w:r>
      <w:r>
        <w:rPr>
          <w:spacing w:val="-44"/>
        </w:rPr>
        <w:t> </w:t>
      </w:r>
      <w:r>
        <w:rPr>
          <w:spacing w:val="-44"/>
        </w:rPr>
      </w:r>
      <w:r>
        <w:rPr/>
        <w:t>额计入当期损益：</w:t>
      </w:r>
      <w:r>
        <w:rPr>
          <w:rFonts w:ascii="宋体" w:hAnsi="宋体" w:cs="宋体" w:eastAsia="宋体" w:hint="default"/>
        </w:rPr>
        <w:t> </w:t>
      </w:r>
    </w:p>
    <w:p>
      <w:pPr>
        <w:pStyle w:val="BodyText"/>
        <w:spacing w:line="240" w:lineRule="auto" w:before="46"/>
        <w:ind w:right="0"/>
        <w:jc w:val="left"/>
        <w:rPr>
          <w:rFonts w:ascii="宋体" w:hAnsi="宋体" w:cs="宋体" w:eastAsia="宋体" w:hint="default"/>
        </w:rPr>
      </w:pPr>
      <w:r>
        <w:rPr/>
        <w:t>（</w:t>
      </w:r>
      <w:r>
        <w:rPr>
          <w:rFonts w:ascii="宋体" w:hAnsi="宋体" w:cs="宋体" w:eastAsia="宋体" w:hint="default"/>
        </w:rPr>
        <w:t>1</w:t>
      </w:r>
      <w:r>
        <w:rPr/>
        <w:t>）所转移金融资产的账面价值；</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408" w:lineRule="auto"/>
        <w:ind w:right="0"/>
        <w:jc w:val="left"/>
        <w:rPr>
          <w:rFonts w:ascii="宋体" w:hAnsi="宋体" w:cs="宋体" w:eastAsia="宋体" w:hint="default"/>
        </w:rPr>
      </w:pPr>
      <w:r>
        <w:rPr/>
        <w:t>（</w:t>
      </w:r>
      <w:r>
        <w:rPr>
          <w:rFonts w:ascii="宋体" w:hAnsi="宋体" w:cs="宋体" w:eastAsia="宋体" w:hint="default"/>
        </w:rPr>
        <w:t>2</w:t>
      </w:r>
      <w:r>
        <w:rPr/>
        <w:t>）因转移而收到的对价，与原直接计入所有者权益的公允价值变动累计额（涉及转移的金融资产为可</w:t>
      </w:r>
      <w:r>
        <w:rPr>
          <w:w w:val="100"/>
        </w:rPr>
        <w:t> </w:t>
      </w:r>
      <w:r>
        <w:rPr/>
        <w:t>供出售金融资产的情形）之和。</w:t>
      </w:r>
      <w:r>
        <w:rPr>
          <w:rFonts w:ascii="宋体" w:hAnsi="宋体" w:cs="宋体" w:eastAsia="宋体" w:hint="default"/>
          <w:w w:val="100"/>
        </w:rPr>
        <w:t> </w:t>
      </w:r>
      <w:r>
        <w:rPr>
          <w:spacing w:val="-2"/>
        </w:rPr>
        <w:t>金融资产部分转移满足终止确认条件的，将所转移金融资产整体的账面价值，在终止确认部分和未终止确</w:t>
      </w:r>
      <w:r>
        <w:rPr>
          <w:spacing w:val="-43"/>
        </w:rPr>
        <w:t> </w:t>
      </w:r>
      <w:r>
        <w:rPr>
          <w:spacing w:val="-43"/>
        </w:rPr>
      </w:r>
      <w:r>
        <w:rPr/>
        <w:t>认部分之间，按照各自的相对公允价值进行分摊，并将下列两项金额的差额计入当期损益：</w:t>
      </w:r>
      <w:r>
        <w:rPr>
          <w:rFonts w:ascii="宋体" w:hAnsi="宋体" w:cs="宋体" w:eastAsia="宋体" w:hint="default"/>
        </w:rPr>
        <w:t> </w:t>
      </w:r>
    </w:p>
    <w:p>
      <w:pPr>
        <w:pStyle w:val="BodyText"/>
        <w:spacing w:line="240" w:lineRule="auto" w:before="46"/>
        <w:ind w:right="0"/>
        <w:jc w:val="left"/>
        <w:rPr>
          <w:rFonts w:ascii="宋体" w:hAnsi="宋体" w:cs="宋体" w:eastAsia="宋体" w:hint="default"/>
        </w:rPr>
      </w:pPr>
      <w:r>
        <w:rPr/>
        <w:t>（</w:t>
      </w:r>
      <w:r>
        <w:rPr>
          <w:rFonts w:ascii="宋体" w:hAnsi="宋体" w:cs="宋体" w:eastAsia="宋体" w:hint="default"/>
        </w:rPr>
        <w:t>1</w:t>
      </w:r>
      <w:r>
        <w:rPr/>
        <w:t>）终止确认部分的账面价值；</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40" w:lineRule="auto"/>
        <w:ind w:right="0"/>
        <w:jc w:val="left"/>
      </w:pPr>
      <w:r>
        <w:rPr/>
        <w:t>（</w:t>
      </w:r>
      <w:r>
        <w:rPr>
          <w:rFonts w:ascii="宋体" w:hAnsi="宋体" w:cs="宋体" w:eastAsia="宋体" w:hint="default"/>
        </w:rPr>
        <w:t>2</w:t>
      </w:r>
      <w:r>
        <w:rPr/>
        <w:t>）终止确认部分的对价，与原直接计入所有者权益的公允价值变动累计额中对应终止确认部分的金额</w:t>
      </w:r>
    </w:p>
    <w:p>
      <w:pPr>
        <w:spacing w:line="240" w:lineRule="auto" w:before="10"/>
        <w:rPr>
          <w:rFonts w:ascii="宋体" w:hAnsi="宋体" w:cs="宋体" w:eastAsia="宋体" w:hint="default"/>
          <w:sz w:val="14"/>
          <w:szCs w:val="14"/>
        </w:rPr>
      </w:pPr>
    </w:p>
    <w:p>
      <w:pPr>
        <w:pStyle w:val="BodyText"/>
        <w:spacing w:line="408" w:lineRule="auto"/>
        <w:ind w:right="0"/>
        <w:jc w:val="left"/>
        <w:rPr>
          <w:rFonts w:ascii="宋体" w:hAnsi="宋体" w:cs="宋体" w:eastAsia="宋体" w:hint="default"/>
        </w:rPr>
      </w:pPr>
      <w:r>
        <w:rPr/>
        <w:t>（涉及转移的金融资产为可供出售金融资产的情形）之和。</w:t>
      </w:r>
      <w:r>
        <w:rPr>
          <w:rFonts w:ascii="宋体" w:hAnsi="宋体" w:cs="宋体" w:eastAsia="宋体" w:hint="default"/>
          <w:w w:val="100"/>
        </w:rPr>
        <w:t> </w:t>
      </w:r>
      <w:r>
        <w:rPr/>
        <w:t>金融资产转移不满足终止确认条件的，继续确认该金融资产，所收到的对价确认为一项金融负债。</w:t>
      </w:r>
      <w:r>
        <w:rPr>
          <w:rFonts w:ascii="宋体" w:hAnsi="宋体" w:cs="宋体" w:eastAsia="宋体" w:hint="default"/>
        </w:rPr>
        <w:t> </w:t>
      </w:r>
    </w:p>
    <w:p>
      <w:pPr>
        <w:spacing w:line="240" w:lineRule="auto" w:before="7"/>
        <w:rPr>
          <w:rFonts w:ascii="宋体" w:hAnsi="宋体" w:cs="宋体" w:eastAsia="宋体" w:hint="default"/>
          <w:sz w:val="21"/>
          <w:szCs w:val="21"/>
        </w:rPr>
      </w:pPr>
    </w:p>
    <w:p>
      <w:pPr>
        <w:spacing w:line="321" w:lineRule="auto"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金融负债终止确认条件</w:t>
      </w:r>
      <w:r>
        <w:rPr>
          <w:rFonts w:ascii="宋体" w:hAnsi="宋体" w:cs="宋体" w:eastAsia="宋体" w:hint="default"/>
          <w:b/>
          <w:bCs/>
          <w:w w:val="100"/>
          <w:sz w:val="21"/>
          <w:szCs w:val="21"/>
        </w:rPr>
        <w:t> </w:t>
      </w:r>
      <w:r>
        <w:rPr>
          <w:rFonts w:ascii="宋体" w:hAnsi="宋体" w:cs="宋体" w:eastAsia="宋体" w:hint="default"/>
          <w:spacing w:val="-2"/>
          <w:sz w:val="21"/>
          <w:szCs w:val="21"/>
        </w:rPr>
        <w:t>金融负债的现时义务全部或部分已经解除的，则终止确认该金融负债或其一部分；本公司若与债权人签定</w:t>
      </w:r>
    </w:p>
    <w:p>
      <w:pPr>
        <w:spacing w:after="0" w:line="321" w:lineRule="auto"/>
        <w:jc w:val="left"/>
        <w:rPr>
          <w:rFonts w:ascii="宋体" w:hAnsi="宋体" w:cs="宋体" w:eastAsia="宋体" w:hint="default"/>
          <w:sz w:val="21"/>
          <w:szCs w:val="21"/>
        </w:rPr>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pStyle w:val="BodyText"/>
        <w:spacing w:line="408" w:lineRule="auto" w:before="176"/>
        <w:ind w:right="101"/>
        <w:jc w:val="left"/>
        <w:rPr>
          <w:rFonts w:ascii="宋体" w:hAnsi="宋体" w:cs="宋体" w:eastAsia="宋体" w:hint="default"/>
        </w:rPr>
      </w:pPr>
      <w:r>
        <w:rPr>
          <w:spacing w:val="-5"/>
        </w:rPr>
        <w:t>协议，以承担新金融负债方式替换现存金融负债，且新金融负债与现存金融负债的合同条款实质上不同的， </w:t>
      </w:r>
      <w:r>
        <w:rPr/>
        <w:t>则终止确认现存金融负债，并同时确认新金融负债。</w:t>
      </w:r>
      <w:r>
        <w:rPr>
          <w:rFonts w:ascii="宋体" w:hAnsi="宋体" w:cs="宋体" w:eastAsia="宋体" w:hint="default"/>
          <w:w w:val="100"/>
        </w:rPr>
        <w:t> </w:t>
      </w:r>
      <w:r>
        <w:rPr>
          <w:spacing w:val="-2"/>
        </w:rPr>
        <w:t>对现存金融负债全部或部分合同条款作出实质性修改的，则终止确认现存金融负债或其一部分，同时将修</w:t>
      </w:r>
      <w:r>
        <w:rPr>
          <w:spacing w:val="-42"/>
        </w:rPr>
        <w:t> </w:t>
      </w:r>
      <w:r>
        <w:rPr>
          <w:spacing w:val="-42"/>
        </w:rPr>
      </w:r>
      <w:r>
        <w:rPr/>
        <w:t>改条款后的金融负债确认为一项新金融负债。</w:t>
      </w:r>
      <w:r>
        <w:rPr>
          <w:rFonts w:ascii="宋体" w:hAnsi="宋体" w:cs="宋体" w:eastAsia="宋体" w:hint="default"/>
          <w:w w:val="100"/>
        </w:rPr>
        <w:t> </w:t>
      </w:r>
      <w:r>
        <w:rPr>
          <w:spacing w:val="-2"/>
        </w:rPr>
        <w:t>金融负债全部或部分终止确认时，终止确认的金融负债账面价值与支付对价（包括转出的非现金资产或承</w:t>
      </w:r>
      <w:r>
        <w:rPr>
          <w:spacing w:val="-43"/>
        </w:rPr>
        <w:t> </w:t>
      </w:r>
      <w:r>
        <w:rPr>
          <w:spacing w:val="-43"/>
        </w:rPr>
      </w:r>
      <w:r>
        <w:rPr/>
        <w:t>担的新金融负债）之间的差额，计入当期损益。</w:t>
      </w:r>
      <w:r>
        <w:rPr>
          <w:rFonts w:ascii="宋体" w:hAnsi="宋体" w:cs="宋体" w:eastAsia="宋体" w:hint="default"/>
          <w:w w:val="100"/>
        </w:rPr>
        <w:t> </w:t>
      </w:r>
      <w:r>
        <w:rPr>
          <w:spacing w:val="-2"/>
        </w:rPr>
        <w:t>本公司若回购部分金融负债的，在回购日按照继续确认部分与终止确认部分的相对公允价值，将该金融负</w:t>
      </w:r>
      <w:r>
        <w:rPr>
          <w:spacing w:val="-43"/>
        </w:rPr>
        <w:t> </w:t>
      </w:r>
      <w:r>
        <w:rPr>
          <w:spacing w:val="-43"/>
        </w:rPr>
      </w:r>
      <w:r>
        <w:rPr>
          <w:spacing w:val="-2"/>
        </w:rPr>
        <w:t>债整体的账面价值进行分配。分配给终止确认部分的账面价值与支付的对价（包括转出的非现金资产或承</w:t>
      </w:r>
      <w:r>
        <w:rPr>
          <w:spacing w:val="-43"/>
        </w:rPr>
        <w:t> </w:t>
      </w:r>
      <w:r>
        <w:rPr>
          <w:spacing w:val="-43"/>
        </w:rPr>
      </w:r>
      <w:r>
        <w:rPr/>
        <w:t>担的新金融负债）之间的差额，计入当期损益。</w:t>
      </w:r>
      <w:r>
        <w:rPr>
          <w:rFonts w:ascii="宋体" w:hAnsi="宋体" w:cs="宋体" w:eastAsia="宋体" w:hint="default"/>
        </w:rPr>
        <w:t> </w:t>
      </w:r>
    </w:p>
    <w:p>
      <w:pPr>
        <w:spacing w:line="240" w:lineRule="auto" w:before="7"/>
        <w:rPr>
          <w:rFonts w:ascii="宋体" w:hAnsi="宋体" w:cs="宋体" w:eastAsia="宋体" w:hint="default"/>
          <w:sz w:val="21"/>
          <w:szCs w:val="21"/>
        </w:rPr>
      </w:pPr>
    </w:p>
    <w:p>
      <w:pPr>
        <w:spacing w:line="321" w:lineRule="auto" w:before="0"/>
        <w:ind w:left="152" w:right="10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金融资产和金融负债的公允价值的确定方法</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2"/>
          <w:sz w:val="21"/>
          <w:szCs w:val="21"/>
        </w:rPr>
        <w:t>存在活跃市场的金融工具，以活跃市场中的报价确定其公允价值。不存在活跃市场的金融工具，采用估值</w:t>
      </w:r>
    </w:p>
    <w:p>
      <w:pPr>
        <w:pStyle w:val="BodyText"/>
        <w:spacing w:line="408" w:lineRule="auto" w:before="121"/>
        <w:ind w:right="206"/>
        <w:jc w:val="both"/>
        <w:rPr>
          <w:rFonts w:ascii="宋体" w:hAnsi="宋体" w:cs="宋体" w:eastAsia="宋体" w:hint="default"/>
        </w:rPr>
      </w:pPr>
      <w:r>
        <w:rPr>
          <w:spacing w:val="-2"/>
        </w:rPr>
        <w:t>技术确定其公允价值。在估值时，本公司采用在当前情况下适用并且有足够可利用数据和其他信息支持的</w:t>
      </w:r>
      <w:r>
        <w:rPr>
          <w:spacing w:val="-44"/>
        </w:rPr>
        <w:t> </w:t>
      </w:r>
      <w:r>
        <w:rPr>
          <w:spacing w:val="-44"/>
        </w:rPr>
      </w:r>
      <w:r>
        <w:rPr>
          <w:spacing w:val="-2"/>
        </w:rPr>
        <w:t>估值技术，选择与市场参与者在相关资产或负债的交易中所考虑的资产或负债特征相一致的输入值，并优</w:t>
      </w:r>
      <w:r>
        <w:rPr>
          <w:spacing w:val="-42"/>
        </w:rPr>
        <w:t> </w:t>
      </w:r>
      <w:r>
        <w:rPr>
          <w:spacing w:val="-42"/>
        </w:rPr>
      </w:r>
      <w:r>
        <w:rPr>
          <w:spacing w:val="-2"/>
        </w:rPr>
        <w:t>先使用相关可观察输入值。只有在相关可观察输入值无法取得或取得不切实可行的情况下，才使用不可观</w:t>
      </w:r>
      <w:r>
        <w:rPr>
          <w:spacing w:val="-43"/>
        </w:rPr>
        <w:t> </w:t>
      </w:r>
      <w:r>
        <w:rPr>
          <w:spacing w:val="-43"/>
        </w:rPr>
      </w:r>
      <w:r>
        <w:rPr/>
        <w:t>察输入值。</w:t>
      </w:r>
      <w:r>
        <w:rPr>
          <w:rFonts w:ascii="宋体" w:hAnsi="宋体" w:cs="宋体" w:eastAsia="宋体" w:hint="default"/>
        </w:rPr>
        <w:t> </w:t>
      </w:r>
    </w:p>
    <w:p>
      <w:pPr>
        <w:spacing w:line="240" w:lineRule="auto" w:before="7"/>
        <w:rPr>
          <w:rFonts w:ascii="宋体" w:hAnsi="宋体" w:cs="宋体" w:eastAsia="宋体" w:hint="default"/>
          <w:sz w:val="21"/>
          <w:szCs w:val="21"/>
        </w:rPr>
      </w:pPr>
    </w:p>
    <w:p>
      <w:pPr>
        <w:spacing w:line="321" w:lineRule="auto" w:before="0"/>
        <w:ind w:left="152" w:right="10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金融资产（不含应收款项）减值的测试方法及会计处理方法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除以公允价值计量且其变动计入当期损益的金融资产外，本公司于资产负债表日对金融资产的账面价值进</w:t>
      </w:r>
    </w:p>
    <w:p>
      <w:pPr>
        <w:pStyle w:val="BodyText"/>
        <w:spacing w:line="240" w:lineRule="auto" w:before="121"/>
        <w:ind w:right="101"/>
        <w:jc w:val="left"/>
        <w:rPr>
          <w:rFonts w:ascii="宋体" w:hAnsi="宋体" w:cs="宋体" w:eastAsia="宋体" w:hint="default"/>
        </w:rPr>
      </w:pPr>
      <w:r>
        <w:rPr/>
        <w:t>行检查，如果有客观证据表明某项金融资产发生减值的，计提减值准备。</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408" w:lineRule="auto"/>
        <w:ind w:right="101"/>
        <w:jc w:val="left"/>
        <w:rPr>
          <w:rFonts w:ascii="宋体" w:hAnsi="宋体" w:cs="宋体" w:eastAsia="宋体" w:hint="default"/>
        </w:rPr>
      </w:pPr>
      <w:r>
        <w:rPr/>
        <w:t>（</w:t>
      </w:r>
      <w:r>
        <w:rPr>
          <w:rFonts w:ascii="宋体" w:hAnsi="宋体" w:cs="宋体" w:eastAsia="宋体" w:hint="default"/>
        </w:rPr>
        <w:t>1</w:t>
      </w:r>
      <w:r>
        <w:rPr/>
        <w:t>）可供出售金融资产的减值准备：</w:t>
      </w:r>
      <w:r>
        <w:rPr>
          <w:rFonts w:ascii="宋体" w:hAnsi="宋体" w:cs="宋体" w:eastAsia="宋体" w:hint="default"/>
          <w:w w:val="100"/>
        </w:rPr>
        <w:t> </w:t>
      </w:r>
      <w:r>
        <w:rPr>
          <w:spacing w:val="-2"/>
        </w:rPr>
        <w:t>期末如果可供出售金融资产的公允价值发生严重下降，或在综合考虑各种相关因素后，预期这种下降趋势</w:t>
      </w:r>
      <w:r>
        <w:rPr>
          <w:spacing w:val="-43"/>
        </w:rPr>
        <w:t> </w:t>
      </w:r>
      <w:r>
        <w:rPr>
          <w:spacing w:val="-43"/>
        </w:rPr>
      </w:r>
      <w:r>
        <w:rPr>
          <w:spacing w:val="-2"/>
        </w:rPr>
        <w:t>属于非暂时性的，就认定其已发生减值，将原直接计入所有者权益的公允价值下降形成的累计损失一并转</w:t>
      </w:r>
      <w:r>
        <w:rPr>
          <w:spacing w:val="-42"/>
        </w:rPr>
        <w:t> </w:t>
      </w:r>
      <w:r>
        <w:rPr>
          <w:spacing w:val="-42"/>
        </w:rPr>
      </w:r>
      <w:r>
        <w:rPr/>
        <w:t>出，确认减值损失。</w:t>
      </w:r>
      <w:r>
        <w:rPr>
          <w:rFonts w:ascii="宋体" w:hAnsi="宋体" w:cs="宋体" w:eastAsia="宋体" w:hint="default"/>
          <w:w w:val="100"/>
        </w:rPr>
        <w:t> </w:t>
      </w:r>
      <w:r>
        <w:rPr>
          <w:spacing w:val="-2"/>
        </w:rPr>
        <w:t>对于已确认减值损失的可供出售债务工具，在随后的会计期间公允价值已上升且客观上与确认原减值损失</w:t>
      </w:r>
      <w:r>
        <w:rPr>
          <w:spacing w:val="-43"/>
        </w:rPr>
        <w:t> </w:t>
      </w:r>
      <w:r>
        <w:rPr>
          <w:spacing w:val="-43"/>
        </w:rPr>
      </w:r>
      <w:r>
        <w:rPr/>
        <w:t>确认后发生的事项有关的，原确认的减值损失予以转回，计入当期损益。</w:t>
      </w:r>
      <w:r>
        <w:rPr>
          <w:rFonts w:ascii="宋体" w:hAnsi="宋体" w:cs="宋体" w:eastAsia="宋体" w:hint="default"/>
          <w:w w:val="100"/>
        </w:rPr>
        <w:t> </w:t>
      </w:r>
      <w:r>
        <w:rPr/>
        <w:t>可供出售权益工具投资发生的减值损失，不通过损益转回。</w:t>
      </w:r>
      <w:r>
        <w:rPr>
          <w:rFonts w:ascii="宋体" w:hAnsi="宋体" w:cs="宋体" w:eastAsia="宋体" w:hint="default"/>
        </w:rPr>
        <w:t> </w:t>
      </w:r>
    </w:p>
    <w:p>
      <w:pPr>
        <w:pStyle w:val="BodyText"/>
        <w:spacing w:line="408" w:lineRule="auto" w:before="46"/>
        <w:ind w:right="206"/>
        <w:jc w:val="left"/>
        <w:rPr>
          <w:rFonts w:ascii="宋体" w:hAnsi="宋体" w:cs="宋体" w:eastAsia="宋体" w:hint="default"/>
        </w:rPr>
      </w:pPr>
      <w:r>
        <w:rPr/>
        <w:t>（</w:t>
      </w:r>
      <w:r>
        <w:rPr>
          <w:rFonts w:ascii="宋体" w:hAnsi="宋体" w:cs="宋体" w:eastAsia="宋体" w:hint="default"/>
        </w:rPr>
        <w:t>2</w:t>
      </w:r>
      <w:r>
        <w:rPr/>
        <w:t>）持有至到期投资的减值准备：</w:t>
      </w:r>
      <w:r>
        <w:rPr>
          <w:rFonts w:ascii="宋体" w:hAnsi="宋体" w:cs="宋体" w:eastAsia="宋体" w:hint="default"/>
          <w:w w:val="100"/>
        </w:rPr>
        <w:t> </w:t>
      </w:r>
      <w:r>
        <w:rPr/>
        <w:t>持有至到期投资减值损失的计量比照应收款项减值损失计量方法处理。</w:t>
      </w:r>
      <w:r>
        <w:rPr>
          <w:rFonts w:ascii="宋体" w:hAnsi="宋体" w:cs="宋体" w:eastAsia="宋体" w:hint="default"/>
        </w:rPr>
        <w:t> </w:t>
      </w:r>
    </w:p>
    <w:p>
      <w:pPr>
        <w:pStyle w:val="BodyText"/>
        <w:spacing w:line="240" w:lineRule="auto" w:before="46"/>
        <w:ind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pgSz w:w="11910" w:h="16840"/>
          <w:pgMar w:header="745" w:footer="979" w:top="1060" w:bottom="1160" w:left="980" w:right="92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11</w:t>
      </w:r>
      <w:r>
        <w:rPr/>
        <w:t>、应收款项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占应收款项余额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％以上的款项。</w:t>
            </w:r>
          </w:p>
        </w:tc>
      </w:tr>
      <w:tr>
        <w:trPr>
          <w:trHeight w:val="196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both"/>
              <w:rPr>
                <w:rFonts w:ascii="宋体" w:hAnsi="宋体" w:cs="宋体" w:eastAsia="宋体" w:hint="default"/>
                <w:sz w:val="18"/>
                <w:szCs w:val="18"/>
              </w:rPr>
            </w:pPr>
            <w:r>
              <w:rPr>
                <w:rFonts w:ascii="宋体" w:hAnsi="宋体" w:cs="宋体" w:eastAsia="宋体" w:hint="default"/>
                <w:sz w:val="18"/>
                <w:szCs w:val="18"/>
              </w:rPr>
              <w:t>单独进行减值测试，如有客观证据表明其发生了减值的，根 据其未来现金流量现值低于其账面价值的差额，确认减值损 失，计提坏账准备。短期应收款项的预计未来现金流量与其 现值相差很小，在确定相关减值损失时，不对其预计未来现 金流量进行折现。单独测试未发生减值的应收款项，包括在 具有类似信用风险特征的应收款项组合中再进行减值测试。</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天内</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天至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w:t>
      </w:r>
    </w:p>
    <w:p>
      <w:pPr>
        <w:spacing w:line="340" w:lineRule="auto" w:before="115"/>
        <w:ind w:left="152" w:right="65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w:t>
      </w:r>
    </w:p>
    <w:p>
      <w:pPr>
        <w:spacing w:before="4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12</w:t>
      </w:r>
      <w:r>
        <w:rPr/>
        <w:t>、存货</w:t>
      </w:r>
      <w:r>
        <w:rPr>
          <w:b w:val="0"/>
          <w:bCs w:val="0"/>
        </w:rPr>
      </w:r>
    </w:p>
    <w:p>
      <w:pPr>
        <w:spacing w:line="240" w:lineRule="auto" w:before="2"/>
        <w:rPr>
          <w:rFonts w:ascii="宋体" w:hAnsi="宋体" w:cs="宋体" w:eastAsia="宋体" w:hint="default"/>
          <w:b/>
          <w:bCs/>
          <w:sz w:val="26"/>
          <w:szCs w:val="26"/>
        </w:rPr>
      </w:pPr>
    </w:p>
    <w:p>
      <w:pPr>
        <w:spacing w:line="360" w:lineRule="auto" w:before="0"/>
        <w:ind w:left="152" w:right="6714"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338" w:lineRule="auto" w:before="6"/>
        <w:ind w:right="3611"/>
        <w:jc w:val="left"/>
        <w:rPr>
          <w:rFonts w:ascii="宋体" w:hAnsi="宋体" w:cs="宋体" w:eastAsia="宋体" w:hint="default"/>
        </w:rPr>
      </w:pPr>
      <w:r>
        <w:rPr>
          <w:rFonts w:ascii="宋体" w:hAnsi="宋体" w:cs="宋体" w:eastAsia="宋体" w:hint="default"/>
          <w:b/>
          <w:bCs/>
        </w:rPr>
        <w:t>存货的分类</w:t>
      </w:r>
      <w:r>
        <w:rPr>
          <w:rFonts w:ascii="宋体" w:hAnsi="宋体" w:cs="宋体" w:eastAsia="宋体" w:hint="default"/>
          <w:b/>
          <w:bCs/>
          <w:w w:val="100"/>
        </w:rPr>
        <w:t> </w:t>
      </w:r>
      <w:r>
        <w:rPr/>
        <w:t>存货分类为：低值易耗品、库存商品、劳务成本、发出商品等。</w:t>
      </w:r>
      <w:r>
        <w:rPr>
          <w:rFonts w:ascii="宋体" w:hAnsi="宋体" w:cs="宋体" w:eastAsia="宋体" w:hint="default"/>
        </w:rPr>
        <w:t> </w:t>
      </w:r>
    </w:p>
    <w:p>
      <w:pPr>
        <w:spacing w:after="0" w:line="338" w:lineRule="auto"/>
        <w:jc w:val="left"/>
        <w:rPr>
          <w:rFonts w:ascii="宋体" w:hAnsi="宋体" w:cs="宋体" w:eastAsia="宋体" w:hint="default"/>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spacing w:line="321" w:lineRule="auto"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取得和发出存货的计价方法</w:t>
      </w:r>
      <w:r>
        <w:rPr>
          <w:rFonts w:ascii="宋体" w:hAnsi="宋体" w:cs="宋体" w:eastAsia="宋体" w:hint="default"/>
          <w:b/>
          <w:bCs/>
          <w:w w:val="100"/>
          <w:sz w:val="21"/>
          <w:szCs w:val="21"/>
        </w:rPr>
        <w:t> </w:t>
      </w:r>
      <w:r>
        <w:rPr>
          <w:rFonts w:ascii="宋体" w:hAnsi="宋体" w:cs="宋体" w:eastAsia="宋体" w:hint="default"/>
          <w:spacing w:val="-2"/>
          <w:sz w:val="21"/>
          <w:szCs w:val="21"/>
        </w:rPr>
        <w:t>日常核算取得时按实际成本计价；发出时按先进先出法计价。对于不能替代使用的存货以及为特定项目专</w:t>
      </w:r>
    </w:p>
    <w:p>
      <w:pPr>
        <w:pStyle w:val="BodyText"/>
        <w:spacing w:line="240" w:lineRule="auto" w:before="121"/>
        <w:ind w:right="0"/>
        <w:jc w:val="left"/>
        <w:rPr>
          <w:rFonts w:ascii="宋体" w:hAnsi="宋体" w:cs="宋体" w:eastAsia="宋体" w:hint="default"/>
        </w:rPr>
      </w:pPr>
      <w:r>
        <w:rPr/>
        <w:t>门购入或制造的存货，公司采用个别计价法确定发出存货的成本。</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321" w:lineRule="auto" w:before="16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存货跌价准备的计提方法</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z w:val="21"/>
          <w:szCs w:val="21"/>
        </w:rPr>
        <w:t>期末对存货进行全面清查后，按存货的成本与可变现净值孰低提取或调整存货跌价准备。</w:t>
      </w:r>
      <w:r>
        <w:rPr>
          <w:rFonts w:ascii="宋体" w:hAnsi="宋体" w:cs="宋体" w:eastAsia="宋体" w:hint="default"/>
          <w:sz w:val="21"/>
          <w:szCs w:val="21"/>
        </w:rPr>
        <w:t> </w:t>
      </w:r>
    </w:p>
    <w:p>
      <w:pPr>
        <w:pStyle w:val="BodyText"/>
        <w:spacing w:line="408" w:lineRule="auto" w:before="121"/>
        <w:ind w:right="0"/>
        <w:jc w:val="left"/>
        <w:rPr>
          <w:rFonts w:ascii="宋体" w:hAnsi="宋体" w:cs="宋体" w:eastAsia="宋体" w:hint="default"/>
        </w:rPr>
      </w:pPr>
      <w:r>
        <w:rPr>
          <w:spacing w:val="-2"/>
        </w:rPr>
        <w:t>产成品、库存商品和用于出售的材料等直接用于出售的商品存货，在正常生产经营过程中，以该存货的估</w:t>
      </w:r>
      <w:r>
        <w:rPr>
          <w:spacing w:val="-44"/>
        </w:rPr>
        <w:t> </w:t>
      </w:r>
      <w:r>
        <w:rPr>
          <w:spacing w:val="-44"/>
        </w:rPr>
      </w:r>
      <w:r>
        <w:rPr>
          <w:spacing w:val="-2"/>
        </w:rPr>
        <w:t>计售价减去估计的销售费用和相关税费后的金额，确定其可变现净值；需要经过加工的材料存货，在正常</w:t>
      </w:r>
      <w:r>
        <w:rPr>
          <w:spacing w:val="-43"/>
        </w:rPr>
        <w:t> </w:t>
      </w:r>
      <w:r>
        <w:rPr>
          <w:spacing w:val="-43"/>
        </w:rPr>
      </w:r>
      <w:r>
        <w:rPr>
          <w:spacing w:val="-2"/>
        </w:rPr>
        <w:t>生产经营过程中，以所生产的产成品的估计售价减去至完工时估计将要发生的成本、估计的销售费用和相</w:t>
      </w:r>
      <w:r>
        <w:rPr>
          <w:spacing w:val="-44"/>
        </w:rPr>
        <w:t> </w:t>
      </w:r>
      <w:r>
        <w:rPr>
          <w:spacing w:val="-44"/>
        </w:rPr>
      </w:r>
      <w:r>
        <w:rPr>
          <w:spacing w:val="-2"/>
        </w:rPr>
        <w:t>关税费后的金额，确定其可变现净值；为执行销售合同或者劳务合同而持有的存货，其可变现净值以合同</w:t>
      </w:r>
      <w:r>
        <w:rPr>
          <w:spacing w:val="-43"/>
        </w:rPr>
        <w:t> </w:t>
      </w:r>
      <w:r>
        <w:rPr>
          <w:spacing w:val="-43"/>
        </w:rPr>
      </w:r>
      <w:r>
        <w:rPr>
          <w:spacing w:val="-2"/>
        </w:rPr>
        <w:t>价格为基础计算，若持有存货的数量多于销售合同订购数量的，超出部分的存货的可变现净值以一般销售</w:t>
      </w:r>
      <w:r>
        <w:rPr>
          <w:spacing w:val="-44"/>
        </w:rPr>
        <w:t> </w:t>
      </w:r>
      <w:r>
        <w:rPr>
          <w:spacing w:val="-44"/>
        </w:rPr>
      </w:r>
      <w:r>
        <w:rPr/>
        <w:t>价格为基础计算。</w:t>
      </w:r>
      <w:r>
        <w:rPr>
          <w:rFonts w:ascii="宋体" w:hAnsi="宋体" w:cs="宋体" w:eastAsia="宋体" w:hint="default"/>
          <w:w w:val="100"/>
        </w:rPr>
        <w:t> </w:t>
      </w:r>
      <w:r>
        <w:rPr>
          <w:spacing w:val="-2"/>
        </w:rPr>
        <w:t>期末按照单个存货项目计提存货跌价准备；但对于数量繁多、单价较低的存货，按照存货类别计提存货跌</w:t>
      </w:r>
      <w:r>
        <w:rPr>
          <w:spacing w:val="-44"/>
        </w:rPr>
        <w:t> </w:t>
      </w:r>
      <w:r>
        <w:rPr>
          <w:spacing w:val="-44"/>
        </w:rPr>
      </w:r>
      <w:r>
        <w:rPr>
          <w:spacing w:val="-2"/>
        </w:rPr>
        <w:t>价准备；与在同一地区生产和销售的产品系列相关、具有相同或类似最终用途或目的，且难以与其他项目</w:t>
      </w:r>
      <w:r>
        <w:rPr>
          <w:spacing w:val="-44"/>
        </w:rPr>
        <w:t> </w:t>
      </w:r>
      <w:r>
        <w:rPr>
          <w:spacing w:val="-44"/>
        </w:rPr>
      </w:r>
      <w:r>
        <w:rPr/>
        <w:t>分开计量的存货，则合并计提存货跌价准备。</w:t>
      </w:r>
      <w:r>
        <w:rPr>
          <w:rFonts w:ascii="宋体" w:hAnsi="宋体" w:cs="宋体" w:eastAsia="宋体" w:hint="default"/>
          <w:w w:val="100"/>
        </w:rPr>
        <w:t> </w:t>
      </w:r>
      <w:r>
        <w:rPr>
          <w:spacing w:val="-2"/>
        </w:rPr>
        <w:t>以前减记存货价值的影响因素已经消失的，减记的金额予以恢复，并在原已计提的存货跌价准备金额内转</w:t>
      </w:r>
      <w:r>
        <w:rPr>
          <w:spacing w:val="-43"/>
        </w:rPr>
        <w:t> </w:t>
      </w:r>
      <w:r>
        <w:rPr>
          <w:spacing w:val="-43"/>
        </w:rPr>
      </w:r>
      <w:r>
        <w:rPr/>
        <w:t>回，转回的金额计入当期损益。</w:t>
      </w:r>
      <w:r>
        <w:rPr>
          <w:rFonts w:ascii="宋体" w:hAnsi="宋体" w:cs="宋体" w:eastAsia="宋体" w:hint="default"/>
          <w:w w:val="100"/>
        </w:rPr>
        <w:t> </w:t>
      </w:r>
      <w:r>
        <w:rPr>
          <w:spacing w:val="-2"/>
        </w:rPr>
        <w:t>除有明确证据表明资产负债表日市场价格异常外，存货项目的可变现净值以资产负债表日市场价格为基础</w:t>
      </w:r>
      <w:r>
        <w:rPr>
          <w:spacing w:val="-43"/>
        </w:rPr>
        <w:t> </w:t>
      </w:r>
      <w:r>
        <w:rPr>
          <w:spacing w:val="-43"/>
        </w:rPr>
      </w:r>
      <w:r>
        <w:rPr/>
        <w:t>确定。</w:t>
      </w:r>
      <w:r>
        <w:rPr>
          <w:rFonts w:ascii="宋体" w:hAnsi="宋体" w:cs="宋体" w:eastAsia="宋体" w:hint="default"/>
          <w:w w:val="100"/>
        </w:rPr>
        <w:t> </w:t>
      </w:r>
      <w:r>
        <w:rPr>
          <w:spacing w:val="-2"/>
        </w:rPr>
        <w:t>资产负债表日市场价格异常的判断依据为：本期期末存货项目的可变现净值以资产负债表日市场价格为基</w:t>
      </w:r>
      <w:r>
        <w:rPr>
          <w:spacing w:val="-43"/>
        </w:rPr>
        <w:t> </w:t>
      </w:r>
      <w:r>
        <w:rPr>
          <w:spacing w:val="-43"/>
        </w:rPr>
      </w:r>
      <w:r>
        <w:rPr/>
        <w:t>础确定。</w:t>
      </w:r>
      <w:r>
        <w:rPr>
          <w:rFonts w:ascii="宋体" w:hAnsi="宋体" w:cs="宋体" w:eastAsia="宋体" w:hint="default"/>
        </w:rPr>
        <w:t> </w:t>
      </w:r>
    </w:p>
    <w:p>
      <w:pPr>
        <w:spacing w:line="240" w:lineRule="auto" w:before="7"/>
        <w:rPr>
          <w:rFonts w:ascii="宋体" w:hAnsi="宋体" w:cs="宋体" w:eastAsia="宋体" w:hint="default"/>
          <w:sz w:val="21"/>
          <w:szCs w:val="21"/>
        </w:rPr>
      </w:pPr>
    </w:p>
    <w:p>
      <w:pPr>
        <w:spacing w:line="321" w:lineRule="auto" w:before="0"/>
        <w:ind w:left="152" w:right="787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 存货的盘存制度</w:t>
      </w:r>
      <w:r>
        <w:rPr>
          <w:rFonts w:ascii="宋体" w:hAnsi="宋体" w:cs="宋体" w:eastAsia="宋体" w:hint="default"/>
          <w:b/>
          <w:bCs/>
          <w:w w:val="100"/>
          <w:sz w:val="21"/>
          <w:szCs w:val="21"/>
        </w:rPr>
        <w:t> </w:t>
      </w:r>
      <w:r>
        <w:rPr>
          <w:rFonts w:ascii="宋体" w:hAnsi="宋体" w:cs="宋体" w:eastAsia="宋体" w:hint="default"/>
          <w:sz w:val="21"/>
          <w:szCs w:val="21"/>
        </w:rPr>
        <w:t>采用永续盘存制。</w:t>
      </w:r>
      <w:r>
        <w:rPr>
          <w:rFonts w:ascii="宋体" w:hAnsi="宋体" w:cs="宋体" w:eastAsia="宋体" w:hint="default"/>
          <w:sz w:val="21"/>
          <w:szCs w:val="21"/>
        </w:rPr>
        <w:t> </w:t>
      </w:r>
    </w:p>
    <w:p>
      <w:pPr>
        <w:spacing w:line="240" w:lineRule="auto" w:before="4"/>
        <w:rPr>
          <w:rFonts w:ascii="宋体" w:hAnsi="宋体" w:cs="宋体" w:eastAsia="宋体" w:hint="default"/>
          <w:sz w:val="27"/>
          <w:szCs w:val="27"/>
        </w:rPr>
      </w:pPr>
    </w:p>
    <w:p>
      <w:pPr>
        <w:spacing w:line="321" w:lineRule="auto" w:before="0"/>
        <w:ind w:left="152" w:right="671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低值易耗品的摊销方法</w:t>
      </w:r>
      <w:r>
        <w:rPr>
          <w:rFonts w:ascii="宋体" w:hAnsi="宋体" w:cs="宋体" w:eastAsia="宋体" w:hint="default"/>
          <w:b/>
          <w:bCs/>
          <w:w w:val="100"/>
          <w:sz w:val="21"/>
          <w:szCs w:val="21"/>
        </w:rPr>
        <w:t> </w:t>
      </w:r>
      <w:r>
        <w:rPr>
          <w:rFonts w:ascii="宋体" w:hAnsi="宋体" w:cs="宋体" w:eastAsia="宋体" w:hint="default"/>
          <w:sz w:val="21"/>
          <w:szCs w:val="21"/>
        </w:rPr>
        <w:t>低值易耗品采用一次摊销法。</w:t>
      </w:r>
      <w:r>
        <w:rPr>
          <w:rFonts w:ascii="宋体" w:hAnsi="宋体" w:cs="宋体" w:eastAsia="宋体" w:hint="default"/>
          <w:sz w:val="21"/>
          <w:szCs w:val="21"/>
        </w:rPr>
        <w:t> </w:t>
      </w:r>
    </w:p>
    <w:p>
      <w:pPr>
        <w:spacing w:line="240" w:lineRule="auto" w:before="5"/>
        <w:rPr>
          <w:rFonts w:ascii="宋体" w:hAnsi="宋体" w:cs="宋体" w:eastAsia="宋体" w:hint="default"/>
          <w:sz w:val="26"/>
          <w:szCs w:val="26"/>
        </w:rPr>
      </w:pPr>
    </w:p>
    <w:p>
      <w:pPr>
        <w:spacing w:line="506" w:lineRule="auto" w:before="0"/>
        <w:ind w:left="152" w:right="808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13</w:t>
      </w:r>
      <w:r>
        <w:rPr>
          <w:rFonts w:ascii="宋体" w:hAnsi="宋体" w:cs="宋体" w:eastAsia="宋体" w:hint="default"/>
          <w:b/>
          <w:bCs/>
          <w:sz w:val="21"/>
          <w:szCs w:val="21"/>
        </w:rPr>
        <w:t>、持有待售资产</w:t>
      </w:r>
      <w:r>
        <w:rPr>
          <w:rFonts w:ascii="宋体" w:hAnsi="宋体" w:cs="宋体" w:eastAsia="宋体" w:hint="default"/>
          <w:b/>
          <w:bCs/>
          <w:w w:val="100"/>
          <w:sz w:val="21"/>
          <w:szCs w:val="21"/>
        </w:rPr>
        <w:t> </w:t>
      </w:r>
      <w:r>
        <w:rPr>
          <w:rFonts w:ascii="宋体" w:hAnsi="宋体" w:cs="宋体" w:eastAsia="宋体" w:hint="default"/>
          <w:sz w:val="21"/>
          <w:szCs w:val="21"/>
        </w:rPr>
        <w:t>不适用</w:t>
      </w:r>
    </w:p>
    <w:p>
      <w:pPr>
        <w:spacing w:after="0" w:line="506" w:lineRule="auto"/>
        <w:jc w:val="left"/>
        <w:rPr>
          <w:rFonts w:ascii="宋体" w:hAnsi="宋体" w:cs="宋体" w:eastAsia="宋体" w:hint="default"/>
          <w:sz w:val="21"/>
          <w:szCs w:val="21"/>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01"/>
        <w:jc w:val="left"/>
        <w:rPr>
          <w:b w:val="0"/>
          <w:bCs w:val="0"/>
        </w:rPr>
      </w:pPr>
      <w:r>
        <w:rPr>
          <w:rFonts w:ascii="Times New Roman" w:hAnsi="Times New Roman" w:cs="Times New Roman" w:eastAsia="Times New Roman" w:hint="default"/>
        </w:rPr>
        <w:t>14</w:t>
      </w:r>
      <w:r>
        <w:rPr/>
        <w:t>、长期股权投资</w:t>
      </w:r>
      <w:r>
        <w:rPr>
          <w:b w:val="0"/>
          <w:bCs w:val="0"/>
        </w:rPr>
      </w:r>
    </w:p>
    <w:p>
      <w:pPr>
        <w:spacing w:line="240" w:lineRule="auto" w:before="10"/>
        <w:rPr>
          <w:rFonts w:ascii="宋体" w:hAnsi="宋体" w:cs="宋体" w:eastAsia="宋体" w:hint="default"/>
          <w:b/>
          <w:bCs/>
          <w:sz w:val="24"/>
          <w:szCs w:val="24"/>
        </w:rPr>
      </w:pPr>
    </w:p>
    <w:p>
      <w:pPr>
        <w:spacing w:line="321" w:lineRule="auto" w:before="0"/>
        <w:ind w:left="152" w:right="10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共同控制、重大影响的判断标准</w:t>
      </w:r>
      <w:r>
        <w:rPr>
          <w:rFonts w:ascii="宋体" w:hAnsi="宋体" w:cs="宋体" w:eastAsia="宋体" w:hint="default"/>
          <w:b/>
          <w:bCs/>
          <w:w w:val="100"/>
          <w:sz w:val="21"/>
          <w:szCs w:val="21"/>
        </w:rPr>
        <w:t> </w:t>
      </w:r>
      <w:r>
        <w:rPr>
          <w:rFonts w:ascii="宋体" w:hAnsi="宋体" w:cs="宋体" w:eastAsia="宋体" w:hint="default"/>
          <w:spacing w:val="-2"/>
          <w:sz w:val="21"/>
          <w:szCs w:val="21"/>
        </w:rPr>
        <w:t>共同控制，是指按照相关约定对某项安排所共有的控制，并且该安排的相关活动必须经过分享控制权的参</w:t>
      </w:r>
    </w:p>
    <w:p>
      <w:pPr>
        <w:pStyle w:val="BodyText"/>
        <w:spacing w:line="408" w:lineRule="auto" w:before="121"/>
        <w:ind w:right="101"/>
        <w:jc w:val="left"/>
        <w:rPr>
          <w:rFonts w:ascii="宋体" w:hAnsi="宋体" w:cs="宋体" w:eastAsia="宋体" w:hint="default"/>
        </w:rPr>
      </w:pPr>
      <w:r>
        <w:rPr>
          <w:spacing w:val="-2"/>
        </w:rPr>
        <w:t>与方一致同意后才能决策。本公司与其他合营方一同对被投资单位实施共同控制且对被投资单位净资产享</w:t>
      </w:r>
      <w:r>
        <w:rPr>
          <w:spacing w:val="-43"/>
        </w:rPr>
        <w:t> </w:t>
      </w:r>
      <w:r>
        <w:rPr>
          <w:spacing w:val="-43"/>
        </w:rPr>
      </w:r>
      <w:r>
        <w:rPr/>
        <w:t>有权利的，被投资单位为本公司的合营企业。</w:t>
      </w:r>
      <w:r>
        <w:rPr>
          <w:rFonts w:ascii="宋体" w:hAnsi="宋体" w:cs="宋体" w:eastAsia="宋体" w:hint="default"/>
          <w:w w:val="100"/>
        </w:rPr>
        <w:t> </w:t>
      </w:r>
      <w:r>
        <w:rPr>
          <w:spacing w:val="-2"/>
        </w:rPr>
        <w:t>重大影响，是指对一个企业的财务和经营决策有参与决策的权力，但并不能够控制或者与其他方一起共同</w:t>
      </w:r>
      <w:r>
        <w:rPr>
          <w:spacing w:val="-42"/>
        </w:rPr>
        <w:t> </w:t>
      </w:r>
      <w:r>
        <w:rPr>
          <w:spacing w:val="-42"/>
        </w:rPr>
      </w:r>
      <w:r>
        <w:rPr/>
        <w:t>控制这些政策的制定。不能够对被投资单位施加重大影响的，被投资单位为本公司联营企业。</w:t>
      </w:r>
      <w:r>
        <w:rPr>
          <w:rFonts w:ascii="宋体" w:hAnsi="宋体" w:cs="宋体" w:eastAsia="宋体" w:hint="default"/>
        </w:rPr>
        <w:t> </w:t>
      </w:r>
    </w:p>
    <w:p>
      <w:pPr>
        <w:spacing w:line="240" w:lineRule="auto" w:before="7"/>
        <w:rPr>
          <w:rFonts w:ascii="宋体" w:hAnsi="宋体" w:cs="宋体" w:eastAsia="宋体" w:hint="default"/>
          <w:sz w:val="21"/>
          <w:szCs w:val="21"/>
        </w:rPr>
      </w:pPr>
    </w:p>
    <w:p>
      <w:pPr>
        <w:pStyle w:val="Heading3"/>
        <w:spacing w:line="240" w:lineRule="auto"/>
        <w:ind w:right="101"/>
        <w:jc w:val="left"/>
        <w:rPr>
          <w:b w:val="0"/>
          <w:bCs w:val="0"/>
        </w:rPr>
      </w:pPr>
      <w:r>
        <w:rPr>
          <w:rFonts w:ascii="Times New Roman" w:hAnsi="Times New Roman" w:cs="Times New Roman" w:eastAsia="Times New Roman" w:hint="default"/>
        </w:rPr>
        <w:t>2</w:t>
      </w:r>
      <w:r>
        <w:rPr/>
        <w:t>、</w:t>
      </w:r>
      <w:r>
        <w:rPr>
          <w:spacing w:val="1"/>
        </w:rPr>
        <w:t> </w:t>
      </w:r>
      <w:r>
        <w:rPr/>
        <w:t>初始投资成本的确定</w:t>
      </w:r>
      <w:r>
        <w:rPr>
          <w:b w:val="0"/>
          <w:bCs w:val="0"/>
        </w:rPr>
      </w:r>
    </w:p>
    <w:p>
      <w:pPr>
        <w:pStyle w:val="BodyText"/>
        <w:spacing w:line="408" w:lineRule="auto" w:before="98"/>
        <w:ind w:right="101"/>
        <w:jc w:val="left"/>
        <w:rPr>
          <w:rFonts w:ascii="宋体" w:hAnsi="宋体" w:cs="宋体" w:eastAsia="宋体" w:hint="default"/>
        </w:rPr>
      </w:pPr>
      <w:r>
        <w:rPr/>
        <w:t>（</w:t>
      </w:r>
      <w:r>
        <w:rPr>
          <w:rFonts w:ascii="宋体" w:hAnsi="宋体" w:cs="宋体" w:eastAsia="宋体" w:hint="default"/>
        </w:rPr>
        <w:t>1</w:t>
      </w:r>
      <w:r>
        <w:rPr/>
        <w:t>）企业合并形成的长期股权投资</w:t>
      </w:r>
      <w:r>
        <w:rPr>
          <w:rFonts w:ascii="宋体" w:hAnsi="宋体" w:cs="宋体" w:eastAsia="宋体" w:hint="default"/>
          <w:w w:val="100"/>
        </w:rPr>
        <w:t> </w:t>
      </w:r>
      <w:r>
        <w:rPr>
          <w:spacing w:val="-2"/>
        </w:rPr>
        <w:t>同一控制下的企业合并：公司以支付现金、转让非现金资产或承担债务方式以及以发行权益性证券作为合</w:t>
      </w:r>
      <w:r>
        <w:rPr>
          <w:spacing w:val="-43"/>
        </w:rPr>
        <w:t> </w:t>
      </w:r>
      <w:r>
        <w:rPr>
          <w:spacing w:val="-43"/>
        </w:rPr>
      </w:r>
      <w:r>
        <w:rPr>
          <w:spacing w:val="-2"/>
        </w:rPr>
        <w:t>并对价的，在合并日按照取得被合并方所有者权益在最终控制方合并财务报表中的账面价值的份额作为长</w:t>
      </w:r>
      <w:r>
        <w:rPr>
          <w:spacing w:val="-43"/>
        </w:rPr>
        <w:t> </w:t>
      </w:r>
      <w:r>
        <w:rPr>
          <w:spacing w:val="-43"/>
        </w:rPr>
      </w:r>
      <w:r>
        <w:rPr>
          <w:spacing w:val="-2"/>
        </w:rPr>
        <w:t>期股权投资的初始投资成本。因追加投资等原因能够对同一控制下的被投资单位实施控制的，在合并日根</w:t>
      </w:r>
      <w:r>
        <w:rPr>
          <w:spacing w:val="-44"/>
        </w:rPr>
        <w:t> </w:t>
      </w:r>
      <w:r>
        <w:rPr>
          <w:spacing w:val="-44"/>
        </w:rPr>
      </w:r>
      <w:r>
        <w:rPr>
          <w:spacing w:val="-2"/>
        </w:rPr>
        <w:t>据合并后应享有被合并方净资产在最终控制方合并财务报表中的账面价值的份额，确定长期股权投资的初</w:t>
      </w:r>
      <w:r>
        <w:rPr>
          <w:spacing w:val="-43"/>
        </w:rPr>
        <w:t> </w:t>
      </w:r>
      <w:r>
        <w:rPr>
          <w:spacing w:val="-43"/>
        </w:rPr>
      </w:r>
      <w:r>
        <w:rPr>
          <w:spacing w:val="-2"/>
        </w:rPr>
        <w:t>始投资成本。合并日长期股权投资的初始投资成本，与达到合并前的长期股权投资账面价值加上合并日进</w:t>
      </w:r>
      <w:r>
        <w:rPr>
          <w:spacing w:val="-43"/>
        </w:rPr>
        <w:t> </w:t>
      </w:r>
      <w:r>
        <w:rPr>
          <w:spacing w:val="-43"/>
        </w:rPr>
      </w:r>
      <w:r>
        <w:rPr>
          <w:spacing w:val="-2"/>
        </w:rPr>
        <w:t>一步取得股份新支付对价的账面价值之和的差额，调整股本溢价，股本溢价不足冲减的，冲减留存收益。</w:t>
      </w:r>
      <w:r>
        <w:rPr>
          <w:spacing w:val="-48"/>
        </w:rPr>
        <w:t> </w:t>
      </w:r>
      <w:r>
        <w:rPr>
          <w:rFonts w:ascii="宋体" w:hAnsi="宋体" w:cs="宋体" w:eastAsia="宋体" w:hint="default"/>
          <w:spacing w:val="-48"/>
        </w:rPr>
      </w:r>
      <w:r>
        <w:rPr>
          <w:spacing w:val="-2"/>
        </w:rPr>
        <w:t>非同一控制下的企业合并：公司按照购买日确定的合并成本作为长期股权投资的初始投资成本。因追加投</w:t>
      </w:r>
      <w:r>
        <w:rPr>
          <w:spacing w:val="-43"/>
        </w:rPr>
        <w:t> </w:t>
      </w:r>
      <w:r>
        <w:rPr>
          <w:spacing w:val="-43"/>
        </w:rPr>
      </w:r>
      <w:r>
        <w:rPr>
          <w:spacing w:val="-2"/>
        </w:rPr>
        <w:t>资等原因能够对非同一控制下的被投资单位实施控制的，按照原持有的股权投资账面价值加上新增投资成</w:t>
      </w:r>
      <w:r>
        <w:rPr>
          <w:spacing w:val="-43"/>
        </w:rPr>
        <w:t> </w:t>
      </w:r>
      <w:r>
        <w:rPr>
          <w:spacing w:val="-43"/>
        </w:rPr>
      </w:r>
      <w:r>
        <w:rPr/>
        <w:t>本之和，作为改按成本法核算的初始投资成本。</w:t>
      </w:r>
      <w:r>
        <w:rPr>
          <w:rFonts w:ascii="宋体" w:hAnsi="宋体" w:cs="宋体" w:eastAsia="宋体" w:hint="default"/>
        </w:rPr>
        <w:t> </w:t>
      </w:r>
    </w:p>
    <w:p>
      <w:pPr>
        <w:pStyle w:val="BodyText"/>
        <w:spacing w:line="408" w:lineRule="auto" w:before="46"/>
        <w:ind w:right="101"/>
        <w:jc w:val="left"/>
        <w:rPr>
          <w:rFonts w:ascii="宋体" w:hAnsi="宋体" w:cs="宋体" w:eastAsia="宋体" w:hint="default"/>
        </w:rPr>
      </w:pPr>
      <w:r>
        <w:rPr/>
        <w:t>（</w:t>
      </w:r>
      <w:r>
        <w:rPr>
          <w:rFonts w:ascii="宋体" w:hAnsi="宋体" w:cs="宋体" w:eastAsia="宋体" w:hint="default"/>
        </w:rPr>
        <w:t>2</w:t>
      </w:r>
      <w:r>
        <w:rPr/>
        <w:t>）其他方式取得的长期股权投资</w:t>
      </w:r>
      <w:r>
        <w:rPr>
          <w:rFonts w:ascii="宋体" w:hAnsi="宋体" w:cs="宋体" w:eastAsia="宋体" w:hint="default"/>
          <w:w w:val="100"/>
        </w:rPr>
        <w:t> </w:t>
      </w:r>
      <w:r>
        <w:rPr/>
        <w:t>以支付现金方式取得的长期股权投资，按照实际支付的购买价款作为初始投资成本。</w:t>
      </w:r>
      <w:r>
        <w:rPr>
          <w:rFonts w:ascii="宋体" w:hAnsi="宋体" w:cs="宋体" w:eastAsia="宋体" w:hint="default"/>
          <w:w w:val="100"/>
        </w:rPr>
        <w:t> </w:t>
      </w:r>
      <w:r>
        <w:rPr/>
        <w:t>以发行权益性证券取得的长期股权投资，按照发行权益性证券的公允价值作为初始投资成本。</w:t>
      </w:r>
      <w:r>
        <w:rPr>
          <w:rFonts w:ascii="宋体" w:hAnsi="宋体" w:cs="宋体" w:eastAsia="宋体" w:hint="default"/>
          <w:w w:val="100"/>
        </w:rPr>
        <w:t> </w:t>
      </w:r>
      <w:r>
        <w:rPr>
          <w:spacing w:val="-2"/>
        </w:rPr>
        <w:t>在非货币性资产交换具备商业实质和换入资产或换出资产的公允价值能够可靠计量的前提下，非货币性资</w:t>
      </w:r>
      <w:r>
        <w:rPr>
          <w:spacing w:val="-43"/>
        </w:rPr>
        <w:t> </w:t>
      </w:r>
      <w:r>
        <w:rPr>
          <w:spacing w:val="-43"/>
        </w:rPr>
      </w:r>
      <w:r>
        <w:rPr>
          <w:spacing w:val="-2"/>
        </w:rPr>
        <w:t>产交换换入的长期股权投资以换出资产的公允价值和应支付的相关税费确定其初始投资成本，除非有确凿</w:t>
      </w:r>
      <w:r>
        <w:rPr>
          <w:spacing w:val="-43"/>
        </w:rPr>
        <w:t> </w:t>
      </w:r>
      <w:r>
        <w:rPr>
          <w:spacing w:val="-43"/>
        </w:rPr>
      </w:r>
      <w:r>
        <w:rPr>
          <w:spacing w:val="-2"/>
        </w:rPr>
        <w:t>证据表明换入资产的公允价值更加可靠；不满足上述前提的非货币性资产交换，以换出资产的账面价值和</w:t>
      </w:r>
      <w:r>
        <w:rPr>
          <w:spacing w:val="-43"/>
        </w:rPr>
        <w:t> </w:t>
      </w:r>
      <w:r>
        <w:rPr>
          <w:spacing w:val="-43"/>
        </w:rPr>
      </w:r>
      <w:r>
        <w:rPr/>
        <w:t>应支付的相关税费作为换入长期股权投资的初始投资成本。</w:t>
      </w:r>
      <w:r>
        <w:rPr>
          <w:rFonts w:ascii="宋体" w:hAnsi="宋体" w:cs="宋体" w:eastAsia="宋体" w:hint="default"/>
          <w:w w:val="100"/>
        </w:rPr>
        <w:t> </w:t>
      </w:r>
      <w:r>
        <w:rPr/>
        <w:t>通过债务重组取得的长期股权投资，其初始投资成本按照公允价值为基础确定。</w:t>
      </w:r>
      <w:r>
        <w:rPr>
          <w:rFonts w:ascii="宋体" w:hAnsi="宋体" w:cs="宋体" w:eastAsia="宋体" w:hint="default"/>
        </w:rPr>
        <w:t> </w:t>
      </w:r>
    </w:p>
    <w:p>
      <w:pPr>
        <w:spacing w:line="240" w:lineRule="auto" w:before="7"/>
        <w:rPr>
          <w:rFonts w:ascii="宋体" w:hAnsi="宋体" w:cs="宋体" w:eastAsia="宋体" w:hint="default"/>
          <w:sz w:val="21"/>
          <w:szCs w:val="21"/>
        </w:rPr>
      </w:pPr>
    </w:p>
    <w:p>
      <w:pPr>
        <w:pStyle w:val="Heading3"/>
        <w:spacing w:line="240" w:lineRule="auto"/>
        <w:ind w:right="101"/>
        <w:jc w:val="left"/>
        <w:rPr>
          <w:b w:val="0"/>
          <w:bCs w:val="0"/>
        </w:rPr>
      </w:pPr>
      <w:r>
        <w:rPr>
          <w:rFonts w:ascii="Times New Roman" w:hAnsi="Times New Roman" w:cs="Times New Roman" w:eastAsia="Times New Roman" w:hint="default"/>
        </w:rPr>
        <w:t>3</w:t>
      </w:r>
      <w:r>
        <w:rPr/>
        <w:t>、</w:t>
      </w:r>
      <w:r>
        <w:rPr>
          <w:spacing w:val="-1"/>
        </w:rPr>
        <w:t> </w:t>
      </w:r>
      <w:r>
        <w:rPr/>
        <w:t>后续计量及损益确认方法</w:t>
      </w:r>
      <w:r>
        <w:rPr>
          <w:b w:val="0"/>
          <w:bCs w:val="0"/>
        </w:rPr>
      </w:r>
    </w:p>
    <w:p>
      <w:pPr>
        <w:pStyle w:val="BodyText"/>
        <w:spacing w:line="408" w:lineRule="auto" w:before="98"/>
        <w:ind w:right="101"/>
        <w:jc w:val="left"/>
      </w:pPr>
      <w:r>
        <w:rPr/>
        <w:t>（</w:t>
      </w:r>
      <w:r>
        <w:rPr>
          <w:rFonts w:ascii="宋体" w:hAnsi="宋体" w:cs="宋体" w:eastAsia="宋体" w:hint="default"/>
        </w:rPr>
        <w:t>1</w:t>
      </w:r>
      <w:r>
        <w:rPr/>
        <w:t>）成本法核算的长期股权投资</w:t>
      </w:r>
      <w:r>
        <w:rPr>
          <w:rFonts w:ascii="宋体" w:hAnsi="宋体" w:cs="宋体" w:eastAsia="宋体" w:hint="default"/>
          <w:w w:val="100"/>
        </w:rPr>
        <w:t> </w:t>
      </w:r>
      <w:r>
        <w:rPr>
          <w:spacing w:val="-2"/>
        </w:rPr>
        <w:t>公司对子公司的长期股权投资，采用成本法核算。除取得投资时实际支付的价款或对价中包含的已宣告但</w:t>
      </w:r>
    </w:p>
    <w:p>
      <w:pPr>
        <w:spacing w:after="0" w:line="408" w:lineRule="auto"/>
        <w:jc w:val="left"/>
        <w:sectPr>
          <w:pgSz w:w="11910" w:h="16840"/>
          <w:pgMar w:header="745" w:footer="979" w:top="1060" w:bottom="1160" w:left="980" w:right="920"/>
        </w:sectPr>
      </w:pPr>
    </w:p>
    <w:p>
      <w:pPr>
        <w:spacing w:line="240" w:lineRule="auto" w:before="0"/>
        <w:rPr>
          <w:rFonts w:ascii="宋体" w:hAnsi="宋体" w:cs="宋体" w:eastAsia="宋体" w:hint="default"/>
          <w:sz w:val="20"/>
          <w:szCs w:val="20"/>
        </w:rPr>
      </w:pPr>
    </w:p>
    <w:p>
      <w:pPr>
        <w:pStyle w:val="BodyText"/>
        <w:spacing w:line="240" w:lineRule="auto" w:before="176"/>
        <w:ind w:right="101"/>
        <w:jc w:val="left"/>
        <w:rPr>
          <w:rFonts w:ascii="宋体" w:hAnsi="宋体" w:cs="宋体" w:eastAsia="宋体" w:hint="default"/>
        </w:rPr>
      </w:pPr>
      <w:r>
        <w:rPr/>
        <w:t>尚未发放的现金股利或利润外，公司按照享有被投资单位宣告发放的现金股利或利润确认当期投资收益。</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408" w:lineRule="auto"/>
        <w:ind w:right="101"/>
        <w:jc w:val="left"/>
      </w:pPr>
      <w:r>
        <w:rPr/>
        <w:t>（</w:t>
      </w:r>
      <w:r>
        <w:rPr>
          <w:rFonts w:ascii="宋体" w:hAnsi="宋体" w:cs="宋体" w:eastAsia="宋体" w:hint="default"/>
        </w:rPr>
        <w:t>2</w:t>
      </w:r>
      <w:r>
        <w:rPr/>
        <w:t>）权益法核算的长期股权投资</w:t>
      </w:r>
      <w:r>
        <w:rPr>
          <w:rFonts w:ascii="宋体" w:hAnsi="宋体" w:cs="宋体" w:eastAsia="宋体" w:hint="default"/>
          <w:w w:val="100"/>
        </w:rPr>
        <w:t> </w:t>
      </w:r>
      <w:r>
        <w:rPr>
          <w:spacing w:val="-2"/>
        </w:rPr>
        <w:t>对联营企业和合营企业的长期股权投资，采用权益法核算。初始投资成本大于投资时应享有被投资单位可</w:t>
      </w:r>
      <w:r>
        <w:rPr>
          <w:spacing w:val="-43"/>
        </w:rPr>
        <w:t> </w:t>
      </w:r>
      <w:r>
        <w:rPr>
          <w:spacing w:val="-43"/>
        </w:rPr>
      </w:r>
      <w:r>
        <w:rPr>
          <w:spacing w:val="-2"/>
        </w:rPr>
        <w:t>辨认净资产公允价值份额的差额，不调整长期股权投资的初始投资成本；初始投资成本小于投资时应享有</w:t>
      </w:r>
      <w:r>
        <w:rPr>
          <w:spacing w:val="-44"/>
        </w:rPr>
        <w:t> </w:t>
      </w:r>
      <w:r>
        <w:rPr>
          <w:spacing w:val="-44"/>
        </w:rPr>
      </w:r>
      <w:r>
        <w:rPr/>
        <w:t>被投资单位可辨认净资产公允价值份额的差额，计入当期损益。</w:t>
      </w:r>
      <w:r>
        <w:rPr>
          <w:rFonts w:ascii="宋体" w:hAnsi="宋体" w:cs="宋体" w:eastAsia="宋体" w:hint="default"/>
          <w:w w:val="100"/>
        </w:rPr>
        <w:t> </w:t>
      </w:r>
      <w:r>
        <w:rPr>
          <w:spacing w:val="-2"/>
        </w:rPr>
        <w:t>公司按照应享有或应分担的被投资单位实现的净损益和其他综合收益的份额，分别确认投资收益和其他综</w:t>
      </w:r>
      <w:r>
        <w:rPr>
          <w:spacing w:val="-43"/>
        </w:rPr>
        <w:t> </w:t>
      </w:r>
      <w:r>
        <w:rPr>
          <w:spacing w:val="-43"/>
        </w:rPr>
      </w:r>
      <w:r>
        <w:rPr>
          <w:spacing w:val="-2"/>
        </w:rPr>
        <w:t>合收益，同时调整长期股权投资的账面价值；按照被投资单位宣告分派的利润或现金股利计算应享有的部</w:t>
      </w:r>
      <w:r>
        <w:rPr>
          <w:spacing w:val="-43"/>
        </w:rPr>
        <w:t> </w:t>
      </w:r>
      <w:r>
        <w:rPr>
          <w:spacing w:val="-43"/>
        </w:rPr>
      </w:r>
      <w:r>
        <w:rPr>
          <w:spacing w:val="-2"/>
        </w:rPr>
        <w:t>分，相应减少长期股权投资的账面价值；对于被投资单位除净损益、其他综合收益和利润分配以外所有者</w:t>
      </w:r>
      <w:r>
        <w:rPr>
          <w:spacing w:val="-44"/>
        </w:rPr>
        <w:t> </w:t>
      </w:r>
      <w:r>
        <w:rPr>
          <w:spacing w:val="-44"/>
        </w:rPr>
      </w:r>
      <w:r>
        <w:rPr/>
        <w:t>权益的其他变动，调整长期股权投资的账面价值并计入所有者权益。</w:t>
      </w:r>
      <w:r>
        <w:rPr>
          <w:rFonts w:ascii="宋体" w:hAnsi="宋体" w:cs="宋体" w:eastAsia="宋体" w:hint="default"/>
          <w:w w:val="100"/>
        </w:rPr>
        <w:t> </w:t>
      </w:r>
      <w:r>
        <w:rPr>
          <w:spacing w:val="-2"/>
        </w:rPr>
        <w:t>在确认应享有被投资单位净损益的份额时，以取得投资时被投资单位可辨认净资产的公允价值为基础，并</w:t>
      </w:r>
      <w:r>
        <w:rPr>
          <w:spacing w:val="-44"/>
        </w:rPr>
        <w:t> </w:t>
      </w:r>
      <w:r>
        <w:rPr>
          <w:spacing w:val="-44"/>
        </w:rPr>
      </w:r>
      <w:r>
        <w:rPr>
          <w:spacing w:val="-2"/>
        </w:rPr>
        <w:t>按照公司的会计政策及会计期间，对被投资单位的净利润进行调整后确认。在持有投资期间，被投资单位</w:t>
      </w:r>
      <w:r>
        <w:rPr>
          <w:spacing w:val="-43"/>
        </w:rPr>
        <w:t> </w:t>
      </w:r>
      <w:r>
        <w:rPr>
          <w:spacing w:val="-43"/>
        </w:rPr>
      </w:r>
      <w:r>
        <w:rPr>
          <w:spacing w:val="-2"/>
        </w:rPr>
        <w:t>编制合并财务报表的，以合并财务报表中的净利润、其他综合收益和其他所有者权益变动中归属于被投资</w:t>
      </w:r>
      <w:r>
        <w:rPr>
          <w:spacing w:val="-44"/>
        </w:rPr>
        <w:t> </w:t>
      </w:r>
      <w:r>
        <w:rPr>
          <w:spacing w:val="-44"/>
        </w:rPr>
      </w:r>
      <w:r>
        <w:rPr/>
        <w:t>单位的金额为基础进行核算。</w:t>
      </w:r>
      <w:r>
        <w:rPr>
          <w:rFonts w:ascii="宋体" w:hAnsi="宋体" w:cs="宋体" w:eastAsia="宋体" w:hint="default"/>
          <w:w w:val="100"/>
        </w:rPr>
        <w:t> </w:t>
      </w:r>
      <w:r>
        <w:rPr>
          <w:spacing w:val="-2"/>
        </w:rPr>
        <w:t>公司与联营企业、合营企业之间发生的未实现内部交易损益按照应享有的比例计算归属于公司的部分，予</w:t>
      </w:r>
      <w:r>
        <w:rPr>
          <w:spacing w:val="-44"/>
        </w:rPr>
        <w:t> </w:t>
      </w:r>
      <w:r>
        <w:rPr>
          <w:spacing w:val="-44"/>
        </w:rPr>
      </w:r>
      <w:r>
        <w:rPr>
          <w:spacing w:val="-2"/>
        </w:rPr>
        <w:t>以抵销，在此基础上确认投资收益。与被投资单位发生的未实现内部交易损失，属于资产减值损失的，全</w:t>
      </w:r>
      <w:r>
        <w:rPr>
          <w:spacing w:val="-47"/>
        </w:rPr>
        <w:t> </w:t>
      </w:r>
      <w:r>
        <w:rPr>
          <w:spacing w:val="-47"/>
        </w:rPr>
      </w:r>
      <w:r>
        <w:rPr>
          <w:spacing w:val="-9"/>
        </w:rPr>
        <w:t>额确认。公司与联营企业、合营企业之间发生投出或出售资产的交易，该资产构成业务的，按照本附注“三、</w:t>
      </w:r>
      <w:r>
        <w:rPr/>
      </w:r>
    </w:p>
    <w:p>
      <w:pPr>
        <w:pStyle w:val="BodyText"/>
        <w:spacing w:line="408" w:lineRule="auto" w:before="46"/>
        <w:ind w:right="101"/>
        <w:jc w:val="left"/>
        <w:rPr>
          <w:rFonts w:ascii="宋体" w:hAnsi="宋体" w:cs="宋体" w:eastAsia="宋体" w:hint="default"/>
        </w:rPr>
      </w:pPr>
      <w:r>
        <w:rPr>
          <w:spacing w:val="-2"/>
        </w:rPr>
        <w:t>（五）同一控制下和非同一控制下企业合并的会计处理方法”和“三、（六）合并财务报表的编制方法”</w:t>
      </w:r>
      <w:r>
        <w:rPr>
          <w:spacing w:val="-21"/>
        </w:rPr>
        <w:t> </w:t>
      </w:r>
      <w:r>
        <w:rPr>
          <w:spacing w:val="-21"/>
        </w:rPr>
      </w:r>
      <w:r>
        <w:rPr/>
        <w:t>中披露的相关政策进行会计处理。</w:t>
      </w:r>
      <w:r>
        <w:rPr>
          <w:rFonts w:ascii="宋体" w:hAnsi="宋体" w:cs="宋体" w:eastAsia="宋体" w:hint="default"/>
          <w:w w:val="100"/>
        </w:rPr>
        <w:t> </w:t>
      </w:r>
      <w:r>
        <w:rPr>
          <w:spacing w:val="-2"/>
        </w:rPr>
        <w:t>在公司确认应分担被投资单位发生的亏损时，按照以下顺序进行处理：首先，冲减长期股权投资的账面价</w:t>
      </w:r>
      <w:r>
        <w:rPr>
          <w:spacing w:val="-43"/>
        </w:rPr>
        <w:t> </w:t>
      </w:r>
      <w:r>
        <w:rPr>
          <w:spacing w:val="-43"/>
        </w:rPr>
      </w:r>
      <w:r>
        <w:rPr>
          <w:spacing w:val="-2"/>
        </w:rPr>
        <w:t>值。其次，长期股权投资的账面价值不足以冲减的，以其他实质上构成对被投资单位净投资的长期权益账</w:t>
      </w:r>
      <w:r>
        <w:rPr>
          <w:spacing w:val="-44"/>
        </w:rPr>
        <w:t> </w:t>
      </w:r>
      <w:r>
        <w:rPr>
          <w:spacing w:val="-44"/>
        </w:rPr>
      </w:r>
      <w:r>
        <w:rPr>
          <w:spacing w:val="-2"/>
        </w:rPr>
        <w:t>面价值为限继续确认投资损失，冲减长期应收项目等的账面价值。最后，经过上述处理，按照投资合同或</w:t>
      </w:r>
      <w:r>
        <w:rPr>
          <w:spacing w:val="-47"/>
        </w:rPr>
        <w:t> </w:t>
      </w:r>
      <w:r>
        <w:rPr>
          <w:spacing w:val="-47"/>
        </w:rPr>
      </w:r>
      <w:r>
        <w:rPr/>
        <w:t>协议约定企业仍承担额外义务的，按预计承担的义务确认预计负债，计入当期投资损失。</w:t>
      </w:r>
      <w:r>
        <w:rPr>
          <w:rFonts w:ascii="宋体" w:hAnsi="宋体" w:cs="宋体" w:eastAsia="宋体" w:hint="default"/>
        </w:rPr>
        <w:t> </w:t>
      </w:r>
    </w:p>
    <w:p>
      <w:pPr>
        <w:pStyle w:val="BodyText"/>
        <w:spacing w:line="408" w:lineRule="auto" w:before="46"/>
        <w:ind w:right="1784"/>
        <w:jc w:val="left"/>
        <w:rPr>
          <w:rFonts w:ascii="宋体" w:hAnsi="宋体" w:cs="宋体" w:eastAsia="宋体" w:hint="default"/>
        </w:rPr>
      </w:pPr>
      <w:r>
        <w:rPr/>
        <w:t>（</w:t>
      </w:r>
      <w:r>
        <w:rPr>
          <w:rFonts w:ascii="宋体" w:hAnsi="宋体" w:cs="宋体" w:eastAsia="宋体" w:hint="default"/>
        </w:rPr>
        <w:t>3</w:t>
      </w:r>
      <w:r>
        <w:rPr/>
        <w:t>）长期股权投资的处置</w:t>
      </w:r>
      <w:r>
        <w:rPr>
          <w:rFonts w:ascii="宋体" w:hAnsi="宋体" w:cs="宋体" w:eastAsia="宋体" w:hint="default"/>
          <w:w w:val="100"/>
        </w:rPr>
        <w:t> </w:t>
      </w:r>
      <w:r>
        <w:rPr/>
        <w:t>处置长期股权投资，其账面价值与实际取得价款的差额，计入当期损益。</w:t>
      </w:r>
      <w:r>
        <w:rPr>
          <w:rFonts w:ascii="宋体" w:hAnsi="宋体" w:cs="宋体" w:eastAsia="宋体" w:hint="default"/>
        </w:rPr>
        <w:t> </w:t>
      </w:r>
    </w:p>
    <w:p>
      <w:pPr>
        <w:pStyle w:val="BodyText"/>
        <w:spacing w:line="408" w:lineRule="auto" w:before="46"/>
        <w:ind w:right="101"/>
        <w:jc w:val="left"/>
      </w:pPr>
      <w:r>
        <w:rPr>
          <w:spacing w:val="-2"/>
        </w:rPr>
        <w:t>采用权益法核算的长期股权投资，在处置该项投资时，采用与被投资单位直接处置相关资产或负债相同的</w:t>
      </w:r>
      <w:r>
        <w:rPr>
          <w:spacing w:val="-44"/>
        </w:rPr>
        <w:t> </w:t>
      </w:r>
      <w:r>
        <w:rPr>
          <w:spacing w:val="-44"/>
        </w:rPr>
      </w:r>
      <w:r>
        <w:rPr>
          <w:spacing w:val="-2"/>
        </w:rPr>
        <w:t>基础，按相应比例对原计入其他综合收益的部分进行会计处理。因被投资单位除净损益、其他综合收益和</w:t>
      </w:r>
      <w:r>
        <w:rPr>
          <w:spacing w:val="-43"/>
        </w:rPr>
        <w:t> </w:t>
      </w:r>
      <w:r>
        <w:rPr>
          <w:spacing w:val="-43"/>
        </w:rPr>
      </w:r>
      <w:r>
        <w:rPr>
          <w:spacing w:val="-2"/>
        </w:rPr>
        <w:t>利润分配以外的其他所有者权益变动而确认的所有者权益，按比例结转入当期损益，由于被投资方重新计</w:t>
      </w:r>
      <w:r>
        <w:rPr>
          <w:spacing w:val="-44"/>
        </w:rPr>
        <w:t> </w:t>
      </w:r>
      <w:r>
        <w:rPr>
          <w:spacing w:val="-44"/>
        </w:rPr>
      </w:r>
      <w:r>
        <w:rPr/>
        <w:t>量设定受益计划净负债或净资产变动而产生的其他综合收益除外。</w:t>
      </w:r>
      <w:r>
        <w:rPr>
          <w:rFonts w:ascii="宋体" w:hAnsi="宋体" w:cs="宋体" w:eastAsia="宋体" w:hint="default"/>
          <w:w w:val="100"/>
        </w:rPr>
        <w:t> </w:t>
      </w:r>
      <w:r>
        <w:rPr>
          <w:spacing w:val="-2"/>
        </w:rPr>
        <w:t>因处置部分股权投资等原因丧失了对被投资单位的共同控制或重大影响的，处置后的剩余股权改按金融工</w:t>
      </w:r>
      <w:r>
        <w:rPr>
          <w:spacing w:val="-43"/>
        </w:rPr>
        <w:t> </w:t>
      </w:r>
      <w:r>
        <w:rPr>
          <w:spacing w:val="-43"/>
        </w:rPr>
      </w:r>
      <w:r>
        <w:rPr>
          <w:spacing w:val="-2"/>
        </w:rPr>
        <w:t>具确认和计量准则核算，其在丧失共同控制或重大影响之日的公允价值与账面价值之间的差额计入当期损</w:t>
      </w:r>
    </w:p>
    <w:p>
      <w:pPr>
        <w:spacing w:after="0" w:line="408" w:lineRule="auto"/>
        <w:jc w:val="left"/>
        <w:sectPr>
          <w:footerReference w:type="default" r:id="rId27"/>
          <w:pgSz w:w="11910" w:h="16840"/>
          <w:pgMar w:footer="979" w:header="745" w:top="1060" w:bottom="1160" w:left="980" w:right="920"/>
          <w:pgNumType w:start="133"/>
        </w:sectPr>
      </w:pPr>
    </w:p>
    <w:p>
      <w:pPr>
        <w:spacing w:line="240" w:lineRule="auto" w:before="0"/>
        <w:rPr>
          <w:rFonts w:ascii="宋体" w:hAnsi="宋体" w:cs="宋体" w:eastAsia="宋体" w:hint="default"/>
          <w:sz w:val="20"/>
          <w:szCs w:val="20"/>
        </w:rPr>
      </w:pPr>
    </w:p>
    <w:p>
      <w:pPr>
        <w:pStyle w:val="BodyText"/>
        <w:spacing w:line="408" w:lineRule="auto" w:before="176"/>
        <w:ind w:right="101"/>
        <w:jc w:val="left"/>
        <w:rPr>
          <w:rFonts w:ascii="宋体" w:hAnsi="宋体" w:cs="宋体" w:eastAsia="宋体" w:hint="default"/>
        </w:rPr>
      </w:pPr>
      <w:r>
        <w:rPr>
          <w:spacing w:val="-2"/>
        </w:rPr>
        <w:t>益。原股权投资因采用权益法核算而确认的其他综合收益，在终止采用权益法核算时采用与被投资单位直</w:t>
      </w:r>
      <w:r>
        <w:rPr>
          <w:spacing w:val="-44"/>
        </w:rPr>
        <w:t> </w:t>
      </w:r>
      <w:r>
        <w:rPr>
          <w:spacing w:val="-44"/>
        </w:rPr>
      </w:r>
      <w:r>
        <w:rPr>
          <w:spacing w:val="-2"/>
        </w:rPr>
        <w:t>接处置相关资产或负债相同的基础进行会计处理。因被投资方除净损益、其他综合收益和利润分配以外的</w:t>
      </w:r>
      <w:r>
        <w:rPr>
          <w:spacing w:val="-43"/>
        </w:rPr>
        <w:t> </w:t>
      </w:r>
      <w:r>
        <w:rPr>
          <w:spacing w:val="-43"/>
        </w:rPr>
      </w:r>
      <w:r>
        <w:rPr/>
        <w:t>其他所有者权益变动而确认的所有者权益，在终止采用权益法核算时全部转入当期损益。</w:t>
      </w:r>
      <w:r>
        <w:rPr>
          <w:rFonts w:ascii="宋体" w:hAnsi="宋体" w:cs="宋体" w:eastAsia="宋体" w:hint="default"/>
          <w:w w:val="100"/>
        </w:rPr>
        <w:t> </w:t>
      </w:r>
      <w:r>
        <w:rPr>
          <w:spacing w:val="-2"/>
        </w:rPr>
        <w:t>因处置部分股权投资、因其他投资方对子公司增资而导致本公司持股比例下降等原因丧失了对被投资单位</w:t>
      </w:r>
      <w:r>
        <w:rPr>
          <w:spacing w:val="-43"/>
        </w:rPr>
        <w:t> </w:t>
      </w:r>
      <w:r>
        <w:rPr>
          <w:spacing w:val="-43"/>
        </w:rPr>
      </w:r>
      <w:r>
        <w:rPr>
          <w:spacing w:val="-2"/>
        </w:rPr>
        <w:t>控制权的，在编制个别财务报表时，剩余股权能够对被投资单位实施共同控制或重大影响的，改按权益法</w:t>
      </w:r>
      <w:r>
        <w:rPr>
          <w:spacing w:val="-45"/>
        </w:rPr>
        <w:t> </w:t>
      </w:r>
      <w:r>
        <w:rPr>
          <w:spacing w:val="-45"/>
        </w:rPr>
      </w:r>
      <w:r>
        <w:rPr>
          <w:spacing w:val="-2"/>
        </w:rPr>
        <w:t>核算，并对该剩余股权视同自取得时即采用权益法核算进行调整；剩余股权不能对被投资单位实施共同控</w:t>
      </w:r>
      <w:r>
        <w:rPr>
          <w:spacing w:val="-42"/>
        </w:rPr>
        <w:t> </w:t>
      </w:r>
      <w:r>
        <w:rPr>
          <w:spacing w:val="-42"/>
        </w:rPr>
      </w:r>
      <w:r>
        <w:rPr>
          <w:spacing w:val="-2"/>
        </w:rPr>
        <w:t>制或施加重大影响的，改按金融工具确认和计量准则的有关规定进行会计处理，其在丧失控制之日的公允</w:t>
      </w:r>
      <w:r>
        <w:rPr>
          <w:spacing w:val="-43"/>
        </w:rPr>
        <w:t> </w:t>
      </w:r>
      <w:r>
        <w:rPr>
          <w:spacing w:val="-43"/>
        </w:rPr>
      </w:r>
      <w:r>
        <w:rPr/>
        <w:t>价值与账面价值间的差额计入当期损益。</w:t>
      </w:r>
      <w:r>
        <w:rPr>
          <w:rFonts w:ascii="宋体" w:hAnsi="宋体" w:cs="宋体" w:eastAsia="宋体" w:hint="default"/>
          <w:w w:val="100"/>
        </w:rPr>
        <w:t> </w:t>
      </w:r>
      <w:r>
        <w:rPr>
          <w:spacing w:val="-2"/>
        </w:rPr>
        <w:t>处置的股权是因追加投资等原因通过企业合并取得的，在编制个别财务报表时，处置后的剩余股权采用成</w:t>
      </w:r>
      <w:r>
        <w:rPr>
          <w:spacing w:val="-44"/>
        </w:rPr>
        <w:t> </w:t>
      </w:r>
      <w:r>
        <w:rPr>
          <w:spacing w:val="-44"/>
        </w:rPr>
      </w:r>
      <w:r>
        <w:rPr>
          <w:spacing w:val="-2"/>
        </w:rPr>
        <w:t>本法或权益法核算的，购买日之前持有的股权投资因采用权益法核算而确认的其他综合收益和其他所有者</w:t>
      </w:r>
      <w:r>
        <w:rPr>
          <w:spacing w:val="-43"/>
        </w:rPr>
        <w:t> </w:t>
      </w:r>
      <w:r>
        <w:rPr>
          <w:spacing w:val="-43"/>
        </w:rPr>
      </w:r>
      <w:r>
        <w:rPr>
          <w:spacing w:val="-2"/>
        </w:rPr>
        <w:t>权益按比例结转；处置后的剩余股权改按金融工具确认和计量准则进行会计处理的，其他综合收益和其他</w:t>
      </w:r>
      <w:r>
        <w:rPr>
          <w:spacing w:val="-44"/>
        </w:rPr>
        <w:t> </w:t>
      </w:r>
      <w:r>
        <w:rPr>
          <w:spacing w:val="-44"/>
        </w:rPr>
      </w:r>
      <w:r>
        <w:rPr/>
        <w:t>所有者权益全部结转。</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p>
      <w:pPr>
        <w:pStyle w:val="Heading3"/>
        <w:spacing w:line="240" w:lineRule="auto"/>
        <w:ind w:right="101"/>
        <w:jc w:val="left"/>
        <w:rPr>
          <w:b w:val="0"/>
          <w:bCs w:val="0"/>
        </w:rPr>
      </w:pPr>
      <w:r>
        <w:rPr>
          <w:rFonts w:ascii="Times New Roman" w:hAnsi="Times New Roman" w:cs="Times New Roman" w:eastAsia="Times New Roman" w:hint="default"/>
        </w:rPr>
        <w:t>15</w:t>
      </w:r>
      <w:r>
        <w:rPr/>
        <w:t>、投资性房地产</w:t>
      </w:r>
      <w:r>
        <w:rPr>
          <w:b w:val="0"/>
          <w:bCs w:val="0"/>
        </w:rPr>
      </w:r>
    </w:p>
    <w:p>
      <w:pPr>
        <w:spacing w:line="240" w:lineRule="auto" w:before="5"/>
        <w:rPr>
          <w:rFonts w:ascii="宋体" w:hAnsi="宋体" w:cs="宋体" w:eastAsia="宋体" w:hint="default"/>
          <w:b/>
          <w:bCs/>
          <w:sz w:val="26"/>
          <w:szCs w:val="26"/>
        </w:rPr>
      </w:pPr>
    </w:p>
    <w:p>
      <w:pPr>
        <w:spacing w:line="357" w:lineRule="auto" w:before="0"/>
        <w:ind w:left="152" w:right="8034" w:firstLine="0"/>
        <w:jc w:val="left"/>
        <w:rPr>
          <w:rFonts w:ascii="宋体" w:hAnsi="宋体" w:cs="宋体" w:eastAsia="宋体" w:hint="default"/>
          <w:sz w:val="18"/>
          <w:szCs w:val="18"/>
        </w:rPr>
      </w:pPr>
      <w:r>
        <w:rPr>
          <w:rFonts w:ascii="宋体" w:hAnsi="宋体" w:cs="宋体" w:eastAsia="宋体" w:hint="default"/>
          <w:sz w:val="18"/>
          <w:szCs w:val="18"/>
        </w:rPr>
        <w:t>投资性房地产计量模式 成本法计量 折旧或摊销方法</w:t>
      </w:r>
    </w:p>
    <w:p>
      <w:pPr>
        <w:pStyle w:val="BodyText"/>
        <w:spacing w:line="408" w:lineRule="auto" w:before="85"/>
        <w:ind w:right="101"/>
        <w:jc w:val="left"/>
        <w:rPr>
          <w:rFonts w:ascii="宋体" w:hAnsi="宋体" w:cs="宋体" w:eastAsia="宋体" w:hint="default"/>
        </w:rPr>
      </w:pPr>
      <w:r>
        <w:rPr>
          <w:spacing w:val="-2"/>
        </w:rPr>
        <w:t>投资性房地产是指为赚取租金或资本增值，或两者兼有而持有的房地产，包括已出租的土地使用权、持有</w:t>
      </w:r>
      <w:r>
        <w:rPr>
          <w:spacing w:val="-44"/>
        </w:rPr>
        <w:t> </w:t>
      </w:r>
      <w:r>
        <w:rPr>
          <w:spacing w:val="-44"/>
        </w:rPr>
      </w:r>
      <w:r>
        <w:rPr>
          <w:spacing w:val="-2"/>
        </w:rPr>
        <w:t>并准备增值后转让的土地使用权、已出租的建筑物（含自行建造或开发活动完成后用于出租的建筑物以及</w:t>
      </w:r>
      <w:r>
        <w:rPr>
          <w:spacing w:val="-43"/>
        </w:rPr>
        <w:t> </w:t>
      </w:r>
      <w:r>
        <w:rPr>
          <w:spacing w:val="-43"/>
        </w:rPr>
      </w:r>
      <w:r>
        <w:rPr/>
        <w:t>正在建造或开发过程中将来用于出租的建筑物）。</w:t>
      </w:r>
      <w:r>
        <w:rPr>
          <w:rFonts w:ascii="宋体" w:hAnsi="宋体" w:cs="宋体" w:eastAsia="宋体" w:hint="default"/>
          <w:w w:val="100"/>
        </w:rPr>
        <w:t> </w:t>
      </w:r>
      <w:r>
        <w:rPr>
          <w:spacing w:val="-2"/>
        </w:rPr>
        <w:t>公司对现有投资性房地产采用成本模式计量。对按照成本模式计量的投资性房地产－出租用建筑物采用与</w:t>
      </w:r>
      <w:r>
        <w:rPr>
          <w:spacing w:val="-43"/>
        </w:rPr>
        <w:t> </w:t>
      </w:r>
      <w:r>
        <w:rPr>
          <w:spacing w:val="-43"/>
        </w:rPr>
      </w:r>
      <w:r>
        <w:rPr/>
        <w:t>本公司固定资产相同的折旧政策，出租用土地使用权按与无形资产相同的摊销政策执行。</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p>
      <w:pPr>
        <w:pStyle w:val="Heading3"/>
        <w:spacing w:line="240" w:lineRule="auto"/>
        <w:ind w:right="101"/>
        <w:jc w:val="left"/>
        <w:rPr>
          <w:b w:val="0"/>
          <w:bCs w:val="0"/>
        </w:rPr>
      </w:pPr>
      <w:r>
        <w:rPr>
          <w:rFonts w:ascii="Times New Roman" w:hAnsi="Times New Roman" w:cs="Times New Roman" w:eastAsia="Times New Roman" w:hint="default"/>
        </w:rPr>
        <w:t>16</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1"/>
        <w:jc w:val="left"/>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right="101"/>
        <w:jc w:val="left"/>
        <w:rPr>
          <w:rFonts w:ascii="宋体" w:hAnsi="宋体" w:cs="宋体" w:eastAsia="宋体" w:hint="default"/>
        </w:rPr>
      </w:pPr>
      <w:r>
        <w:rPr>
          <w:spacing w:val="-5"/>
        </w:rPr>
        <w:t>固定资产指为生产商品、提供劳务、出租或经营管理而持有，并且使用寿命超过一个会计年度的有形资产。</w:t>
      </w:r>
      <w:r>
        <w:rPr>
          <w:spacing w:val="-3"/>
        </w:rPr>
        <w:t> </w:t>
      </w:r>
      <w:r>
        <w:rPr>
          <w:spacing w:val="-3"/>
        </w:rPr>
        <w:t>固定资产在同时满足下列条件时予以确认：（</w:t>
      </w:r>
      <w:r>
        <w:rPr>
          <w:rFonts w:ascii="宋体" w:hAnsi="宋体" w:cs="宋体" w:eastAsia="宋体" w:hint="default"/>
          <w:spacing w:val="-3"/>
        </w:rPr>
        <w:t>1</w:t>
      </w:r>
      <w:r>
        <w:rPr>
          <w:spacing w:val="-3"/>
        </w:rPr>
        <w:t>）与该固定资产有关的经济利益很可能流入企业；（</w:t>
      </w:r>
      <w:r>
        <w:rPr>
          <w:rFonts w:ascii="宋体" w:hAnsi="宋体" w:cs="宋体" w:eastAsia="宋体" w:hint="default"/>
          <w:spacing w:val="-3"/>
        </w:rPr>
        <w:t>2</w:t>
      </w:r>
      <w:r>
        <w:rPr>
          <w:spacing w:val="-3"/>
        </w:rPr>
        <w:t>）该</w:t>
      </w:r>
      <w:r>
        <w:rPr>
          <w:spacing w:val="-4"/>
        </w:rPr>
        <w:t> </w:t>
      </w:r>
      <w:r>
        <w:rPr/>
        <w:t>固定资产的成本能够可靠地计量。</w:t>
      </w:r>
      <w:r>
        <w:rPr>
          <w:rFonts w:ascii="宋体" w:hAnsi="宋体" w:cs="宋体" w:eastAsia="宋体" w:hint="default"/>
        </w:rPr>
        <w:t> </w:t>
      </w:r>
    </w:p>
    <w:p>
      <w:pPr>
        <w:spacing w:after="0" w:line="408" w:lineRule="auto"/>
        <w:jc w:val="left"/>
        <w:rPr>
          <w:rFonts w:ascii="宋体" w:hAnsi="宋体" w:cs="宋体" w:eastAsia="宋体" w:hint="default"/>
        </w:rPr>
        <w:sectPr>
          <w:pgSz w:w="11910" w:h="16840"/>
          <w:pgMar w:header="745" w:footer="979" w:top="1060" w:bottom="1160" w:left="980" w:right="920"/>
        </w:sectPr>
      </w:pPr>
    </w:p>
    <w:p>
      <w:pPr>
        <w:spacing w:line="240" w:lineRule="auto" w:before="10"/>
        <w:rPr>
          <w:rFonts w:ascii="宋体" w:hAnsi="宋体" w:cs="宋体" w:eastAsia="宋体" w:hint="default"/>
          <w:sz w:val="24"/>
          <w:szCs w:val="24"/>
        </w:rPr>
      </w:pPr>
    </w:p>
    <w:p>
      <w:pPr>
        <w:pStyle w:val="Heading3"/>
        <w:spacing w:line="240" w:lineRule="auto" w:before="36"/>
        <w:ind w:right="101"/>
        <w:jc w:val="left"/>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1.90-4.75</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3-12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7.92-31.67</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3-12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7.92-31.67</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11.88-19.00</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办公及其他设备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19.00-31.67</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both"/>
        <w:rPr>
          <w:b w:val="0"/>
          <w:bCs w:val="0"/>
        </w:rPr>
      </w:pP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17</w:t>
      </w:r>
      <w:r>
        <w:rPr/>
        <w:t>、在建工程</w:t>
      </w:r>
      <w:r>
        <w:rPr>
          <w:b w:val="0"/>
          <w:bCs w:val="0"/>
        </w:rPr>
      </w:r>
    </w:p>
    <w:p>
      <w:pPr>
        <w:spacing w:line="240" w:lineRule="auto" w:before="4"/>
        <w:rPr>
          <w:rFonts w:ascii="宋体" w:hAnsi="宋体" w:cs="宋体" w:eastAsia="宋体" w:hint="default"/>
          <w:b/>
          <w:bCs/>
          <w:sz w:val="26"/>
          <w:szCs w:val="26"/>
        </w:rPr>
      </w:pPr>
    </w:p>
    <w:p>
      <w:pPr>
        <w:spacing w:line="357" w:lineRule="auto" w:before="0"/>
        <w:ind w:left="152" w:right="6774"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408" w:lineRule="auto" w:before="85"/>
        <w:ind w:right="105"/>
        <w:jc w:val="both"/>
        <w:rPr>
          <w:rFonts w:ascii="宋体" w:hAnsi="宋体" w:cs="宋体" w:eastAsia="宋体" w:hint="default"/>
        </w:rPr>
      </w:pPr>
      <w:r>
        <w:rPr>
          <w:spacing w:val="-2"/>
        </w:rPr>
        <w:t>在建工程项目按建造该项资产达到预定可使用状态前所发生的必要支出，作为固定资产的入账价值。所建</w:t>
      </w:r>
      <w:r>
        <w:rPr>
          <w:spacing w:val="-43"/>
        </w:rPr>
        <w:t> </w:t>
      </w:r>
      <w:r>
        <w:rPr>
          <w:spacing w:val="-43"/>
        </w:rPr>
      </w:r>
      <w:r>
        <w:rPr/>
        <w:t>造的固定资产在建工程已达到预定可使用状态，但尚未办理竣工决算的，自达到预定可使用状态之日起，</w:t>
      </w:r>
      <w:r>
        <w:rPr>
          <w:w w:val="100"/>
        </w:rPr>
        <w:t> </w:t>
      </w:r>
      <w:r>
        <w:rPr>
          <w:spacing w:val="-2"/>
        </w:rPr>
        <w:t>根据工程预算、造价或者工程实际成本等，按估计的价值转入固定资产，并按本公司固定资产折旧政策计</w:t>
      </w:r>
      <w:r>
        <w:rPr>
          <w:spacing w:val="-45"/>
        </w:rPr>
        <w:t> </w:t>
      </w:r>
      <w:r>
        <w:rPr>
          <w:spacing w:val="-45"/>
        </w:rPr>
      </w:r>
      <w:r>
        <w:rPr>
          <w:spacing w:val="-7"/>
          <w:w w:val="100"/>
        </w:rPr>
        <w:t>提固定资产的折旧，待办理竣工决算后，再按实际成本调整原来的暂估价值，但不调整原已计提的折旧额。</w:t>
      </w:r>
      <w:r>
        <w:rPr>
          <w:rFonts w:ascii="宋体" w:hAnsi="宋体" w:cs="宋体" w:eastAsia="宋体" w:hint="default"/>
          <w:w w:val="100"/>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spacing w:line="520" w:lineRule="auto" w:before="0"/>
        <w:ind w:left="152" w:right="857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18</w:t>
      </w:r>
      <w:r>
        <w:rPr>
          <w:rFonts w:ascii="宋体" w:hAnsi="宋体" w:cs="宋体" w:eastAsia="宋体" w:hint="default"/>
          <w:b/>
          <w:bCs/>
          <w:sz w:val="21"/>
          <w:szCs w:val="21"/>
        </w:rPr>
        <w:t>、借款费用</w:t>
      </w:r>
      <w:r>
        <w:rPr>
          <w:rFonts w:ascii="宋体" w:hAnsi="宋体" w:cs="宋体" w:eastAsia="宋体" w:hint="default"/>
          <w:b/>
          <w:bCs/>
          <w:w w:val="100"/>
          <w:sz w:val="21"/>
          <w:szCs w:val="21"/>
        </w:rPr>
        <w:t> </w:t>
      </w:r>
      <w:r>
        <w:rPr>
          <w:rFonts w:ascii="宋体" w:hAnsi="宋体" w:cs="宋体" w:eastAsia="宋体" w:hint="default"/>
          <w:sz w:val="21"/>
          <w:szCs w:val="21"/>
        </w:rPr>
        <w:t>不适用</w:t>
      </w:r>
      <w:r>
        <w:rPr>
          <w:rFonts w:ascii="宋体" w:hAnsi="宋体" w:cs="宋体" w:eastAsia="宋体" w:hint="default"/>
          <w:spacing w:val="-102"/>
          <w:sz w:val="21"/>
          <w:szCs w:val="21"/>
        </w:rPr>
        <w:t> </w:t>
      </w:r>
      <w:r>
        <w:rPr>
          <w:rFonts w:ascii="Times New Roman" w:hAnsi="Times New Roman" w:cs="Times New Roman" w:eastAsia="Times New Roman" w:hint="default"/>
          <w:b/>
          <w:bCs/>
          <w:sz w:val="21"/>
          <w:szCs w:val="21"/>
        </w:rPr>
        <w:t>19</w:t>
      </w:r>
      <w:r>
        <w:rPr>
          <w:rFonts w:ascii="宋体" w:hAnsi="宋体" w:cs="宋体" w:eastAsia="宋体" w:hint="default"/>
          <w:b/>
          <w:bCs/>
          <w:sz w:val="21"/>
          <w:szCs w:val="21"/>
        </w:rPr>
        <w:t>、生物资产</w:t>
      </w:r>
      <w:r>
        <w:rPr>
          <w:rFonts w:ascii="宋体" w:hAnsi="宋体" w:cs="宋体" w:eastAsia="宋体" w:hint="default"/>
          <w:b/>
          <w:bCs/>
          <w:w w:val="100"/>
          <w:sz w:val="21"/>
          <w:szCs w:val="21"/>
        </w:rPr>
        <w:t> </w:t>
      </w:r>
      <w:r>
        <w:rPr>
          <w:rFonts w:ascii="宋体" w:hAnsi="宋体" w:cs="宋体" w:eastAsia="宋体" w:hint="default"/>
          <w:sz w:val="21"/>
          <w:szCs w:val="21"/>
        </w:rPr>
        <w:t>不适用</w:t>
      </w:r>
      <w:r>
        <w:rPr>
          <w:rFonts w:ascii="宋体" w:hAnsi="宋体" w:cs="宋体" w:eastAsia="宋体" w:hint="default"/>
          <w:spacing w:val="-102"/>
          <w:sz w:val="21"/>
          <w:szCs w:val="21"/>
        </w:rPr>
        <w:t> </w:t>
      </w:r>
      <w:r>
        <w:rPr>
          <w:rFonts w:ascii="Times New Roman" w:hAnsi="Times New Roman" w:cs="Times New Roman" w:eastAsia="Times New Roman" w:hint="default"/>
          <w:b/>
          <w:bCs/>
          <w:sz w:val="21"/>
          <w:szCs w:val="21"/>
        </w:rPr>
        <w:t>20</w:t>
      </w:r>
      <w:r>
        <w:rPr>
          <w:rFonts w:ascii="宋体" w:hAnsi="宋体" w:cs="宋体" w:eastAsia="宋体" w:hint="default"/>
          <w:b/>
          <w:bCs/>
          <w:sz w:val="21"/>
          <w:szCs w:val="21"/>
        </w:rPr>
        <w:t>、油气资产</w:t>
      </w:r>
      <w:r>
        <w:rPr>
          <w:rFonts w:ascii="宋体" w:hAnsi="宋体" w:cs="宋体" w:eastAsia="宋体" w:hint="default"/>
          <w:b/>
          <w:bCs/>
          <w:w w:val="100"/>
          <w:sz w:val="21"/>
          <w:szCs w:val="21"/>
        </w:rPr>
        <w:t> </w:t>
      </w:r>
      <w:r>
        <w:rPr>
          <w:rFonts w:ascii="宋体" w:hAnsi="宋体" w:cs="宋体" w:eastAsia="宋体" w:hint="default"/>
          <w:sz w:val="21"/>
          <w:szCs w:val="21"/>
        </w:rPr>
        <w:t>不适用</w:t>
      </w:r>
      <w:r>
        <w:rPr>
          <w:rFonts w:ascii="宋体" w:hAnsi="宋体" w:cs="宋体" w:eastAsia="宋体" w:hint="default"/>
          <w:spacing w:val="-102"/>
          <w:sz w:val="21"/>
          <w:szCs w:val="21"/>
        </w:rPr>
        <w:t> </w:t>
      </w:r>
      <w:r>
        <w:rPr>
          <w:rFonts w:ascii="Times New Roman" w:hAnsi="Times New Roman" w:cs="Times New Roman" w:eastAsia="Times New Roman" w:hint="default"/>
          <w:b/>
          <w:bCs/>
          <w:sz w:val="21"/>
          <w:szCs w:val="21"/>
        </w:rPr>
        <w:t>21</w:t>
      </w:r>
      <w:r>
        <w:rPr>
          <w:rFonts w:ascii="宋体" w:hAnsi="宋体" w:cs="宋体" w:eastAsia="宋体" w:hint="default"/>
          <w:b/>
          <w:bCs/>
          <w:sz w:val="21"/>
          <w:szCs w:val="21"/>
        </w:rPr>
        <w:t>、无形资产</w:t>
      </w:r>
      <w:r>
        <w:rPr>
          <w:rFonts w:ascii="宋体" w:hAnsi="宋体" w:cs="宋体" w:eastAsia="宋体" w:hint="default"/>
          <w:sz w:val="21"/>
          <w:szCs w:val="21"/>
        </w:rPr>
      </w:r>
    </w:p>
    <w:p>
      <w:pPr>
        <w:pStyle w:val="Heading3"/>
        <w:spacing w:line="240" w:lineRule="auto" w:before="49"/>
        <w:ind w:right="101"/>
        <w:jc w:val="left"/>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4"/>
        <w:rPr>
          <w:rFonts w:ascii="宋体" w:hAnsi="宋体" w:cs="宋体" w:eastAsia="宋体" w:hint="default"/>
          <w:b/>
          <w:bCs/>
          <w:sz w:val="26"/>
          <w:szCs w:val="26"/>
        </w:rPr>
      </w:pPr>
    </w:p>
    <w:p>
      <w:pPr>
        <w:spacing w:line="357" w:lineRule="auto" w:before="0"/>
        <w:ind w:left="152" w:right="6774"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Heading3"/>
        <w:spacing w:line="240" w:lineRule="auto" w:before="8"/>
        <w:ind w:right="101"/>
        <w:jc w:val="left"/>
        <w:rPr>
          <w:b w:val="0"/>
          <w:bCs w:val="0"/>
        </w:rPr>
      </w:pPr>
      <w:r>
        <w:rPr>
          <w:rFonts w:ascii="Times New Roman" w:hAnsi="Times New Roman" w:cs="Times New Roman" w:eastAsia="Times New Roman" w:hint="default"/>
        </w:rPr>
        <w:t>1</w:t>
      </w:r>
      <w:r>
        <w:rPr/>
        <w:t>、</w:t>
      </w:r>
      <w:r>
        <w:rPr>
          <w:spacing w:val="1"/>
        </w:rPr>
        <w:t> </w:t>
      </w:r>
      <w:r>
        <w:rPr/>
        <w:t>无形资产的计价方法</w:t>
      </w:r>
      <w:r>
        <w:rPr>
          <w:b w:val="0"/>
          <w:bCs w:val="0"/>
        </w:rPr>
      </w:r>
    </w:p>
    <w:p>
      <w:pPr>
        <w:spacing w:after="0" w:line="240" w:lineRule="auto"/>
        <w:jc w:val="left"/>
        <w:sectPr>
          <w:pgSz w:w="11910" w:h="16840"/>
          <w:pgMar w:header="745" w:footer="979" w:top="1060" w:bottom="1160" w:left="980" w:right="920"/>
        </w:sectPr>
      </w:pPr>
    </w:p>
    <w:p>
      <w:pPr>
        <w:spacing w:line="240" w:lineRule="auto" w:before="0"/>
        <w:rPr>
          <w:rFonts w:ascii="宋体" w:hAnsi="宋体" w:cs="宋体" w:eastAsia="宋体" w:hint="default"/>
          <w:b/>
          <w:bCs/>
          <w:sz w:val="20"/>
          <w:szCs w:val="20"/>
        </w:rPr>
      </w:pPr>
    </w:p>
    <w:p>
      <w:pPr>
        <w:pStyle w:val="BodyText"/>
        <w:spacing w:line="408" w:lineRule="auto" w:before="176"/>
        <w:ind w:right="0"/>
        <w:jc w:val="left"/>
        <w:rPr>
          <w:rFonts w:ascii="宋体" w:hAnsi="宋体" w:cs="宋体" w:eastAsia="宋体" w:hint="default"/>
        </w:rPr>
      </w:pPr>
      <w:r>
        <w:rPr/>
        <w:t>（</w:t>
      </w:r>
      <w:r>
        <w:rPr>
          <w:rFonts w:ascii="宋体" w:hAnsi="宋体" w:cs="宋体" w:eastAsia="宋体" w:hint="default"/>
        </w:rPr>
        <w:t>1</w:t>
      </w:r>
      <w:r>
        <w:rPr/>
        <w:t>）公司取得无形资产时按成本进行初始计量</w:t>
      </w:r>
      <w:r>
        <w:rPr>
          <w:rFonts w:ascii="宋体" w:hAnsi="宋体" w:cs="宋体" w:eastAsia="宋体" w:hint="default"/>
          <w:w w:val="100"/>
        </w:rPr>
        <w:t> </w:t>
      </w:r>
      <w:r>
        <w:rPr>
          <w:spacing w:val="-2"/>
        </w:rPr>
        <w:t>外购无形资产的成本，包括购买价款、相关税费以及直接归属于使该项资产达到预定用途所发生的其他支</w:t>
      </w:r>
      <w:r>
        <w:rPr>
          <w:spacing w:val="-44"/>
        </w:rPr>
        <w:t> </w:t>
      </w:r>
      <w:r>
        <w:rPr>
          <w:spacing w:val="-44"/>
        </w:rPr>
      </w:r>
      <w:r>
        <w:rPr/>
        <w:t>出。</w:t>
      </w:r>
      <w:r>
        <w:rPr>
          <w:rFonts w:ascii="宋体" w:hAnsi="宋体" w:cs="宋体" w:eastAsia="宋体" w:hint="default"/>
          <w:w w:val="100"/>
        </w:rPr>
        <w:t> </w:t>
      </w:r>
      <w:r>
        <w:rPr>
          <w:spacing w:val="-2"/>
        </w:rPr>
        <w:t>股东投入无形资产的成本，包括转让定价、相关税费以及直接归属于使该项资产达到预定用途所发生的其</w:t>
      </w:r>
      <w:r>
        <w:rPr>
          <w:spacing w:val="-43"/>
        </w:rPr>
        <w:t> </w:t>
      </w:r>
      <w:r>
        <w:rPr>
          <w:spacing w:val="-43"/>
        </w:rPr>
      </w:r>
      <w:r>
        <w:rPr/>
        <w:t>他支出。</w:t>
      </w:r>
      <w:r>
        <w:rPr>
          <w:rFonts w:ascii="宋体" w:hAnsi="宋体" w:cs="宋体" w:eastAsia="宋体" w:hint="default"/>
        </w:rPr>
        <w:t> </w:t>
      </w:r>
    </w:p>
    <w:p>
      <w:pPr>
        <w:pStyle w:val="BodyText"/>
        <w:spacing w:line="408" w:lineRule="auto" w:before="46"/>
        <w:ind w:right="5826"/>
        <w:jc w:val="left"/>
        <w:rPr>
          <w:rFonts w:ascii="宋体" w:hAnsi="宋体" w:cs="宋体" w:eastAsia="宋体" w:hint="default"/>
        </w:rPr>
      </w:pPr>
      <w:r>
        <w:rPr/>
        <w:t>（</w:t>
      </w:r>
      <w:r>
        <w:rPr>
          <w:rFonts w:ascii="宋体" w:hAnsi="宋体" w:cs="宋体" w:eastAsia="宋体" w:hint="default"/>
        </w:rPr>
        <w:t>2</w:t>
      </w:r>
      <w:r>
        <w:rPr/>
        <w:t>）后续计量</w:t>
      </w:r>
      <w:r>
        <w:rPr>
          <w:rFonts w:ascii="宋体" w:hAnsi="宋体" w:cs="宋体" w:eastAsia="宋体" w:hint="default"/>
          <w:w w:val="100"/>
        </w:rPr>
        <w:t> </w:t>
      </w:r>
      <w:r>
        <w:rPr/>
        <w:t>在取得无形资产时分析判断其使用寿命。</w:t>
      </w:r>
      <w:r>
        <w:rPr>
          <w:rFonts w:ascii="宋体" w:hAnsi="宋体" w:cs="宋体" w:eastAsia="宋体" w:hint="default"/>
        </w:rPr>
        <w:t> </w:t>
      </w:r>
    </w:p>
    <w:p>
      <w:pPr>
        <w:pStyle w:val="BodyText"/>
        <w:spacing w:line="408" w:lineRule="auto" w:before="46"/>
        <w:ind w:right="0"/>
        <w:jc w:val="left"/>
        <w:rPr>
          <w:rFonts w:ascii="宋体" w:hAnsi="宋体" w:cs="宋体" w:eastAsia="宋体" w:hint="default"/>
        </w:rPr>
      </w:pPr>
      <w:r>
        <w:rPr>
          <w:spacing w:val="-2"/>
        </w:rPr>
        <w:t>对于使用寿命有限的无形资产，在为企业带来经济利益的期限内按直线法摊销；无法预见无形资产为企业</w:t>
      </w:r>
      <w:r>
        <w:rPr>
          <w:spacing w:val="-43"/>
        </w:rPr>
        <w:t> </w:t>
      </w:r>
      <w:r>
        <w:rPr>
          <w:spacing w:val="-43"/>
        </w:rPr>
      </w:r>
      <w:r>
        <w:rPr/>
        <w:t>带来经济利益期限的，视为使用寿命不确定的无形资产，不予摊销。</w:t>
      </w:r>
      <w:r>
        <w:rPr>
          <w:rFonts w:ascii="宋体" w:hAnsi="宋体" w:cs="宋体" w:eastAsia="宋体" w:hint="default"/>
        </w:rPr>
        <w:t> </w:t>
      </w:r>
    </w:p>
    <w:p>
      <w:pPr>
        <w:pStyle w:val="BodyText"/>
        <w:spacing w:line="240" w:lineRule="auto" w:before="46"/>
        <w:ind w:right="0"/>
        <w:jc w:val="left"/>
        <w:rPr>
          <w:rFonts w:ascii="宋体" w:hAnsi="宋体" w:cs="宋体" w:eastAsia="宋体" w:hint="default"/>
        </w:rPr>
      </w:pPr>
      <w:r>
        <w:rPr>
          <w:rFonts w:ascii="宋体"/>
          <w:w w:val="100"/>
        </w:rPr>
        <w:t> </w:t>
      </w:r>
    </w:p>
    <w:p>
      <w:pPr>
        <w:pStyle w:val="Heading3"/>
        <w:spacing w:line="240" w:lineRule="auto" w:before="116"/>
        <w:ind w:right="0"/>
        <w:jc w:val="left"/>
        <w:rPr>
          <w:b w:val="0"/>
          <w:bCs w:val="0"/>
        </w:rPr>
      </w:pPr>
      <w:r>
        <w:rPr>
          <w:rFonts w:ascii="Times New Roman" w:hAnsi="Times New Roman" w:cs="Times New Roman" w:eastAsia="Times New Roman" w:hint="default"/>
        </w:rPr>
        <w:t>2</w:t>
      </w:r>
      <w:r>
        <w:rPr/>
        <w:t>、</w:t>
      </w:r>
      <w:r>
        <w:rPr>
          <w:spacing w:val="-1"/>
        </w:rPr>
        <w:t> </w:t>
      </w:r>
      <w:r>
        <w:rPr/>
        <w:t>使用寿命有限的无形资产的使用寿命估计情况</w:t>
      </w:r>
      <w:r>
        <w:rPr>
          <w:b w:val="0"/>
          <w:bCs w:val="0"/>
        </w:rPr>
      </w:r>
    </w:p>
    <w:p>
      <w:pPr>
        <w:spacing w:line="240" w:lineRule="auto" w:before="8"/>
        <w:rPr>
          <w:rFonts w:ascii="宋体" w:hAnsi="宋体" w:cs="宋体" w:eastAsia="宋体" w:hint="default"/>
          <w:b/>
          <w:bCs/>
          <w:sz w:val="2"/>
          <w:szCs w:val="2"/>
        </w:rPr>
      </w:pPr>
    </w:p>
    <w:tbl>
      <w:tblPr>
        <w:tblW w:w="0" w:type="auto"/>
        <w:jc w:val="left"/>
        <w:tblInd w:w="753" w:type="dxa"/>
        <w:tblLayout w:type="fixed"/>
        <w:tblCellMar>
          <w:top w:w="0" w:type="dxa"/>
          <w:left w:w="0" w:type="dxa"/>
          <w:bottom w:w="0" w:type="dxa"/>
          <w:right w:w="0" w:type="dxa"/>
        </w:tblCellMar>
        <w:tblLook w:val="01E0"/>
      </w:tblPr>
      <w:tblGrid>
        <w:gridCol w:w="2602"/>
        <w:gridCol w:w="2607"/>
        <w:gridCol w:w="2605"/>
      </w:tblGrid>
      <w:tr>
        <w:trPr>
          <w:trHeight w:val="348" w:hRule="exact"/>
        </w:trPr>
        <w:tc>
          <w:tcPr>
            <w:tcW w:w="260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项 </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z w:val="21"/>
                <w:szCs w:val="21"/>
              </w:rPr>
              <w:t>目</w:t>
            </w:r>
          </w:p>
        </w:tc>
        <w:tc>
          <w:tcPr>
            <w:tcW w:w="260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667" w:right="0"/>
              <w:jc w:val="left"/>
              <w:rPr>
                <w:rFonts w:ascii="宋体" w:hAnsi="宋体" w:cs="宋体" w:eastAsia="宋体" w:hint="default"/>
                <w:sz w:val="21"/>
                <w:szCs w:val="21"/>
              </w:rPr>
            </w:pPr>
            <w:r>
              <w:rPr>
                <w:rFonts w:ascii="宋体" w:hAnsi="宋体" w:cs="宋体" w:eastAsia="宋体" w:hint="default"/>
                <w:sz w:val="21"/>
                <w:szCs w:val="21"/>
              </w:rPr>
              <w:t>预计使用寿命</w:t>
            </w:r>
          </w:p>
        </w:tc>
        <w:tc>
          <w:tcPr>
            <w:tcW w:w="260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 w:right="0"/>
              <w:jc w:val="center"/>
              <w:rPr>
                <w:rFonts w:ascii="宋体" w:hAnsi="宋体" w:cs="宋体" w:eastAsia="宋体" w:hint="default"/>
                <w:sz w:val="21"/>
                <w:szCs w:val="21"/>
              </w:rPr>
            </w:pPr>
            <w:r>
              <w:rPr>
                <w:rFonts w:ascii="宋体" w:hAnsi="宋体" w:cs="宋体" w:eastAsia="宋体" w:hint="default"/>
                <w:sz w:val="21"/>
                <w:szCs w:val="21"/>
              </w:rPr>
              <w:t>依</w:t>
            </w:r>
            <w:r>
              <w:rPr>
                <w:rFonts w:ascii="宋体" w:hAnsi="宋体" w:cs="宋体" w:eastAsia="宋体" w:hint="default"/>
                <w:spacing w:val="65"/>
                <w:sz w:val="21"/>
                <w:szCs w:val="21"/>
              </w:rPr>
              <w:t> </w:t>
            </w:r>
            <w:r>
              <w:rPr>
                <w:rFonts w:ascii="宋体" w:hAnsi="宋体" w:cs="宋体" w:eastAsia="宋体" w:hint="default"/>
                <w:sz w:val="21"/>
                <w:szCs w:val="21"/>
              </w:rPr>
              <w:t>据</w:t>
            </w:r>
          </w:p>
        </w:tc>
      </w:tr>
      <w:tr>
        <w:trPr>
          <w:trHeight w:val="346" w:hRule="exact"/>
        </w:trPr>
        <w:tc>
          <w:tcPr>
            <w:tcW w:w="260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z w:val="21"/>
                <w:szCs w:val="21"/>
              </w:rPr>
              <w:t>软件著作权</w:t>
            </w:r>
          </w:p>
        </w:tc>
        <w:tc>
          <w:tcPr>
            <w:tcW w:w="2607"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right="0"/>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3-5</w:t>
            </w:r>
            <w:r>
              <w:rPr>
                <w:rFonts w:ascii="宋体" w:hAnsi="宋体" w:cs="宋体" w:eastAsia="宋体" w:hint="default"/>
                <w:spacing w:val="-1"/>
                <w:sz w:val="21"/>
                <w:szCs w:val="21"/>
              </w:rPr>
              <w:t>年</w:t>
            </w:r>
          </w:p>
        </w:tc>
        <w:tc>
          <w:tcPr>
            <w:tcW w:w="2605"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60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软件使用权</w:t>
            </w:r>
          </w:p>
        </w:tc>
        <w:tc>
          <w:tcPr>
            <w:tcW w:w="2607"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right="-1"/>
              <w:jc w:val="righ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年</w:t>
            </w:r>
          </w:p>
        </w:tc>
        <w:tc>
          <w:tcPr>
            <w:tcW w:w="2605"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73" w:lineRule="auto"/>
        <w:ind w:right="0"/>
        <w:jc w:val="left"/>
      </w:pPr>
      <w:r>
        <w:rPr/>
        <w:t>每年末，对使用寿命有限的无形资产的使用寿命及摊销方法进行复核。</w:t>
      </w:r>
      <w:r>
        <w:rPr>
          <w:w w:val="100"/>
        </w:rPr>
        <w:t> </w:t>
      </w:r>
      <w:r>
        <w:rPr>
          <w:spacing w:val="-2"/>
        </w:rPr>
        <w:t>经复核，本年期末无形资产的使用寿命及摊销方法与以前估计未有不同。</w:t>
      </w:r>
    </w:p>
    <w:p>
      <w:pPr>
        <w:spacing w:line="240" w:lineRule="auto" w:before="6"/>
        <w:rPr>
          <w:rFonts w:ascii="宋体" w:hAnsi="宋体" w:cs="宋体" w:eastAsia="宋体" w:hint="default"/>
          <w:sz w:val="24"/>
          <w:szCs w:val="24"/>
        </w:rPr>
      </w:pPr>
    </w:p>
    <w:p>
      <w:pPr>
        <w:spacing w:line="256" w:lineRule="auto" w:before="0"/>
        <w:ind w:left="152" w:right="167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使用寿命不确定的无形资产的判断依据</w:t>
      </w:r>
      <w:r>
        <w:rPr>
          <w:rFonts w:ascii="宋体" w:hAnsi="宋体" w:cs="宋体" w:eastAsia="宋体" w:hint="default"/>
          <w:b/>
          <w:bCs/>
          <w:w w:val="100"/>
          <w:sz w:val="21"/>
          <w:szCs w:val="21"/>
        </w:rPr>
        <w:t> </w:t>
      </w:r>
      <w:r>
        <w:rPr>
          <w:rFonts w:ascii="宋体" w:hAnsi="宋体" w:cs="宋体" w:eastAsia="宋体" w:hint="default"/>
          <w:spacing w:val="-2"/>
          <w:sz w:val="21"/>
          <w:szCs w:val="21"/>
        </w:rPr>
        <w:t>截至本年末，公司无使用寿命不确定的无形资产。</w:t>
      </w:r>
    </w:p>
    <w:p>
      <w:pPr>
        <w:spacing w:line="692" w:lineRule="exact" w:before="14"/>
        <w:ind w:left="152" w:right="167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）内部研究开发支出会计政策</w:t>
      </w:r>
      <w:r>
        <w:rPr>
          <w:rFonts w:ascii="宋体" w:hAnsi="宋体" w:cs="宋体" w:eastAsia="宋体" w:hint="default"/>
          <w:b/>
          <w:bCs/>
          <w:w w:val="100"/>
          <w:sz w:val="21"/>
          <w:szCs w:val="21"/>
        </w:rPr>
        <w:t> </w:t>
      </w:r>
      <w:r>
        <w:rPr>
          <w:rFonts w:ascii="宋体" w:hAnsi="宋体" w:cs="宋体" w:eastAsia="宋体" w:hint="default"/>
          <w:sz w:val="21"/>
          <w:szCs w:val="21"/>
        </w:rPr>
        <w:t>公司内部研究开发项目的支出分为研究阶段支出和开发阶段支出。</w:t>
      </w:r>
      <w:r>
        <w:rPr>
          <w:rFonts w:ascii="宋体" w:hAnsi="宋体" w:cs="宋体" w:eastAsia="宋体" w:hint="default"/>
          <w:sz w:val="21"/>
          <w:szCs w:val="21"/>
        </w:rPr>
        <w:t> </w:t>
      </w:r>
    </w:p>
    <w:p>
      <w:pPr>
        <w:pStyle w:val="BodyText"/>
        <w:spacing w:line="408" w:lineRule="auto" w:before="82"/>
        <w:ind w:right="0"/>
        <w:jc w:val="left"/>
        <w:rPr>
          <w:rFonts w:ascii="宋体" w:hAnsi="宋体" w:cs="宋体" w:eastAsia="宋体" w:hint="default"/>
        </w:rPr>
      </w:pPr>
      <w:r>
        <w:rPr>
          <w:spacing w:val="-2"/>
        </w:rPr>
        <w:t>研究阶段：为进一步开发活动进行的资料及相关方面的准备活动的阶段。具体为，公司将内部研究开发项</w:t>
      </w:r>
      <w:r>
        <w:rPr>
          <w:spacing w:val="-44"/>
        </w:rPr>
        <w:t> </w:t>
      </w:r>
      <w:r>
        <w:rPr>
          <w:spacing w:val="-44"/>
        </w:rPr>
      </w:r>
      <w:r>
        <w:rPr/>
        <w:t>目的前期市场调研、客户调研、项目可行性研究阶段与项目立项申请评审阶段作为研究阶段。</w:t>
      </w:r>
      <w:r>
        <w:rPr>
          <w:rFonts w:ascii="宋体" w:hAnsi="宋体" w:cs="宋体" w:eastAsia="宋体" w:hint="default"/>
          <w:w w:val="100"/>
        </w:rPr>
        <w:t> </w:t>
      </w:r>
      <w:r>
        <w:rPr>
          <w:spacing w:val="-2"/>
        </w:rPr>
        <w:t>开发阶段：已完成研究阶段的工作后再进行的开发活动的阶段。具体为，项目完成技术可行性及经济可行</w:t>
      </w:r>
      <w:r>
        <w:rPr>
          <w:spacing w:val="-43"/>
        </w:rPr>
        <w:t> </w:t>
      </w:r>
      <w:r>
        <w:rPr>
          <w:spacing w:val="-43"/>
        </w:rPr>
      </w:r>
      <w:r>
        <w:rPr/>
        <w:t>性研究论证，立项评审通过后，进入开发阶段，至专利权证申请完成期间，完成项目开发。</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pStyle w:val="BodyText"/>
        <w:spacing w:line="240" w:lineRule="auto" w:before="36"/>
        <w:ind w:right="0"/>
        <w:jc w:val="left"/>
        <w:rPr>
          <w:rFonts w:ascii="宋体" w:hAnsi="宋体" w:cs="宋体" w:eastAsia="宋体" w:hint="default"/>
        </w:rPr>
      </w:pPr>
      <w:r>
        <w:rPr/>
        <w:t>内部研究开发项目开发阶段的支出，同时满足下列条件时确认为无形资产：</w:t>
      </w:r>
      <w:r>
        <w:rPr>
          <w:rFonts w:ascii="宋体" w:hAnsi="宋体" w:cs="宋体" w:eastAsia="宋体" w:hint="default"/>
          <w:spacing w:val="-3"/>
        </w:rPr>
        <w:t> </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40" w:lineRule="auto"/>
        <w:ind w:right="0"/>
        <w:jc w:val="left"/>
        <w:rPr>
          <w:rFonts w:ascii="宋体" w:hAnsi="宋体" w:cs="宋体" w:eastAsia="宋体" w:hint="default"/>
        </w:rPr>
      </w:pPr>
      <w:r>
        <w:rPr/>
        <w:t>（</w:t>
      </w:r>
      <w:r>
        <w:rPr>
          <w:rFonts w:ascii="宋体" w:hAnsi="宋体" w:cs="宋体" w:eastAsia="宋体" w:hint="default"/>
        </w:rPr>
        <w:t>1</w:t>
      </w:r>
      <w:r>
        <w:rPr/>
        <w:t>）完成该无形资产以使其能够使用或出售在技术上具有可行性；</w:t>
      </w:r>
      <w:r>
        <w:rPr>
          <w:rFonts w:ascii="宋体" w:hAnsi="宋体" w:cs="宋体" w:eastAsia="宋体" w:hint="default"/>
          <w:spacing w:val="-3"/>
        </w:rPr>
        <w:t> </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40" w:lineRule="auto"/>
        <w:ind w:right="0"/>
        <w:jc w:val="left"/>
        <w:rPr>
          <w:rFonts w:ascii="宋体" w:hAnsi="宋体" w:cs="宋体" w:eastAsia="宋体" w:hint="default"/>
        </w:rPr>
      </w:pPr>
      <w:r>
        <w:rPr/>
        <w:t>（</w:t>
      </w:r>
      <w:r>
        <w:rPr>
          <w:rFonts w:ascii="宋体" w:hAnsi="宋体" w:cs="宋体" w:eastAsia="宋体" w:hint="default"/>
        </w:rPr>
        <w:t>2</w:t>
      </w:r>
      <w:r>
        <w:rPr/>
        <w:t>）具有完成该无形资产并使用或出售的意图；</w:t>
      </w:r>
      <w:r>
        <w:rPr>
          <w:rFonts w:ascii="宋体" w:hAnsi="宋体" w:cs="宋体" w:eastAsia="宋体" w:hint="default"/>
          <w:spacing w:val="-3"/>
        </w:rPr>
        <w:t> </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408" w:lineRule="auto"/>
        <w:ind w:right="0"/>
        <w:jc w:val="left"/>
        <w:rPr>
          <w:rFonts w:ascii="宋体" w:hAnsi="宋体" w:cs="宋体" w:eastAsia="宋体" w:hint="default"/>
        </w:rPr>
      </w:pPr>
      <w:r>
        <w:rPr>
          <w:spacing w:val="-2"/>
        </w:rPr>
        <w:t>（</w:t>
      </w:r>
      <w:r>
        <w:rPr>
          <w:rFonts w:ascii="宋体" w:hAnsi="宋体" w:cs="宋体" w:eastAsia="宋体" w:hint="default"/>
          <w:spacing w:val="-2"/>
        </w:rPr>
        <w:t>3</w:t>
      </w:r>
      <w:r>
        <w:rPr>
          <w:spacing w:val="-2"/>
        </w:rPr>
        <w:t>）无形资产产生经济利益的方式，包括能够证明运用该无形资产生产的产品存在市场或无形资产自身</w:t>
      </w:r>
      <w:r>
        <w:rPr>
          <w:spacing w:val="-22"/>
        </w:rPr>
        <w:t> </w:t>
      </w:r>
      <w:r>
        <w:rPr>
          <w:spacing w:val="-22"/>
        </w:rPr>
      </w:r>
      <w:r>
        <w:rPr/>
        <w:t>存在市场，无形资产将在内部使用的，能够证明其有用性；</w:t>
      </w:r>
      <w:r>
        <w:rPr>
          <w:rFonts w:ascii="宋体" w:hAnsi="宋体" w:cs="宋体" w:eastAsia="宋体" w:hint="default"/>
          <w:spacing w:val="-3"/>
        </w:rPr>
        <w:t> </w:t>
      </w:r>
      <w:r>
        <w:rPr>
          <w:rFonts w:ascii="宋体" w:hAnsi="宋体" w:cs="宋体" w:eastAsia="宋体" w:hint="default"/>
        </w:rPr>
        <w:t> </w:t>
      </w:r>
    </w:p>
    <w:p>
      <w:pPr>
        <w:spacing w:after="0" w:line="408" w:lineRule="auto"/>
        <w:jc w:val="left"/>
        <w:rPr>
          <w:rFonts w:ascii="宋体" w:hAnsi="宋体" w:cs="宋体" w:eastAsia="宋体" w:hint="default"/>
        </w:rPr>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pStyle w:val="BodyText"/>
        <w:spacing w:line="408" w:lineRule="auto" w:before="176"/>
        <w:ind w:right="0"/>
        <w:jc w:val="left"/>
        <w:rPr>
          <w:rFonts w:ascii="宋体" w:hAnsi="宋体" w:cs="宋体" w:eastAsia="宋体" w:hint="default"/>
        </w:rPr>
      </w:pPr>
      <w:r>
        <w:rPr>
          <w:spacing w:val="-2"/>
        </w:rPr>
        <w:t>（</w:t>
      </w:r>
      <w:r>
        <w:rPr>
          <w:rFonts w:ascii="宋体" w:hAnsi="宋体" w:cs="宋体" w:eastAsia="宋体" w:hint="default"/>
          <w:spacing w:val="-2"/>
        </w:rPr>
        <w:t>4</w:t>
      </w:r>
      <w:r>
        <w:rPr>
          <w:spacing w:val="-2"/>
        </w:rPr>
        <w:t>）有足够的技术、财务资源和其他资源支持，以完成该无形资产的开发，并有能力使用或出售该无形</w:t>
      </w:r>
      <w:r>
        <w:rPr>
          <w:spacing w:val="-22"/>
        </w:rPr>
        <w:t> </w:t>
      </w:r>
      <w:r>
        <w:rPr>
          <w:spacing w:val="-22"/>
        </w:rPr>
      </w:r>
      <w:r>
        <w:rPr/>
        <w:t>资产；</w:t>
      </w:r>
      <w:r>
        <w:rPr>
          <w:rFonts w:ascii="宋体" w:hAnsi="宋体" w:cs="宋体" w:eastAsia="宋体" w:hint="default"/>
          <w:spacing w:val="-3"/>
        </w:rPr>
        <w:t> </w:t>
      </w:r>
      <w:r>
        <w:rPr>
          <w:rFonts w:ascii="宋体" w:hAnsi="宋体" w:cs="宋体" w:eastAsia="宋体" w:hint="default"/>
        </w:rPr>
        <w:t> </w:t>
      </w:r>
    </w:p>
    <w:p>
      <w:pPr>
        <w:pStyle w:val="BodyText"/>
        <w:spacing w:line="408" w:lineRule="auto" w:before="46"/>
        <w:ind w:right="0"/>
        <w:jc w:val="left"/>
        <w:rPr>
          <w:rFonts w:ascii="宋体" w:hAnsi="宋体" w:cs="宋体" w:eastAsia="宋体" w:hint="default"/>
        </w:rPr>
      </w:pPr>
      <w:r>
        <w:rPr/>
        <w:t>（</w:t>
      </w:r>
      <w:r>
        <w:rPr>
          <w:rFonts w:ascii="宋体" w:hAnsi="宋体" w:cs="宋体" w:eastAsia="宋体" w:hint="default"/>
        </w:rPr>
        <w:t>5</w:t>
      </w:r>
      <w:r>
        <w:rPr/>
        <w:t>）归属于该无形资产开发阶段的支出能够可靠地计量。</w:t>
      </w:r>
      <w:r>
        <w:rPr>
          <w:rFonts w:ascii="宋体" w:hAnsi="宋体" w:cs="宋体" w:eastAsia="宋体" w:hint="default"/>
          <w:w w:val="100"/>
        </w:rPr>
        <w:t> </w:t>
      </w:r>
      <w:r>
        <w:rPr>
          <w:spacing w:val="-2"/>
        </w:rPr>
        <w:t>开发阶段的支出，若不满足上列条件的，于发生时计入当期损益。研究阶段的支出，在发生时计入当期损</w:t>
      </w:r>
      <w:r>
        <w:rPr>
          <w:spacing w:val="-50"/>
        </w:rPr>
        <w:t> </w:t>
      </w:r>
      <w:r>
        <w:rPr>
          <w:spacing w:val="-50"/>
        </w:rPr>
      </w:r>
      <w:r>
        <w:rPr>
          <w:spacing w:val="-2"/>
        </w:rPr>
        <w:t>益。前期已计入损益的开发支出在以后期间不再确认为资产。已资本化的开发阶段的支出在资产负债表上</w:t>
      </w:r>
      <w:r>
        <w:rPr>
          <w:spacing w:val="-43"/>
        </w:rPr>
        <w:t> </w:t>
      </w:r>
      <w:r>
        <w:rPr>
          <w:spacing w:val="-43"/>
        </w:rPr>
      </w:r>
      <w:r>
        <w:rPr/>
        <w:t>列示为开发支出，自该项目达到预定可使用状态之日起转为无形资产列报。</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22</w:t>
      </w:r>
      <w:r>
        <w:rPr/>
        <w:t>、长期资产减值</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right="0"/>
        <w:jc w:val="left"/>
        <w:rPr>
          <w:rFonts w:ascii="宋体" w:hAnsi="宋体" w:cs="宋体" w:eastAsia="宋体" w:hint="default"/>
        </w:rPr>
      </w:pPr>
      <w:r>
        <w:rPr>
          <w:spacing w:val="-2"/>
        </w:rPr>
        <w:t>长期股权投资、采用成本模式计量的投资性房地产、固定资产、在建工程、使用寿命有限的无形资产等长</w:t>
      </w:r>
      <w:r>
        <w:rPr>
          <w:spacing w:val="-44"/>
        </w:rPr>
        <w:t> </w:t>
      </w:r>
      <w:r>
        <w:rPr>
          <w:spacing w:val="-44"/>
        </w:rPr>
      </w:r>
      <w:r>
        <w:rPr>
          <w:spacing w:val="-2"/>
        </w:rPr>
        <w:t>期资产，于资产负债表日存在减值迹象的，进行减值测试。减值测试结果表明资产的可收回金额低于其账</w:t>
      </w:r>
      <w:r>
        <w:rPr>
          <w:spacing w:val="-43"/>
        </w:rPr>
        <w:t> </w:t>
      </w:r>
      <w:r>
        <w:rPr>
          <w:spacing w:val="-43"/>
        </w:rPr>
      </w:r>
      <w:r>
        <w:rPr>
          <w:spacing w:val="-2"/>
        </w:rPr>
        <w:t>面价值的，按其差额计提减值准备并计入减值损失。可收回金额为资产的公允价值减去处置费用后的净额</w:t>
      </w:r>
      <w:r>
        <w:rPr>
          <w:spacing w:val="-43"/>
        </w:rPr>
        <w:t> </w:t>
      </w:r>
      <w:r>
        <w:rPr>
          <w:spacing w:val="-43"/>
        </w:rPr>
      </w:r>
      <w:r>
        <w:rPr>
          <w:spacing w:val="-2"/>
        </w:rPr>
        <w:t>与资产预计未来现金流量的现值两者之间的较高者。资产减值准备按单项资产为基础计算并确认，如果难</w:t>
      </w:r>
      <w:r>
        <w:rPr>
          <w:spacing w:val="-44"/>
        </w:rPr>
        <w:t> </w:t>
      </w:r>
      <w:r>
        <w:rPr>
          <w:spacing w:val="-44"/>
        </w:rPr>
      </w:r>
      <w:r>
        <w:rPr>
          <w:spacing w:val="-2"/>
        </w:rPr>
        <w:t>以对单项资产的可收回金额进行估计的，以该资产所属的资产组确定资产组的可收回金额。资产组是能够</w:t>
      </w:r>
      <w:r>
        <w:rPr>
          <w:spacing w:val="-41"/>
        </w:rPr>
        <w:t> </w:t>
      </w:r>
      <w:r>
        <w:rPr>
          <w:spacing w:val="-41"/>
        </w:rPr>
      </w:r>
      <w:r>
        <w:rPr/>
        <w:t>独立产生现金流入的最小资产组合。</w:t>
      </w:r>
      <w:r>
        <w:rPr>
          <w:rFonts w:ascii="宋体" w:hAnsi="宋体" w:cs="宋体" w:eastAsia="宋体" w:hint="default"/>
          <w:w w:val="100"/>
        </w:rPr>
        <w:t> </w:t>
      </w:r>
      <w:r>
        <w:rPr/>
        <w:t>商誉和使用寿命不确定的无形资产至少在每年年度终了进行减值测试。</w:t>
      </w:r>
      <w:r>
        <w:rPr>
          <w:rFonts w:ascii="宋体" w:hAnsi="宋体" w:cs="宋体" w:eastAsia="宋体" w:hint="default"/>
          <w:w w:val="100"/>
        </w:rPr>
        <w:t> </w:t>
      </w:r>
      <w:r>
        <w:rPr>
          <w:spacing w:val="-2"/>
        </w:rPr>
        <w:t>本公司进行商誉减值测试，对于因企业合并形成的商誉的账面价值，自购买日起按照合理的方法分摊至相</w:t>
      </w:r>
      <w:r>
        <w:rPr>
          <w:spacing w:val="-44"/>
        </w:rPr>
        <w:t> </w:t>
      </w:r>
      <w:r>
        <w:rPr>
          <w:spacing w:val="-44"/>
        </w:rPr>
      </w:r>
      <w:r>
        <w:rPr>
          <w:spacing w:val="-2"/>
        </w:rPr>
        <w:t>关的资产组；难以分摊至相关的资产组的，将其分摊至相关的资产组组合。在将商誉的账面价值分摊至相</w:t>
      </w:r>
      <w:r>
        <w:rPr>
          <w:spacing w:val="-43"/>
        </w:rPr>
        <w:t> </w:t>
      </w:r>
      <w:r>
        <w:rPr>
          <w:spacing w:val="-43"/>
        </w:rPr>
      </w:r>
      <w:r>
        <w:rPr>
          <w:spacing w:val="-2"/>
        </w:rPr>
        <w:t>关的资产组或者资产组组合时，按照各资产组或者资产组组合的公允价值占相关资产组或者资产组组合公</w:t>
      </w:r>
      <w:r>
        <w:rPr>
          <w:spacing w:val="-43"/>
        </w:rPr>
        <w:t> </w:t>
      </w:r>
      <w:r>
        <w:rPr>
          <w:spacing w:val="-43"/>
        </w:rPr>
      </w:r>
      <w:r>
        <w:rPr>
          <w:spacing w:val="-2"/>
        </w:rPr>
        <w:t>允价值总额的比例进行分摊。公允价值难以可靠计量的，按照各资产组或者资产组组合的账面价值占相关</w:t>
      </w:r>
      <w:r>
        <w:rPr>
          <w:spacing w:val="-43"/>
        </w:rPr>
        <w:t> </w:t>
      </w:r>
      <w:r>
        <w:rPr>
          <w:spacing w:val="-43"/>
        </w:rPr>
      </w:r>
      <w:r>
        <w:rPr/>
        <w:t>资产组或者资产组组合账面价值总额的比例进行分摊。</w:t>
      </w:r>
      <w:r>
        <w:rPr>
          <w:rFonts w:ascii="宋体" w:hAnsi="宋体" w:cs="宋体" w:eastAsia="宋体" w:hint="default"/>
          <w:w w:val="100"/>
        </w:rPr>
        <w:t> </w:t>
      </w:r>
      <w:r>
        <w:rPr>
          <w:spacing w:val="-2"/>
        </w:rPr>
        <w:t>在对包含商誉的相关资产组或者资产组组合进行减值测试时，如与商誉相关的资产组或者资产组组合存在</w:t>
      </w:r>
      <w:r>
        <w:rPr>
          <w:spacing w:val="-43"/>
        </w:rPr>
        <w:t> </w:t>
      </w:r>
      <w:r>
        <w:rPr>
          <w:spacing w:val="-43"/>
        </w:rPr>
      </w:r>
      <w:r>
        <w:rPr>
          <w:spacing w:val="-2"/>
        </w:rPr>
        <w:t>减值迹象的，先对不包含商誉的资产组或者资产组组合进行减值测试，计算可收回金额，并与相关账面价</w:t>
      </w:r>
      <w:r>
        <w:rPr>
          <w:spacing w:val="-42"/>
        </w:rPr>
        <w:t> </w:t>
      </w:r>
      <w:r>
        <w:rPr>
          <w:spacing w:val="-42"/>
        </w:rPr>
      </w:r>
      <w:r>
        <w:rPr>
          <w:spacing w:val="-2"/>
        </w:rPr>
        <w:t>值相比较，确认相应的减值损失。再对包含商誉的资产组或者资产组组合进行减值测试，比较这些相关资</w:t>
      </w:r>
      <w:r>
        <w:rPr>
          <w:spacing w:val="-43"/>
        </w:rPr>
        <w:t> </w:t>
      </w:r>
      <w:r>
        <w:rPr>
          <w:spacing w:val="-43"/>
        </w:rPr>
      </w:r>
      <w:r>
        <w:rPr>
          <w:spacing w:val="-2"/>
        </w:rPr>
        <w:t>产组或者资产组组合的账面价值（包括所分摊的商誉的账面价值部分）与其可收回金额，如相关资产组或</w:t>
      </w:r>
      <w:r>
        <w:rPr>
          <w:spacing w:val="-42"/>
        </w:rPr>
        <w:t> </w:t>
      </w:r>
      <w:r>
        <w:rPr>
          <w:spacing w:val="-42"/>
        </w:rPr>
      </w:r>
      <w:r>
        <w:rPr/>
        <w:t>者资产组组合的可收回金额低于其账面价值的，确认商誉的减值损失。</w:t>
      </w:r>
      <w:r>
        <w:rPr>
          <w:spacing w:val="-4"/>
        </w:rPr>
        <w:t> </w:t>
      </w:r>
      <w:r>
        <w:rPr>
          <w:rFonts w:ascii="宋体" w:hAnsi="宋体" w:cs="宋体" w:eastAsia="宋体" w:hint="default"/>
          <w:spacing w:val="-4"/>
        </w:rPr>
      </w:r>
      <w:r>
        <w:rPr/>
        <w:t>上述资产减值损失一经确认，在</w:t>
      </w:r>
      <w:r>
        <w:rPr>
          <w:w w:val="100"/>
        </w:rPr>
        <w:t> </w:t>
      </w:r>
      <w:r>
        <w:rPr/>
        <w:t>以后会计期间不予转回。</w:t>
      </w:r>
      <w:r>
        <w:rPr>
          <w:rFonts w:ascii="宋体" w:hAnsi="宋体" w:cs="宋体" w:eastAsia="宋体" w:hint="default"/>
        </w:rPr>
        <w:t> </w:t>
      </w:r>
    </w:p>
    <w:p>
      <w:pPr>
        <w:spacing w:after="0" w:line="408" w:lineRule="auto"/>
        <w:jc w:val="left"/>
        <w:rPr>
          <w:rFonts w:ascii="宋体" w:hAnsi="宋体" w:cs="宋体" w:eastAsia="宋体" w:hint="default"/>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23</w:t>
      </w:r>
      <w:r>
        <w:rPr/>
        <w:t>、长期待摊费用</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right="0"/>
        <w:jc w:val="left"/>
        <w:rPr>
          <w:rFonts w:ascii="宋体" w:hAnsi="宋体" w:cs="宋体" w:eastAsia="宋体" w:hint="default"/>
        </w:rPr>
      </w:pPr>
      <w:r>
        <w:rPr/>
        <w:t>长期待摊费用为已经发生但应由本年和以后各期负担的分摊期限在一年以上的各项费用。</w:t>
      </w:r>
      <w:r>
        <w:rPr>
          <w:rFonts w:ascii="宋体" w:hAnsi="宋体" w:cs="宋体" w:eastAsia="宋体" w:hint="default"/>
        </w:rPr>
        <w:t> </w:t>
      </w:r>
    </w:p>
    <w:p>
      <w:pPr>
        <w:pStyle w:val="Heading3"/>
        <w:spacing w:line="240" w:lineRule="auto" w:before="37"/>
        <w:ind w:right="0"/>
        <w:jc w:val="left"/>
        <w:rPr>
          <w:b w:val="0"/>
          <w:bCs w:val="0"/>
        </w:rPr>
      </w:pPr>
      <w:r>
        <w:rPr>
          <w:rFonts w:ascii="Times New Roman" w:hAnsi="Times New Roman" w:cs="Times New Roman" w:eastAsia="Times New Roman" w:hint="default"/>
        </w:rPr>
        <w:t>1</w:t>
      </w:r>
      <w:r>
        <w:rPr/>
        <w:t>、</w:t>
      </w:r>
      <w:r>
        <w:rPr>
          <w:spacing w:val="-1"/>
        </w:rPr>
        <w:t> </w:t>
      </w:r>
      <w:r>
        <w:rPr/>
        <w:t>摊销方法</w:t>
      </w:r>
      <w:r>
        <w:rPr>
          <w:b w:val="0"/>
          <w:bCs w:val="0"/>
        </w:rPr>
      </w:r>
    </w:p>
    <w:p>
      <w:pPr>
        <w:pStyle w:val="BodyText"/>
        <w:spacing w:line="240" w:lineRule="auto" w:before="21"/>
        <w:ind w:left="1413" w:right="0"/>
        <w:jc w:val="left"/>
      </w:pPr>
      <w:r>
        <w:rPr/>
        <w:t>在受益期内平均摊销。</w:t>
      </w:r>
    </w:p>
    <w:p>
      <w:pPr>
        <w:spacing w:line="240" w:lineRule="auto" w:before="9"/>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w:t>
      </w:r>
      <w:r>
        <w:rPr/>
        <w:t>、</w:t>
      </w:r>
      <w:r>
        <w:rPr>
          <w:spacing w:val="-1"/>
        </w:rPr>
        <w:t> </w:t>
      </w:r>
      <w:r>
        <w:rPr/>
        <w:t>摊销年限</w:t>
      </w:r>
      <w:r>
        <w:rPr>
          <w:b w:val="0"/>
          <w:bCs w:val="0"/>
        </w:rPr>
      </w:r>
    </w:p>
    <w:p>
      <w:pPr>
        <w:spacing w:line="240" w:lineRule="auto" w:before="8"/>
        <w:rPr>
          <w:rFonts w:ascii="宋体" w:hAnsi="宋体" w:cs="宋体" w:eastAsia="宋体" w:hint="default"/>
          <w:b/>
          <w:bCs/>
          <w:sz w:val="2"/>
          <w:szCs w:val="2"/>
        </w:rPr>
      </w:pPr>
    </w:p>
    <w:tbl>
      <w:tblPr>
        <w:tblW w:w="0" w:type="auto"/>
        <w:jc w:val="left"/>
        <w:tblInd w:w="753" w:type="dxa"/>
        <w:tblLayout w:type="fixed"/>
        <w:tblCellMar>
          <w:top w:w="0" w:type="dxa"/>
          <w:left w:w="0" w:type="dxa"/>
          <w:bottom w:w="0" w:type="dxa"/>
          <w:right w:w="0" w:type="dxa"/>
        </w:tblCellMar>
        <w:tblLook w:val="01E0"/>
      </w:tblPr>
      <w:tblGrid>
        <w:gridCol w:w="4914"/>
        <w:gridCol w:w="2900"/>
      </w:tblGrid>
      <w:tr>
        <w:trPr>
          <w:trHeight w:val="353" w:hRule="exact"/>
        </w:trPr>
        <w:tc>
          <w:tcPr>
            <w:tcW w:w="4914" w:type="dxa"/>
            <w:tcBorders>
              <w:top w:val="single" w:sz="6" w:space="0" w:color="000000"/>
              <w:left w:val="single" w:sz="6" w:space="0" w:color="000000"/>
              <w:bottom w:val="single" w:sz="12" w:space="0" w:color="000000"/>
              <w:right w:val="single" w:sz="6" w:space="0" w:color="000000"/>
            </w:tcBorders>
          </w:tcPr>
          <w:p>
            <w:pPr>
              <w:pStyle w:val="TableParagraph"/>
              <w:spacing w:line="272" w:lineRule="exact"/>
              <w:ind w:left="182" w:right="0"/>
              <w:jc w:val="center"/>
              <w:rPr>
                <w:rFonts w:ascii="宋体" w:hAnsi="宋体" w:cs="宋体" w:eastAsia="宋体" w:hint="default"/>
                <w:sz w:val="21"/>
                <w:szCs w:val="21"/>
              </w:rPr>
            </w:pPr>
            <w:r>
              <w:rPr>
                <w:rFonts w:ascii="宋体" w:hAnsi="宋体" w:cs="宋体" w:eastAsia="宋体" w:hint="default"/>
                <w:sz w:val="21"/>
                <w:szCs w:val="21"/>
              </w:rPr>
              <w:t>项   </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目</w:t>
            </w:r>
          </w:p>
        </w:tc>
        <w:tc>
          <w:tcPr>
            <w:tcW w:w="2900" w:type="dxa"/>
            <w:tcBorders>
              <w:top w:val="single" w:sz="6" w:space="0" w:color="000000"/>
              <w:left w:val="single" w:sz="6" w:space="0" w:color="000000"/>
              <w:bottom w:val="single" w:sz="12" w:space="0" w:color="000000"/>
              <w:right w:val="nil" w:sz="6" w:space="0" w:color="auto"/>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受益期限</w:t>
            </w:r>
          </w:p>
        </w:tc>
      </w:tr>
      <w:tr>
        <w:trPr>
          <w:trHeight w:val="353" w:hRule="exact"/>
        </w:trPr>
        <w:tc>
          <w:tcPr>
            <w:tcW w:w="4914"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182" w:right="0"/>
              <w:jc w:val="left"/>
              <w:rPr>
                <w:rFonts w:ascii="宋体" w:hAnsi="宋体" w:cs="宋体" w:eastAsia="宋体" w:hint="default"/>
                <w:sz w:val="21"/>
                <w:szCs w:val="21"/>
              </w:rPr>
            </w:pPr>
            <w:r>
              <w:rPr>
                <w:rFonts w:ascii="宋体" w:hAnsi="宋体" w:cs="宋体" w:eastAsia="宋体" w:hint="default"/>
                <w:sz w:val="21"/>
                <w:szCs w:val="21"/>
              </w:rPr>
              <w:t>经营租赁方式租入的固定资产改良支出</w:t>
            </w:r>
          </w:p>
        </w:tc>
        <w:tc>
          <w:tcPr>
            <w:tcW w:w="2900" w:type="dxa"/>
            <w:tcBorders>
              <w:top w:val="single" w:sz="12" w:space="0" w:color="000000"/>
              <w:left w:val="single" w:sz="6" w:space="0" w:color="000000"/>
              <w:bottom w:val="single" w:sz="12" w:space="0" w:color="000000"/>
              <w:right w:val="nil" w:sz="6" w:space="0" w:color="auto"/>
            </w:tcBorders>
          </w:tcPr>
          <w:p>
            <w:pPr>
              <w:pStyle w:val="TableParagraph"/>
              <w:spacing w:line="265" w:lineRule="exact"/>
              <w:ind w:left="1833" w:right="0"/>
              <w:jc w:val="left"/>
              <w:rPr>
                <w:rFonts w:ascii="宋体" w:hAnsi="宋体" w:cs="宋体" w:eastAsia="宋体" w:hint="default"/>
                <w:sz w:val="21"/>
                <w:szCs w:val="21"/>
              </w:rPr>
            </w:pPr>
            <w:r>
              <w:rPr>
                <w:rFonts w:ascii="宋体" w:hAnsi="宋体" w:cs="宋体" w:eastAsia="宋体" w:hint="default"/>
                <w:sz w:val="21"/>
                <w:szCs w:val="21"/>
              </w:rPr>
              <w:t>剩余租赁期</w:t>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3"/>
          <w:szCs w:val="23"/>
        </w:rPr>
      </w:pPr>
    </w:p>
    <w:p>
      <w:pPr>
        <w:pStyle w:val="Heading3"/>
        <w:spacing w:line="240" w:lineRule="auto" w:before="36"/>
        <w:ind w:right="0"/>
        <w:jc w:val="left"/>
        <w:rPr>
          <w:b w:val="0"/>
          <w:bCs w:val="0"/>
        </w:rPr>
      </w:pPr>
      <w:r>
        <w:rPr>
          <w:rFonts w:ascii="Times New Roman" w:hAnsi="Times New Roman" w:cs="Times New Roman" w:eastAsia="Times New Roman" w:hint="default"/>
        </w:rPr>
        <w:t>24</w:t>
      </w:r>
      <w:r>
        <w:rPr/>
        <w:t>、职工薪酬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6"/>
        <w:rPr>
          <w:rFonts w:ascii="宋体" w:hAnsi="宋体" w:cs="宋体" w:eastAsia="宋体" w:hint="default"/>
          <w:b/>
          <w:bCs/>
          <w:sz w:val="30"/>
          <w:szCs w:val="30"/>
        </w:rPr>
      </w:pPr>
    </w:p>
    <w:p>
      <w:pPr>
        <w:pStyle w:val="BodyText"/>
        <w:spacing w:line="408" w:lineRule="auto"/>
        <w:ind w:right="0"/>
        <w:jc w:val="left"/>
        <w:rPr>
          <w:rFonts w:ascii="宋体" w:hAnsi="宋体" w:cs="宋体" w:eastAsia="宋体" w:hint="default"/>
        </w:rPr>
      </w:pPr>
      <w:r>
        <w:rPr>
          <w:spacing w:val="-2"/>
        </w:rPr>
        <w:t>本公司在职工为本公司提供服务的会计期间，将实际发生的短期薪酬确认为负债，并计入当期损益或相关</w:t>
      </w:r>
      <w:r>
        <w:rPr>
          <w:spacing w:val="-42"/>
        </w:rPr>
        <w:t> </w:t>
      </w:r>
      <w:r>
        <w:rPr>
          <w:spacing w:val="-42"/>
        </w:rPr>
      </w:r>
      <w:r>
        <w:rPr/>
        <w:t>资产成本。</w:t>
      </w:r>
      <w:r>
        <w:rPr>
          <w:rFonts w:ascii="宋体" w:hAnsi="宋体" w:cs="宋体" w:eastAsia="宋体" w:hint="default"/>
          <w:w w:val="100"/>
        </w:rPr>
        <w:t> </w:t>
      </w:r>
      <w:r>
        <w:rPr>
          <w:spacing w:val="-2"/>
        </w:rPr>
        <w:t>本公司为职工缴纳的社会保险费和住房公积金，以及按规定提取的工会经费和职工教育经费，在职工为本</w:t>
      </w:r>
      <w:r>
        <w:rPr>
          <w:spacing w:val="-44"/>
        </w:rPr>
        <w:t> </w:t>
      </w:r>
      <w:r>
        <w:rPr>
          <w:spacing w:val="-44"/>
        </w:rPr>
      </w:r>
      <w:r>
        <w:rPr/>
        <w:t>公司提供服务的会计期间，根据规定的计提基础和计提比例计算确定相应的职工薪酬金额。</w:t>
      </w:r>
      <w:r>
        <w:rPr>
          <w:rFonts w:ascii="宋体" w:hAnsi="宋体" w:cs="宋体" w:eastAsia="宋体" w:hint="default"/>
          <w:w w:val="100"/>
        </w:rPr>
        <w:t> </w:t>
      </w:r>
      <w:r>
        <w:rPr/>
        <w:t>职工福利费为非货币性福利的，如能够可靠计量的，按照公允价值计量。</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right="0"/>
        <w:jc w:val="left"/>
        <w:rPr>
          <w:rFonts w:ascii="宋体" w:hAnsi="宋体" w:cs="宋体" w:eastAsia="宋体" w:hint="default"/>
        </w:rPr>
      </w:pPr>
      <w:r>
        <w:rPr/>
        <w:t>设定提存计划</w:t>
      </w:r>
      <w:r>
        <w:rPr>
          <w:rFonts w:ascii="宋体" w:hAnsi="宋体" w:cs="宋体" w:eastAsia="宋体" w:hint="default"/>
          <w:w w:val="100"/>
        </w:rPr>
        <w:t> </w:t>
      </w:r>
      <w:r>
        <w:rPr/>
        <w:t>本公司按当地政府的相关规定为职工缴纳基本养老保险和失业保险，在职工为本公司提供服务的会计期</w:t>
      </w:r>
      <w:r>
        <w:rPr>
          <w:w w:val="100"/>
        </w:rPr>
        <w:t> </w:t>
      </w:r>
      <w:r>
        <w:rPr/>
        <w:t>间，按以当地规定的缴纳基数和比例计算应缴纳金额，确认为负债，并计入当期损益或相关资产成本。</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6"/>
        <w:rPr>
          <w:rFonts w:ascii="宋体" w:hAnsi="宋体" w:cs="宋体" w:eastAsia="宋体" w:hint="default"/>
          <w:b/>
          <w:bCs/>
          <w:sz w:val="30"/>
          <w:szCs w:val="30"/>
        </w:rPr>
      </w:pPr>
    </w:p>
    <w:p>
      <w:pPr>
        <w:pStyle w:val="BodyText"/>
        <w:spacing w:line="408" w:lineRule="auto"/>
        <w:ind w:right="0"/>
        <w:jc w:val="left"/>
        <w:rPr>
          <w:rFonts w:ascii="宋体" w:hAnsi="宋体" w:cs="宋体" w:eastAsia="宋体" w:hint="default"/>
        </w:rPr>
      </w:pPr>
      <w:r>
        <w:rPr>
          <w:spacing w:val="-2"/>
        </w:rPr>
        <w:t>本公司在不能单方面撤回因解除劳动关系计划或裁减建议所提供的辞退福利时，或确认与涉及支付辞退福</w:t>
      </w:r>
      <w:r>
        <w:rPr>
          <w:spacing w:val="-43"/>
        </w:rPr>
        <w:t> </w:t>
      </w:r>
      <w:r>
        <w:rPr>
          <w:spacing w:val="-43"/>
        </w:rPr>
      </w:r>
      <w:r>
        <w:rPr/>
        <w:t>利的重组相关的成本或费用时（两者孰早），确认辞退福利产生的职工薪酬负债，并计入当期损益。</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5"/>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01"/>
        <w:jc w:val="left"/>
        <w:rPr>
          <w:b w:val="0"/>
          <w:bCs w:val="0"/>
        </w:rPr>
      </w:pPr>
      <w:r>
        <w:rPr>
          <w:rFonts w:ascii="Times New Roman" w:hAnsi="Times New Roman" w:cs="Times New Roman" w:eastAsia="Times New Roman" w:hint="default"/>
        </w:rPr>
        <w:t>25</w:t>
      </w:r>
      <w:r>
        <w:rPr/>
        <w:t>、预计负债</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right="101"/>
        <w:jc w:val="left"/>
        <w:rPr>
          <w:rFonts w:ascii="宋体" w:hAnsi="宋体" w:cs="宋体" w:eastAsia="宋体" w:hint="default"/>
        </w:rPr>
      </w:pPr>
      <w:r>
        <w:rPr>
          <w:spacing w:val="-5"/>
        </w:rPr>
        <w:t>本公司涉及诉讼、债务担保、亏损合同、重组事项时，如该等事项很可能需要未来以交付资产或提供劳务、</w:t>
      </w:r>
      <w:r>
        <w:rPr>
          <w:spacing w:val="-8"/>
        </w:rPr>
        <w:t> </w:t>
      </w:r>
      <w:r>
        <w:rPr>
          <w:spacing w:val="-8"/>
        </w:rPr>
      </w:r>
      <w:r>
        <w:rPr/>
        <w:t>其金额能够可靠计量的，确认为预计负债。</w:t>
      </w:r>
      <w:r>
        <w:rPr>
          <w:rFonts w:ascii="宋体" w:hAnsi="宋体" w:cs="宋体" w:eastAsia="宋体" w:hint="default"/>
        </w:rPr>
        <w:t> </w:t>
      </w:r>
    </w:p>
    <w:p>
      <w:pPr>
        <w:pStyle w:val="Heading3"/>
        <w:spacing w:line="260" w:lineRule="exact"/>
        <w:ind w:right="101"/>
        <w:jc w:val="left"/>
        <w:rPr>
          <w:b w:val="0"/>
          <w:bCs w:val="0"/>
        </w:rPr>
      </w:pPr>
      <w:r>
        <w:rPr>
          <w:rFonts w:ascii="Times New Roman" w:hAnsi="Times New Roman" w:cs="Times New Roman" w:eastAsia="Times New Roman" w:hint="default"/>
        </w:rPr>
        <w:t>1</w:t>
      </w:r>
      <w:r>
        <w:rPr/>
        <w:t>、</w:t>
      </w:r>
      <w:r>
        <w:rPr>
          <w:spacing w:val="1"/>
        </w:rPr>
        <w:t> </w:t>
      </w:r>
      <w:r>
        <w:rPr/>
        <w:t>预计负债的确认标准</w:t>
      </w:r>
      <w:r>
        <w:rPr>
          <w:b w:val="0"/>
          <w:bCs w:val="0"/>
        </w:rPr>
      </w:r>
    </w:p>
    <w:p>
      <w:pPr>
        <w:pStyle w:val="BodyText"/>
        <w:spacing w:line="240" w:lineRule="auto" w:before="98"/>
        <w:ind w:right="101"/>
        <w:jc w:val="left"/>
        <w:rPr>
          <w:rFonts w:ascii="宋体" w:hAnsi="宋体" w:cs="宋体" w:eastAsia="宋体" w:hint="default"/>
        </w:rPr>
      </w:pPr>
      <w:r>
        <w:rPr/>
        <w:t>与或有事项相关的义务同时满足下列条件时，本公司确认为预计负债：</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40" w:lineRule="auto"/>
        <w:ind w:right="101"/>
        <w:jc w:val="left"/>
        <w:rPr>
          <w:rFonts w:ascii="宋体" w:hAnsi="宋体" w:cs="宋体" w:eastAsia="宋体" w:hint="default"/>
        </w:rPr>
      </w:pPr>
      <w:r>
        <w:rPr/>
        <w:t>（</w:t>
      </w:r>
      <w:r>
        <w:rPr>
          <w:rFonts w:ascii="宋体" w:hAnsi="宋体" w:cs="宋体" w:eastAsia="宋体" w:hint="default"/>
        </w:rPr>
        <w:t>1</w:t>
      </w:r>
      <w:r>
        <w:rPr/>
        <w:t>）该义务是本公司承担的现时义务；</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40" w:lineRule="auto"/>
        <w:ind w:right="101"/>
        <w:jc w:val="left"/>
        <w:rPr>
          <w:rFonts w:ascii="宋体" w:hAnsi="宋体" w:cs="宋体" w:eastAsia="宋体" w:hint="default"/>
        </w:rPr>
      </w:pPr>
      <w:r>
        <w:rPr/>
        <w:t>（</w:t>
      </w:r>
      <w:r>
        <w:rPr>
          <w:rFonts w:ascii="宋体" w:hAnsi="宋体" w:cs="宋体" w:eastAsia="宋体" w:hint="default"/>
        </w:rPr>
        <w:t>2</w:t>
      </w:r>
      <w:r>
        <w:rPr/>
        <w:t>）履行该义务很可能导致经济利益流出本公司；</w:t>
      </w:r>
      <w:r>
        <w:rPr>
          <w:rFonts w:ascii="宋体" w:hAnsi="宋体" w:cs="宋体" w:eastAsia="宋体" w:hint="default"/>
        </w:rPr>
        <w:t> </w:t>
      </w:r>
    </w:p>
    <w:p>
      <w:pPr>
        <w:spacing w:line="240" w:lineRule="auto" w:before="11"/>
        <w:rPr>
          <w:rFonts w:ascii="宋体" w:hAnsi="宋体" w:cs="宋体" w:eastAsia="宋体" w:hint="default"/>
          <w:sz w:val="14"/>
          <w:szCs w:val="14"/>
        </w:rPr>
      </w:pPr>
    </w:p>
    <w:p>
      <w:pPr>
        <w:pStyle w:val="BodyText"/>
        <w:spacing w:line="240" w:lineRule="auto"/>
        <w:ind w:right="101"/>
        <w:jc w:val="left"/>
        <w:rPr>
          <w:rFonts w:ascii="宋体" w:hAnsi="宋体" w:cs="宋体" w:eastAsia="宋体" w:hint="default"/>
        </w:rPr>
      </w:pPr>
      <w:r>
        <w:rPr/>
        <w:t>（</w:t>
      </w:r>
      <w:r>
        <w:rPr>
          <w:rFonts w:ascii="宋体" w:hAnsi="宋体" w:cs="宋体" w:eastAsia="宋体" w:hint="default"/>
        </w:rPr>
        <w:t>3</w:t>
      </w:r>
      <w:r>
        <w:rPr/>
        <w:t>）该义务的金额能够可靠地计量。</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321" w:lineRule="auto" w:before="166"/>
        <w:ind w:left="152" w:right="178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预计负债的计量方法</w:t>
      </w:r>
      <w:r>
        <w:rPr>
          <w:rFonts w:ascii="宋体" w:hAnsi="宋体" w:cs="宋体" w:eastAsia="宋体" w:hint="default"/>
          <w:b/>
          <w:bCs/>
          <w:spacing w:val="-102"/>
          <w:sz w:val="21"/>
          <w:szCs w:val="21"/>
        </w:rPr>
        <w:t> </w:t>
      </w:r>
      <w:r>
        <w:rPr>
          <w:rFonts w:ascii="宋体" w:hAnsi="宋体" w:cs="宋体" w:eastAsia="宋体" w:hint="default"/>
          <w:b/>
          <w:bCs/>
          <w:spacing w:val="-102"/>
          <w:sz w:val="21"/>
          <w:szCs w:val="21"/>
        </w:rPr>
      </w:r>
      <w:r>
        <w:rPr>
          <w:rFonts w:ascii="宋体" w:hAnsi="宋体" w:cs="宋体" w:eastAsia="宋体" w:hint="default"/>
          <w:sz w:val="21"/>
          <w:szCs w:val="21"/>
        </w:rPr>
        <w:t>本公司预计负债按履行相关现时义务所需的支出的最佳估计数进行初始计量。</w:t>
      </w:r>
      <w:r>
        <w:rPr>
          <w:rFonts w:ascii="宋体" w:hAnsi="宋体" w:cs="宋体" w:eastAsia="宋体" w:hint="default"/>
          <w:sz w:val="21"/>
          <w:szCs w:val="21"/>
        </w:rPr>
        <w:t> </w:t>
      </w:r>
    </w:p>
    <w:p>
      <w:pPr>
        <w:pStyle w:val="BodyText"/>
        <w:spacing w:line="408" w:lineRule="auto" w:before="121"/>
        <w:ind w:right="101"/>
        <w:jc w:val="left"/>
        <w:rPr>
          <w:rFonts w:ascii="宋体" w:hAnsi="宋体" w:cs="宋体" w:eastAsia="宋体" w:hint="default"/>
        </w:rPr>
      </w:pPr>
      <w:r>
        <w:rPr>
          <w:spacing w:val="-2"/>
        </w:rPr>
        <w:t>本公司在确定最佳估计数时，综合考虑与或有事项有关的风险、不确定性和货币时间价值等因素。对于货</w:t>
      </w:r>
      <w:r>
        <w:rPr>
          <w:spacing w:val="-43"/>
        </w:rPr>
        <w:t> </w:t>
      </w:r>
      <w:r>
        <w:rPr>
          <w:spacing w:val="-43"/>
        </w:rPr>
      </w:r>
      <w:r>
        <w:rPr/>
        <w:t>币时间价值影响重大的，通过对相关未来现金流出进行折现后确定最佳估计数。</w:t>
      </w:r>
      <w:r>
        <w:rPr>
          <w:rFonts w:ascii="宋体" w:hAnsi="宋体" w:cs="宋体" w:eastAsia="宋体" w:hint="default"/>
          <w:w w:val="100"/>
        </w:rPr>
        <w:t> </w:t>
      </w:r>
      <w:r>
        <w:rPr/>
        <w:t>最佳估计数分别以下情况处理：</w:t>
      </w:r>
      <w:r>
        <w:rPr>
          <w:rFonts w:ascii="宋体" w:hAnsi="宋体" w:cs="宋体" w:eastAsia="宋体" w:hint="default"/>
          <w:w w:val="100"/>
        </w:rPr>
        <w:t> </w:t>
      </w:r>
      <w:r>
        <w:rPr>
          <w:spacing w:val="-2"/>
        </w:rPr>
        <w:t>所需支出存在一个连续范围（或区间），且该范围内各种结果发生的可能性相同的，则最佳估计数按照该</w:t>
      </w:r>
      <w:r>
        <w:rPr>
          <w:spacing w:val="-44"/>
        </w:rPr>
        <w:t> </w:t>
      </w:r>
      <w:r>
        <w:rPr>
          <w:spacing w:val="-44"/>
        </w:rPr>
      </w:r>
      <w:r>
        <w:rPr/>
        <w:t>范围的中间值即上下限金额的平均数确定。</w:t>
      </w:r>
      <w:r>
        <w:rPr>
          <w:rFonts w:ascii="宋体" w:hAnsi="宋体" w:cs="宋体" w:eastAsia="宋体" w:hint="default"/>
          <w:w w:val="100"/>
        </w:rPr>
        <w:t> </w:t>
      </w:r>
      <w:r>
        <w:rPr>
          <w:spacing w:val="-2"/>
        </w:rPr>
        <w:t>所需支出不存在一个连续范围（或区间），或虽然存在一个连续范围但该范围内各种结果发生的可能性不</w:t>
      </w:r>
      <w:r>
        <w:rPr>
          <w:spacing w:val="-43"/>
        </w:rPr>
        <w:t> </w:t>
      </w:r>
      <w:r>
        <w:rPr>
          <w:spacing w:val="-43"/>
        </w:rPr>
      </w:r>
      <w:r>
        <w:rPr>
          <w:spacing w:val="-2"/>
        </w:rPr>
        <w:t>相同的，如或有事项涉及单个项目的，则最佳估计数按照最可能发生金额确定；如或有事项涉及多个项目</w:t>
      </w:r>
      <w:r>
        <w:rPr>
          <w:spacing w:val="-42"/>
        </w:rPr>
        <w:t> </w:t>
      </w:r>
      <w:r>
        <w:rPr>
          <w:spacing w:val="-42"/>
        </w:rPr>
      </w:r>
      <w:r>
        <w:rPr/>
        <w:t>的，则最佳估计数按各种可能结果及相关概率计算确定。</w:t>
      </w:r>
      <w:r>
        <w:rPr>
          <w:rFonts w:ascii="宋体" w:hAnsi="宋体" w:cs="宋体" w:eastAsia="宋体" w:hint="default"/>
          <w:w w:val="100"/>
        </w:rPr>
        <w:t> </w:t>
      </w:r>
      <w:r>
        <w:rPr>
          <w:spacing w:val="-2"/>
        </w:rPr>
        <w:t>本公司清偿预计负债所需支出全部或部分预期由第三方补偿的，补偿金额在基本确定能够收到时，作为资</w:t>
      </w:r>
      <w:r>
        <w:rPr>
          <w:spacing w:val="-44"/>
        </w:rPr>
        <w:t> </w:t>
      </w:r>
      <w:r>
        <w:rPr>
          <w:spacing w:val="-44"/>
        </w:rPr>
      </w:r>
      <w:r>
        <w:rPr/>
        <w:t>产单独确认，确认的补偿金额不超过预计负债的账面价值。</w:t>
      </w:r>
      <w:r>
        <w:rPr>
          <w:rFonts w:ascii="宋体" w:hAnsi="宋体" w:cs="宋体" w:eastAsia="宋体" w:hint="default"/>
        </w:rPr>
        <w:t> </w:t>
      </w:r>
    </w:p>
    <w:p>
      <w:pPr>
        <w:spacing w:line="240" w:lineRule="auto" w:before="7"/>
        <w:rPr>
          <w:rFonts w:ascii="宋体" w:hAnsi="宋体" w:cs="宋体" w:eastAsia="宋体" w:hint="default"/>
          <w:sz w:val="21"/>
          <w:szCs w:val="21"/>
        </w:rPr>
      </w:pPr>
    </w:p>
    <w:p>
      <w:pPr>
        <w:spacing w:line="321" w:lineRule="auto" w:before="0"/>
        <w:ind w:left="152" w:right="10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公司计提预计负债的具体方法如下：</w:t>
      </w:r>
      <w:r>
        <w:rPr>
          <w:rFonts w:ascii="宋体" w:hAnsi="宋体" w:cs="宋体" w:eastAsia="宋体" w:hint="default"/>
          <w:b/>
          <w:bCs/>
          <w:w w:val="100"/>
          <w:sz w:val="21"/>
          <w:szCs w:val="21"/>
        </w:rPr>
        <w:t> </w:t>
      </w:r>
      <w:r>
        <w:rPr>
          <w:rFonts w:ascii="宋体" w:hAnsi="宋体" w:cs="宋体" w:eastAsia="宋体" w:hint="default"/>
          <w:spacing w:val="-2"/>
          <w:sz w:val="21"/>
          <w:szCs w:val="21"/>
        </w:rPr>
        <w:t>公司为已销售自有产品如数据库一体机提供一定期间的质量保修服务。本公司对保修义务可能产生的成本</w:t>
      </w:r>
    </w:p>
    <w:p>
      <w:pPr>
        <w:pStyle w:val="BodyText"/>
        <w:spacing w:line="408" w:lineRule="auto" w:before="121"/>
        <w:ind w:right="206"/>
        <w:jc w:val="both"/>
        <w:rPr>
          <w:rFonts w:ascii="宋体" w:hAnsi="宋体" w:cs="宋体" w:eastAsia="宋体" w:hint="default"/>
        </w:rPr>
      </w:pPr>
      <w:r>
        <w:rPr>
          <w:spacing w:val="-2"/>
        </w:rPr>
        <w:t>进行预估，在确认收入时进行计提。保修服务成本通常包括零部件更换、人力和服务中心支持成本。计提</w:t>
      </w:r>
      <w:r>
        <w:rPr>
          <w:spacing w:val="-50"/>
        </w:rPr>
        <w:t> </w:t>
      </w:r>
      <w:r>
        <w:rPr>
          <w:spacing w:val="-50"/>
        </w:rPr>
      </w:r>
      <w:r>
        <w:rPr>
          <w:spacing w:val="-2"/>
        </w:rPr>
        <w:t>产品质量保证准备时考虑的因素包括已安装设备的数量、保修服务发生频率的历史经验值和预计值。公司</w:t>
      </w:r>
      <w:r>
        <w:rPr>
          <w:spacing w:val="-42"/>
        </w:rPr>
        <w:t> </w:t>
      </w:r>
      <w:r>
        <w:rPr>
          <w:spacing w:val="-42"/>
        </w:rPr>
      </w:r>
      <w:r>
        <w:rPr/>
        <w:t>定期评估已计提产品质量保证准备的金额，必要时进行调整。</w:t>
      </w:r>
      <w:r>
        <w:rPr>
          <w:rFonts w:ascii="宋体" w:hAnsi="宋体" w:cs="宋体" w:eastAsia="宋体" w:hint="default"/>
        </w:rPr>
        <w:t> </w:t>
      </w:r>
    </w:p>
    <w:p>
      <w:pPr>
        <w:spacing w:line="240" w:lineRule="auto" w:before="8"/>
        <w:rPr>
          <w:rFonts w:ascii="宋体" w:hAnsi="宋体" w:cs="宋体" w:eastAsia="宋体" w:hint="default"/>
          <w:sz w:val="20"/>
          <w:szCs w:val="20"/>
        </w:rPr>
      </w:pPr>
    </w:p>
    <w:p>
      <w:pPr>
        <w:pStyle w:val="Heading3"/>
        <w:spacing w:line="240" w:lineRule="auto"/>
        <w:ind w:right="101"/>
        <w:jc w:val="left"/>
        <w:rPr>
          <w:b w:val="0"/>
          <w:bCs w:val="0"/>
        </w:rPr>
      </w:pPr>
      <w:r>
        <w:rPr>
          <w:rFonts w:ascii="Times New Roman" w:hAnsi="Times New Roman" w:cs="Times New Roman" w:eastAsia="Times New Roman" w:hint="default"/>
        </w:rPr>
        <w:t>26</w:t>
      </w:r>
      <w:r>
        <w:rPr/>
        <w:t>、股份支付</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right="101"/>
        <w:jc w:val="left"/>
        <w:rPr>
          <w:rFonts w:ascii="宋体" w:hAnsi="宋体" w:cs="宋体" w:eastAsia="宋体" w:hint="default"/>
        </w:rPr>
      </w:pPr>
      <w:r>
        <w:rPr>
          <w:spacing w:val="2"/>
        </w:rPr>
        <w:t>本公司的股份支付是为了获取职工提供服务而授予权益工具或者承担以权益工具为基础确定的负债的交</w:t>
      </w:r>
      <w:r>
        <w:rPr>
          <w:spacing w:val="-30"/>
        </w:rPr>
        <w:t> </w:t>
      </w:r>
      <w:r>
        <w:rPr>
          <w:spacing w:val="-30"/>
        </w:rPr>
      </w:r>
      <w:r>
        <w:rPr/>
        <w:t>易。本公司的股份支付为以权益结算的股份支付。</w:t>
      </w:r>
      <w:r>
        <w:rPr>
          <w:rFonts w:ascii="宋体" w:hAnsi="宋体" w:cs="宋体" w:eastAsia="宋体" w:hint="default"/>
        </w:rPr>
        <w:t> </w:t>
      </w:r>
    </w:p>
    <w:p>
      <w:pPr>
        <w:pStyle w:val="Heading3"/>
        <w:spacing w:line="240" w:lineRule="auto" w:before="7"/>
        <w:ind w:right="101"/>
        <w:jc w:val="left"/>
        <w:rPr>
          <w:b w:val="0"/>
          <w:bCs w:val="0"/>
        </w:rPr>
      </w:pPr>
      <w:r>
        <w:rPr>
          <w:rFonts w:ascii="Times New Roman" w:hAnsi="Times New Roman" w:cs="Times New Roman" w:eastAsia="Times New Roman" w:hint="default"/>
        </w:rPr>
        <w:t>1</w:t>
      </w:r>
      <w:r>
        <w:rPr/>
        <w:t>、</w:t>
      </w:r>
      <w:r>
        <w:rPr>
          <w:spacing w:val="-4"/>
        </w:rPr>
        <w:t> </w:t>
      </w:r>
      <w:r>
        <w:rPr/>
        <w:t>权益工具公允价值的确定方法</w:t>
      </w:r>
      <w:r>
        <w:rPr>
          <w:b w:val="0"/>
          <w:bCs w:val="0"/>
        </w:rPr>
      </w:r>
    </w:p>
    <w:p>
      <w:pPr>
        <w:spacing w:after="0" w:line="240" w:lineRule="auto"/>
        <w:jc w:val="left"/>
        <w:sectPr>
          <w:pgSz w:w="11910" w:h="16840"/>
          <w:pgMar w:header="745" w:footer="979" w:top="1060" w:bottom="1160" w:left="980" w:right="920"/>
        </w:sectPr>
      </w:pPr>
    </w:p>
    <w:p>
      <w:pPr>
        <w:spacing w:line="240" w:lineRule="auto" w:before="0"/>
        <w:rPr>
          <w:rFonts w:ascii="宋体" w:hAnsi="宋体" w:cs="宋体" w:eastAsia="宋体" w:hint="default"/>
          <w:b/>
          <w:bCs/>
          <w:sz w:val="20"/>
          <w:szCs w:val="20"/>
        </w:rPr>
      </w:pPr>
    </w:p>
    <w:p>
      <w:pPr>
        <w:pStyle w:val="BodyText"/>
        <w:spacing w:line="408" w:lineRule="auto" w:before="176"/>
        <w:ind w:right="101"/>
        <w:jc w:val="left"/>
        <w:rPr>
          <w:rFonts w:ascii="宋体" w:hAnsi="宋体" w:cs="宋体" w:eastAsia="宋体" w:hint="default"/>
        </w:rPr>
      </w:pPr>
      <w:r>
        <w:rPr>
          <w:spacing w:val="-5"/>
        </w:rPr>
        <w:t>以权益结算的股份支付换取职工提供服务的，以授予职工权益工具的公允价值计量。授予后立即可行权的， </w:t>
      </w:r>
      <w:r>
        <w:rPr>
          <w:spacing w:val="-2"/>
        </w:rPr>
        <w:t>在授予日按照公允价值计入相关成本或费用，相应增加资本公积；完成等待期内的服务或达到规定业绩条</w:t>
      </w:r>
      <w:r>
        <w:rPr>
          <w:spacing w:val="-42"/>
        </w:rPr>
        <w:t> </w:t>
      </w:r>
      <w:r>
        <w:rPr>
          <w:spacing w:val="-42"/>
        </w:rPr>
      </w:r>
      <w:r>
        <w:rPr>
          <w:spacing w:val="-2"/>
        </w:rPr>
        <w:t>件才可行权的，在等待期内每个资产负债表日，本公司根据最新取得的可行权职工人数变动、是否达到规</w:t>
      </w:r>
      <w:r>
        <w:rPr>
          <w:spacing w:val="-45"/>
        </w:rPr>
        <w:t> </w:t>
      </w:r>
      <w:r>
        <w:rPr>
          <w:spacing w:val="-45"/>
        </w:rPr>
      </w:r>
      <w:r>
        <w:rPr>
          <w:spacing w:val="-2"/>
        </w:rPr>
        <w:t>定业绩条件等后续信息对可行权权益工具数量作出最佳估计，以此为基础，按照授予日的公允价值，将当</w:t>
      </w:r>
      <w:r>
        <w:rPr>
          <w:spacing w:val="-43"/>
        </w:rPr>
        <w:t> </w:t>
      </w:r>
      <w:r>
        <w:rPr>
          <w:spacing w:val="-43"/>
        </w:rPr>
      </w:r>
      <w:r>
        <w:rPr/>
        <w:t>期取得的服务计入相关成本或费用，相应计入资本公积。权益工具的公允价值采用</w:t>
      </w:r>
      <w:r>
        <w:rPr>
          <w:rFonts w:ascii="宋体" w:hAnsi="宋体" w:cs="宋体" w:eastAsia="宋体" w:hint="default"/>
        </w:rPr>
        <w:t>Black-Scholes</w:t>
      </w:r>
      <w:r>
        <w:rPr/>
        <w:t>模型确</w:t>
      </w:r>
      <w:r>
        <w:rPr>
          <w:spacing w:val="-3"/>
          <w:w w:val="100"/>
        </w:rPr>
        <w:t> </w:t>
      </w:r>
      <w:r>
        <w:rPr/>
        <w:t>定。</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5"/>
          <w:szCs w:val="25"/>
        </w:rPr>
      </w:pPr>
    </w:p>
    <w:p>
      <w:pPr>
        <w:spacing w:line="321" w:lineRule="auto" w:before="0"/>
        <w:ind w:left="152" w:right="10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确认可行权权益工具最佳估计的依据</w:t>
      </w:r>
      <w:r>
        <w:rPr>
          <w:rFonts w:ascii="宋体" w:hAnsi="宋体" w:cs="宋体" w:eastAsia="宋体" w:hint="default"/>
          <w:b/>
          <w:bCs/>
          <w:w w:val="100"/>
          <w:sz w:val="21"/>
          <w:szCs w:val="21"/>
        </w:rPr>
        <w:t> </w:t>
      </w:r>
      <w:r>
        <w:rPr>
          <w:rFonts w:ascii="宋体" w:hAnsi="宋体" w:cs="宋体" w:eastAsia="宋体" w:hint="default"/>
          <w:spacing w:val="-2"/>
          <w:sz w:val="21"/>
          <w:szCs w:val="21"/>
        </w:rPr>
        <w:t>在满足业绩条件或服务期限条件的期间，应确认以权益结算的股份支付的成本或费用，并相应增加资本公</w:t>
      </w:r>
    </w:p>
    <w:p>
      <w:pPr>
        <w:pStyle w:val="BodyText"/>
        <w:spacing w:line="408" w:lineRule="auto" w:before="121"/>
        <w:ind w:right="101"/>
        <w:jc w:val="left"/>
        <w:rPr>
          <w:rFonts w:ascii="宋体" w:hAnsi="宋体" w:cs="宋体" w:eastAsia="宋体" w:hint="default"/>
        </w:rPr>
      </w:pPr>
      <w:r>
        <w:rPr>
          <w:spacing w:val="-2"/>
        </w:rPr>
        <w:t>积。可行权日之前，于每个资产负债表日为以权益结算的股份支付确认的累计金额反映了等待期已届满的</w:t>
      </w:r>
      <w:r>
        <w:rPr>
          <w:spacing w:val="-44"/>
        </w:rPr>
        <w:t> </w:t>
      </w:r>
      <w:r>
        <w:rPr>
          <w:spacing w:val="-44"/>
        </w:rPr>
      </w:r>
      <w:r>
        <w:rPr/>
        <w:t>部分以及本公司对最终可行权的权益工具数量的最佳估计。</w:t>
      </w:r>
      <w:r>
        <w:rPr>
          <w:rFonts w:ascii="宋体" w:hAnsi="宋体" w:cs="宋体" w:eastAsia="宋体" w:hint="default"/>
        </w:rPr>
        <w:t> </w:t>
      </w:r>
    </w:p>
    <w:p>
      <w:pPr>
        <w:spacing w:line="240" w:lineRule="auto" w:before="7"/>
        <w:rPr>
          <w:rFonts w:ascii="宋体" w:hAnsi="宋体" w:cs="宋体" w:eastAsia="宋体" w:hint="default"/>
          <w:sz w:val="21"/>
          <w:szCs w:val="21"/>
        </w:rPr>
      </w:pPr>
    </w:p>
    <w:p>
      <w:pPr>
        <w:spacing w:line="321" w:lineRule="auto" w:before="0"/>
        <w:ind w:left="152" w:right="10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实施、修改、终止股份支付计划的相关会计处理</w:t>
      </w:r>
      <w:r>
        <w:rPr>
          <w:rFonts w:ascii="宋体" w:hAnsi="宋体" w:cs="宋体" w:eastAsia="宋体" w:hint="default"/>
          <w:b/>
          <w:bCs/>
          <w:w w:val="100"/>
          <w:sz w:val="21"/>
          <w:szCs w:val="21"/>
        </w:rPr>
        <w:t> </w:t>
      </w:r>
      <w:r>
        <w:rPr>
          <w:rFonts w:ascii="宋体" w:hAnsi="宋体" w:cs="宋体" w:eastAsia="宋体" w:hint="default"/>
          <w:spacing w:val="-2"/>
          <w:sz w:val="21"/>
          <w:szCs w:val="21"/>
        </w:rPr>
        <w:t>对于最终未能行权的股份支付，不确认成本或费用，除非行权条件是市场条件或非可行权条件，此时无论</w:t>
      </w:r>
    </w:p>
    <w:p>
      <w:pPr>
        <w:pStyle w:val="BodyText"/>
        <w:spacing w:line="408" w:lineRule="auto" w:before="121"/>
        <w:ind w:right="101"/>
        <w:jc w:val="left"/>
        <w:rPr>
          <w:rFonts w:ascii="宋体" w:hAnsi="宋体" w:cs="宋体" w:eastAsia="宋体" w:hint="default"/>
        </w:rPr>
      </w:pPr>
      <w:r>
        <w:rPr/>
        <w:t>是否满足市场条件或非可行权条件，只要满足所有可行权条件中的非市场条件，即视为可行权。</w:t>
      </w:r>
      <w:r>
        <w:rPr>
          <w:rFonts w:ascii="宋体" w:hAnsi="宋体" w:cs="宋体" w:eastAsia="宋体" w:hint="default"/>
          <w:w w:val="100"/>
        </w:rPr>
        <w:t> </w:t>
      </w:r>
      <w:r>
        <w:rPr>
          <w:spacing w:val="-2"/>
        </w:rPr>
        <w:t>如果修改了以权益结算的股份支付的条款，至少按照未修改条款的情况确认取得的服务。此外，任何增加</w:t>
      </w:r>
      <w:r>
        <w:rPr>
          <w:spacing w:val="-44"/>
        </w:rPr>
        <w:t> </w:t>
      </w:r>
      <w:r>
        <w:rPr>
          <w:spacing w:val="-44"/>
        </w:rPr>
      </w:r>
      <w:r>
        <w:rPr/>
        <w:t>所授予权益工具公允价值的修改，或在修改日对职工有利的变更，均确认取得服务的增加。</w:t>
      </w:r>
      <w:r>
        <w:rPr>
          <w:rFonts w:ascii="宋体" w:hAnsi="宋体" w:cs="宋体" w:eastAsia="宋体" w:hint="default"/>
          <w:w w:val="100"/>
        </w:rPr>
        <w:t> </w:t>
      </w:r>
      <w:r>
        <w:rPr>
          <w:spacing w:val="-2"/>
        </w:rPr>
        <w:t>如果取消了以权益结算的股份支付，则于取消日作为加速行权处理，立即确认尚未确认的金额。职工或其</w:t>
      </w:r>
      <w:r>
        <w:rPr>
          <w:spacing w:val="-44"/>
        </w:rPr>
        <w:t> </w:t>
      </w:r>
      <w:r>
        <w:rPr>
          <w:spacing w:val="-44"/>
        </w:rPr>
      </w:r>
      <w:r>
        <w:rPr>
          <w:spacing w:val="-2"/>
        </w:rPr>
        <w:t>他方能够选择满足非可行权条件但在等待期内未满足的，作为取消以权益结算的股份支付处理。但是，如</w:t>
      </w:r>
      <w:r>
        <w:rPr>
          <w:spacing w:val="-43"/>
        </w:rPr>
        <w:t> </w:t>
      </w:r>
      <w:r>
        <w:rPr>
          <w:spacing w:val="-43"/>
        </w:rPr>
      </w:r>
      <w:r>
        <w:rPr>
          <w:spacing w:val="-2"/>
        </w:rPr>
        <w:t>果授予新的权益工具，并在新权益工具授予日认定所授予的新权益工具是用于替代被取消的权益工具的，</w:t>
      </w:r>
      <w:r>
        <w:rPr>
          <w:spacing w:val="-21"/>
        </w:rPr>
        <w:t> </w:t>
      </w:r>
      <w:r>
        <w:rPr>
          <w:spacing w:val="-21"/>
        </w:rPr>
      </w:r>
      <w:r>
        <w:rPr/>
        <w:t>则以与处理原权益工具条款和条件修改相同的方式，对所授予的替代权益工具进行处理。</w:t>
      </w:r>
      <w:r>
        <w:rPr>
          <w:rFonts w:ascii="宋体" w:hAnsi="宋体" w:cs="宋体" w:eastAsia="宋体" w:hint="default"/>
          <w:w w:val="100"/>
        </w:rPr>
        <w:t> </w:t>
      </w:r>
      <w:r>
        <w:rPr/>
        <w:t>公司合并范围内</w:t>
      </w:r>
      <w:r>
        <w:rPr>
          <w:rFonts w:ascii="宋体" w:hAnsi="宋体" w:cs="宋体" w:eastAsia="宋体" w:hint="default"/>
        </w:rPr>
        <w:t>(</w:t>
      </w:r>
      <w:r>
        <w:rPr/>
        <w:t>由母公司和其全部子公司构成</w:t>
      </w:r>
      <w:r>
        <w:rPr>
          <w:rFonts w:ascii="宋体" w:hAnsi="宋体" w:cs="宋体" w:eastAsia="宋体" w:hint="default"/>
        </w:rPr>
        <w:t>)</w:t>
      </w:r>
      <w:r>
        <w:rPr/>
        <w:t>内发生的股份支付交易，应当进行以下处理：</w:t>
      </w:r>
      <w:r>
        <w:rPr>
          <w:rFonts w:ascii="宋体" w:hAnsi="宋体" w:cs="宋体" w:eastAsia="宋体" w:hint="default"/>
        </w:rPr>
        <w:t> </w:t>
      </w:r>
    </w:p>
    <w:p>
      <w:pPr>
        <w:pStyle w:val="BodyText"/>
        <w:spacing w:line="408" w:lineRule="auto" w:before="46"/>
        <w:ind w:right="101"/>
        <w:jc w:val="left"/>
        <w:rPr>
          <w:rFonts w:ascii="宋体" w:hAnsi="宋体" w:cs="宋体" w:eastAsia="宋体" w:hint="default"/>
        </w:rPr>
      </w:pPr>
      <w:r>
        <w:rPr/>
        <w:t>（</w:t>
      </w:r>
      <w:r>
        <w:rPr>
          <w:rFonts w:ascii="宋体" w:hAnsi="宋体" w:cs="宋体" w:eastAsia="宋体" w:hint="default"/>
        </w:rPr>
        <w:t>1</w:t>
      </w:r>
      <w:r>
        <w:rPr/>
        <w:t>）结算企业以其本身权益工具结算的，应当将该股份支付交易作为权益结算的股份支付处理；除此之</w:t>
      </w:r>
      <w:r>
        <w:rPr>
          <w:w w:val="100"/>
        </w:rPr>
        <w:t> </w:t>
      </w:r>
      <w:r>
        <w:rPr/>
        <w:t>外，应当作为现金结算的股份支付处理。</w:t>
      </w:r>
      <w:r>
        <w:rPr>
          <w:rFonts w:ascii="宋体" w:hAnsi="宋体" w:cs="宋体" w:eastAsia="宋体" w:hint="default"/>
          <w:w w:val="100"/>
        </w:rPr>
        <w:t> </w:t>
      </w:r>
      <w:r>
        <w:rPr>
          <w:spacing w:val="-2"/>
        </w:rPr>
        <w:t>结算企业是接受服务企业的投资者的，应当按照授予日权益工具的公允价值或应承担负债的公允价值确认</w:t>
      </w:r>
      <w:r>
        <w:rPr>
          <w:spacing w:val="-43"/>
        </w:rPr>
        <w:t> </w:t>
      </w:r>
      <w:r>
        <w:rPr>
          <w:spacing w:val="-43"/>
        </w:rPr>
      </w:r>
      <w:r>
        <w:rPr/>
        <w:t>为对接受服务企业的长期股权投资，同时确认资本公积</w:t>
      </w:r>
      <w:r>
        <w:rPr>
          <w:rFonts w:ascii="宋体" w:hAnsi="宋体" w:cs="宋体" w:eastAsia="宋体" w:hint="default"/>
        </w:rPr>
        <w:t>(</w:t>
      </w:r>
      <w:r>
        <w:rPr/>
        <w:t>其他资本公积</w:t>
      </w:r>
      <w:r>
        <w:rPr>
          <w:rFonts w:ascii="宋体" w:hAnsi="宋体" w:cs="宋体" w:eastAsia="宋体" w:hint="default"/>
        </w:rPr>
        <w:t>)</w:t>
      </w:r>
      <w:r>
        <w:rPr/>
        <w:t>或负债。</w:t>
      </w:r>
      <w:r>
        <w:rPr>
          <w:rFonts w:ascii="宋体" w:hAnsi="宋体" w:cs="宋体" w:eastAsia="宋体" w:hint="default"/>
        </w:rPr>
        <w:t> </w:t>
      </w:r>
    </w:p>
    <w:p>
      <w:pPr>
        <w:pStyle w:val="BodyText"/>
        <w:spacing w:line="408" w:lineRule="auto" w:before="46"/>
        <w:ind w:right="101"/>
        <w:jc w:val="left"/>
        <w:rPr>
          <w:rFonts w:ascii="宋体" w:hAnsi="宋体" w:cs="宋体" w:eastAsia="宋体" w:hint="default"/>
        </w:rPr>
      </w:pPr>
      <w:r>
        <w:rPr>
          <w:spacing w:val="-2"/>
        </w:rPr>
        <w:t>（</w:t>
      </w:r>
      <w:r>
        <w:rPr>
          <w:rFonts w:ascii="宋体" w:hAnsi="宋体" w:cs="宋体" w:eastAsia="宋体" w:hint="default"/>
          <w:spacing w:val="-2"/>
        </w:rPr>
        <w:t>2</w:t>
      </w:r>
      <w:r>
        <w:rPr>
          <w:spacing w:val="-2"/>
        </w:rPr>
        <w:t>）接受服务企业没有结算义务或授予本企业职工的是其自身权益工具的，应当将该股份支付交易作为</w:t>
      </w:r>
      <w:r>
        <w:rPr>
          <w:spacing w:val="-22"/>
        </w:rPr>
        <w:t> </w:t>
      </w:r>
      <w:r>
        <w:rPr>
          <w:spacing w:val="-22"/>
        </w:rPr>
      </w:r>
      <w:r>
        <w:rPr/>
        <w:t>权益结算的股份支付处理；接受服务企业负有结算义务且授予本企业职工的是集团内其他企业权益工具</w:t>
      </w:r>
      <w:r>
        <w:rPr>
          <w:w w:val="100"/>
        </w:rPr>
        <w:t> </w:t>
      </w:r>
      <w:r>
        <w:rPr/>
        <w:t>的，应当将该股份支付交易作为现金结算的股份支付处理。</w:t>
      </w:r>
      <w:r>
        <w:rPr>
          <w:rFonts w:ascii="宋体" w:hAnsi="宋体" w:cs="宋体" w:eastAsia="宋体" w:hint="default"/>
        </w:rPr>
        <w:t> </w:t>
      </w:r>
    </w:p>
    <w:p>
      <w:pPr>
        <w:spacing w:after="0" w:line="408" w:lineRule="auto"/>
        <w:jc w:val="left"/>
        <w:rPr>
          <w:rFonts w:ascii="宋体" w:hAnsi="宋体" w:cs="宋体" w:eastAsia="宋体" w:hint="default"/>
        </w:rPr>
        <w:sectPr>
          <w:pgSz w:w="11910" w:h="16840"/>
          <w:pgMar w:header="745" w:footer="979" w:top="1060" w:bottom="1160" w:left="980" w:right="92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27</w:t>
      </w:r>
      <w:r>
        <w:rPr/>
        <w:t>、优先股、永续债等其他金融工具</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28</w:t>
      </w:r>
      <w:r>
        <w:rPr/>
        <w:t>、收入</w:t>
      </w:r>
      <w:r>
        <w:rPr>
          <w:b w:val="0"/>
          <w:bCs w:val="0"/>
        </w:rPr>
      </w:r>
    </w:p>
    <w:p>
      <w:pPr>
        <w:spacing w:line="240" w:lineRule="auto" w:before="2"/>
        <w:rPr>
          <w:rFonts w:ascii="宋体" w:hAnsi="宋体" w:cs="宋体" w:eastAsia="宋体" w:hint="default"/>
          <w:b/>
          <w:bCs/>
          <w:sz w:val="26"/>
          <w:szCs w:val="26"/>
        </w:rPr>
      </w:pPr>
    </w:p>
    <w:p>
      <w:pPr>
        <w:spacing w:line="360" w:lineRule="auto" w:before="0"/>
        <w:ind w:left="152" w:right="6714"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spacing w:line="321" w:lineRule="auto" w:before="4"/>
        <w:ind w:left="152" w:right="167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主营业务类型</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z w:val="21"/>
          <w:szCs w:val="21"/>
        </w:rPr>
        <w:t>公司业务主要包括数据中心</w:t>
      </w:r>
      <w:r>
        <w:rPr>
          <w:rFonts w:ascii="宋体" w:hAnsi="宋体" w:cs="宋体" w:eastAsia="宋体" w:hint="default"/>
          <w:sz w:val="21"/>
          <w:szCs w:val="21"/>
        </w:rPr>
        <w:t>IT</w:t>
      </w:r>
      <w:r>
        <w:rPr>
          <w:rFonts w:ascii="宋体" w:hAnsi="宋体" w:cs="宋体" w:eastAsia="宋体" w:hint="default"/>
          <w:sz w:val="21"/>
          <w:szCs w:val="21"/>
        </w:rPr>
        <w:t>基础设施服务、软硬件销售及自有产品销售。</w:t>
      </w:r>
      <w:r>
        <w:rPr>
          <w:rFonts w:ascii="宋体" w:hAnsi="宋体" w:cs="宋体" w:eastAsia="宋体" w:hint="default"/>
          <w:sz w:val="21"/>
          <w:szCs w:val="21"/>
        </w:rPr>
        <w:t> </w:t>
      </w:r>
    </w:p>
    <w:p>
      <w:pPr>
        <w:pStyle w:val="BodyText"/>
        <w:spacing w:line="408" w:lineRule="auto" w:before="122"/>
        <w:ind w:right="0"/>
        <w:jc w:val="left"/>
        <w:rPr>
          <w:rFonts w:ascii="宋体" w:hAnsi="宋体" w:cs="宋体" w:eastAsia="宋体" w:hint="default"/>
        </w:rPr>
      </w:pPr>
      <w:r>
        <w:rPr>
          <w:spacing w:val="-2"/>
        </w:rPr>
        <w:t>数据中心</w:t>
      </w:r>
      <w:r>
        <w:rPr>
          <w:rFonts w:ascii="宋体" w:hAnsi="宋体" w:cs="宋体" w:eastAsia="宋体" w:hint="default"/>
          <w:spacing w:val="-2"/>
        </w:rPr>
        <w:t>IT</w:t>
      </w:r>
      <w:r>
        <w:rPr>
          <w:spacing w:val="-2"/>
        </w:rPr>
        <w:t>基础设施服务包括</w:t>
      </w:r>
      <w:r>
        <w:rPr>
          <w:rFonts w:ascii="宋体" w:hAnsi="宋体" w:cs="宋体" w:eastAsia="宋体" w:hint="default"/>
          <w:spacing w:val="-2"/>
        </w:rPr>
        <w:t>IT</w:t>
      </w:r>
      <w:r>
        <w:rPr>
          <w:spacing w:val="-2"/>
        </w:rPr>
        <w:t>支持与维护服务、</w:t>
      </w:r>
      <w:r>
        <w:rPr>
          <w:rFonts w:ascii="宋体" w:hAnsi="宋体" w:cs="宋体" w:eastAsia="宋体" w:hint="default"/>
          <w:spacing w:val="-2"/>
        </w:rPr>
        <w:t>IT</w:t>
      </w:r>
      <w:r>
        <w:rPr>
          <w:spacing w:val="-2"/>
        </w:rPr>
        <w:t>外包服务、</w:t>
      </w:r>
      <w:r>
        <w:rPr>
          <w:rFonts w:ascii="宋体" w:hAnsi="宋体" w:cs="宋体" w:eastAsia="宋体" w:hint="default"/>
          <w:spacing w:val="-2"/>
        </w:rPr>
        <w:t>IT</w:t>
      </w:r>
      <w:r>
        <w:rPr>
          <w:spacing w:val="-2"/>
        </w:rPr>
        <w:t>专业服务和</w:t>
      </w:r>
      <w:r>
        <w:rPr>
          <w:rFonts w:ascii="宋体" w:hAnsi="宋体" w:cs="宋体" w:eastAsia="宋体" w:hint="default"/>
          <w:spacing w:val="-2"/>
        </w:rPr>
        <w:t>IT</w:t>
      </w:r>
      <w:r>
        <w:rPr>
          <w:spacing w:val="-2"/>
        </w:rPr>
        <w:t>软件服务等四大类技术服</w:t>
      </w:r>
      <w:r>
        <w:rPr>
          <w:spacing w:val="-36"/>
        </w:rPr>
        <w:t> </w:t>
      </w:r>
      <w:r>
        <w:rPr>
          <w:spacing w:val="-36"/>
        </w:rPr>
      </w:r>
      <w:r>
        <w:rPr/>
        <w:t>务。</w:t>
      </w:r>
      <w:r>
        <w:rPr>
          <w:rFonts w:ascii="宋体" w:hAnsi="宋体" w:cs="宋体" w:eastAsia="宋体" w:hint="default"/>
        </w:rPr>
        <w:t> </w:t>
      </w:r>
    </w:p>
    <w:p>
      <w:pPr>
        <w:pStyle w:val="BodyText"/>
        <w:spacing w:line="408" w:lineRule="auto" w:before="46"/>
        <w:ind w:right="0"/>
        <w:jc w:val="left"/>
        <w:rPr>
          <w:rFonts w:ascii="宋体" w:hAnsi="宋体" w:cs="宋体" w:eastAsia="宋体" w:hint="default"/>
        </w:rPr>
      </w:pPr>
      <w:r>
        <w:rPr/>
        <w:t>（</w:t>
      </w:r>
      <w:r>
        <w:rPr>
          <w:rFonts w:ascii="宋体" w:hAnsi="宋体" w:cs="宋体" w:eastAsia="宋体" w:hint="default"/>
        </w:rPr>
        <w:t>1</w:t>
      </w:r>
      <w:r>
        <w:rPr/>
        <w:t>）</w:t>
      </w:r>
      <w:r>
        <w:rPr>
          <w:rFonts w:ascii="宋体" w:hAnsi="宋体" w:cs="宋体" w:eastAsia="宋体" w:hint="default"/>
        </w:rPr>
        <w:t>IT</w:t>
      </w:r>
      <w:r>
        <w:rPr/>
        <w:t>支持与维护服务主要是为用户</w:t>
      </w:r>
      <w:r>
        <w:rPr>
          <w:rFonts w:ascii="宋体" w:hAnsi="宋体" w:cs="宋体" w:eastAsia="宋体" w:hint="default"/>
        </w:rPr>
        <w:t>IT</w:t>
      </w:r>
      <w:r>
        <w:rPr/>
        <w:t>基础设施排除故障，具体指在用户购买</w:t>
      </w:r>
      <w:r>
        <w:rPr>
          <w:rFonts w:ascii="宋体" w:hAnsi="宋体" w:cs="宋体" w:eastAsia="宋体" w:hint="default"/>
        </w:rPr>
        <w:t>IT</w:t>
      </w:r>
      <w:r>
        <w:rPr/>
        <w:t>产品后，帮助用户正确</w:t>
      </w:r>
      <w:r>
        <w:rPr>
          <w:w w:val="100"/>
        </w:rPr>
        <w:t> </w:t>
      </w:r>
      <w:r>
        <w:rPr>
          <w:spacing w:val="-2"/>
        </w:rPr>
        <w:t>使用，排除</w:t>
      </w:r>
      <w:r>
        <w:rPr>
          <w:rFonts w:ascii="宋体" w:hAnsi="宋体" w:cs="宋体" w:eastAsia="宋体" w:hint="default"/>
          <w:spacing w:val="-2"/>
        </w:rPr>
        <w:t>IT</w:t>
      </w:r>
      <w:r>
        <w:rPr>
          <w:spacing w:val="-2"/>
        </w:rPr>
        <w:t>产品故障，保障其功效按照用户的要求正常发挥的服务，包括承诺的产品保修期内的厂商服</w:t>
      </w:r>
      <w:r>
        <w:rPr>
          <w:spacing w:val="-41"/>
        </w:rPr>
        <w:t> </w:t>
      </w:r>
      <w:r>
        <w:rPr>
          <w:spacing w:val="-41"/>
        </w:rPr>
      </w:r>
      <w:r>
        <w:rPr>
          <w:spacing w:val="-2"/>
        </w:rPr>
        <w:t>务和保修期后的延展收费服务，主要涉及的产品包括计算机硬件、计算机软件和网络设备。此类业务合同</w:t>
      </w:r>
      <w:r>
        <w:rPr>
          <w:spacing w:val="-45"/>
        </w:rPr>
        <w:t> </w:t>
      </w:r>
      <w:r>
        <w:rPr>
          <w:spacing w:val="-45"/>
        </w:rPr>
      </w:r>
      <w:r>
        <w:rPr/>
        <w:t>一般明确约定了服务期限。</w:t>
      </w:r>
      <w:r>
        <w:rPr>
          <w:rFonts w:ascii="宋体" w:hAnsi="宋体" w:cs="宋体" w:eastAsia="宋体" w:hint="default"/>
        </w:rPr>
        <w:t> </w:t>
      </w:r>
    </w:p>
    <w:p>
      <w:pPr>
        <w:pStyle w:val="BodyText"/>
        <w:spacing w:line="408" w:lineRule="auto" w:before="46"/>
        <w:ind w:right="0"/>
        <w:jc w:val="left"/>
        <w:rPr>
          <w:rFonts w:ascii="宋体" w:hAnsi="宋体" w:cs="宋体" w:eastAsia="宋体" w:hint="default"/>
        </w:rPr>
      </w:pPr>
      <w:r>
        <w:rPr/>
        <w:t>（</w:t>
      </w:r>
      <w:r>
        <w:rPr>
          <w:rFonts w:ascii="宋体" w:hAnsi="宋体" w:cs="宋体" w:eastAsia="宋体" w:hint="default"/>
        </w:rPr>
        <w:t>2</w:t>
      </w:r>
      <w:r>
        <w:rPr/>
        <w:t>）</w:t>
      </w:r>
      <w:r>
        <w:rPr>
          <w:rFonts w:ascii="宋体" w:hAnsi="宋体" w:cs="宋体" w:eastAsia="宋体" w:hint="default"/>
        </w:rPr>
        <w:t>IT</w:t>
      </w:r>
      <w:r>
        <w:rPr/>
        <w:t>外包服务主要是为用户</w:t>
      </w:r>
      <w:r>
        <w:rPr>
          <w:rFonts w:ascii="宋体" w:hAnsi="宋体" w:cs="宋体" w:eastAsia="宋体" w:hint="default"/>
        </w:rPr>
        <w:t>IT</w:t>
      </w:r>
      <w:r>
        <w:rPr/>
        <w:t>基础设施提供日常运营及管理，具体指利用</w:t>
      </w:r>
      <w:r>
        <w:rPr>
          <w:rFonts w:ascii="宋体" w:hAnsi="宋体" w:cs="宋体" w:eastAsia="宋体" w:hint="default"/>
        </w:rPr>
        <w:t>IT</w:t>
      </w:r>
      <w:r>
        <w:rPr/>
        <w:t>系统来帮助用户完成某项</w:t>
      </w:r>
      <w:r>
        <w:rPr>
          <w:w w:val="100"/>
        </w:rPr>
        <w:t> </w:t>
      </w:r>
      <w:r>
        <w:rPr>
          <w:spacing w:val="-2"/>
        </w:rPr>
        <w:t>流程或任务，支持其自身目标实现的服务集合，这是一种面向用户任务的承揽式服务，其具体形式有面向</w:t>
      </w:r>
      <w:r>
        <w:rPr>
          <w:spacing w:val="-44"/>
        </w:rPr>
        <w:t> </w:t>
      </w:r>
      <w:r>
        <w:rPr>
          <w:spacing w:val="-44"/>
        </w:rPr>
      </w:r>
      <w:r>
        <w:rPr/>
        <w:t>商业任务的业务流程外包和面向</w:t>
      </w:r>
      <w:r>
        <w:rPr>
          <w:rFonts w:ascii="宋体" w:hAnsi="宋体" w:cs="宋体" w:eastAsia="宋体" w:hint="default"/>
        </w:rPr>
        <w:t>IT</w:t>
      </w:r>
      <w:r>
        <w:rPr/>
        <w:t>任务的</w:t>
      </w:r>
      <w:r>
        <w:rPr>
          <w:rFonts w:ascii="宋体" w:hAnsi="宋体" w:cs="宋体" w:eastAsia="宋体" w:hint="default"/>
        </w:rPr>
        <w:t>IT</w:t>
      </w:r>
      <w:r>
        <w:rPr/>
        <w:t>外包。此类业务合同一般明确约定了服务期限。</w:t>
      </w:r>
      <w:r>
        <w:rPr>
          <w:rFonts w:ascii="宋体" w:hAnsi="宋体" w:cs="宋体" w:eastAsia="宋体" w:hint="default"/>
        </w:rPr>
        <w:t> </w:t>
      </w:r>
    </w:p>
    <w:p>
      <w:pPr>
        <w:pStyle w:val="BodyText"/>
        <w:spacing w:line="408" w:lineRule="auto" w:before="46"/>
        <w:ind w:right="0"/>
        <w:jc w:val="left"/>
        <w:rPr>
          <w:rFonts w:ascii="宋体" w:hAnsi="宋体" w:cs="宋体" w:eastAsia="宋体" w:hint="default"/>
        </w:rPr>
      </w:pPr>
      <w:r>
        <w:rPr/>
        <w:t>（</w:t>
      </w:r>
      <w:r>
        <w:rPr>
          <w:rFonts w:ascii="宋体" w:hAnsi="宋体" w:cs="宋体" w:eastAsia="宋体" w:hint="default"/>
        </w:rPr>
        <w:t>3</w:t>
      </w:r>
      <w:r>
        <w:rPr/>
        <w:t>）</w:t>
      </w:r>
      <w:r>
        <w:rPr>
          <w:rFonts w:ascii="宋体" w:hAnsi="宋体" w:cs="宋体" w:eastAsia="宋体" w:hint="default"/>
        </w:rPr>
        <w:t>IT</w:t>
      </w:r>
      <w:r>
        <w:rPr/>
        <w:t>专业服务主要是为用户</w:t>
      </w:r>
      <w:r>
        <w:rPr>
          <w:rFonts w:ascii="宋体" w:hAnsi="宋体" w:cs="宋体" w:eastAsia="宋体" w:hint="default"/>
        </w:rPr>
        <w:t>IT</w:t>
      </w:r>
      <w:r>
        <w:rPr/>
        <w:t>基础设施优化性能，具体指针对数据中心</w:t>
      </w:r>
      <w:r>
        <w:rPr>
          <w:rFonts w:ascii="宋体" w:hAnsi="宋体" w:cs="宋体" w:eastAsia="宋体" w:hint="default"/>
        </w:rPr>
        <w:t>IT</w:t>
      </w:r>
      <w:r>
        <w:rPr/>
        <w:t>基础设施的专业咨询和技术</w:t>
      </w:r>
      <w:r>
        <w:rPr>
          <w:w w:val="100"/>
        </w:rPr>
        <w:t> </w:t>
      </w:r>
      <w:r>
        <w:rPr>
          <w:spacing w:val="-2"/>
        </w:rPr>
        <w:t>实施服务，包括：为数据中心提供</w:t>
      </w:r>
      <w:r>
        <w:rPr>
          <w:rFonts w:ascii="宋体" w:hAnsi="宋体" w:cs="宋体" w:eastAsia="宋体" w:hint="default"/>
          <w:spacing w:val="-2"/>
        </w:rPr>
        <w:t>IT</w:t>
      </w:r>
      <w:r>
        <w:rPr>
          <w:spacing w:val="-2"/>
        </w:rPr>
        <w:t>基础设施的系统咨询、系统设计、系统评估服务；系统调优、设备配</w:t>
      </w:r>
      <w:r>
        <w:rPr>
          <w:spacing w:val="-40"/>
        </w:rPr>
        <w:t> </w:t>
      </w:r>
      <w:r>
        <w:rPr>
          <w:spacing w:val="-40"/>
        </w:rPr>
      </w:r>
      <w:r>
        <w:rPr/>
        <w:t>置、设备升级、设备搬迁等实施服务。此类业务合同一般明确约定了服务期限或验收条款。</w:t>
      </w:r>
      <w:r>
        <w:rPr>
          <w:rFonts w:ascii="宋体" w:hAnsi="宋体" w:cs="宋体" w:eastAsia="宋体" w:hint="default"/>
        </w:rPr>
        <w:t> </w:t>
      </w:r>
    </w:p>
    <w:p>
      <w:pPr>
        <w:pStyle w:val="BodyText"/>
        <w:spacing w:line="408" w:lineRule="auto" w:before="46"/>
        <w:ind w:right="0"/>
        <w:jc w:val="left"/>
        <w:rPr>
          <w:rFonts w:ascii="宋体" w:hAnsi="宋体" w:cs="宋体" w:eastAsia="宋体" w:hint="default"/>
        </w:rPr>
      </w:pPr>
      <w:r>
        <w:rPr/>
        <w:t>（</w:t>
      </w:r>
      <w:r>
        <w:rPr>
          <w:rFonts w:ascii="宋体" w:hAnsi="宋体" w:cs="宋体" w:eastAsia="宋体" w:hint="default"/>
        </w:rPr>
        <w:t>4</w:t>
      </w:r>
      <w:r>
        <w:rPr/>
        <w:t>）</w:t>
      </w:r>
      <w:r>
        <w:rPr>
          <w:rFonts w:ascii="宋体" w:hAnsi="宋体" w:cs="宋体" w:eastAsia="宋体" w:hint="default"/>
        </w:rPr>
        <w:t>IT</w:t>
      </w:r>
      <w:r>
        <w:rPr/>
        <w:t>软件服务主要是为用户软件开发需求提供专业技术服务，具体指按客户实际需求，进行软件开发</w:t>
      </w:r>
      <w:r>
        <w:rPr>
          <w:w w:val="100"/>
        </w:rPr>
        <w:t> </w:t>
      </w:r>
      <w:r>
        <w:rPr>
          <w:spacing w:val="-2"/>
        </w:rPr>
        <w:t>或对基本软件模块进行二次开发，并为客户提供安装、调试、测试、培训等服务，包括：软件开发人员外</w:t>
      </w:r>
      <w:r>
        <w:rPr>
          <w:spacing w:val="-42"/>
        </w:rPr>
        <w:t> </w:t>
      </w:r>
      <w:r>
        <w:rPr>
          <w:spacing w:val="-42"/>
        </w:rPr>
      </w:r>
      <w:r>
        <w:rPr/>
        <w:t>包服务、定制软件开发服务。此类业务合同一般明确约定了服务期限或开发项目进度确认的条款。</w:t>
      </w:r>
      <w:r>
        <w:rPr>
          <w:rFonts w:ascii="宋体" w:hAnsi="宋体" w:cs="宋体" w:eastAsia="宋体" w:hint="default"/>
        </w:rPr>
        <w:t> </w:t>
      </w:r>
    </w:p>
    <w:p>
      <w:pPr>
        <w:pStyle w:val="BodyText"/>
        <w:spacing w:line="240" w:lineRule="auto" w:before="46"/>
        <w:ind w:right="0"/>
        <w:jc w:val="left"/>
        <w:rPr>
          <w:rFonts w:ascii="宋体" w:hAnsi="宋体" w:cs="宋体" w:eastAsia="宋体" w:hint="default"/>
        </w:rPr>
      </w:pPr>
      <w:r>
        <w:rPr/>
        <w:t>（</w:t>
      </w:r>
      <w:r>
        <w:rPr>
          <w:rFonts w:ascii="宋体" w:hAnsi="宋体" w:cs="宋体" w:eastAsia="宋体" w:hint="default"/>
        </w:rPr>
        <w:t>5</w:t>
      </w:r>
      <w:r>
        <w:rPr/>
        <w:t>）软硬件销售：指公司从事</w:t>
      </w:r>
      <w:r>
        <w:rPr>
          <w:rFonts w:ascii="宋体" w:hAnsi="宋体" w:cs="宋体" w:eastAsia="宋体" w:hint="default"/>
        </w:rPr>
        <w:t>IT</w:t>
      </w:r>
      <w:r>
        <w:rPr/>
        <w:t>软硬件产品的销售业务。此类业务合同一般明确约定了验收条款。</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408" w:lineRule="auto"/>
        <w:ind w:right="0"/>
        <w:jc w:val="left"/>
        <w:rPr>
          <w:rFonts w:ascii="宋体" w:hAnsi="宋体" w:cs="宋体" w:eastAsia="宋体" w:hint="default"/>
        </w:rPr>
      </w:pPr>
      <w:r>
        <w:rPr>
          <w:spacing w:val="-2"/>
        </w:rPr>
        <w:t>（</w:t>
      </w:r>
      <w:r>
        <w:rPr>
          <w:rFonts w:ascii="宋体" w:hAnsi="宋体" w:cs="宋体" w:eastAsia="宋体" w:hint="default"/>
          <w:spacing w:val="-2"/>
        </w:rPr>
        <w:t>6</w:t>
      </w:r>
      <w:r>
        <w:rPr>
          <w:spacing w:val="-2"/>
        </w:rPr>
        <w:t>）自有产品销售：指公司自主开发的产品包括采购软、硬件经集成后销售的设备，如数据库一体机、</w:t>
      </w:r>
      <w:r>
        <w:rPr>
          <w:spacing w:val="-22"/>
        </w:rPr>
        <w:t> </w:t>
      </w:r>
      <w:r>
        <w:rPr>
          <w:spacing w:val="-22"/>
        </w:rPr>
      </w:r>
      <w:r>
        <w:rPr/>
        <w:t>分布式存储等产品。</w:t>
      </w:r>
      <w:r>
        <w:rPr>
          <w:rFonts w:ascii="宋体" w:hAnsi="宋体" w:cs="宋体" w:eastAsia="宋体" w:hint="default"/>
        </w:rPr>
        <w:t> </w:t>
      </w:r>
    </w:p>
    <w:p>
      <w:pPr>
        <w:spacing w:line="240" w:lineRule="auto" w:before="7"/>
        <w:rPr>
          <w:rFonts w:ascii="宋体" w:hAnsi="宋体" w:cs="宋体" w:eastAsia="宋体" w:hint="default"/>
          <w:sz w:val="21"/>
          <w:szCs w:val="21"/>
        </w:rPr>
      </w:pPr>
    </w:p>
    <w:p>
      <w:pPr>
        <w:spacing w:line="321" w:lineRule="auto"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主营收入确认的一般原则和具体方法</w:t>
      </w:r>
      <w:r>
        <w:rPr>
          <w:rFonts w:ascii="宋体" w:hAnsi="宋体" w:cs="宋体" w:eastAsia="宋体" w:hint="default"/>
          <w:b/>
          <w:bCs/>
          <w:w w:val="100"/>
          <w:sz w:val="21"/>
          <w:szCs w:val="21"/>
        </w:rPr>
        <w:t> </w:t>
      </w:r>
      <w:r>
        <w:rPr>
          <w:rFonts w:ascii="宋体" w:hAnsi="宋体" w:cs="宋体" w:eastAsia="宋体" w:hint="default"/>
          <w:spacing w:val="-2"/>
          <w:sz w:val="21"/>
          <w:szCs w:val="21"/>
        </w:rPr>
        <w:t>数据中心</w:t>
      </w:r>
      <w:r>
        <w:rPr>
          <w:rFonts w:ascii="宋体" w:hAnsi="宋体" w:cs="宋体" w:eastAsia="宋体" w:hint="default"/>
          <w:spacing w:val="-2"/>
          <w:sz w:val="21"/>
          <w:szCs w:val="21"/>
        </w:rPr>
        <w:t>IT</w:t>
      </w:r>
      <w:r>
        <w:rPr>
          <w:rFonts w:ascii="宋体" w:hAnsi="宋体" w:cs="宋体" w:eastAsia="宋体" w:hint="default"/>
          <w:spacing w:val="-2"/>
          <w:sz w:val="21"/>
          <w:szCs w:val="21"/>
        </w:rPr>
        <w:t>基础设施服务收入确认的一般原则是：根据合同约定提供了相应服务，在相关的经济利益能够</w:t>
      </w:r>
    </w:p>
    <w:p>
      <w:pPr>
        <w:pStyle w:val="BodyText"/>
        <w:spacing w:line="408" w:lineRule="auto" w:before="121"/>
        <w:ind w:right="0"/>
        <w:jc w:val="left"/>
      </w:pPr>
      <w:r>
        <w:rPr/>
        <w:t>流入公司，收入的金额能够可靠地计量时，相关成本能够可靠计量时确认收入。</w:t>
      </w:r>
      <w:r>
        <w:rPr>
          <w:rFonts w:ascii="宋体" w:hAnsi="宋体" w:cs="宋体" w:eastAsia="宋体" w:hint="default"/>
          <w:w w:val="100"/>
        </w:rPr>
        <w:t> </w:t>
      </w:r>
      <w:r>
        <w:rPr>
          <w:spacing w:val="-2"/>
        </w:rPr>
        <w:t>软硬件销售及自有产品销售收入确认的一般原则是：在销售产品时的主要风险和报酬已转移给买方，不再</w:t>
      </w:r>
    </w:p>
    <w:p>
      <w:pPr>
        <w:spacing w:after="0" w:line="408"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pStyle w:val="BodyText"/>
        <w:spacing w:line="408" w:lineRule="auto" w:before="176"/>
        <w:ind w:right="101"/>
        <w:jc w:val="left"/>
        <w:rPr>
          <w:rFonts w:ascii="宋体" w:hAnsi="宋体" w:cs="宋体" w:eastAsia="宋体" w:hint="default"/>
        </w:rPr>
      </w:pPr>
      <w:r>
        <w:rPr>
          <w:spacing w:val="-2"/>
        </w:rPr>
        <w:t>保留与之相联系的管理权和控制权，在相关的经济利益能够流入公司，收入的金额能够可靠地计量时，相</w:t>
      </w:r>
      <w:r>
        <w:rPr>
          <w:spacing w:val="-43"/>
        </w:rPr>
        <w:t> </w:t>
      </w:r>
      <w:r>
        <w:rPr>
          <w:spacing w:val="-43"/>
        </w:rPr>
      </w:r>
      <w:r>
        <w:rPr/>
        <w:t>关成本能够可靠地计量时确认收入。</w:t>
      </w:r>
      <w:r>
        <w:rPr>
          <w:rFonts w:ascii="宋体" w:hAnsi="宋体" w:cs="宋体" w:eastAsia="宋体" w:hint="default"/>
        </w:rPr>
        <w:t> </w:t>
      </w:r>
    </w:p>
    <w:p>
      <w:pPr>
        <w:pStyle w:val="BodyText"/>
        <w:spacing w:line="240" w:lineRule="auto" w:before="46"/>
        <w:ind w:right="101"/>
        <w:jc w:val="left"/>
        <w:rPr>
          <w:rFonts w:ascii="宋体" w:hAnsi="宋体" w:cs="宋体" w:eastAsia="宋体" w:hint="default"/>
        </w:rPr>
      </w:pPr>
      <w:r>
        <w:rPr/>
        <w:t>根据合同约定条款的不同，分别按以下原则确认收入：</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40" w:lineRule="auto"/>
        <w:ind w:right="101"/>
        <w:jc w:val="left"/>
        <w:rPr>
          <w:rFonts w:ascii="宋体" w:hAnsi="宋体" w:cs="宋体" w:eastAsia="宋体" w:hint="default"/>
        </w:rPr>
      </w:pPr>
      <w:r>
        <w:rPr/>
        <w:t>（</w:t>
      </w:r>
      <w:r>
        <w:rPr>
          <w:rFonts w:ascii="宋体" w:hAnsi="宋体" w:cs="宋体" w:eastAsia="宋体" w:hint="default"/>
        </w:rPr>
        <w:t>1</w:t>
      </w:r>
      <w:r>
        <w:rPr/>
        <w:t>）合同明确约定服务期限的，在合同约定的服务期限内按时间进度确认收入。</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40" w:lineRule="auto"/>
        <w:ind w:right="101"/>
        <w:jc w:val="left"/>
        <w:rPr>
          <w:rFonts w:ascii="宋体" w:hAnsi="宋体" w:cs="宋体" w:eastAsia="宋体" w:hint="default"/>
        </w:rPr>
      </w:pPr>
      <w:r>
        <w:rPr/>
        <w:t>（</w:t>
      </w:r>
      <w:r>
        <w:rPr>
          <w:rFonts w:ascii="宋体" w:hAnsi="宋体" w:cs="宋体" w:eastAsia="宋体" w:hint="default"/>
        </w:rPr>
        <w:t>2</w:t>
      </w:r>
      <w:r>
        <w:rPr/>
        <w:t>）合同明确约定验收条款的，按约定条款验收并确认收入。</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408" w:lineRule="auto"/>
        <w:ind w:right="101"/>
        <w:jc w:val="left"/>
        <w:rPr>
          <w:rFonts w:ascii="宋体" w:hAnsi="宋体" w:cs="宋体" w:eastAsia="宋体" w:hint="default"/>
        </w:rPr>
      </w:pPr>
      <w:r>
        <w:rPr/>
        <w:t>（</w:t>
      </w:r>
      <w:r>
        <w:rPr>
          <w:rFonts w:ascii="宋体" w:hAnsi="宋体" w:cs="宋体" w:eastAsia="宋体" w:hint="default"/>
        </w:rPr>
        <w:t>3</w:t>
      </w:r>
      <w:r>
        <w:rPr/>
        <w:t>）合同明确约定开发项目进度的确认条款的，期末按照提供定制软件开发收入的合同金额乘以经客户</w:t>
      </w:r>
      <w:r>
        <w:rPr>
          <w:w w:val="100"/>
        </w:rPr>
        <w:t> </w:t>
      </w:r>
      <w:r>
        <w:rPr>
          <w:spacing w:val="-2"/>
        </w:rPr>
        <w:t>确认的开发项目进度的量化百分比扣除以前会计期间累计已确认提供劳务收入后的金额，确认当期提供定</w:t>
      </w:r>
      <w:r>
        <w:rPr>
          <w:spacing w:val="-43"/>
        </w:rPr>
        <w:t> </w:t>
      </w:r>
      <w:r>
        <w:rPr>
          <w:spacing w:val="-43"/>
        </w:rPr>
      </w:r>
      <w:r>
        <w:rPr>
          <w:spacing w:val="-2"/>
        </w:rPr>
        <w:t>制软件开发收入；同时，按照提供劳务估计总成本乘以经客户确认的开发项目进度的量化百分比扣除以前</w:t>
      </w:r>
      <w:r>
        <w:rPr>
          <w:spacing w:val="-43"/>
        </w:rPr>
        <w:t> </w:t>
      </w:r>
      <w:r>
        <w:rPr>
          <w:spacing w:val="-43"/>
        </w:rPr>
      </w:r>
      <w:r>
        <w:rPr/>
        <w:t>会计期间累计已确认劳务成本后的金额，结转当期劳务成本。</w:t>
      </w:r>
      <w:r>
        <w:rPr>
          <w:rFonts w:ascii="宋体" w:hAnsi="宋体" w:cs="宋体" w:eastAsia="宋体" w:hint="default"/>
        </w:rPr>
        <w:t> </w:t>
      </w:r>
    </w:p>
    <w:p>
      <w:pPr>
        <w:pStyle w:val="BodyText"/>
        <w:spacing w:line="408" w:lineRule="auto" w:before="46"/>
        <w:ind w:right="101"/>
        <w:jc w:val="left"/>
        <w:rPr>
          <w:rFonts w:ascii="宋体" w:hAnsi="宋体" w:cs="宋体" w:eastAsia="宋体" w:hint="default"/>
        </w:rPr>
      </w:pPr>
      <w:r>
        <w:rPr>
          <w:spacing w:val="-2"/>
        </w:rPr>
        <w:t>（</w:t>
      </w:r>
      <w:r>
        <w:rPr>
          <w:rFonts w:ascii="宋体" w:hAnsi="宋体" w:cs="宋体" w:eastAsia="宋体" w:hint="default"/>
          <w:spacing w:val="-2"/>
        </w:rPr>
        <w:t>4</w:t>
      </w:r>
      <w:r>
        <w:rPr>
          <w:spacing w:val="-2"/>
        </w:rPr>
        <w:t>）如合同条款约定向客户提供特定设备经营租赁的，在租赁设备时的主要风险和报酬已转移给承租方，</w:t>
      </w:r>
      <w:r>
        <w:rPr>
          <w:spacing w:val="-41"/>
        </w:rPr>
        <w:t> </w:t>
      </w:r>
      <w:r>
        <w:rPr>
          <w:spacing w:val="-41"/>
        </w:rPr>
      </w:r>
      <w:r>
        <w:rPr/>
        <w:t>不再保留与之相联系的管理权和控制权，在租赁期各个期间内按照直线法确认收入实现。</w:t>
      </w:r>
      <w:r>
        <w:rPr>
          <w:rFonts w:ascii="宋体" w:hAnsi="宋体" w:cs="宋体" w:eastAsia="宋体" w:hint="default"/>
        </w:rPr>
        <w:t> </w:t>
      </w:r>
    </w:p>
    <w:p>
      <w:pPr>
        <w:pStyle w:val="BodyText"/>
        <w:spacing w:line="408" w:lineRule="auto" w:before="46"/>
        <w:ind w:right="101"/>
        <w:jc w:val="left"/>
        <w:rPr>
          <w:rFonts w:ascii="宋体" w:hAnsi="宋体" w:cs="宋体" w:eastAsia="宋体" w:hint="default"/>
        </w:rPr>
      </w:pPr>
      <w:r>
        <w:rPr/>
        <w:t>（</w:t>
      </w:r>
      <w:r>
        <w:rPr>
          <w:rFonts w:ascii="宋体" w:hAnsi="宋体" w:cs="宋体" w:eastAsia="宋体" w:hint="default"/>
        </w:rPr>
        <w:t>5</w:t>
      </w:r>
      <w:r>
        <w:rPr/>
        <w:t>）自有产品销售区分不同情况分别按以下原则确认收入：</w:t>
      </w:r>
      <w:r>
        <w:rPr>
          <w:rFonts w:ascii="宋体" w:hAnsi="宋体" w:cs="宋体" w:eastAsia="宋体" w:hint="default"/>
          <w:w w:val="100"/>
        </w:rPr>
        <w:t> </w:t>
      </w:r>
      <w:r>
        <w:rPr/>
        <w:t>根据销售合同能够区分产品销售和技术服务的，按软硬件销售和技术服务的确认原则分别确认收入；</w:t>
      </w:r>
      <w:r>
        <w:rPr>
          <w:rFonts w:ascii="宋体" w:hAnsi="宋体" w:cs="宋体" w:eastAsia="宋体" w:hint="default"/>
          <w:w w:val="100"/>
        </w:rPr>
        <w:t> </w:t>
      </w:r>
      <w:r>
        <w:rPr>
          <w:spacing w:val="-2"/>
        </w:rPr>
        <w:t>根据销售合同无法区分产品销售和技术服务的，且需要提供安装调试服务并经试运行期间的，按约定条款</w:t>
      </w:r>
      <w:r>
        <w:rPr>
          <w:spacing w:val="-44"/>
        </w:rPr>
        <w:t> </w:t>
      </w:r>
      <w:r>
        <w:rPr>
          <w:spacing w:val="-44"/>
        </w:rPr>
      </w:r>
      <w:r>
        <w:rPr/>
        <w:t>风险大部分转移并验收合格。</w:t>
      </w:r>
      <w:r>
        <w:rPr>
          <w:rFonts w:ascii="宋体" w:hAnsi="宋体" w:cs="宋体" w:eastAsia="宋体" w:hint="default"/>
        </w:rPr>
        <w:t> </w:t>
      </w:r>
    </w:p>
    <w:p>
      <w:pPr>
        <w:spacing w:line="240" w:lineRule="auto" w:before="7"/>
        <w:rPr>
          <w:rFonts w:ascii="宋体" w:hAnsi="宋体" w:cs="宋体" w:eastAsia="宋体" w:hint="default"/>
          <w:sz w:val="21"/>
          <w:szCs w:val="21"/>
        </w:rPr>
      </w:pPr>
    </w:p>
    <w:p>
      <w:pPr>
        <w:spacing w:line="321" w:lineRule="auto" w:before="0"/>
        <w:ind w:left="152" w:right="10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确认让渡资产使用权收入的依据</w:t>
      </w:r>
      <w:r>
        <w:rPr>
          <w:rFonts w:ascii="宋体" w:hAnsi="宋体" w:cs="宋体" w:eastAsia="宋体" w:hint="default"/>
          <w:b/>
          <w:bCs/>
          <w:w w:val="100"/>
          <w:sz w:val="21"/>
          <w:szCs w:val="21"/>
        </w:rPr>
        <w:t> </w:t>
      </w:r>
      <w:r>
        <w:rPr>
          <w:rFonts w:ascii="宋体" w:hAnsi="宋体" w:cs="宋体" w:eastAsia="宋体" w:hint="default"/>
          <w:spacing w:val="-2"/>
          <w:sz w:val="21"/>
          <w:szCs w:val="21"/>
        </w:rPr>
        <w:t>与交易相关的经济利益很可能流入企业，收入的金额能够可靠地计量时。分别下列情况确定让渡资产使用</w:t>
      </w:r>
    </w:p>
    <w:p>
      <w:pPr>
        <w:pStyle w:val="BodyText"/>
        <w:spacing w:line="240" w:lineRule="auto" w:before="121"/>
        <w:ind w:right="101"/>
        <w:jc w:val="left"/>
        <w:rPr>
          <w:rFonts w:ascii="宋体" w:hAnsi="宋体" w:cs="宋体" w:eastAsia="宋体" w:hint="default"/>
        </w:rPr>
      </w:pPr>
      <w:r>
        <w:rPr/>
        <w:t>权收入金额：</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40" w:lineRule="auto"/>
        <w:ind w:right="101"/>
        <w:jc w:val="left"/>
        <w:rPr>
          <w:rFonts w:ascii="宋体" w:hAnsi="宋体" w:cs="宋体" w:eastAsia="宋体" w:hint="default"/>
        </w:rPr>
      </w:pPr>
      <w:r>
        <w:rPr/>
        <w:t>（</w:t>
      </w:r>
      <w:r>
        <w:rPr>
          <w:rFonts w:ascii="宋体" w:hAnsi="宋体" w:cs="宋体" w:eastAsia="宋体" w:hint="default"/>
        </w:rPr>
        <w:t>1</w:t>
      </w:r>
      <w:r>
        <w:rPr/>
        <w:t>）利息收入金额，按照他人使用本企业货币资金的时间和实际利率计算确定。</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408" w:lineRule="auto"/>
        <w:ind w:right="101"/>
        <w:jc w:val="left"/>
        <w:rPr>
          <w:rFonts w:ascii="宋体" w:hAnsi="宋体" w:cs="宋体" w:eastAsia="宋体" w:hint="default"/>
        </w:rPr>
      </w:pPr>
      <w:r>
        <w:rPr/>
        <w:t>（</w:t>
      </w:r>
      <w:r>
        <w:rPr>
          <w:rFonts w:ascii="宋体" w:hAnsi="宋体" w:cs="宋体" w:eastAsia="宋体" w:hint="default"/>
        </w:rPr>
        <w:t>2</w:t>
      </w:r>
      <w:r>
        <w:rPr/>
        <w:t>）使用费收入金额，按照有关合同或协议约定的收费时间和方法计算确定。</w:t>
      </w:r>
      <w:r>
        <w:rPr>
          <w:rFonts w:ascii="宋体" w:hAnsi="宋体" w:cs="宋体" w:eastAsia="宋体" w:hint="default"/>
          <w:w w:val="100"/>
        </w:rPr>
        <w:t> </w:t>
      </w:r>
      <w:r>
        <w:rPr/>
        <w:t>其中出租物业收入按以下标准确认：</w:t>
      </w:r>
      <w:r>
        <w:rPr>
          <w:rFonts w:ascii="宋体" w:hAnsi="宋体" w:cs="宋体" w:eastAsia="宋体" w:hint="default"/>
        </w:rPr>
        <w:t> </w:t>
      </w:r>
    </w:p>
    <w:p>
      <w:pPr>
        <w:pStyle w:val="BodyText"/>
        <w:spacing w:line="240" w:lineRule="auto" w:before="46"/>
        <w:ind w:right="101"/>
        <w:jc w:val="left"/>
        <w:rPr>
          <w:rFonts w:ascii="宋体" w:hAnsi="宋体" w:cs="宋体" w:eastAsia="宋体" w:hint="default"/>
        </w:rPr>
      </w:pPr>
      <w:r>
        <w:rPr/>
        <w:t>①具有承租人认可的租赁合同、协议或其他结算通知书；</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40" w:lineRule="auto"/>
        <w:ind w:right="101"/>
        <w:jc w:val="left"/>
        <w:rPr>
          <w:rFonts w:ascii="宋体" w:hAnsi="宋体" w:cs="宋体" w:eastAsia="宋体" w:hint="default"/>
        </w:rPr>
      </w:pPr>
      <w:r>
        <w:rPr/>
        <w:t>②履行了合同规定的义务，开具租赁发票且价款已经取得或确信可以取得；</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40" w:lineRule="auto"/>
        <w:ind w:right="101"/>
        <w:jc w:val="left"/>
        <w:rPr>
          <w:rFonts w:ascii="宋体" w:hAnsi="宋体" w:cs="宋体" w:eastAsia="宋体" w:hint="default"/>
        </w:rPr>
      </w:pPr>
      <w:r>
        <w:rPr/>
        <w:t>③出租特定设备成本能够可靠地计量。</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3"/>
        <w:spacing w:line="240" w:lineRule="auto"/>
        <w:ind w:right="101"/>
        <w:jc w:val="left"/>
        <w:rPr>
          <w:b w:val="0"/>
          <w:bCs w:val="0"/>
        </w:rPr>
      </w:pPr>
      <w:r>
        <w:rPr>
          <w:rFonts w:ascii="Times New Roman" w:hAnsi="Times New Roman" w:cs="Times New Roman" w:eastAsia="Times New Roman" w:hint="default"/>
        </w:rPr>
        <w:t>29</w:t>
      </w:r>
      <w:r>
        <w:rPr/>
        <w:t>、政府补助</w:t>
      </w:r>
      <w:r>
        <w:rPr>
          <w:b w:val="0"/>
          <w:bCs w:val="0"/>
        </w:rPr>
      </w:r>
    </w:p>
    <w:p>
      <w:pPr>
        <w:spacing w:line="240" w:lineRule="auto" w:before="7"/>
        <w:rPr>
          <w:rFonts w:ascii="宋体" w:hAnsi="宋体" w:cs="宋体" w:eastAsia="宋体" w:hint="default"/>
          <w:b/>
          <w:bCs/>
          <w:sz w:val="24"/>
          <w:szCs w:val="24"/>
        </w:rPr>
      </w:pPr>
    </w:p>
    <w:p>
      <w:pPr>
        <w:spacing w:line="571" w:lineRule="auto" w:before="0"/>
        <w:ind w:left="152" w:right="101"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）与资产相关的政府补助判断依据及会计处理方法</w:t>
      </w:r>
      <w:r>
        <w:rPr>
          <w:rFonts w:ascii="宋体" w:hAnsi="宋体" w:cs="宋体" w:eastAsia="宋体" w:hint="default"/>
          <w:b/>
          <w:bCs/>
          <w:w w:val="100"/>
          <w:sz w:val="21"/>
          <w:szCs w:val="21"/>
        </w:rPr>
        <w:t> </w:t>
      </w:r>
      <w:r>
        <w:rPr>
          <w:rFonts w:ascii="宋体" w:hAnsi="宋体" w:cs="宋体" w:eastAsia="宋体" w:hint="default"/>
          <w:sz w:val="21"/>
          <w:szCs w:val="21"/>
        </w:rPr>
        <w:t>与资产相关的政府补助，是指本公司取得的、用于购建或以其他方式形成长期资产的政府补助。</w:t>
      </w:r>
      <w:r>
        <w:rPr>
          <w:rFonts w:ascii="宋体" w:hAnsi="宋体" w:cs="宋体" w:eastAsia="宋体" w:hint="default"/>
          <w:sz w:val="21"/>
          <w:szCs w:val="21"/>
        </w:rPr>
        <w:t> </w:t>
      </w:r>
    </w:p>
    <w:p>
      <w:pPr>
        <w:spacing w:after="0" w:line="571" w:lineRule="auto"/>
        <w:jc w:val="left"/>
        <w:rPr>
          <w:rFonts w:ascii="宋体" w:hAnsi="宋体" w:cs="宋体" w:eastAsia="宋体" w:hint="default"/>
          <w:sz w:val="21"/>
          <w:szCs w:val="21"/>
        </w:rPr>
        <w:sectPr>
          <w:pgSz w:w="11910" w:h="16840"/>
          <w:pgMar w:header="745" w:footer="979" w:top="1060" w:bottom="1160" w:left="980" w:right="920"/>
        </w:sectPr>
      </w:pPr>
    </w:p>
    <w:p>
      <w:pPr>
        <w:spacing w:line="240" w:lineRule="auto" w:before="0"/>
        <w:rPr>
          <w:rFonts w:ascii="宋体" w:hAnsi="宋体" w:cs="宋体" w:eastAsia="宋体" w:hint="default"/>
          <w:sz w:val="20"/>
          <w:szCs w:val="20"/>
        </w:rPr>
      </w:pPr>
    </w:p>
    <w:p>
      <w:pPr>
        <w:pStyle w:val="BodyText"/>
        <w:spacing w:line="240" w:lineRule="auto" w:before="176"/>
        <w:ind w:right="0"/>
        <w:jc w:val="left"/>
        <w:rPr>
          <w:rFonts w:ascii="宋体" w:hAnsi="宋体" w:cs="宋体" w:eastAsia="宋体" w:hint="default"/>
        </w:rPr>
      </w:pPr>
      <w:r>
        <w:rPr/>
        <w:t>与资产相关的政府补助确认时点按照所建造或购买的资产使用年限分期计入损益。</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BodyText"/>
        <w:spacing w:line="408" w:lineRule="auto" w:before="36"/>
        <w:ind w:right="146"/>
        <w:jc w:val="both"/>
        <w:rPr>
          <w:rFonts w:ascii="宋体" w:hAnsi="宋体" w:cs="宋体" w:eastAsia="宋体" w:hint="default"/>
        </w:rPr>
      </w:pPr>
      <w:r>
        <w:rPr>
          <w:spacing w:val="-2"/>
        </w:rPr>
        <w:t>与资产相关的政府补助，与购建固定资产、无形资产等长期资产相关的政府补助，确认为递延收益，按照</w:t>
      </w:r>
      <w:r>
        <w:rPr>
          <w:spacing w:val="-47"/>
        </w:rPr>
        <w:t> </w:t>
      </w:r>
      <w:r>
        <w:rPr>
          <w:spacing w:val="-47"/>
        </w:rPr>
      </w:r>
      <w:r>
        <w:rPr>
          <w:spacing w:val="-2"/>
        </w:rPr>
        <w:t>所建造或购买的资产使用年限分期计入损益；与企业日常活动相关的政府补助，应当按照业务实质，计入</w:t>
      </w:r>
      <w:r>
        <w:rPr>
          <w:spacing w:val="-42"/>
        </w:rPr>
        <w:t> </w:t>
      </w:r>
      <w:r>
        <w:rPr>
          <w:spacing w:val="-42"/>
        </w:rPr>
      </w:r>
      <w:r>
        <w:rPr/>
        <w:t>其他收益或冲减相关成本费用。与企业日常活动无关的政府补助，应当计入营业外收支。</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p>
      <w:pPr>
        <w:spacing w:line="571" w:lineRule="auto"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）与收益相关的政府补助判断依据及会计处理方法</w:t>
      </w:r>
      <w:r>
        <w:rPr>
          <w:rFonts w:ascii="宋体" w:hAnsi="宋体" w:cs="宋体" w:eastAsia="宋体" w:hint="default"/>
          <w:b/>
          <w:bCs/>
          <w:w w:val="100"/>
          <w:sz w:val="21"/>
          <w:szCs w:val="21"/>
        </w:rPr>
        <w:t> </w:t>
      </w:r>
      <w:r>
        <w:rPr>
          <w:rFonts w:ascii="宋体" w:hAnsi="宋体" w:cs="宋体" w:eastAsia="宋体" w:hint="default"/>
          <w:sz w:val="21"/>
          <w:szCs w:val="21"/>
        </w:rPr>
        <w:t>与收益相关的政府补助，是指除与资产相关的政府补助之外的政府补助。</w:t>
      </w:r>
      <w:r>
        <w:rPr>
          <w:rFonts w:ascii="宋体" w:hAnsi="宋体" w:cs="宋体" w:eastAsia="宋体" w:hint="default"/>
          <w:sz w:val="21"/>
          <w:szCs w:val="21"/>
        </w:rPr>
        <w:t> </w:t>
      </w:r>
    </w:p>
    <w:p>
      <w:pPr>
        <w:spacing w:line="240" w:lineRule="auto" w:before="8"/>
        <w:rPr>
          <w:rFonts w:ascii="宋体" w:hAnsi="宋体" w:cs="宋体" w:eastAsia="宋体" w:hint="default"/>
          <w:sz w:val="25"/>
          <w:szCs w:val="25"/>
        </w:rPr>
      </w:pPr>
    </w:p>
    <w:p>
      <w:pPr>
        <w:pStyle w:val="BodyText"/>
        <w:spacing w:line="240" w:lineRule="auto" w:before="36"/>
        <w:ind w:right="0"/>
        <w:jc w:val="left"/>
        <w:rPr>
          <w:rFonts w:ascii="宋体" w:hAnsi="宋体" w:cs="宋体" w:eastAsia="宋体" w:hint="default"/>
        </w:rPr>
      </w:pPr>
      <w:r>
        <w:rPr/>
        <w:t>与收益相关的政府补助确认时点按照补偿相关费用或损失的发生时点计入损益。</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BodyText"/>
        <w:spacing w:line="408" w:lineRule="auto" w:before="36"/>
        <w:ind w:right="125"/>
        <w:jc w:val="both"/>
        <w:rPr>
          <w:rFonts w:ascii="宋体" w:hAnsi="宋体" w:cs="宋体" w:eastAsia="宋体" w:hint="default"/>
        </w:rPr>
      </w:pPr>
      <w:r>
        <w:rPr>
          <w:spacing w:val="-2"/>
        </w:rPr>
        <w:t>与收益相关的政府补助，用于补偿企业以后期间的相关成本费用或损失的，确认为递延收益，在确认相关</w:t>
      </w:r>
      <w:r>
        <w:rPr>
          <w:spacing w:val="-43"/>
        </w:rPr>
        <w:t> </w:t>
      </w:r>
      <w:r>
        <w:rPr>
          <w:spacing w:val="-43"/>
        </w:rPr>
      </w:r>
      <w:r>
        <w:rPr>
          <w:spacing w:val="-2"/>
        </w:rPr>
        <w:t>成本费用或损失的期间，计入当期损益或冲减相关成本；用于补偿企业已发生的相关成本费用或损失的，</w:t>
      </w:r>
      <w:r>
        <w:rPr>
          <w:spacing w:val="-21"/>
        </w:rPr>
        <w:t> </w:t>
      </w:r>
      <w:r>
        <w:rPr>
          <w:spacing w:val="-21"/>
        </w:rPr>
      </w:r>
      <w:r>
        <w:rPr>
          <w:spacing w:val="-2"/>
        </w:rPr>
        <w:t>直接计入当期损益；与企业日常活动相关的政府补助，应当按照业务实质，计入其他收益或冲减相关成本</w:t>
      </w:r>
      <w:r>
        <w:rPr>
          <w:spacing w:val="-42"/>
        </w:rPr>
        <w:t> </w:t>
      </w:r>
      <w:r>
        <w:rPr>
          <w:spacing w:val="-42"/>
        </w:rPr>
      </w:r>
      <w:r>
        <w:rPr/>
        <w:t>费用。与企业日常活动无关的政府补助，应当计入营业外收支。</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6"/>
        <w:rPr>
          <w:rFonts w:ascii="宋体" w:hAnsi="宋体" w:cs="宋体" w:eastAsia="宋体" w:hint="default"/>
          <w:b/>
          <w:bCs/>
          <w:sz w:val="30"/>
          <w:szCs w:val="30"/>
        </w:rPr>
      </w:pPr>
    </w:p>
    <w:p>
      <w:pPr>
        <w:pStyle w:val="BodyText"/>
        <w:spacing w:line="408" w:lineRule="auto"/>
        <w:ind w:right="0"/>
        <w:jc w:val="left"/>
        <w:rPr>
          <w:rFonts w:ascii="宋体" w:hAnsi="宋体" w:cs="宋体" w:eastAsia="宋体" w:hint="default"/>
        </w:rPr>
      </w:pPr>
      <w:r>
        <w:rPr>
          <w:spacing w:val="-2"/>
        </w:rPr>
        <w:t>对于可抵扣暂时性差异确认递延所得税资产，以未来期间很可能取得的用来抵扣可抵扣暂时性差异的应纳</w:t>
      </w:r>
      <w:r>
        <w:rPr>
          <w:spacing w:val="-43"/>
        </w:rPr>
        <w:t> </w:t>
      </w:r>
      <w:r>
        <w:rPr>
          <w:spacing w:val="-43"/>
        </w:rPr>
      </w:r>
      <w:r>
        <w:rPr/>
        <w:t>税所得额为限。</w:t>
      </w:r>
      <w:r>
        <w:rPr>
          <w:rFonts w:ascii="宋体" w:hAnsi="宋体" w:cs="宋体" w:eastAsia="宋体" w:hint="default"/>
        </w:rPr>
        <w:t> </w:t>
      </w:r>
    </w:p>
    <w:p>
      <w:pPr>
        <w:pStyle w:val="BodyText"/>
        <w:spacing w:line="408" w:lineRule="auto" w:before="46"/>
        <w:ind w:right="0"/>
        <w:jc w:val="left"/>
        <w:rPr>
          <w:rFonts w:ascii="宋体" w:hAnsi="宋体" w:cs="宋体" w:eastAsia="宋体" w:hint="default"/>
        </w:rPr>
      </w:pPr>
      <w:r>
        <w:rPr/>
        <w:t>对于应纳税暂时性差异，除特殊情况外，确认递延所得税负债。</w:t>
      </w:r>
      <w:r>
        <w:rPr>
          <w:rFonts w:ascii="宋体" w:hAnsi="宋体" w:cs="宋体" w:eastAsia="宋体" w:hint="default"/>
          <w:w w:val="100"/>
        </w:rPr>
        <w:t> </w:t>
      </w:r>
      <w:r>
        <w:rPr>
          <w:spacing w:val="-2"/>
        </w:rPr>
        <w:t>不确认递延所得税资产或递延所得税负债的特殊情况包括：商誉的初始确认；除企业合并以外的发生时既</w:t>
      </w:r>
      <w:r>
        <w:rPr>
          <w:spacing w:val="-44"/>
        </w:rPr>
        <w:t> </w:t>
      </w:r>
      <w:r>
        <w:rPr>
          <w:spacing w:val="-44"/>
        </w:rPr>
      </w:r>
      <w:r>
        <w:rPr/>
        <w:t>不影响会计利润也不影响应纳税所得额（或可抵扣亏损）的其他交易或事项。</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31</w:t>
      </w:r>
      <w:r>
        <w:rPr/>
        <w:t>、租赁</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7"/>
        <w:rPr>
          <w:rFonts w:ascii="宋体" w:hAnsi="宋体" w:cs="宋体" w:eastAsia="宋体" w:hint="default"/>
          <w:b/>
          <w:bCs/>
          <w:sz w:val="24"/>
          <w:szCs w:val="24"/>
        </w:rPr>
      </w:pPr>
    </w:p>
    <w:p>
      <w:pPr>
        <w:pStyle w:val="BodyText"/>
        <w:spacing w:line="321" w:lineRule="auto"/>
        <w:ind w:right="0"/>
        <w:jc w:val="left"/>
      </w:pPr>
      <w:r>
        <w:rPr>
          <w:rFonts w:ascii="Times New Roman" w:hAnsi="Times New Roman" w:cs="Times New Roman" w:eastAsia="Times New Roman" w:hint="default"/>
          <w:b/>
          <w:bCs/>
        </w:rPr>
        <w:t>1</w:t>
      </w:r>
      <w:r>
        <w:rPr>
          <w:rFonts w:ascii="宋体" w:hAnsi="宋体" w:cs="宋体" w:eastAsia="宋体" w:hint="default"/>
          <w:b/>
          <w:bCs/>
        </w:rPr>
        <w:t>、</w:t>
      </w:r>
      <w:r>
        <w:rPr>
          <w:rFonts w:ascii="宋体" w:hAnsi="宋体" w:cs="宋体" w:eastAsia="宋体" w:hint="default"/>
          <w:b/>
          <w:bCs/>
          <w:spacing w:val="-3"/>
        </w:rPr>
        <w:t> </w:t>
      </w:r>
      <w:r>
        <w:rPr>
          <w:rFonts w:ascii="宋体" w:hAnsi="宋体" w:cs="宋体" w:eastAsia="宋体" w:hint="default"/>
          <w:b/>
          <w:bCs/>
        </w:rPr>
        <w:t>经营性租入</w:t>
      </w:r>
      <w:r>
        <w:rPr>
          <w:rFonts w:ascii="宋体" w:hAnsi="宋体" w:cs="宋体" w:eastAsia="宋体" w:hint="default"/>
          <w:b/>
          <w:bCs/>
          <w:spacing w:val="-103"/>
        </w:rPr>
        <w:t> </w:t>
      </w:r>
      <w:r>
        <w:rPr>
          <w:rFonts w:ascii="宋体" w:hAnsi="宋体" w:cs="宋体" w:eastAsia="宋体" w:hint="default"/>
          <w:b/>
          <w:bCs/>
          <w:spacing w:val="-103"/>
        </w:rPr>
      </w:r>
      <w:r>
        <w:rPr>
          <w:spacing w:val="-2"/>
        </w:rPr>
        <w:t>公司租入资产所支付的租赁费，在不扣除免租期的整个租赁期内，按直线法进行分摊，计入当期费用。公</w:t>
      </w:r>
    </w:p>
    <w:p>
      <w:pPr>
        <w:pStyle w:val="BodyText"/>
        <w:spacing w:line="240" w:lineRule="auto" w:before="121"/>
        <w:ind w:right="0"/>
        <w:jc w:val="left"/>
        <w:rPr>
          <w:rFonts w:ascii="宋体" w:hAnsi="宋体" w:cs="宋体" w:eastAsia="宋体" w:hint="default"/>
        </w:rPr>
      </w:pPr>
      <w:r>
        <w:rPr/>
        <w:t>司支付的与租赁交易相关的初始直接费用，计入当期费用。</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pStyle w:val="BodyText"/>
        <w:spacing w:line="408" w:lineRule="auto" w:before="176"/>
        <w:ind w:right="0"/>
        <w:jc w:val="left"/>
        <w:rPr>
          <w:rFonts w:ascii="宋体" w:hAnsi="宋体" w:cs="宋体" w:eastAsia="宋体" w:hint="default"/>
        </w:rPr>
      </w:pPr>
      <w:r>
        <w:rPr>
          <w:spacing w:val="-2"/>
        </w:rPr>
        <w:t>资产出租方承担了应由公司承担的与租赁相关的费用时，公司将该部分费用从租赁总额中扣除，按扣除后</w:t>
      </w:r>
      <w:r>
        <w:rPr>
          <w:spacing w:val="-42"/>
        </w:rPr>
        <w:t> </w:t>
      </w:r>
      <w:r>
        <w:rPr>
          <w:spacing w:val="-42"/>
        </w:rPr>
      </w:r>
      <w:r>
        <w:rPr/>
        <w:t>的租租赁费在租赁期内分摊，计入当期费用。</w:t>
      </w:r>
      <w:r>
        <w:rPr>
          <w:rFonts w:ascii="宋体" w:hAnsi="宋体" w:cs="宋体" w:eastAsia="宋体" w:hint="default"/>
        </w:rPr>
        <w:t> </w:t>
      </w:r>
    </w:p>
    <w:p>
      <w:pPr>
        <w:spacing w:line="240" w:lineRule="auto" w:before="7"/>
        <w:rPr>
          <w:rFonts w:ascii="宋体" w:hAnsi="宋体" w:cs="宋体" w:eastAsia="宋体" w:hint="default"/>
          <w:sz w:val="21"/>
          <w:szCs w:val="21"/>
        </w:rPr>
      </w:pPr>
    </w:p>
    <w:p>
      <w:pPr>
        <w:pStyle w:val="BodyText"/>
        <w:spacing w:line="321" w:lineRule="auto"/>
        <w:ind w:right="0"/>
        <w:jc w:val="left"/>
      </w:pPr>
      <w:r>
        <w:rPr>
          <w:rFonts w:ascii="Times New Roman" w:hAnsi="Times New Roman" w:cs="Times New Roman" w:eastAsia="Times New Roman" w:hint="default"/>
          <w:b/>
          <w:bCs/>
        </w:rPr>
        <w:t>2</w:t>
      </w:r>
      <w:r>
        <w:rPr>
          <w:rFonts w:ascii="宋体" w:hAnsi="宋体" w:cs="宋体" w:eastAsia="宋体" w:hint="default"/>
          <w:b/>
          <w:bCs/>
        </w:rPr>
        <w:t>、</w:t>
      </w:r>
      <w:r>
        <w:rPr>
          <w:rFonts w:ascii="宋体" w:hAnsi="宋体" w:cs="宋体" w:eastAsia="宋体" w:hint="default"/>
          <w:b/>
          <w:bCs/>
          <w:spacing w:val="-3"/>
        </w:rPr>
        <w:t> </w:t>
      </w:r>
      <w:r>
        <w:rPr>
          <w:rFonts w:ascii="宋体" w:hAnsi="宋体" w:cs="宋体" w:eastAsia="宋体" w:hint="default"/>
          <w:b/>
          <w:bCs/>
        </w:rPr>
        <w:t>经营性租出</w:t>
      </w:r>
      <w:r>
        <w:rPr>
          <w:rFonts w:ascii="宋体" w:hAnsi="宋体" w:cs="宋体" w:eastAsia="宋体" w:hint="default"/>
          <w:b/>
          <w:bCs/>
          <w:spacing w:val="-103"/>
        </w:rPr>
        <w:t> </w:t>
      </w:r>
      <w:r>
        <w:rPr>
          <w:rFonts w:ascii="宋体" w:hAnsi="宋体" w:cs="宋体" w:eastAsia="宋体" w:hint="default"/>
          <w:b/>
          <w:bCs/>
          <w:spacing w:val="-103"/>
        </w:rPr>
      </w:r>
      <w:r>
        <w:rPr>
          <w:spacing w:val="-2"/>
        </w:rPr>
        <w:t>公司出租资产所收取的租赁费，在不扣除免租期的整个租赁期内，按直线法进行分摊，确认为租赁收入。</w:t>
      </w:r>
    </w:p>
    <w:p>
      <w:pPr>
        <w:pStyle w:val="BodyText"/>
        <w:spacing w:line="408" w:lineRule="auto" w:before="121"/>
        <w:ind w:right="0"/>
        <w:jc w:val="left"/>
        <w:rPr>
          <w:rFonts w:ascii="宋体" w:hAnsi="宋体" w:cs="宋体" w:eastAsia="宋体" w:hint="default"/>
        </w:rPr>
      </w:pPr>
      <w:r>
        <w:rPr>
          <w:spacing w:val="-2"/>
        </w:rPr>
        <w:t>公司支付的与租赁交易相关的初始直接费用，计入当期费用；如金额较大的，则予以资本化，在整个租赁</w:t>
      </w:r>
      <w:r>
        <w:rPr>
          <w:spacing w:val="-47"/>
        </w:rPr>
        <w:t> </w:t>
      </w:r>
      <w:r>
        <w:rPr>
          <w:spacing w:val="-47"/>
        </w:rPr>
      </w:r>
      <w:r>
        <w:rPr/>
        <w:t>期间内按照与租赁收入确认相同的基础分期计入当期收益。</w:t>
      </w:r>
      <w:r>
        <w:rPr>
          <w:rFonts w:ascii="宋体" w:hAnsi="宋体" w:cs="宋体" w:eastAsia="宋体" w:hint="default"/>
          <w:w w:val="100"/>
        </w:rPr>
        <w:t> </w:t>
      </w:r>
      <w:r>
        <w:rPr>
          <w:spacing w:val="-2"/>
        </w:rPr>
        <w:t>公司承担了应由承租方承担的与租赁相关的费用时，公司将该部分费用从租赁收入总额中扣除，按扣除后</w:t>
      </w:r>
      <w:r>
        <w:rPr>
          <w:spacing w:val="-43"/>
        </w:rPr>
        <w:t> </w:t>
      </w:r>
      <w:r>
        <w:rPr>
          <w:spacing w:val="-43"/>
        </w:rPr>
      </w:r>
      <w:r>
        <w:rPr/>
        <w:t>的租赁收入在租赁期内分配。</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32</w:t>
      </w:r>
      <w:r>
        <w:rPr/>
        <w:t>、其他重要的会计政策和会计估计</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33</w:t>
      </w:r>
      <w:r>
        <w:rPr/>
        <w:t>、重要会计政策和会计估计变更</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pict>
          <v:group style="position:absolute;margin-left:217.729996pt;margin-top:106.781708pt;width:156.65pt;height:33.15pt;mso-position-horizontal-relative:page;mso-position-vertical-relative:paragraph;z-index:-1016320" coordorigin="4355,2136" coordsize="3133,663">
            <v:group style="position:absolute;left:4355;top:2136;width:3133;height:312" coordorigin="4355,2136" coordsize="3133,312">
              <v:shape style="position:absolute;left:4355;top:2136;width:3133;height:312" coordorigin="4355,2136" coordsize="3133,312" path="m4355,2448l7487,2448,7487,2136,4355,2136,4355,2448xe" filled="true" fillcolor="#ffffff" stroked="false">
                <v:path arrowok="t"/>
                <v:fill type="solid"/>
              </v:shape>
            </v:group>
            <v:group style="position:absolute;left:4355;top:2448;width:3133;height:351" coordorigin="4355,2448" coordsize="3133,351">
              <v:shape style="position:absolute;left:4355;top:2448;width:3133;height:351" coordorigin="4355,2448" coordsize="3133,351" path="m4355,2798l7487,2798,7487,2448,4355,2448,4355,2798xe" filled="true" fillcolor="#ffffff" stroked="false">
                <v:path arrowok="t"/>
                <v:fill type="solid"/>
              </v:shape>
            </v:group>
            <w10:wrap type="none"/>
          </v:group>
        </w:pict>
      </w: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3"/>
        <w:gridCol w:w="3188"/>
        <w:gridCol w:w="3190"/>
      </w:tblGrid>
      <w:tr>
        <w:trPr>
          <w:trHeight w:val="401"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1"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1027"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2"/>
              <w:jc w:val="both"/>
              <w:rPr>
                <w:rFonts w:ascii="宋体" w:hAnsi="宋体" w:cs="宋体" w:eastAsia="宋体" w:hint="default"/>
                <w:sz w:val="18"/>
                <w:szCs w:val="18"/>
              </w:rPr>
            </w:pPr>
            <w:r>
              <w:rPr>
                <w:rFonts w:ascii="宋体" w:hAnsi="宋体" w:cs="宋体" w:eastAsia="宋体" w:hint="default"/>
                <w:spacing w:val="-5"/>
                <w:w w:val="99"/>
                <w:sz w:val="18"/>
                <w:szCs w:val="18"/>
              </w:rPr>
              <w:t>（</w:t>
            </w:r>
            <w:r>
              <w:rPr>
                <w:rFonts w:ascii="Times New Roman" w:hAnsi="Times New Roman" w:cs="Times New Roman" w:eastAsia="Times New Roman" w:hint="default"/>
                <w:spacing w:val="-5"/>
                <w:w w:val="99"/>
                <w:sz w:val="18"/>
                <w:szCs w:val="18"/>
              </w:rPr>
              <w:t>1</w:t>
            </w:r>
            <w:r>
              <w:rPr>
                <w:rFonts w:ascii="宋体" w:hAnsi="宋体" w:cs="宋体" w:eastAsia="宋体" w:hint="default"/>
                <w:spacing w:val="-5"/>
                <w:w w:val="99"/>
                <w:sz w:val="18"/>
                <w:szCs w:val="18"/>
              </w:rPr>
              <w:t>）在利润表中分别列示</w:t>
            </w:r>
            <w:r>
              <w:rPr>
                <w:rFonts w:ascii="Times New Roman" w:hAnsi="Times New Roman" w:cs="Times New Roman" w:eastAsia="Times New Roman" w:hint="default"/>
                <w:spacing w:val="-5"/>
                <w:w w:val="99"/>
                <w:sz w:val="18"/>
                <w:szCs w:val="18"/>
              </w:rPr>
              <w:t>"</w:t>
            </w:r>
            <w:r>
              <w:rPr>
                <w:rFonts w:ascii="宋体" w:hAnsi="宋体" w:cs="宋体" w:eastAsia="宋体" w:hint="default"/>
                <w:spacing w:val="-5"/>
                <w:w w:val="99"/>
                <w:sz w:val="18"/>
                <w:szCs w:val="18"/>
              </w:rPr>
              <w:t>持续经营净利</w:t>
            </w:r>
            <w:r>
              <w:rPr>
                <w:rFonts w:ascii="宋体" w:hAnsi="宋体" w:cs="宋体" w:eastAsia="宋体" w:hint="default"/>
                <w:spacing w:val="-86"/>
                <w:w w:val="99"/>
                <w:sz w:val="18"/>
                <w:szCs w:val="18"/>
              </w:rPr>
              <w:t> </w:t>
            </w:r>
            <w:r>
              <w:rPr>
                <w:rFonts w:ascii="宋体" w:hAnsi="宋体" w:cs="宋体" w:eastAsia="宋体" w:hint="default"/>
                <w:sz w:val="18"/>
                <w:szCs w:val="18"/>
              </w:rPr>
              <w:t>润</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终止经营净利润</w:t>
            </w:r>
            <w:r>
              <w:rPr>
                <w:rFonts w:ascii="Times New Roman" w:hAnsi="Times New Roman" w:cs="Times New Roman" w:eastAsia="Times New Roman" w:hint="default"/>
                <w:sz w:val="18"/>
                <w:szCs w:val="18"/>
              </w:rPr>
              <w:t>"</w:t>
            </w:r>
            <w:r>
              <w:rPr>
                <w:rFonts w:ascii="宋体" w:hAnsi="宋体" w:cs="宋体" w:eastAsia="宋体" w:hint="default"/>
                <w:sz w:val="18"/>
                <w:szCs w:val="18"/>
              </w:rPr>
              <w:t>。比较数据相应 调整。</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91"/>
              <w:jc w:val="both"/>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日召开第三届董 事会第二十二次会议，审议通过了《关 于会计政策变更的议案》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列示持续经营净利润本年金额</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32,054,509.38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元；列示终止经营净利润</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本年金额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r>
        <w:trPr>
          <w:trHeight w:val="1025" w:hRule="exact"/>
        </w:trPr>
        <w:tc>
          <w:tcPr>
            <w:tcW w:w="3193"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4" w:right="15"/>
              <w:jc w:val="left"/>
              <w:rPr>
                <w:rFonts w:ascii="宋体" w:hAnsi="宋体" w:cs="宋体" w:eastAsia="宋体"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）部分与资产相关的政府补助，冲减</w:t>
            </w:r>
            <w:r>
              <w:rPr>
                <w:rFonts w:ascii="宋体" w:hAnsi="宋体" w:cs="宋体" w:eastAsia="宋体" w:hint="default"/>
                <w:sz w:val="18"/>
                <w:szCs w:val="18"/>
              </w:rPr>
              <w:t> 了相关资产账面价值。比较数据不调整</w:t>
            </w:r>
          </w:p>
        </w:tc>
        <w:tc>
          <w:tcPr>
            <w:tcW w:w="3188" w:type="dxa"/>
            <w:tcBorders>
              <w:top w:val="single" w:sz="4" w:space="0" w:color="000000"/>
              <w:left w:val="single" w:sz="10" w:space="0" w:color="FFFFFF"/>
              <w:bottom w:val="single" w:sz="4" w:space="0" w:color="000000"/>
              <w:right w:val="single" w:sz="4" w:space="0" w:color="000000"/>
            </w:tcBorders>
          </w:tcPr>
          <w:p>
            <w:pPr>
              <w:pStyle w:val="TableParagraph"/>
              <w:spacing w:line="300" w:lineRule="atLeast"/>
              <w:ind w:left="16" w:right="91"/>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日召开第三届董 事会第二十二次会议，审议通过了《关</w:t>
            </w:r>
          </w:p>
          <w:p>
            <w:pPr>
              <w:pStyle w:val="TableParagraph"/>
              <w:spacing w:line="116" w:lineRule="exact"/>
              <w:ind w:left="-13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16" w:right="0"/>
              <w:jc w:val="left"/>
              <w:rPr>
                <w:rFonts w:ascii="宋体" w:hAnsi="宋体" w:cs="宋体" w:eastAsia="宋体" w:hint="default"/>
                <w:sz w:val="18"/>
                <w:szCs w:val="18"/>
              </w:rPr>
            </w:pPr>
            <w:r>
              <w:rPr>
                <w:rFonts w:ascii="宋体" w:hAnsi="宋体" w:cs="宋体" w:eastAsia="宋体" w:hint="default"/>
                <w:sz w:val="18"/>
                <w:szCs w:val="18"/>
              </w:rPr>
              <w:t>于会计政策变更的议案》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固定资产：减少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r>
        <w:trPr>
          <w:trHeight w:val="1027"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4" w:right="22"/>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）部分与收益相关的政府补助，冲减</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了相关成本费用。比较数据不调整。</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91"/>
              <w:jc w:val="both"/>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日召开第三届董 事会第二十二次会议，审议通过了《关 于会计政策变更的议案》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销售费用：减少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r>
        <w:trPr>
          <w:trHeight w:val="1025"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97"/>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）与本公司日常活动相关的政府补 助，计入其他收益，不再计入营业外收 入。比较数据不调整。</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91"/>
              <w:jc w:val="both"/>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日召开第三届董 事会第二十二次会议，审议通过了《关 于会计政策变更的议案》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其他收益：增加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r>
        <w:trPr>
          <w:trHeight w:val="675"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4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）在利润表中新增</w:t>
            </w:r>
            <w:r>
              <w:rPr>
                <w:rFonts w:ascii="Times New Roman" w:hAnsi="Times New Roman" w:cs="Times New Roman" w:eastAsia="Times New Roman" w:hint="default"/>
                <w:sz w:val="18"/>
                <w:szCs w:val="18"/>
              </w:rPr>
              <w:t>"</w:t>
            </w:r>
            <w:r>
              <w:rPr>
                <w:rFonts w:ascii="宋体" w:hAnsi="宋体" w:cs="宋体" w:eastAsia="宋体" w:hint="default"/>
                <w:sz w:val="18"/>
                <w:szCs w:val="18"/>
              </w:rPr>
              <w:t>资产处置收益</w:t>
            </w:r>
            <w:r>
              <w:rPr>
                <w:rFonts w:ascii="Times New Roman" w:hAnsi="Times New Roman" w:cs="Times New Roman" w:eastAsia="Times New Roman" w:hint="default"/>
                <w:sz w:val="18"/>
                <w:szCs w:val="18"/>
              </w:rPr>
              <w:t>"</w:t>
            </w:r>
            <w:r>
              <w:rPr>
                <w:rFonts w:ascii="宋体" w:hAnsi="宋体" w:cs="宋体" w:eastAsia="宋体" w:hint="default"/>
                <w:sz w:val="18"/>
                <w:szCs w:val="18"/>
              </w:rPr>
              <w:t>项 目，将部分原列示为</w:t>
            </w:r>
            <w:r>
              <w:rPr>
                <w:rFonts w:ascii="Times New Roman" w:hAnsi="Times New Roman" w:cs="Times New Roman" w:eastAsia="Times New Roman" w:hint="default"/>
                <w:sz w:val="18"/>
                <w:szCs w:val="18"/>
              </w:rPr>
              <w:t>"</w:t>
            </w:r>
            <w:r>
              <w:rPr>
                <w:rFonts w:ascii="宋体" w:hAnsi="宋体" w:cs="宋体" w:eastAsia="宋体" w:hint="default"/>
                <w:sz w:val="18"/>
                <w:szCs w:val="18"/>
              </w:rPr>
              <w:t>营业外收入</w:t>
            </w:r>
            <w:r>
              <w:rPr>
                <w:rFonts w:ascii="Times New Roman" w:hAnsi="Times New Roman" w:cs="Times New Roman" w:eastAsia="Times New Roman" w:hint="default"/>
                <w:sz w:val="18"/>
                <w:szCs w:val="18"/>
              </w:rPr>
              <w:t>"</w:t>
            </w:r>
            <w:r>
              <w:rPr>
                <w:rFonts w:ascii="宋体" w:hAnsi="宋体" w:cs="宋体" w:eastAsia="宋体" w:hint="default"/>
                <w:sz w:val="18"/>
                <w:szCs w:val="18"/>
              </w:rPr>
              <w:t>或</w:t>
            </w:r>
            <w:r>
              <w:rPr>
                <w:rFonts w:ascii="Times New Roman" w:hAnsi="Times New Roman" w:cs="Times New Roman" w:eastAsia="Times New Roman" w:hint="default"/>
                <w:sz w:val="18"/>
                <w:szCs w:val="18"/>
              </w:rPr>
              <w:t>"</w:t>
            </w:r>
            <w:r>
              <w:rPr>
                <w:rFonts w:ascii="宋体" w:hAnsi="宋体" w:cs="宋体" w:eastAsia="宋体" w:hint="default"/>
                <w:sz w:val="18"/>
                <w:szCs w:val="18"/>
              </w:rPr>
              <w:t>营</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91"/>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日召开第三届董 事会第二十二次会议，审议通过了《关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营业外收入减少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8,979.88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元，营业外支</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出减少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1,135.51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元，重分类至资产处置</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3"/>
        <w:gridCol w:w="3188"/>
        <w:gridCol w:w="3190"/>
      </w:tblGrid>
      <w:tr>
        <w:trPr>
          <w:trHeight w:val="987"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4" w:right="22"/>
              <w:jc w:val="left"/>
              <w:rPr>
                <w:rFonts w:ascii="宋体" w:hAnsi="宋体" w:cs="宋体" w:eastAsia="宋体" w:hint="default"/>
                <w:sz w:val="18"/>
                <w:szCs w:val="18"/>
              </w:rPr>
            </w:pPr>
            <w:r>
              <w:rPr>
                <w:rFonts w:ascii="宋体" w:hAnsi="宋体" w:cs="宋体" w:eastAsia="宋体" w:hint="default"/>
                <w:sz w:val="18"/>
                <w:szCs w:val="18"/>
              </w:rPr>
              <w:t>业外支出</w:t>
            </w:r>
            <w:r>
              <w:rPr>
                <w:rFonts w:ascii="Times New Roman" w:hAnsi="Times New Roman" w:cs="Times New Roman" w:eastAsia="Times New Roman" w:hint="default"/>
                <w:sz w:val="18"/>
                <w:szCs w:val="18"/>
              </w:rPr>
              <w:t>"</w:t>
            </w:r>
            <w:r>
              <w:rPr>
                <w:rFonts w:ascii="宋体" w:hAnsi="宋体" w:cs="宋体" w:eastAsia="宋体" w:hint="default"/>
                <w:sz w:val="18"/>
                <w:szCs w:val="18"/>
              </w:rPr>
              <w:t>的资产处置损益重分类至</w:t>
            </w:r>
            <w:r>
              <w:rPr>
                <w:rFonts w:ascii="Times New Roman" w:hAnsi="Times New Roman" w:cs="Times New Roman" w:eastAsia="Times New Roman" w:hint="default"/>
                <w:sz w:val="18"/>
                <w:szCs w:val="18"/>
              </w:rPr>
              <w:t>"</w:t>
            </w:r>
            <w:r>
              <w:rPr>
                <w:rFonts w:ascii="宋体" w:hAnsi="宋体" w:cs="宋体" w:eastAsia="宋体" w:hint="default"/>
                <w:sz w:val="18"/>
                <w:szCs w:val="18"/>
              </w:rPr>
              <w:t>资 产处置收益</w:t>
            </w:r>
            <w:r>
              <w:rPr>
                <w:rFonts w:ascii="Times New Roman" w:hAnsi="Times New Roman" w:cs="Times New Roman" w:eastAsia="Times New Roman" w:hint="default"/>
                <w:sz w:val="18"/>
                <w:szCs w:val="18"/>
              </w:rPr>
              <w:t>"</w:t>
            </w:r>
            <w:r>
              <w:rPr>
                <w:rFonts w:ascii="宋体" w:hAnsi="宋体" w:cs="宋体" w:eastAsia="宋体" w:hint="default"/>
                <w:sz w:val="18"/>
                <w:szCs w:val="18"/>
              </w:rPr>
              <w:t>项目。比较数据相应调整。</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于会计政策变更的议案》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8"/>
              <w:ind w:left="23" w:right="21"/>
              <w:jc w:val="left"/>
              <w:rPr>
                <w:rFonts w:ascii="宋体" w:hAnsi="宋体" w:cs="宋体" w:eastAsia="宋体" w:hint="default"/>
                <w:sz w:val="18"/>
                <w:szCs w:val="18"/>
              </w:rPr>
            </w:pPr>
            <w:r>
              <w:rPr>
                <w:rFonts w:ascii="宋体" w:hAnsi="宋体" w:cs="宋体" w:eastAsia="宋体" w:hint="default"/>
                <w:sz w:val="18"/>
                <w:szCs w:val="18"/>
              </w:rPr>
              <w:t>收益；上年比较数据营业外收入减少 </w:t>
            </w:r>
            <w:r>
              <w:rPr>
                <w:rFonts w:ascii="Times New Roman" w:hAnsi="Times New Roman" w:cs="Times New Roman" w:eastAsia="Times New Roman" w:hint="default"/>
                <w:spacing w:val="-1"/>
                <w:sz w:val="18"/>
                <w:szCs w:val="18"/>
              </w:rPr>
              <w:t>245,974.30</w:t>
            </w:r>
            <w:r>
              <w:rPr>
                <w:rFonts w:ascii="Times New Roman" w:hAnsi="Times New Roman" w:cs="Times New Roman" w:eastAsia="Times New Roman" w:hint="default"/>
                <w:spacing w:val="2"/>
                <w:sz w:val="18"/>
                <w:szCs w:val="18"/>
              </w:rPr>
              <w:t> </w:t>
            </w:r>
            <w:r>
              <w:rPr>
                <w:rFonts w:ascii="宋体" w:hAnsi="宋体" w:cs="宋体" w:eastAsia="宋体" w:hint="default"/>
                <w:spacing w:val="-11"/>
                <w:sz w:val="18"/>
                <w:szCs w:val="18"/>
              </w:rPr>
              <w:t>元，营业外支出减少</w:t>
            </w:r>
            <w:r>
              <w:rPr>
                <w:rFonts w:ascii="宋体" w:hAnsi="宋体" w:cs="宋体" w:eastAsia="宋体" w:hint="default"/>
                <w:spacing w:val="-48"/>
                <w:sz w:val="18"/>
                <w:szCs w:val="18"/>
              </w:rPr>
              <w:t> </w:t>
            </w:r>
            <w:r>
              <w:rPr>
                <w:rFonts w:ascii="Times New Roman" w:hAnsi="Times New Roman" w:cs="Times New Roman" w:eastAsia="Times New Roman" w:hint="default"/>
                <w:spacing w:val="-1"/>
                <w:sz w:val="18"/>
                <w:szCs w:val="18"/>
              </w:rPr>
              <w:t>41,461.73</w:t>
            </w:r>
            <w:r>
              <w:rPr>
                <w:rFonts w:ascii="Times New Roman" w:hAnsi="Times New Roman" w:cs="Times New Roman" w:eastAsia="Times New Roman" w:hint="default"/>
                <w:spacing w:val="-41"/>
                <w:sz w:val="18"/>
                <w:szCs w:val="18"/>
              </w:rPr>
              <w:t> </w:t>
            </w:r>
            <w:r>
              <w:rPr>
                <w:rFonts w:ascii="Times New Roman" w:hAnsi="Times New Roman" w:cs="Times New Roman" w:eastAsia="Times New Roman" w:hint="default"/>
                <w:spacing w:val="-41"/>
                <w:sz w:val="18"/>
                <w:szCs w:val="18"/>
              </w:rPr>
            </w:r>
            <w:r>
              <w:rPr>
                <w:rFonts w:ascii="宋体" w:hAnsi="宋体" w:cs="宋体" w:eastAsia="宋体" w:hint="default"/>
                <w:sz w:val="18"/>
                <w:szCs w:val="18"/>
              </w:rPr>
              <w:t>元，重分类至资产处置收益。</w:t>
            </w:r>
          </w:p>
        </w:tc>
      </w:tr>
    </w:tbl>
    <w:p>
      <w:pPr>
        <w:pStyle w:val="BodyText"/>
        <w:spacing w:line="256" w:lineRule="auto"/>
        <w:ind w:right="146" w:firstLine="420"/>
        <w:jc w:val="both"/>
      </w:pPr>
      <w:r>
        <w:rPr>
          <w:spacing w:val="-2"/>
        </w:rPr>
        <w:t>执行《企业会计准则第</w:t>
      </w:r>
      <w:r>
        <w:rPr>
          <w:rFonts w:ascii="Times New Roman" w:hAnsi="Times New Roman" w:cs="Times New Roman" w:eastAsia="Times New Roman" w:hint="default"/>
          <w:spacing w:val="-2"/>
        </w:rPr>
        <w:t>42</w:t>
      </w:r>
      <w:r>
        <w:rPr>
          <w:spacing w:val="-2"/>
        </w:rPr>
        <w:t>号</w:t>
      </w:r>
      <w:r>
        <w:rPr>
          <w:rFonts w:ascii="Times New Roman" w:hAnsi="Times New Roman" w:cs="Times New Roman" w:eastAsia="Times New Roman" w:hint="default"/>
          <w:spacing w:val="-2"/>
        </w:rPr>
        <w:t>——</w:t>
      </w:r>
      <w:r>
        <w:rPr>
          <w:spacing w:val="-2"/>
        </w:rPr>
        <w:t>持有待售的非流动资产、处置组和终止经营》、《企业会计准则第</w:t>
      </w:r>
      <w:r>
        <w:rPr>
          <w:rFonts w:ascii="Times New Roman" w:hAnsi="Times New Roman" w:cs="Times New Roman" w:eastAsia="Times New Roman" w:hint="default"/>
          <w:spacing w:val="-2"/>
        </w:rPr>
        <w:t>16</w:t>
      </w:r>
      <w:r>
        <w:rPr>
          <w:rFonts w:ascii="Times New Roman" w:hAnsi="Times New Roman" w:cs="Times New Roman" w:eastAsia="Times New Roman" w:hint="default"/>
          <w:w w:val="100"/>
        </w:rPr>
        <w:t> </w:t>
      </w:r>
      <w:r>
        <w:rPr/>
        <w:t>号</w:t>
      </w:r>
      <w:r>
        <w:rPr>
          <w:rFonts w:ascii="Times New Roman" w:hAnsi="Times New Roman" w:cs="Times New Roman" w:eastAsia="Times New Roman" w:hint="default"/>
        </w:rPr>
        <w:t>——</w:t>
      </w:r>
      <w:r>
        <w:rPr/>
        <w:t>政府补助》和《财政部关于修订印发一般企业财务报表格式的通知》。</w:t>
      </w:r>
    </w:p>
    <w:p>
      <w:pPr>
        <w:pStyle w:val="BodyText"/>
        <w:spacing w:line="256" w:lineRule="auto" w:before="5"/>
        <w:ind w:right="124" w:firstLine="420"/>
        <w:jc w:val="both"/>
      </w:pPr>
      <w:r>
        <w:rPr>
          <w:spacing w:val="-2"/>
        </w:rPr>
        <w:t>财政部于</w:t>
      </w:r>
      <w:r>
        <w:rPr>
          <w:rFonts w:ascii="Times New Roman" w:hAnsi="Times New Roman" w:cs="Times New Roman" w:eastAsia="Times New Roman" w:hint="default"/>
          <w:spacing w:val="-2"/>
        </w:rPr>
        <w:t>2017</w:t>
      </w:r>
      <w:r>
        <w:rPr>
          <w:spacing w:val="-2"/>
        </w:rPr>
        <w:t>年度发布了《企业会计准则第</w:t>
      </w:r>
      <w:r>
        <w:rPr>
          <w:rFonts w:ascii="Times New Roman" w:hAnsi="Times New Roman" w:cs="Times New Roman" w:eastAsia="Times New Roman" w:hint="default"/>
          <w:spacing w:val="-2"/>
        </w:rPr>
        <w:t>42</w:t>
      </w:r>
      <w:r>
        <w:rPr>
          <w:spacing w:val="-2"/>
        </w:rPr>
        <w:t>号</w:t>
      </w:r>
      <w:r>
        <w:rPr>
          <w:rFonts w:ascii="Times New Roman" w:hAnsi="Times New Roman" w:cs="Times New Roman" w:eastAsia="Times New Roman" w:hint="default"/>
          <w:spacing w:val="-2"/>
        </w:rPr>
        <w:t>——</w:t>
      </w:r>
      <w:r>
        <w:rPr>
          <w:spacing w:val="-2"/>
        </w:rPr>
        <w:t>持有待售的非流动资产、处置组和终止经营》，</w:t>
      </w:r>
      <w:r>
        <w:rPr>
          <w:w w:val="100"/>
        </w:rPr>
        <w:t> </w:t>
      </w:r>
      <w:r>
        <w:rPr/>
        <w:t>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28</w:t>
      </w:r>
      <w:r>
        <w:rPr/>
        <w:t>日起施行，对于施行日存在的持有待售的非流动资产、处置组和终止经营，要求采用未来</w:t>
      </w:r>
      <w:r>
        <w:rPr>
          <w:spacing w:val="-30"/>
        </w:rPr>
        <w:t> </w:t>
      </w:r>
      <w:r>
        <w:rPr>
          <w:spacing w:val="-30"/>
        </w:rPr>
      </w:r>
      <w:r>
        <w:rPr/>
        <w:t>适用法处理。</w:t>
      </w:r>
    </w:p>
    <w:p>
      <w:pPr>
        <w:pStyle w:val="BodyText"/>
        <w:spacing w:line="256" w:lineRule="auto" w:before="22"/>
        <w:ind w:right="146" w:firstLine="420"/>
        <w:jc w:val="both"/>
      </w:pPr>
      <w:r>
        <w:rPr/>
        <w:t>财政部于</w:t>
      </w:r>
      <w:r>
        <w:rPr>
          <w:rFonts w:ascii="Times New Roman" w:hAnsi="Times New Roman" w:cs="Times New Roman" w:eastAsia="Times New Roman" w:hint="default"/>
        </w:rPr>
        <w:t>2017</w:t>
      </w:r>
      <w:r>
        <w:rPr/>
        <w:t>年度修订了《企业会计准则第</w:t>
      </w:r>
      <w:r>
        <w:rPr>
          <w:rFonts w:ascii="Times New Roman" w:hAnsi="Times New Roman" w:cs="Times New Roman" w:eastAsia="Times New Roman" w:hint="default"/>
        </w:rPr>
        <w:t>16</w:t>
      </w:r>
      <w:r>
        <w:rPr/>
        <w:t>号</w:t>
      </w:r>
      <w:r>
        <w:rPr>
          <w:rFonts w:ascii="Times New Roman" w:hAnsi="Times New Roman" w:cs="Times New Roman" w:eastAsia="Times New Roman" w:hint="default"/>
        </w:rPr>
        <w:t>——</w:t>
      </w:r>
      <w:r>
        <w:rPr/>
        <w:t>政府补助》，修订后的准则自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12</w:t>
      </w:r>
      <w:r>
        <w:rPr/>
        <w:t>日起</w:t>
      </w:r>
      <w:r>
        <w:rPr>
          <w:spacing w:val="2"/>
          <w:w w:val="100"/>
        </w:rPr>
        <w:t> </w:t>
      </w:r>
      <w:r>
        <w:rPr>
          <w:spacing w:val="-2"/>
        </w:rPr>
        <w:t>施行，对于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日存在的政府补助，要求采用未来适用法处理；对于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日至施行日新增的</w:t>
      </w:r>
      <w:r>
        <w:rPr>
          <w:spacing w:val="-37"/>
        </w:rPr>
        <w:t> </w:t>
      </w:r>
      <w:r>
        <w:rPr>
          <w:spacing w:val="-37"/>
        </w:rPr>
      </w:r>
      <w:r>
        <w:rPr/>
        <w:t>政府补助，也要求按照修订后的准则进行调整。</w:t>
      </w:r>
    </w:p>
    <w:p>
      <w:pPr>
        <w:pStyle w:val="BodyText"/>
        <w:spacing w:line="256" w:lineRule="auto" w:before="23"/>
        <w:ind w:right="146" w:firstLine="420"/>
        <w:jc w:val="both"/>
      </w:pPr>
      <w:r>
        <w:rPr>
          <w:spacing w:val="-2"/>
        </w:rPr>
        <w:t>财政部于</w:t>
      </w:r>
      <w:r>
        <w:rPr>
          <w:rFonts w:ascii="Times New Roman" w:hAnsi="Times New Roman" w:cs="Times New Roman" w:eastAsia="Times New Roman" w:hint="default"/>
          <w:spacing w:val="-2"/>
        </w:rPr>
        <w:t>2017</w:t>
      </w:r>
      <w:r>
        <w:rPr>
          <w:spacing w:val="-2"/>
        </w:rPr>
        <w:t>年度发布了《财政部关于修订印发一般企业财务报表格式的通知》，对一般企业财务报</w:t>
      </w:r>
      <w:r>
        <w:rPr>
          <w:w w:val="100"/>
        </w:rPr>
        <w:t> </w:t>
      </w:r>
      <w:r>
        <w:rPr/>
        <w:t>表格式进行了修订，适用于</w:t>
      </w:r>
      <w:r>
        <w:rPr>
          <w:rFonts w:ascii="Times New Roman" w:hAnsi="Times New Roman" w:cs="Times New Roman" w:eastAsia="Times New Roman" w:hint="default"/>
        </w:rPr>
        <w:t>2017</w:t>
      </w:r>
      <w:r>
        <w:rPr/>
        <w:t>年度及以后期间的财务报表。</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4"/>
        <w:rPr>
          <w:rFonts w:ascii="宋体" w:hAnsi="宋体" w:cs="宋体" w:eastAsia="宋体" w:hint="default"/>
          <w:b/>
          <w:bCs/>
          <w:sz w:val="26"/>
          <w:szCs w:val="26"/>
        </w:rPr>
      </w:pPr>
    </w:p>
    <w:p>
      <w:pPr>
        <w:spacing w:line="544" w:lineRule="auto" w:before="0"/>
        <w:ind w:left="152" w:right="841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sz w:val="18"/>
          <w:szCs w:val="18"/>
        </w:rPr>
        <w:t>不适用</w:t>
      </w:r>
    </w:p>
    <w:p>
      <w:pPr>
        <w:pStyle w:val="Heading2"/>
        <w:spacing w:line="240" w:lineRule="auto" w:before="101"/>
        <w:ind w:right="0"/>
        <w:jc w:val="left"/>
        <w:rPr>
          <w:b w:val="0"/>
          <w:bCs w:val="0"/>
        </w:rPr>
      </w:pPr>
      <w:r>
        <w:rPr/>
        <w:t>六、税项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、主要税种及税率</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培训咨询服务等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租金收入等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软硬件销售及配套安装服务等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租金收入等其他服务收入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存在不同企业所得税税率纳税主体的，披露情况说明</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bl>
    <w:p>
      <w:pPr>
        <w:spacing w:line="240" w:lineRule="auto" w:before="3"/>
        <w:rPr>
          <w:rFonts w:ascii="宋体" w:hAnsi="宋体" w:cs="宋体" w:eastAsia="宋体" w:hint="default"/>
          <w:sz w:val="19"/>
          <w:szCs w:val="19"/>
        </w:rPr>
      </w:pPr>
    </w:p>
    <w:p>
      <w:pPr>
        <w:pStyle w:val="Heading3"/>
        <w:spacing w:line="240" w:lineRule="auto" w:before="36"/>
        <w:ind w:right="0"/>
        <w:jc w:val="both"/>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4"/>
        <w:rPr>
          <w:rFonts w:ascii="宋体" w:hAnsi="宋体" w:cs="宋体" w:eastAsia="宋体" w:hint="default"/>
          <w:b/>
          <w:bCs/>
          <w:sz w:val="31"/>
          <w:szCs w:val="31"/>
        </w:rPr>
      </w:pPr>
    </w:p>
    <w:p>
      <w:pPr>
        <w:pStyle w:val="BodyText"/>
        <w:spacing w:line="338" w:lineRule="auto"/>
        <w:ind w:right="146"/>
        <w:jc w:val="both"/>
      </w:pPr>
      <w:r>
        <w:rPr>
          <w:rFonts w:ascii="Times New Roman" w:hAnsi="Times New Roman" w:cs="Times New Roman" w:eastAsia="Times New Roman" w:hint="default"/>
          <w:spacing w:val="-3"/>
        </w:rPr>
        <w:t>1</w:t>
      </w:r>
      <w:r>
        <w:rPr>
          <w:spacing w:val="-3"/>
        </w:rPr>
        <w:t>、公司自</w:t>
      </w:r>
      <w:r>
        <w:rPr>
          <w:spacing w:val="-61"/>
        </w:rPr>
        <w:t> </w:t>
      </w:r>
      <w:r>
        <w:rPr>
          <w:rFonts w:ascii="Times New Roman" w:hAnsi="Times New Roman" w:cs="Times New Roman" w:eastAsia="Times New Roman" w:hint="default"/>
        </w:rPr>
        <w:t>2008</w:t>
      </w:r>
      <w:r>
        <w:rPr>
          <w:rFonts w:ascii="Times New Roman" w:hAnsi="Times New Roman" w:cs="Times New Roman" w:eastAsia="Times New Roman" w:hint="default"/>
          <w:spacing w:val="-9"/>
        </w:rPr>
        <w:t> </w:t>
      </w:r>
      <w:r>
        <w:rPr/>
        <w:t>年起认定为高新技术企业。经公司后续申请，并通过高新技术企业重新认定审查，取得由</w:t>
      </w:r>
      <w:r>
        <w:rPr>
          <w:w w:val="100"/>
        </w:rPr>
        <w:t> </w:t>
      </w:r>
      <w:r>
        <w:rPr>
          <w:spacing w:val="-2"/>
        </w:rPr>
        <w:t>上海市科学技术委员会、上海市财政局、上海市国家税务局、上海市地方税务局联合颁发的高新技术企业</w:t>
      </w:r>
      <w:r>
        <w:rPr>
          <w:spacing w:val="-44"/>
        </w:rPr>
        <w:t> </w:t>
      </w:r>
      <w:r>
        <w:rPr>
          <w:spacing w:val="-44"/>
        </w:rPr>
      </w:r>
      <w:r>
        <w:rPr/>
        <w:t>证书，发证日期为</w:t>
      </w:r>
      <w:r>
        <w:rPr>
          <w:spacing w:val="-5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11</w:t>
      </w:r>
      <w:r>
        <w:rPr>
          <w:rFonts w:ascii="Times New Roman" w:hAnsi="Times New Roman" w:cs="Times New Roman" w:eastAsia="Times New Roman" w:hint="default"/>
          <w:spacing w:val="-3"/>
        </w:rPr>
        <w:t> </w:t>
      </w:r>
      <w:r>
        <w:rPr/>
        <w:t>月</w:t>
      </w:r>
      <w:r>
        <w:rPr>
          <w:spacing w:val="-54"/>
        </w:rPr>
        <w:t> </w:t>
      </w:r>
      <w:r>
        <w:rPr>
          <w:rFonts w:ascii="Times New Roman" w:hAnsi="Times New Roman" w:cs="Times New Roman" w:eastAsia="Times New Roman" w:hint="default"/>
        </w:rPr>
        <w:t>23</w:t>
      </w:r>
      <w:r>
        <w:rPr>
          <w:rFonts w:ascii="Times New Roman" w:hAnsi="Times New Roman" w:cs="Times New Roman" w:eastAsia="Times New Roman" w:hint="default"/>
          <w:spacing w:val="-4"/>
        </w:rPr>
        <w:t> </w:t>
      </w:r>
      <w:r>
        <w:rPr/>
        <w:t>日，证书编号：</w:t>
      </w:r>
      <w:r>
        <w:rPr>
          <w:rFonts w:ascii="Times New Roman" w:hAnsi="Times New Roman" w:cs="Times New Roman" w:eastAsia="Times New Roman" w:hint="default"/>
        </w:rPr>
        <w:t>GR201731001732</w:t>
      </w:r>
      <w:r>
        <w:rPr/>
        <w:t>，有效期为三年。根据《中华人民共</w:t>
      </w:r>
    </w:p>
    <w:p>
      <w:pPr>
        <w:spacing w:after="0" w:line="338" w:lineRule="auto"/>
        <w:jc w:val="both"/>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pStyle w:val="BodyText"/>
        <w:spacing w:line="240" w:lineRule="auto" w:before="185"/>
        <w:ind w:right="0"/>
        <w:jc w:val="both"/>
      </w:pPr>
      <w:r>
        <w:rPr/>
        <w:t>和国企业所得税法》和《中华人民共和国企业所得税法实施条例》的相关规定，公司自</w:t>
      </w:r>
      <w:r>
        <w:rPr>
          <w:spacing w:val="-39"/>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1"/>
        </w:rPr>
        <w:t> </w:t>
      </w:r>
      <w:r>
        <w:rPr/>
        <w:t>年</w:t>
      </w:r>
      <w:r>
        <w:rPr>
          <w:spacing w:val="-42"/>
        </w:rPr>
        <w:t> </w:t>
      </w:r>
      <w:r>
        <w:rPr>
          <w:rFonts w:ascii="Times New Roman" w:hAnsi="Times New Roman" w:cs="Times New Roman" w:eastAsia="Times New Roman" w:hint="default"/>
        </w:rPr>
        <w:t>1</w:t>
      </w:r>
      <w:r>
        <w:rPr>
          <w:rFonts w:ascii="Times New Roman" w:hAnsi="Times New Roman" w:cs="Times New Roman" w:eastAsia="Times New Roman" w:hint="default"/>
          <w:spacing w:val="13"/>
        </w:rPr>
        <w:t> </w:t>
      </w:r>
      <w:r>
        <w:rPr/>
        <w:t>月</w:t>
      </w:r>
      <w:r>
        <w:rPr>
          <w:spacing w:val="-42"/>
        </w:rPr>
        <w:t>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日</w:t>
      </w:r>
    </w:p>
    <w:p>
      <w:pPr>
        <w:pStyle w:val="BodyText"/>
        <w:spacing w:line="240" w:lineRule="auto" w:before="110"/>
        <w:ind w:right="0"/>
        <w:jc w:val="both"/>
      </w:pPr>
      <w:r>
        <w:rPr/>
        <w:t>至</w:t>
      </w:r>
      <w:r>
        <w:rPr>
          <w:spacing w:val="-5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日期间企业所得税减按</w:t>
      </w:r>
      <w:r>
        <w:rPr>
          <w:spacing w:val="-53"/>
        </w:rPr>
        <w:t> </w:t>
      </w:r>
      <w:r>
        <w:rPr>
          <w:rFonts w:ascii="Times New Roman" w:hAnsi="Times New Roman" w:cs="Times New Roman" w:eastAsia="Times New Roman" w:hint="default"/>
        </w:rPr>
        <w:t>15%</w:t>
      </w:r>
      <w:r>
        <w:rPr/>
        <w:t>税率征收。本年度，公司执行的企业所得税税率为</w:t>
      </w:r>
      <w:r>
        <w:rPr>
          <w:spacing w:val="-53"/>
        </w:rPr>
        <w:t> </w:t>
      </w:r>
      <w:r>
        <w:rPr>
          <w:rFonts w:ascii="Times New Roman" w:hAnsi="Times New Roman" w:cs="Times New Roman" w:eastAsia="Times New Roman" w:hint="default"/>
        </w:rPr>
        <w:t>15%</w:t>
      </w:r>
      <w:r>
        <w:rPr/>
        <w:t>。</w:t>
      </w:r>
    </w:p>
    <w:p>
      <w:pPr>
        <w:spacing w:line="240" w:lineRule="auto" w:before="6"/>
        <w:rPr>
          <w:rFonts w:ascii="宋体" w:hAnsi="宋体" w:cs="宋体" w:eastAsia="宋体" w:hint="default"/>
          <w:sz w:val="25"/>
          <w:szCs w:val="25"/>
        </w:rPr>
      </w:pPr>
    </w:p>
    <w:p>
      <w:pPr>
        <w:pStyle w:val="BodyText"/>
        <w:spacing w:line="261" w:lineRule="auto"/>
        <w:ind w:right="101"/>
        <w:jc w:val="left"/>
      </w:pPr>
      <w:r>
        <w:rPr>
          <w:rFonts w:ascii="Times New Roman" w:hAnsi="Times New Roman" w:cs="Times New Roman" w:eastAsia="Times New Roman" w:hint="default"/>
        </w:rPr>
        <w:t>2</w:t>
      </w:r>
      <w:r>
        <w:rPr/>
        <w:t>、经公司子公司上海天玑数据技术有限公司申请，并通过高新技术企业认定审查，取得由上海市科学技</w:t>
      </w:r>
      <w:r>
        <w:rPr>
          <w:spacing w:val="-23"/>
        </w:rPr>
        <w:t> </w:t>
      </w:r>
      <w:r>
        <w:rPr>
          <w:spacing w:val="-23"/>
        </w:rPr>
      </w:r>
      <w:r>
        <w:rPr>
          <w:spacing w:val="-2"/>
        </w:rPr>
        <w:t>术委员会、上海市财政局、上海市国家税务局、上海市地方税务局联合颁发的高新技术企业证书，发证日</w:t>
      </w:r>
      <w:r>
        <w:rPr>
          <w:spacing w:val="-47"/>
        </w:rPr>
        <w:t> </w:t>
      </w:r>
      <w:r>
        <w:rPr>
          <w:spacing w:val="-47"/>
        </w:rPr>
      </w:r>
      <w:r>
        <w:rPr>
          <w:spacing w:val="-5"/>
        </w:rPr>
        <w:t>期为</w:t>
      </w:r>
      <w:r>
        <w:rPr>
          <w:rFonts w:ascii="Times New Roman" w:hAnsi="Times New Roman" w:cs="Times New Roman" w:eastAsia="Times New Roman" w:hint="default"/>
          <w:spacing w:val="-5"/>
        </w:rPr>
        <w:t>2016</w:t>
      </w:r>
      <w:r>
        <w:rPr>
          <w:spacing w:val="-5"/>
        </w:rPr>
        <w:t>年</w:t>
      </w:r>
      <w:r>
        <w:rPr>
          <w:rFonts w:ascii="Times New Roman" w:hAnsi="Times New Roman" w:cs="Times New Roman" w:eastAsia="Times New Roman" w:hint="default"/>
          <w:spacing w:val="-5"/>
        </w:rPr>
        <w:t>11</w:t>
      </w:r>
      <w:r>
        <w:rPr>
          <w:spacing w:val="-5"/>
        </w:rPr>
        <w:t>月</w:t>
      </w:r>
      <w:r>
        <w:rPr>
          <w:rFonts w:ascii="Times New Roman" w:hAnsi="Times New Roman" w:cs="Times New Roman" w:eastAsia="Times New Roman" w:hint="default"/>
          <w:spacing w:val="-5"/>
        </w:rPr>
        <w:t>24</w:t>
      </w:r>
      <w:r>
        <w:rPr>
          <w:spacing w:val="-5"/>
        </w:rPr>
        <w:t>日，证书编号：</w:t>
      </w:r>
      <w:r>
        <w:rPr>
          <w:rFonts w:ascii="Times New Roman" w:hAnsi="Times New Roman" w:cs="Times New Roman" w:eastAsia="Times New Roman" w:hint="default"/>
          <w:spacing w:val="-5"/>
        </w:rPr>
        <w:t>GR201631001595</w:t>
      </w:r>
      <w:r>
        <w:rPr>
          <w:spacing w:val="-5"/>
        </w:rPr>
        <w:t>，有效期为三年。根据《中华人民共和国企业所得税法》</w:t>
      </w:r>
      <w:r>
        <w:rPr>
          <w:spacing w:val="-37"/>
        </w:rPr>
        <w:t> </w:t>
      </w:r>
      <w:r>
        <w:rPr>
          <w:spacing w:val="-37"/>
        </w:rPr>
      </w:r>
      <w:r>
        <w:rPr/>
        <w:t>和《中华人民共和国企业所得税法实施条例》的相关规定，公司于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14</w:t>
      </w:r>
      <w:r>
        <w:rPr/>
        <w:t>日取得了上海市浦东新区</w:t>
      </w:r>
      <w:r>
        <w:rPr>
          <w:spacing w:val="-25"/>
        </w:rPr>
        <w:t> </w:t>
      </w:r>
      <w:r>
        <w:rPr>
          <w:spacing w:val="-25"/>
        </w:rPr>
      </w:r>
      <w:r>
        <w:rPr>
          <w:spacing w:val="-2"/>
        </w:rPr>
        <w:t>国家税务局保税区税务分局核发的《企业所得税优惠事项备案表》，同意公司自</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rFonts w:ascii="Times New Roman" w:hAnsi="Times New Roman" w:cs="Times New Roman" w:eastAsia="Times New Roman" w:hint="default"/>
          <w:spacing w:val="21"/>
        </w:rPr>
        <w:t> </w:t>
      </w:r>
      <w:r>
        <w:rPr/>
        <w:t>月</w:t>
      </w:r>
      <w:r>
        <w:rPr>
          <w:rFonts w:ascii="Times New Roman" w:hAnsi="Times New Roman" w:cs="Times New Roman" w:eastAsia="Times New Roman" w:hint="default"/>
        </w:rPr>
        <w:t>31</w:t>
      </w:r>
      <w:r>
        <w:rPr/>
        <w:t>日期间企业所得税减按</w:t>
      </w:r>
      <w:r>
        <w:rPr>
          <w:rFonts w:ascii="Times New Roman" w:hAnsi="Times New Roman" w:cs="Times New Roman" w:eastAsia="Times New Roman" w:hint="default"/>
        </w:rPr>
        <w:t>15%</w:t>
      </w:r>
      <w:r>
        <w:rPr/>
        <w:t>税率征收。本年度，公司执行的企业所得税税率为</w:t>
      </w:r>
      <w:r>
        <w:rPr>
          <w:rFonts w:ascii="Times New Roman" w:hAnsi="Times New Roman" w:cs="Times New Roman" w:eastAsia="Times New Roman" w:hint="default"/>
        </w:rPr>
        <w:t>15%</w:t>
      </w:r>
      <w:r>
        <w:rPr/>
        <w:t>。</w:t>
      </w:r>
    </w:p>
    <w:p>
      <w:pPr>
        <w:spacing w:line="240" w:lineRule="auto" w:before="12"/>
        <w:rPr>
          <w:rFonts w:ascii="宋体" w:hAnsi="宋体" w:cs="宋体" w:eastAsia="宋体" w:hint="default"/>
          <w:sz w:val="23"/>
          <w:szCs w:val="23"/>
        </w:rPr>
      </w:pPr>
    </w:p>
    <w:p>
      <w:pPr>
        <w:pStyle w:val="BodyText"/>
        <w:spacing w:line="256" w:lineRule="auto"/>
        <w:ind w:right="206"/>
        <w:jc w:val="both"/>
      </w:pPr>
      <w:r>
        <w:rPr>
          <w:rFonts w:ascii="Times New Roman" w:hAnsi="Times New Roman" w:cs="Times New Roman" w:eastAsia="Times New Roman" w:hint="default"/>
        </w:rPr>
        <w:t>3</w:t>
      </w:r>
      <w:r>
        <w:rPr/>
        <w:t>、公司子公司极品数据系统公司注册于美国华盛顿州，缴纳的销售税是根据年度销售总额扣除海外及外</w:t>
      </w:r>
      <w:r>
        <w:rPr>
          <w:spacing w:val="-25"/>
        </w:rPr>
        <w:t> </w:t>
      </w:r>
      <w:r>
        <w:rPr>
          <w:spacing w:val="-25"/>
        </w:rPr>
      </w:r>
      <w:r>
        <w:rPr>
          <w:spacing w:val="-2"/>
        </w:rPr>
        <w:t>州出口交易的销售额后乘以</w:t>
      </w:r>
      <w:r>
        <w:rPr>
          <w:rFonts w:ascii="Times New Roman" w:hAnsi="Times New Roman" w:cs="Times New Roman" w:eastAsia="Times New Roman" w:hint="default"/>
          <w:spacing w:val="-2"/>
        </w:rPr>
        <w:t>0.484%</w:t>
      </w:r>
      <w:r>
        <w:rPr>
          <w:spacing w:val="-2"/>
        </w:rPr>
        <w:t>销售税率计算征收；缴纳的联邦所得税税率为</w:t>
      </w:r>
      <w:r>
        <w:rPr>
          <w:rFonts w:ascii="Times New Roman" w:hAnsi="Times New Roman" w:cs="Times New Roman" w:eastAsia="Times New Roman" w:hint="default"/>
          <w:spacing w:val="-2"/>
        </w:rPr>
        <w:t>15%</w:t>
      </w:r>
      <w:r>
        <w:rPr>
          <w:spacing w:val="-2"/>
        </w:rPr>
        <w:t>，缴纳的联邦所得税</w:t>
      </w:r>
      <w:r>
        <w:rPr>
          <w:spacing w:val="-19"/>
        </w:rPr>
        <w:t> </w:t>
      </w:r>
      <w:r>
        <w:rPr>
          <w:spacing w:val="-19"/>
        </w:rPr>
      </w:r>
      <w:r>
        <w:rPr/>
        <w:t>是根据全年度总收入减去可扣除的支出后的应纳税年度的净所得额以及规定税率计算征收。</w:t>
      </w:r>
    </w:p>
    <w:p>
      <w:pPr>
        <w:spacing w:line="240" w:lineRule="auto" w:before="7"/>
        <w:rPr>
          <w:rFonts w:ascii="宋体" w:hAnsi="宋体" w:cs="宋体" w:eastAsia="宋体" w:hint="default"/>
          <w:sz w:val="25"/>
          <w:szCs w:val="25"/>
        </w:rPr>
      </w:pPr>
    </w:p>
    <w:p>
      <w:pPr>
        <w:pStyle w:val="BodyText"/>
        <w:spacing w:line="264" w:lineRule="auto"/>
        <w:ind w:right="210"/>
        <w:jc w:val="both"/>
      </w:pPr>
      <w:r>
        <w:rPr>
          <w:rFonts w:ascii="Times New Roman" w:hAnsi="Times New Roman" w:cs="Times New Roman" w:eastAsia="Times New Roman" w:hint="default"/>
          <w:spacing w:val="-3"/>
        </w:rPr>
        <w:t>4</w:t>
      </w:r>
      <w:r>
        <w:rPr>
          <w:spacing w:val="-3"/>
        </w:rPr>
        <w:t>、公司子公司极品数据系统（香港）有限公司注册于中国香港，缴纳的利得税税率为</w:t>
      </w:r>
      <w:r>
        <w:rPr>
          <w:rFonts w:ascii="Times New Roman" w:hAnsi="Times New Roman" w:cs="Times New Roman" w:eastAsia="Times New Roman" w:hint="default"/>
          <w:spacing w:val="-3"/>
        </w:rPr>
        <w:t>16.5%</w:t>
      </w:r>
      <w:r>
        <w:rPr>
          <w:spacing w:val="-3"/>
        </w:rPr>
        <w:t>，缴纳的利得</w:t>
      </w:r>
      <w:r>
        <w:rPr>
          <w:spacing w:val="-13"/>
        </w:rPr>
        <w:t> </w:t>
      </w:r>
      <w:r>
        <w:rPr>
          <w:spacing w:val="-13"/>
        </w:rPr>
      </w:r>
      <w:r>
        <w:rPr>
          <w:spacing w:val="2"/>
        </w:rPr>
        <w:t>税是根据全年度企业在香港境内经营活动中产生的收入减去可扣减的支出所得的净额以及规定税率计算</w:t>
      </w:r>
      <w:r>
        <w:rPr>
          <w:spacing w:val="-30"/>
        </w:rPr>
        <w:t> </w:t>
      </w:r>
      <w:r>
        <w:rPr>
          <w:spacing w:val="-30"/>
        </w:rPr>
      </w:r>
      <w:r>
        <w:rPr/>
        <w:t>征收。</w:t>
      </w:r>
    </w:p>
    <w:p>
      <w:pPr>
        <w:spacing w:line="240" w:lineRule="auto" w:before="1"/>
        <w:rPr>
          <w:rFonts w:ascii="宋体" w:hAnsi="宋体" w:cs="宋体" w:eastAsia="宋体" w:hint="default"/>
          <w:sz w:val="25"/>
          <w:szCs w:val="25"/>
        </w:rPr>
      </w:pPr>
    </w:p>
    <w:p>
      <w:pPr>
        <w:pStyle w:val="BodyText"/>
        <w:spacing w:line="240" w:lineRule="auto"/>
        <w:ind w:right="0"/>
        <w:jc w:val="both"/>
      </w:pPr>
      <w:r>
        <w:rPr>
          <w:rFonts w:ascii="Times New Roman" w:hAnsi="Times New Roman" w:cs="Times New Roman" w:eastAsia="Times New Roman" w:hint="default"/>
        </w:rPr>
        <w:t>5</w:t>
      </w:r>
      <w:r>
        <w:rPr/>
        <w:t>、合并范围内除上述公司以外其他控股子公司本年度执行的企业所得税率为</w:t>
      </w:r>
      <w:r>
        <w:rPr>
          <w:rFonts w:ascii="Times New Roman" w:hAnsi="Times New Roman" w:cs="Times New Roman" w:eastAsia="Times New Roman" w:hint="default"/>
        </w:rPr>
        <w:t>25%</w:t>
      </w:r>
      <w:r>
        <w:rPr/>
        <w:t>。</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26"/>
          <w:szCs w:val="26"/>
        </w:rPr>
      </w:pPr>
    </w:p>
    <w:p>
      <w:pPr>
        <w:pStyle w:val="Heading3"/>
        <w:spacing w:line="240" w:lineRule="auto"/>
        <w:ind w:right="0"/>
        <w:jc w:val="both"/>
        <w:rPr>
          <w:b w:val="0"/>
          <w:bCs w:val="0"/>
        </w:rPr>
      </w:pPr>
      <w:r>
        <w:rPr>
          <w:rFonts w:ascii="Times New Roman" w:hAnsi="Times New Roman" w:cs="Times New Roman" w:eastAsia="Times New Roman" w:hint="default"/>
        </w:rPr>
        <w:t>3</w:t>
      </w:r>
      <w:r>
        <w:rPr/>
        <w:t>、其他</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2"/>
        <w:spacing w:line="240" w:lineRule="auto"/>
        <w:ind w:right="0"/>
        <w:jc w:val="both"/>
        <w:rPr>
          <w:b w:val="0"/>
          <w:bCs w:val="0"/>
        </w:rPr>
      </w:pPr>
      <w:r>
        <w:rPr/>
        <w:t>七、合并财务报表项目注释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4"/>
        <w:rPr>
          <w:rFonts w:ascii="宋体" w:hAnsi="宋体" w:cs="宋体" w:eastAsia="宋体" w:hint="default"/>
          <w:b/>
          <w:bCs/>
          <w:sz w:val="26"/>
          <w:szCs w:val="26"/>
        </w:rPr>
      </w:pPr>
    </w:p>
    <w:p>
      <w:pPr>
        <w:spacing w:before="0"/>
        <w:ind w:left="0" w:right="2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11,415.42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12,749.72</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917,215,130.02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319,704,779.64</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456,180.73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1,730,225.23</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917,682,726.17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321,447,754.59</w:t>
            </w:r>
          </w:p>
        </w:tc>
      </w:tr>
    </w:tbl>
    <w:p>
      <w:pPr>
        <w:spacing w:before="49"/>
        <w:ind w:left="152" w:right="101"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Heading3"/>
        <w:spacing w:line="240" w:lineRule="auto" w:before="96"/>
        <w:ind w:left="870" w:right="101"/>
        <w:jc w:val="left"/>
        <w:rPr>
          <w:b w:val="0"/>
          <w:bCs w:val="0"/>
        </w:rPr>
      </w:pPr>
      <w:r>
        <w:rPr/>
        <w:t>其中受限制的货币资金明细如下：</w:t>
      </w:r>
      <w:r>
        <w:rPr>
          <w:b w:val="0"/>
          <w:bCs w:val="0"/>
        </w:rPr>
      </w:r>
    </w:p>
    <w:p>
      <w:pPr>
        <w:spacing w:line="240" w:lineRule="auto" w:before="8"/>
        <w:rPr>
          <w:rFonts w:ascii="宋体" w:hAnsi="宋体" w:cs="宋体" w:eastAsia="宋体" w:hint="default"/>
          <w:b/>
          <w:bCs/>
          <w:sz w:val="27"/>
          <w:szCs w:val="27"/>
        </w:rPr>
      </w:pPr>
    </w:p>
    <w:tbl>
      <w:tblPr>
        <w:tblW w:w="0" w:type="auto"/>
        <w:jc w:val="left"/>
        <w:tblInd w:w="753" w:type="dxa"/>
        <w:tblLayout w:type="fixed"/>
        <w:tblCellMar>
          <w:top w:w="0" w:type="dxa"/>
          <w:left w:w="0" w:type="dxa"/>
          <w:bottom w:w="0" w:type="dxa"/>
          <w:right w:w="0" w:type="dxa"/>
        </w:tblCellMar>
        <w:tblLook w:val="01E0"/>
      </w:tblPr>
      <w:tblGrid>
        <w:gridCol w:w="3337"/>
        <w:gridCol w:w="2237"/>
        <w:gridCol w:w="2240"/>
      </w:tblGrid>
      <w:tr>
        <w:trPr>
          <w:trHeight w:val="346" w:hRule="exact"/>
        </w:trPr>
        <w:tc>
          <w:tcPr>
            <w:tcW w:w="333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693"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24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693" w:right="0"/>
              <w:jc w:val="left"/>
              <w:rPr>
                <w:rFonts w:ascii="宋体" w:hAnsi="宋体" w:cs="宋体" w:eastAsia="宋体" w:hint="default"/>
                <w:sz w:val="21"/>
                <w:szCs w:val="21"/>
              </w:rPr>
            </w:pPr>
            <w:r>
              <w:rPr>
                <w:rFonts w:ascii="宋体" w:hAnsi="宋体" w:cs="宋体" w:eastAsia="宋体" w:hint="default"/>
                <w:sz w:val="21"/>
                <w:szCs w:val="21"/>
              </w:rPr>
              <w:t>年初余额</w:t>
            </w:r>
          </w:p>
        </w:tc>
      </w:tr>
      <w:tr>
        <w:trPr>
          <w:trHeight w:val="348" w:hRule="exact"/>
        </w:trPr>
        <w:tc>
          <w:tcPr>
            <w:tcW w:w="333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银行承兑汇票保证金</w:t>
            </w:r>
          </w:p>
        </w:tc>
        <w:tc>
          <w:tcPr>
            <w:tcW w:w="2237" w:type="dxa"/>
            <w:tcBorders>
              <w:top w:val="single" w:sz="6" w:space="0" w:color="000000"/>
              <w:left w:val="single" w:sz="6" w:space="0" w:color="000000"/>
              <w:bottom w:val="single" w:sz="6" w:space="0" w:color="000000"/>
              <w:right w:val="single" w:sz="6" w:space="0" w:color="000000"/>
            </w:tcBorders>
          </w:tcPr>
          <w:p>
            <w:pPr/>
          </w:p>
        </w:tc>
        <w:tc>
          <w:tcPr>
            <w:tcW w:w="22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403,884.17</w:t>
            </w:r>
          </w:p>
        </w:tc>
      </w:tr>
      <w:tr>
        <w:trPr>
          <w:trHeight w:val="348" w:hRule="exact"/>
        </w:trPr>
        <w:tc>
          <w:tcPr>
            <w:tcW w:w="333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z w:val="21"/>
                <w:szCs w:val="21"/>
              </w:rPr>
              <w:t>履约保证金</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277" w:right="-3"/>
              <w:jc w:val="left"/>
              <w:rPr>
                <w:rFonts w:ascii="Times New Roman" w:hAnsi="Times New Roman" w:cs="Times New Roman" w:eastAsia="Times New Roman" w:hint="default"/>
                <w:sz w:val="21"/>
                <w:szCs w:val="21"/>
              </w:rPr>
            </w:pPr>
            <w:r>
              <w:rPr>
                <w:rFonts w:ascii="Times New Roman"/>
                <w:sz w:val="21"/>
              </w:rPr>
              <w:t>456,180.73</w:t>
            </w:r>
          </w:p>
        </w:tc>
        <w:tc>
          <w:tcPr>
            <w:tcW w:w="22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1,326,341.06</w:t>
            </w:r>
          </w:p>
        </w:tc>
      </w:tr>
    </w:tbl>
    <w:p>
      <w:pPr>
        <w:spacing w:after="0" w:line="240" w:lineRule="auto"/>
        <w:jc w:val="right"/>
        <w:rPr>
          <w:rFonts w:ascii="Times New Roman" w:hAnsi="Times New Roman" w:cs="Times New Roman" w:eastAsia="Times New Roman" w:hint="default"/>
          <w:sz w:val="21"/>
          <w:szCs w:val="21"/>
        </w:rPr>
        <w:sectPr>
          <w:pgSz w:w="11910" w:h="16840"/>
          <w:pgMar w:header="745" w:footer="979" w:top="1060" w:bottom="1160" w:left="980" w:right="920"/>
        </w:sectPr>
      </w:pPr>
    </w:p>
    <w:p>
      <w:pPr>
        <w:spacing w:line="240" w:lineRule="auto" w:before="6"/>
        <w:rPr>
          <w:rFonts w:ascii="宋体" w:hAnsi="宋体" w:cs="宋体" w:eastAsia="宋体" w:hint="default"/>
          <w:b/>
          <w:bCs/>
          <w:sz w:val="28"/>
          <w:szCs w:val="28"/>
        </w:rPr>
      </w:pPr>
    </w:p>
    <w:tbl>
      <w:tblPr>
        <w:tblW w:w="0" w:type="auto"/>
        <w:jc w:val="left"/>
        <w:tblInd w:w="753" w:type="dxa"/>
        <w:tblLayout w:type="fixed"/>
        <w:tblCellMar>
          <w:top w:w="0" w:type="dxa"/>
          <w:left w:w="0" w:type="dxa"/>
          <w:bottom w:w="0" w:type="dxa"/>
          <w:right w:w="0" w:type="dxa"/>
        </w:tblCellMar>
        <w:tblLook w:val="01E0"/>
      </w:tblPr>
      <w:tblGrid>
        <w:gridCol w:w="3337"/>
        <w:gridCol w:w="2237"/>
        <w:gridCol w:w="2240"/>
      </w:tblGrid>
      <w:tr>
        <w:trPr>
          <w:trHeight w:val="348" w:hRule="exact"/>
        </w:trPr>
        <w:tc>
          <w:tcPr>
            <w:tcW w:w="333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277" w:right="-3"/>
              <w:jc w:val="left"/>
              <w:rPr>
                <w:rFonts w:ascii="Times New Roman" w:hAnsi="Times New Roman" w:cs="Times New Roman" w:eastAsia="Times New Roman" w:hint="default"/>
                <w:sz w:val="21"/>
                <w:szCs w:val="21"/>
              </w:rPr>
            </w:pPr>
            <w:r>
              <w:rPr>
                <w:rFonts w:ascii="Times New Roman"/>
                <w:sz w:val="21"/>
              </w:rPr>
              <w:t>456,180.73</w:t>
            </w:r>
          </w:p>
        </w:tc>
        <w:tc>
          <w:tcPr>
            <w:tcW w:w="22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120" w:right="0"/>
              <w:jc w:val="left"/>
              <w:rPr>
                <w:rFonts w:ascii="Times New Roman" w:hAnsi="Times New Roman" w:cs="Times New Roman" w:eastAsia="Times New Roman" w:hint="default"/>
                <w:sz w:val="21"/>
                <w:szCs w:val="21"/>
              </w:rPr>
            </w:pPr>
            <w:r>
              <w:rPr>
                <w:rFonts w:ascii="Times New Roman"/>
                <w:sz w:val="21"/>
              </w:rPr>
              <w:t>1,730,225.23</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3</w:t>
      </w:r>
      <w:r>
        <w:rPr/>
        <w:t>、衍生金融资产</w:t>
      </w:r>
      <w:r>
        <w:rPr>
          <w:b w:val="0"/>
          <w:bCs w:val="0"/>
        </w:rPr>
      </w:r>
    </w:p>
    <w:p>
      <w:pPr>
        <w:spacing w:line="240" w:lineRule="auto" w:before="5"/>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4</w:t>
      </w:r>
      <w:r>
        <w:rPr/>
        <w:t>、应收票据</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）应收票据分类列示</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1,673,648.70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1,319,024.00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1,673,648.70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1,319,024.00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）期末公司已质押的应收票据</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13"/>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71"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9"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7"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5</w:t>
      </w:r>
      <w:r>
        <w:rPr/>
        <w:t>、应收账款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1"/>
        <w:gridCol w:w="763"/>
        <w:gridCol w:w="763"/>
        <w:gridCol w:w="788"/>
        <w:gridCol w:w="655"/>
        <w:gridCol w:w="761"/>
        <w:gridCol w:w="814"/>
        <w:gridCol w:w="934"/>
        <w:gridCol w:w="931"/>
      </w:tblGrid>
      <w:tr>
        <w:trPr>
          <w:trHeight w:val="396"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2"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2" w:hRule="exact"/>
        </w:trPr>
        <w:tc>
          <w:tcPr>
            <w:tcW w:w="16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2" w:type="dxa"/>
            <w:vMerge/>
            <w:tcBorders>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2" w:hRule="exact"/>
        </w:trPr>
        <w:tc>
          <w:tcPr>
            <w:tcW w:w="1612" w:type="dxa"/>
            <w:vMerge w:val="restart"/>
            <w:tcBorders>
              <w:top w:val="single" w:sz="4" w:space="0" w:color="FFFFFF"/>
              <w:left w:val="single" w:sz="4" w:space="0" w:color="000000"/>
              <w:right w:val="single" w:sz="4" w:space="0" w:color="000000"/>
            </w:tcBorders>
            <w:shd w:val="clear" w:color="auto" w:fill="D2D2D2"/>
          </w:tcPr>
          <w:p>
            <w:pP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2"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8"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8"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150,665,</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953.20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6,409,20</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3.55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4.25%</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144,256,7</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49.65</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173,041</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,571.68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5,768,931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.26</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3.33%</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167,272,64</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0.42</w:t>
            </w:r>
          </w:p>
        </w:tc>
      </w:tr>
      <w:tr>
        <w:trPr>
          <w:trHeight w:val="161" w:hRule="exact"/>
        </w:trPr>
        <w:tc>
          <w:tcPr>
            <w:tcW w:w="161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9" w:space="0" w:color="D2D2D2"/>
              <w:right w:val="single" w:sz="4" w:space="0" w:color="000000"/>
            </w:tcBorders>
          </w:tcPr>
          <w:p>
            <w:pPr>
              <w:pStyle w:val="TableParagraph"/>
              <w:spacing w:line="240" w:lineRule="auto" w:before="91"/>
              <w:ind w:left="84" w:right="0"/>
              <w:jc w:val="center"/>
              <w:rPr>
                <w:rFonts w:ascii="Times New Roman" w:hAnsi="Times New Roman" w:cs="Times New Roman" w:eastAsia="Times New Roman" w:hint="default"/>
                <w:sz w:val="18"/>
                <w:szCs w:val="18"/>
              </w:rPr>
            </w:pPr>
            <w:r>
              <w:rPr>
                <w:rFonts w:ascii="Times New Roman"/>
                <w:sz w:val="18"/>
              </w:rPr>
              <w:t>150,665,</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953.20</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6,409,20</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3.55</w:t>
            </w:r>
          </w:p>
        </w:tc>
        <w:tc>
          <w:tcPr>
            <w:tcW w:w="763" w:type="dxa"/>
            <w:vMerge w:val="restart"/>
            <w:tcBorders>
              <w:top w:val="single" w:sz="4" w:space="0" w:color="000000"/>
              <w:left w:val="single" w:sz="4" w:space="0" w:color="000000"/>
              <w:right w:val="single" w:sz="4" w:space="0" w:color="000000"/>
            </w:tcBorders>
          </w:tcPr>
          <w:p>
            <w:pPr/>
          </w:p>
        </w:tc>
        <w:tc>
          <w:tcPr>
            <w:tcW w:w="788"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144,256,7</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49.65</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173,041</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,571.68</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5,768,931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.26</w:t>
            </w:r>
          </w:p>
        </w:tc>
        <w:tc>
          <w:tcPr>
            <w:tcW w:w="934" w:type="dxa"/>
            <w:vMerge w:val="restart"/>
            <w:tcBorders>
              <w:top w:val="single" w:sz="4" w:space="0" w:color="000000"/>
              <w:left w:val="single" w:sz="4" w:space="0" w:color="000000"/>
              <w:right w:val="single" w:sz="4" w:space="0" w:color="000000"/>
            </w:tcBorders>
          </w:tcPr>
          <w:p>
            <w:pP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167,272,64</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0.42</w:t>
            </w:r>
          </w:p>
        </w:tc>
      </w:tr>
      <w:tr>
        <w:trPr>
          <w:trHeight w:val="391" w:hRule="exact"/>
        </w:trPr>
        <w:tc>
          <w:tcPr>
            <w:tcW w:w="16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8"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1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8"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38" w:lineRule="auto" w:before="117"/>
        <w:ind w:left="152"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组合中，按账龄分析法计提坏账准备的应收账款：</w:t>
      </w:r>
    </w:p>
    <w:p>
      <w:pPr>
        <w:spacing w:before="43"/>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4293" w:space="4536"/>
            <w:col w:w="1121"/>
          </w:cols>
        </w:sectPr>
      </w:pP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2"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天内</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81,523,235.84</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天至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38,094,450.34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1,904,722.52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23,113,071.85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2,311,307.19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6,201,705.35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1,240,341.07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1,561,314.10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780,657.05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4"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172,175.72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172,175.72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150,665,953.20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6,409,203.55</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line="357" w:lineRule="auto" w:before="49"/>
        <w:ind w:left="152" w:right="5454"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组合中，采用余额百分比法计提坏账准备的应收账款：</w:t>
      </w:r>
    </w:p>
    <w:p>
      <w:pPr>
        <w:spacing w:line="338" w:lineRule="auto" w:before="29"/>
        <w:ind w:left="152" w:right="58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组合中，采用其他方法计提坏账准备的应收账款：</w:t>
      </w:r>
    </w:p>
    <w:p>
      <w:pPr>
        <w:spacing w:line="240" w:lineRule="auto" w:before="7"/>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6"/>
          <w:szCs w:val="26"/>
        </w:rPr>
      </w:pPr>
    </w:p>
    <w:p>
      <w:pPr>
        <w:spacing w:line="338" w:lineRule="auto" w:before="0"/>
        <w:ind w:left="152" w:right="3611"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640,272.29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 </w:t>
      </w:r>
      <w:r>
        <w:rPr>
          <w:rFonts w:ascii="宋体" w:hAnsi="宋体" w:cs="宋体" w:eastAsia="宋体" w:hint="default"/>
          <w:sz w:val="18"/>
          <w:szCs w:val="18"/>
        </w:rPr>
        <w:t>元。 其中本期坏账准备收回或转回金额重要的：</w:t>
      </w:r>
    </w:p>
    <w:p>
      <w:pPr>
        <w:spacing w:after="0" w:line="338" w:lineRule="auto"/>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10"/>
        <w:rPr>
          <w:rFonts w:ascii="宋体" w:hAnsi="宋体" w:cs="宋体" w:eastAsia="宋体" w:hint="default"/>
          <w:sz w:val="25"/>
          <w:szCs w:val="25"/>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716"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523" w:right="71"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应收账款核销说明：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4"/>
        <w:rPr>
          <w:rFonts w:ascii="宋体" w:hAnsi="宋体" w:cs="宋体" w:eastAsia="宋体" w:hint="default"/>
          <w:b/>
          <w:bCs/>
          <w:sz w:val="26"/>
          <w:szCs w:val="26"/>
        </w:rPr>
      </w:pPr>
    </w:p>
    <w:p>
      <w:pPr>
        <w:spacing w:line="360" w:lineRule="auto" w:before="0"/>
        <w:ind w:left="152" w:right="6714"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tbl>
      <w:tblPr>
        <w:tblW w:w="0" w:type="auto"/>
        <w:jc w:val="left"/>
        <w:tblInd w:w="753" w:type="dxa"/>
        <w:tblLayout w:type="fixed"/>
        <w:tblCellMar>
          <w:top w:w="0" w:type="dxa"/>
          <w:left w:w="0" w:type="dxa"/>
          <w:bottom w:w="0" w:type="dxa"/>
          <w:right w:w="0" w:type="dxa"/>
        </w:tblCellMar>
        <w:tblLook w:val="01E0"/>
      </w:tblPr>
      <w:tblGrid>
        <w:gridCol w:w="2905"/>
        <w:gridCol w:w="1589"/>
        <w:gridCol w:w="1901"/>
        <w:gridCol w:w="1419"/>
      </w:tblGrid>
      <w:tr>
        <w:trPr>
          <w:trHeight w:val="348" w:hRule="exact"/>
        </w:trPr>
        <w:tc>
          <w:tcPr>
            <w:tcW w:w="2905" w:type="dxa"/>
            <w:vMerge w:val="restart"/>
            <w:tcBorders>
              <w:top w:val="single" w:sz="6" w:space="0" w:color="000000"/>
              <w:left w:val="single" w:sz="6" w:space="0" w:color="000000"/>
              <w:right w:val="single" w:sz="6" w:space="0" w:color="000000"/>
            </w:tcBorders>
          </w:tcPr>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4909" w:type="dxa"/>
            <w:gridSpan w:val="3"/>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660" w:hRule="exact"/>
        </w:trPr>
        <w:tc>
          <w:tcPr>
            <w:tcW w:w="2905" w:type="dxa"/>
            <w:vMerge/>
            <w:tcBorders>
              <w:left w:val="single" w:sz="6" w:space="0" w:color="000000"/>
              <w:bottom w:val="single" w:sz="6" w:space="0" w:color="000000"/>
              <w:right w:val="single" w:sz="6" w:space="0" w:color="000000"/>
            </w:tcBorders>
          </w:tcPr>
          <w:p>
            <w:pP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369"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56" w:right="151" w:firstLine="261"/>
              <w:jc w:val="left"/>
              <w:rPr>
                <w:rFonts w:ascii="Times New Roman" w:hAnsi="Times New Roman" w:cs="Times New Roman" w:eastAsia="Times New Roman" w:hint="default"/>
                <w:sz w:val="21"/>
                <w:szCs w:val="21"/>
              </w:rPr>
            </w:pPr>
            <w:r>
              <w:rPr>
                <w:rFonts w:ascii="宋体" w:hAnsi="宋体" w:cs="宋体" w:eastAsia="宋体" w:hint="default"/>
                <w:sz w:val="21"/>
                <w:szCs w:val="21"/>
              </w:rPr>
              <w:t>占应收账款</w:t>
            </w:r>
            <w:r>
              <w:rPr>
                <w:rFonts w:ascii="宋体" w:hAnsi="宋体" w:cs="宋体" w:eastAsia="宋体" w:hint="default"/>
                <w:w w:val="100"/>
                <w:sz w:val="21"/>
                <w:szCs w:val="21"/>
              </w:rPr>
              <w:t> </w:t>
            </w:r>
            <w:r>
              <w:rPr>
                <w:rFonts w:ascii="宋体" w:hAnsi="宋体" w:cs="宋体" w:eastAsia="宋体" w:hint="default"/>
                <w:sz w:val="21"/>
                <w:szCs w:val="21"/>
              </w:rPr>
              <w:t>合计数的比例</w:t>
            </w:r>
            <w:r>
              <w:rPr>
                <w:rFonts w:ascii="Times New Roman" w:hAnsi="Times New Roman" w:cs="Times New Roman" w:eastAsia="Times New Roman" w:hint="default"/>
                <w:sz w:val="21"/>
                <w:szCs w:val="21"/>
              </w:rPr>
              <w:t>(%)</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80"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658" w:hRule="exact"/>
        </w:trPr>
        <w:tc>
          <w:tcPr>
            <w:tcW w:w="290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151"/>
              <w:jc w:val="left"/>
              <w:rPr>
                <w:rFonts w:ascii="宋体" w:hAnsi="宋体" w:cs="宋体" w:eastAsia="宋体" w:hint="default"/>
                <w:sz w:val="21"/>
                <w:szCs w:val="21"/>
              </w:rPr>
            </w:pPr>
            <w:r>
              <w:rPr>
                <w:rFonts w:ascii="宋体" w:hAnsi="宋体" w:cs="宋体" w:eastAsia="宋体" w:hint="default"/>
                <w:spacing w:val="-2"/>
                <w:sz w:val="21"/>
                <w:szCs w:val="21"/>
              </w:rPr>
              <w:t>中国移动通信集团浙江有限公</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司</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28,315,207.03</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z w:val="21"/>
              </w:rPr>
              <w:t>18.79</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1,195,555.48</w:t>
            </w:r>
          </w:p>
        </w:tc>
      </w:tr>
      <w:tr>
        <w:trPr>
          <w:trHeight w:val="348" w:hRule="exact"/>
        </w:trPr>
        <w:tc>
          <w:tcPr>
            <w:tcW w:w="290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上海新炬网络技术有限公司</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3"/>
              <w:jc w:val="right"/>
              <w:rPr>
                <w:rFonts w:ascii="Times New Roman" w:hAnsi="Times New Roman" w:cs="Times New Roman" w:eastAsia="Times New Roman" w:hint="default"/>
                <w:sz w:val="21"/>
                <w:szCs w:val="21"/>
              </w:rPr>
            </w:pPr>
            <w:r>
              <w:rPr>
                <w:rFonts w:ascii="Times New Roman"/>
                <w:spacing w:val="-1"/>
                <w:sz w:val="21"/>
              </w:rPr>
              <w:t>8,918,840.00</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z w:val="21"/>
              </w:rPr>
              <w:t>5.92</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530,542.00</w:t>
            </w:r>
          </w:p>
        </w:tc>
      </w:tr>
      <w:tr>
        <w:trPr>
          <w:trHeight w:val="346" w:hRule="exact"/>
        </w:trPr>
        <w:tc>
          <w:tcPr>
            <w:tcW w:w="290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z w:val="21"/>
                <w:szCs w:val="21"/>
              </w:rPr>
              <w:t>东软集团股份有限公司</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7,894,026.00</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z w:val="21"/>
              </w:rPr>
              <w:t>5.24</w:t>
            </w:r>
          </w:p>
        </w:tc>
        <w:tc>
          <w:tcPr>
            <w:tcW w:w="1419"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90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中国电信股份有限公司</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3"/>
              <w:jc w:val="right"/>
              <w:rPr>
                <w:rFonts w:ascii="Times New Roman" w:hAnsi="Times New Roman" w:cs="Times New Roman" w:eastAsia="Times New Roman" w:hint="default"/>
                <w:sz w:val="21"/>
                <w:szCs w:val="21"/>
              </w:rPr>
            </w:pPr>
            <w:r>
              <w:rPr>
                <w:rFonts w:ascii="Times New Roman"/>
                <w:spacing w:val="-1"/>
                <w:sz w:val="21"/>
              </w:rPr>
              <w:t>5,624,885.42</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z w:val="21"/>
              </w:rPr>
              <w:t>3.73</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262,171.47</w:t>
            </w:r>
          </w:p>
        </w:tc>
      </w:tr>
      <w:tr>
        <w:trPr>
          <w:trHeight w:val="658" w:hRule="exact"/>
        </w:trPr>
        <w:tc>
          <w:tcPr>
            <w:tcW w:w="290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151"/>
              <w:jc w:val="left"/>
              <w:rPr>
                <w:rFonts w:ascii="宋体" w:hAnsi="宋体" w:cs="宋体" w:eastAsia="宋体" w:hint="default"/>
                <w:sz w:val="21"/>
                <w:szCs w:val="21"/>
              </w:rPr>
            </w:pPr>
            <w:r>
              <w:rPr>
                <w:rFonts w:ascii="宋体" w:hAnsi="宋体" w:cs="宋体" w:eastAsia="宋体" w:hint="default"/>
                <w:spacing w:val="-2"/>
                <w:sz w:val="21"/>
                <w:szCs w:val="21"/>
              </w:rPr>
              <w:t>中国移动通信集团江西有限公</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司</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5,040,590.62</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z w:val="21"/>
              </w:rPr>
              <w:t>3.35</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125,333.73</w:t>
            </w:r>
          </w:p>
        </w:tc>
      </w:tr>
      <w:tr>
        <w:trPr>
          <w:trHeight w:val="348" w:hRule="exact"/>
        </w:trPr>
        <w:tc>
          <w:tcPr>
            <w:tcW w:w="290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3"/>
              <w:jc w:val="right"/>
              <w:rPr>
                <w:rFonts w:ascii="Times New Roman" w:hAnsi="Times New Roman" w:cs="Times New Roman" w:eastAsia="Times New Roman" w:hint="default"/>
                <w:sz w:val="21"/>
                <w:szCs w:val="21"/>
              </w:rPr>
            </w:pPr>
            <w:r>
              <w:rPr>
                <w:rFonts w:ascii="Times New Roman"/>
                <w:spacing w:val="-1"/>
                <w:sz w:val="21"/>
              </w:rPr>
              <w:t>55,793,549.07</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z w:val="21"/>
              </w:rPr>
              <w:t>37.03</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2,113,602.68</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6</w:t>
      </w:r>
      <w:r>
        <w:rPr/>
        <w:t>、预付款项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3"/>
        <w:gridCol w:w="1915"/>
        <w:gridCol w:w="1916"/>
      </w:tblGrid>
      <w:tr>
        <w:trPr>
          <w:trHeight w:val="207"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829" w:type="dxa"/>
            <w:gridSpan w:val="2"/>
            <w:vMerge/>
            <w:tcBorders>
              <w:left w:val="single" w:sz="4" w:space="0" w:color="000000"/>
              <w:bottom w:val="single" w:sz="4" w:space="0" w:color="000000"/>
              <w:right w:val="single" w:sz="4" w:space="0" w:color="000000"/>
            </w:tcBorders>
            <w:shd w:val="clear" w:color="auto" w:fill="D2D2D2"/>
          </w:tcPr>
          <w:p>
            <w:pPr/>
          </w:p>
        </w:tc>
        <w:tc>
          <w:tcPr>
            <w:tcW w:w="3831"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4,595,726.46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95.86%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6,560,086.94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8" w:right="0"/>
              <w:jc w:val="lef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198,649.89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4.14%</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4,794,376.35</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6,560,086.94</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年且金额重要的预付款项未及时结算原因的说明：</w:t>
      </w:r>
    </w:p>
    <w:p>
      <w:pPr>
        <w:pStyle w:val="BodyText"/>
        <w:spacing w:line="240" w:lineRule="auto" w:before="80"/>
        <w:ind w:right="0"/>
        <w:jc w:val="left"/>
      </w:pPr>
      <w:r>
        <w:rPr/>
        <w:t>截至本年末，无账龄超过一年且金额重大的预付款项。</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753" w:type="dxa"/>
        <w:tblLayout w:type="fixed"/>
        <w:tblCellMar>
          <w:top w:w="0" w:type="dxa"/>
          <w:left w:w="0" w:type="dxa"/>
          <w:bottom w:w="0" w:type="dxa"/>
          <w:right w:w="0" w:type="dxa"/>
        </w:tblCellMar>
        <w:tblLook w:val="01E0"/>
      </w:tblPr>
      <w:tblGrid>
        <w:gridCol w:w="4155"/>
        <w:gridCol w:w="1690"/>
        <w:gridCol w:w="1889"/>
      </w:tblGrid>
      <w:tr>
        <w:trPr>
          <w:trHeight w:val="658" w:hRule="exact"/>
        </w:trPr>
        <w:tc>
          <w:tcPr>
            <w:tcW w:w="415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预付对象</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17"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88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01" w:right="94" w:hanging="106"/>
              <w:jc w:val="left"/>
              <w:rPr>
                <w:rFonts w:ascii="宋体" w:hAnsi="宋体" w:cs="宋体" w:eastAsia="宋体" w:hint="default"/>
                <w:sz w:val="21"/>
                <w:szCs w:val="21"/>
              </w:rPr>
            </w:pPr>
            <w:r>
              <w:rPr>
                <w:rFonts w:ascii="宋体" w:hAnsi="宋体" w:cs="宋体" w:eastAsia="宋体" w:hint="default"/>
                <w:sz w:val="21"/>
                <w:szCs w:val="21"/>
              </w:rPr>
              <w:t>占预付款项期末余</w:t>
            </w:r>
            <w:r>
              <w:rPr>
                <w:rFonts w:ascii="宋体" w:hAnsi="宋体" w:cs="宋体" w:eastAsia="宋体" w:hint="default"/>
                <w:w w:val="100"/>
                <w:sz w:val="21"/>
                <w:szCs w:val="21"/>
              </w:rPr>
              <w:t> </w:t>
            </w:r>
            <w:r>
              <w:rPr>
                <w:rFonts w:ascii="宋体" w:hAnsi="宋体" w:cs="宋体" w:eastAsia="宋体" w:hint="default"/>
                <w:sz w:val="21"/>
                <w:szCs w:val="21"/>
              </w:rPr>
              <w:t>额合计数的比例</w:t>
            </w:r>
          </w:p>
        </w:tc>
      </w:tr>
      <w:tr>
        <w:trPr>
          <w:trHeight w:val="348" w:hRule="exact"/>
        </w:trPr>
        <w:tc>
          <w:tcPr>
            <w:tcW w:w="415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上海复深蓝软件股份有限公司</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pacing w:val="-1"/>
                <w:sz w:val="21"/>
              </w:rPr>
              <w:t>2,012,482.53</w:t>
            </w:r>
          </w:p>
        </w:tc>
        <w:tc>
          <w:tcPr>
            <w:tcW w:w="18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z w:val="21"/>
              </w:rPr>
              <w:t>41.98</w:t>
            </w:r>
          </w:p>
        </w:tc>
      </w:tr>
      <w:tr>
        <w:trPr>
          <w:trHeight w:val="346" w:hRule="exact"/>
        </w:trPr>
        <w:tc>
          <w:tcPr>
            <w:tcW w:w="415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z w:val="21"/>
                <w:szCs w:val="21"/>
              </w:rPr>
              <w:t>上海明承企业管理服务部</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1,060,000.00</w:t>
            </w:r>
          </w:p>
        </w:tc>
        <w:tc>
          <w:tcPr>
            <w:tcW w:w="18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z w:val="21"/>
              </w:rPr>
              <w:t>22.11</w:t>
            </w:r>
          </w:p>
        </w:tc>
      </w:tr>
      <w:tr>
        <w:trPr>
          <w:trHeight w:val="348" w:hRule="exact"/>
        </w:trPr>
        <w:tc>
          <w:tcPr>
            <w:tcW w:w="415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浙江博地物业服务有限公司</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pacing w:val="-1"/>
                <w:sz w:val="21"/>
              </w:rPr>
              <w:t>518,456.10</w:t>
            </w:r>
          </w:p>
        </w:tc>
        <w:tc>
          <w:tcPr>
            <w:tcW w:w="18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z w:val="21"/>
              </w:rPr>
              <w:t>10.81</w:t>
            </w:r>
          </w:p>
        </w:tc>
      </w:tr>
      <w:tr>
        <w:trPr>
          <w:trHeight w:val="346" w:hRule="exact"/>
        </w:trPr>
        <w:tc>
          <w:tcPr>
            <w:tcW w:w="415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z w:val="21"/>
                <w:szCs w:val="21"/>
              </w:rPr>
              <w:t>深圳市全景网络有限公司</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165,094.31</w:t>
            </w:r>
          </w:p>
        </w:tc>
        <w:tc>
          <w:tcPr>
            <w:tcW w:w="18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z w:val="21"/>
              </w:rPr>
              <w:t>3.44</w:t>
            </w:r>
          </w:p>
        </w:tc>
      </w:tr>
      <w:tr>
        <w:trPr>
          <w:trHeight w:val="348" w:hRule="exact"/>
        </w:trPr>
        <w:tc>
          <w:tcPr>
            <w:tcW w:w="415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山东圭瑞能源工程有限公司</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pacing w:val="-1"/>
                <w:sz w:val="21"/>
              </w:rPr>
              <w:t>151,761.00</w:t>
            </w:r>
          </w:p>
        </w:tc>
        <w:tc>
          <w:tcPr>
            <w:tcW w:w="18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z w:val="21"/>
              </w:rPr>
              <w:t>3.17</w:t>
            </w:r>
          </w:p>
        </w:tc>
      </w:tr>
      <w:tr>
        <w:trPr>
          <w:trHeight w:val="348" w:hRule="exact"/>
        </w:trPr>
        <w:tc>
          <w:tcPr>
            <w:tcW w:w="415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3,907,793.94</w:t>
            </w:r>
          </w:p>
        </w:tc>
        <w:tc>
          <w:tcPr>
            <w:tcW w:w="18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81.51</w:t>
            </w:r>
          </w:p>
        </w:tc>
      </w:tr>
    </w:tbl>
    <w:p>
      <w:pPr>
        <w:spacing w:line="240" w:lineRule="auto" w:before="3"/>
        <w:rPr>
          <w:rFonts w:ascii="宋体" w:hAnsi="宋体" w:cs="宋体" w:eastAsia="宋体" w:hint="default"/>
          <w:b/>
          <w:bCs/>
          <w:sz w:val="24"/>
          <w:szCs w:val="24"/>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7</w:t>
      </w:r>
      <w:r>
        <w:rPr/>
        <w:t>、应收利息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）应收利息分类</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599,551.17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392,932.24</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599,551.17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392,932.24</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）重要逾期利息</w:t>
      </w:r>
      <w:r>
        <w:rPr>
          <w:b w:val="0"/>
          <w:bCs w:val="0"/>
        </w:rPr>
      </w:r>
    </w:p>
    <w:p>
      <w:pPr>
        <w:spacing w:line="240" w:lineRule="auto" w:before="8"/>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0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773" w:right="39" w:hanging="721"/>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8</w:t>
      </w:r>
      <w:r>
        <w:rPr/>
        <w:t>、应收股利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）应收股利</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上海复深蓝软件股份有限公司</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9,179,645.78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9,179,645.78</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）重要的账龄超过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年的应收股利</w:t>
      </w:r>
      <w:r>
        <w:rPr>
          <w:b w:val="0"/>
          <w:bCs w:val="0"/>
        </w:rPr>
      </w:r>
    </w:p>
    <w:p>
      <w:pPr>
        <w:spacing w:line="240" w:lineRule="auto" w:before="13"/>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04"/>
      </w:tblGrid>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773" w:right="39" w:hanging="721"/>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9</w:t>
      </w:r>
      <w:r>
        <w:rPr/>
        <w:t>、其他应收款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35"/>
        <w:gridCol w:w="763"/>
        <w:gridCol w:w="761"/>
        <w:gridCol w:w="763"/>
        <w:gridCol w:w="763"/>
        <w:gridCol w:w="788"/>
        <w:gridCol w:w="655"/>
        <w:gridCol w:w="761"/>
        <w:gridCol w:w="814"/>
        <w:gridCol w:w="934"/>
        <w:gridCol w:w="931"/>
      </w:tblGrid>
      <w:tr>
        <w:trPr>
          <w:trHeight w:val="396"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2"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2"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8"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sz w:val="18"/>
              </w:rPr>
              <w:t>11,376,9</w:t>
            </w:r>
          </w:p>
          <w:p>
            <w:pPr>
              <w:pStyle w:val="TableParagraph"/>
              <w:spacing w:line="240" w:lineRule="auto" w:before="105"/>
              <w:ind w:left="320" w:right="0"/>
              <w:jc w:val="left"/>
              <w:rPr>
                <w:rFonts w:ascii="Times New Roman" w:hAnsi="Times New Roman" w:cs="Times New Roman" w:eastAsia="Times New Roman" w:hint="default"/>
                <w:sz w:val="18"/>
                <w:szCs w:val="18"/>
              </w:rPr>
            </w:pPr>
            <w:r>
              <w:rPr>
                <w:rFonts w:ascii="Times New Roman"/>
                <w:sz w:val="18"/>
              </w:rPr>
              <w:t>56.93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813,190.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7.15%</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10,563,76</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6.28</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10,031,</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960.24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824,275.2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8.22%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9,207,684.9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r>
      <w:tr>
        <w:trPr>
          <w:trHeight w:val="161" w:hRule="exact"/>
        </w:trPr>
        <w:tc>
          <w:tcPr>
            <w:tcW w:w="16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11,376,9</w:t>
            </w:r>
          </w:p>
          <w:p>
            <w:pPr>
              <w:pStyle w:val="TableParagraph"/>
              <w:spacing w:line="240" w:lineRule="auto" w:before="105"/>
              <w:ind w:left="320" w:right="0"/>
              <w:jc w:val="left"/>
              <w:rPr>
                <w:rFonts w:ascii="Times New Roman" w:hAnsi="Times New Roman" w:cs="Times New Roman" w:eastAsia="Times New Roman" w:hint="default"/>
                <w:sz w:val="18"/>
                <w:szCs w:val="18"/>
              </w:rPr>
            </w:pPr>
            <w:r>
              <w:rPr>
                <w:rFonts w:ascii="Times New Roman"/>
                <w:sz w:val="18"/>
              </w:rPr>
              <w:t>56.93</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813,190.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65</w:t>
            </w:r>
          </w:p>
        </w:tc>
        <w:tc>
          <w:tcPr>
            <w:tcW w:w="763" w:type="dxa"/>
            <w:vMerge w:val="restart"/>
            <w:tcBorders>
              <w:top w:val="single" w:sz="4" w:space="0" w:color="000000"/>
              <w:left w:val="single" w:sz="4" w:space="0" w:color="000000"/>
              <w:right w:val="single" w:sz="4" w:space="0" w:color="000000"/>
            </w:tcBorders>
          </w:tcPr>
          <w:p>
            <w:pPr/>
          </w:p>
        </w:tc>
        <w:tc>
          <w:tcPr>
            <w:tcW w:w="788"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10,563,76</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6.28</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1"/>
              <w:ind w:left="83" w:right="0"/>
              <w:jc w:val="left"/>
              <w:rPr>
                <w:rFonts w:ascii="Times New Roman" w:hAnsi="Times New Roman" w:cs="Times New Roman" w:eastAsia="Times New Roman" w:hint="default"/>
                <w:sz w:val="18"/>
                <w:szCs w:val="18"/>
              </w:rPr>
            </w:pPr>
            <w:r>
              <w:rPr>
                <w:rFonts w:ascii="Times New Roman"/>
                <w:sz w:val="18"/>
              </w:rPr>
              <w:t>10,031,</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960.24</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824,275.2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934" w:type="dxa"/>
            <w:vMerge w:val="restart"/>
            <w:tcBorders>
              <w:top w:val="single" w:sz="4" w:space="0" w:color="000000"/>
              <w:left w:val="single" w:sz="4" w:space="0" w:color="000000"/>
              <w:right w:val="single" w:sz="4" w:space="0" w:color="000000"/>
            </w:tcBorders>
          </w:tcPr>
          <w:p>
            <w:pP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9,207,684.9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r>
      <w:tr>
        <w:trPr>
          <w:trHeight w:val="392" w:hRule="exact"/>
        </w:trPr>
        <w:tc>
          <w:tcPr>
            <w:tcW w:w="16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8"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8"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38" w:lineRule="auto" w:before="117"/>
        <w:ind w:left="152"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组合中，按账龄分析法计提坏账准备的其他应收款：</w:t>
      </w:r>
    </w:p>
    <w:p>
      <w:pPr>
        <w:spacing w:before="43"/>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4473" w:space="4356"/>
            <w:col w:w="1121"/>
          </w:cols>
        </w:sectPr>
      </w:pP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3"/>
        <w:gridCol w:w="2393"/>
        <w:gridCol w:w="2393"/>
      </w:tblGrid>
      <w:tr>
        <w:trPr>
          <w:trHeight w:val="402" w:hRule="exact"/>
        </w:trPr>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8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0"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7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7" w:right="0"/>
              <w:jc w:val="left"/>
              <w:rPr>
                <w:rFonts w:ascii="Times New Roman" w:hAnsi="Times New Roman" w:cs="Times New Roman" w:eastAsia="Times New Roman" w:hint="default"/>
                <w:sz w:val="18"/>
                <w:szCs w:val="18"/>
              </w:rPr>
            </w:pPr>
            <w:r>
              <w:rPr>
                <w:rFonts w:ascii="Times New Roman"/>
                <w:sz w:val="18"/>
              </w:rPr>
              <w:t>10,423,556.93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48" w:right="0"/>
              <w:jc w:val="left"/>
              <w:rPr>
                <w:rFonts w:ascii="Times New Roman" w:hAnsi="Times New Roman" w:cs="Times New Roman" w:eastAsia="Times New Roman" w:hint="default"/>
                <w:sz w:val="18"/>
                <w:szCs w:val="18"/>
              </w:rPr>
            </w:pPr>
            <w:r>
              <w:rPr>
                <w:rFonts w:ascii="Times New Roman"/>
                <w:sz w:val="18"/>
              </w:rPr>
              <w:t>521,177.85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222,608.00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22,260.80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552,550.00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110,510.00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20.00%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140,242.00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140,242.00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11,376,956.93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813,190.65</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line="357" w:lineRule="auto" w:before="49"/>
        <w:ind w:left="152" w:right="5274"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组合中，采用余额百分比法计提坏账准备的其他应收款：</w:t>
      </w:r>
    </w:p>
    <w:p>
      <w:pPr>
        <w:spacing w:line="338" w:lineRule="auto" w:before="29"/>
        <w:ind w:left="152" w:right="56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组合中，采用其他方法计提坏账准备的其他应收款：</w:t>
      </w: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79" w:top="1060" w:bottom="1160" w:left="980" w:right="980"/>
        </w:sectPr>
      </w:pPr>
    </w:p>
    <w:p>
      <w:pPr>
        <w:spacing w:line="338" w:lineRule="auto" w:before="44"/>
        <w:ind w:left="152" w:right="-15"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11,084.61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6227" w:space="2602"/>
            <w:col w:w="112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1"/>
        <w:gridCol w:w="4789"/>
      </w:tblGrid>
      <w:tr>
        <w:trPr>
          <w:trHeight w:val="402"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其中重要的其他应收款核销情况：</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3"/>
        <w:gridCol w:w="1594"/>
        <w:gridCol w:w="1596"/>
        <w:gridCol w:w="1594"/>
        <w:gridCol w:w="1594"/>
        <w:gridCol w:w="1596"/>
      </w:tblGrid>
      <w:tr>
        <w:trPr>
          <w:trHeight w:val="715"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3" w:right="72"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125,720.70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270,271.70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887,593.32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1,886,921.28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项目投标及履约保证金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3,452,687.92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3,883,458.43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扶持资金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6,910,954.99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3,649,000.00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342,308.83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11,376,956.93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10,031,960.24</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pict>
          <v:shape style="position:absolute;margin-left:369.790009pt;margin-top:106.791725pt;width:85.35pt;height:31.2pt;mso-position-horizontal-relative:page;mso-position-vertical-relative:paragraph;z-index:-1016296" type="#_x0000_t202" filled="false" stroked="false">
            <v:textbox inset="0,0,0,0">
              <w:txbxContent>
                <w:p>
                  <w:pPr>
                    <w:spacing w:line="240" w:lineRule="auto" w:before="0"/>
                    <w:rPr>
                      <w:rFonts w:ascii="宋体" w:hAnsi="宋体" w:cs="宋体" w:eastAsia="宋体" w:hint="default"/>
                      <w:sz w:val="18"/>
                      <w:szCs w:val="18"/>
                    </w:rPr>
                  </w:pPr>
                </w:p>
                <w:p>
                  <w:pPr>
                    <w:spacing w:before="125"/>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375.790009pt;margin-top:106.791725pt;width:79.350pt;height:51.55pt;mso-position-horizontal-relative:page;mso-position-vertical-relative:paragraph;z-index:-1016272" coordorigin="7516,2136" coordsize="1587,1031">
            <v:group style="position:absolute;left:7516;top:2136;width:1587;height:624" coordorigin="7516,2136" coordsize="1587,624">
              <v:shape style="position:absolute;left:7516;top:2136;width:1587;height:624" coordorigin="7516,2136" coordsize="1587,624" path="m7516,2760l9103,2760,9103,2136,7516,2136,7516,2760xe" filled="true" fillcolor="#ffffff" stroked="false">
                <v:path arrowok="t"/>
                <v:fill type="solid"/>
              </v:shape>
            </v:group>
            <v:group style="position:absolute;left:7528;top:2760;width:2;height:395" coordorigin="7528,2760" coordsize="2,395">
              <v:shape style="position:absolute;left:7528;top:2760;width:2;height:395" coordorigin="7528,2760" coordsize="0,395" path="m7528,2760l7528,3154e" filled="false" stroked="true" strokeweight="1.2pt" strokecolor="#ffffff">
                <v:path arrowok="t"/>
              </v:shape>
            </v:group>
            <v:group style="position:absolute;left:7540;top:2760;width:1539;height:395" coordorigin="7540,2760" coordsize="1539,395">
              <v:shape style="position:absolute;left:7540;top:2760;width:1539;height:395" coordorigin="7540,2760" coordsize="1539,395" path="m7540,3154l9079,3154,9079,2760,7540,2760,7540,3154xe" filled="true" fillcolor="#ffffff" stroked="false">
                <v:path arrowok="t"/>
                <v:fill type="solid"/>
              </v:shape>
            </v:group>
            <w10:wrap type="none"/>
          </v:group>
        </w:pict>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 w:right="7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102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上海青浦工业园区 </w:t>
            </w:r>
            <w:r>
              <w:rPr>
                <w:rFonts w:ascii="宋体" w:hAnsi="宋体" w:cs="宋体" w:eastAsia="宋体" w:hint="default"/>
                <w:spacing w:val="-10"/>
                <w:sz w:val="18"/>
                <w:szCs w:val="18"/>
              </w:rPr>
              <w:t>发展（集团）有限公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扶持资金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6,910,954.99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60.75%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345,547.75</w:t>
            </w:r>
          </w:p>
        </w:tc>
      </w:tr>
      <w:tr>
        <w:trPr>
          <w:trHeight w:val="165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4" w:right="118"/>
              <w:jc w:val="both"/>
              <w:rPr>
                <w:rFonts w:ascii="宋体" w:hAnsi="宋体" w:cs="宋体" w:eastAsia="宋体" w:hint="default"/>
                <w:sz w:val="18"/>
                <w:szCs w:val="18"/>
              </w:rPr>
            </w:pPr>
            <w:r>
              <w:rPr>
                <w:rFonts w:ascii="宋体" w:hAnsi="宋体" w:cs="宋体" w:eastAsia="宋体" w:hint="default"/>
                <w:sz w:val="18"/>
                <w:szCs w:val="18"/>
              </w:rPr>
              <w:t>杭州市市级机关事 业单位会计结算中 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472,175.00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47</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2"/>
                <w:sz w:val="18"/>
                <w:szCs w:val="18"/>
              </w:rPr>
              <w:t>0</w:t>
            </w:r>
            <w:r>
              <w:rPr>
                <w:rFonts w:ascii="宋体" w:hAnsi="宋体" w:cs="宋体" w:eastAsia="宋体" w:hint="default"/>
                <w:spacing w:val="-92"/>
                <w:sz w:val="18"/>
                <w:szCs w:val="18"/>
              </w:rPr>
              <w:t>；</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至</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91</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2"/>
                <w:sz w:val="18"/>
                <w:szCs w:val="18"/>
              </w:rPr>
              <w:t>0</w:t>
            </w:r>
            <w:r>
              <w:rPr>
                <w:rFonts w:ascii="宋体" w:hAnsi="宋体" w:cs="宋体" w:eastAsia="宋体" w:hint="default"/>
                <w:spacing w:val="-92"/>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至</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p>
          <w:p>
            <w:pPr>
              <w:pStyle w:val="TableParagraph"/>
              <w:spacing w:line="300" w:lineRule="auto" w:before="63"/>
              <w:ind w:left="23" w:right="7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219,500.00</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 上：</w:t>
            </w:r>
            <w:r>
              <w:rPr>
                <w:rFonts w:ascii="Times New Roman" w:hAnsi="Times New Roman" w:cs="Times New Roman" w:eastAsia="Times New Roman" w:hint="default"/>
                <w:sz w:val="18"/>
                <w:szCs w:val="18"/>
              </w:rPr>
              <w:t>114,000.00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tabs>
                <w:tab w:pos="1096" w:val="left" w:leader="none"/>
              </w:tabs>
              <w:spacing w:line="240" w:lineRule="auto"/>
              <w:ind w:left="-120" w:right="19"/>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4.15%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169,393.75</w:t>
            </w:r>
          </w:p>
        </w:tc>
      </w:tr>
      <w:tr>
        <w:trPr>
          <w:trHeight w:val="102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上海市公安局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364,630.50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150,130.50</w:t>
            </w:r>
            <w:r>
              <w:rPr>
                <w:rFonts w:ascii="宋体" w:hAnsi="宋体" w:cs="宋体" w:eastAsia="宋体" w:hint="default"/>
                <w:sz w:val="18"/>
                <w:szCs w:val="18"/>
              </w:rPr>
              <w:t>；</w:t>
            </w: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Times New Roman" w:hAnsi="Times New Roman" w:cs="Times New Roman" w:eastAsia="Times New Roman" w:hint="default"/>
                <w:sz w:val="18"/>
                <w:szCs w:val="18"/>
              </w:rPr>
              <w:t>214,500.00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50,406.53</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枣庄市人力资源和 社会保障局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299,400.00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14,970.00</w:t>
            </w:r>
          </w:p>
        </w:tc>
      </w:tr>
      <w:tr>
        <w:trPr>
          <w:trHeight w:val="102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18"/>
              <w:jc w:val="both"/>
              <w:rPr>
                <w:rFonts w:ascii="宋体" w:hAnsi="宋体" w:cs="宋体" w:eastAsia="宋体" w:hint="default"/>
                <w:sz w:val="18"/>
                <w:szCs w:val="18"/>
              </w:rPr>
            </w:pPr>
            <w:r>
              <w:rPr>
                <w:rFonts w:ascii="宋体" w:hAnsi="宋体" w:cs="宋体" w:eastAsia="宋体" w:hint="default"/>
                <w:sz w:val="18"/>
                <w:szCs w:val="18"/>
              </w:rPr>
              <w:t>上海漕河泾开发区 物业管理有限公司 绿洲分公司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物业押金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283,975.84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14,198.79</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8,331,136.33</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73.23%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594,516.82</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3"/>
        <w:gridCol w:w="1916"/>
        <w:gridCol w:w="1913"/>
        <w:gridCol w:w="1918"/>
      </w:tblGrid>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84" w:right="53" w:hanging="632"/>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r>
        <w:trPr>
          <w:trHeight w:val="102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上海青浦工业园区发展</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（集团）有限公司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扶持资金</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6,910,954.99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日前</w:t>
            </w:r>
            <w:r>
              <w:rPr>
                <w:rFonts w:ascii="宋体" w:hAnsi="宋体" w:cs="宋体" w:eastAsia="宋体" w:hint="default"/>
                <w:spacing w:val="-75"/>
                <w:sz w:val="18"/>
                <w:szCs w:val="18"/>
              </w:rPr>
              <w:t>，</w:t>
            </w:r>
            <w:r>
              <w:rPr>
                <w:rFonts w:ascii="宋体" w:hAnsi="宋体" w:cs="宋体" w:eastAsia="宋体" w:hint="default"/>
                <w:sz w:val="18"/>
                <w:szCs w:val="18"/>
              </w:rPr>
              <w:t>金</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额</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pacing w:val="1"/>
                <w:sz w:val="18"/>
                <w:szCs w:val="18"/>
              </w:rPr>
              <w:t>54</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r>
              <w:rPr>
                <w:rFonts w:ascii="宋体" w:hAnsi="宋体" w:cs="宋体" w:eastAsia="宋体" w:hint="default"/>
                <w:spacing w:val="-75"/>
                <w:sz w:val="18"/>
                <w:szCs w:val="18"/>
              </w:rPr>
              <w:t>，</w:t>
            </w:r>
            <w:r>
              <w:rPr>
                <w:rFonts w:ascii="宋体" w:hAnsi="宋体" w:cs="宋体" w:eastAsia="宋体" w:hint="default"/>
                <w:sz w:val="18"/>
                <w:szCs w:val="18"/>
              </w:rPr>
              <w:t>根据</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签署的扶持协议。</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6,910,954.99</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10</w:t>
      </w:r>
      <w:r>
        <w:rPr/>
        <w:t>、存货</w:t>
      </w:r>
      <w:r>
        <w:rPr>
          <w:b w:val="0"/>
          <w:bCs w:val="0"/>
        </w:rPr>
      </w:r>
    </w:p>
    <w:p>
      <w:pPr>
        <w:spacing w:line="240" w:lineRule="auto" w:before="4"/>
        <w:rPr>
          <w:rFonts w:ascii="宋体" w:hAnsi="宋体" w:cs="宋体" w:eastAsia="宋体" w:hint="default"/>
          <w:b/>
          <w:bCs/>
          <w:sz w:val="26"/>
          <w:szCs w:val="26"/>
        </w:rPr>
      </w:pPr>
    </w:p>
    <w:p>
      <w:pPr>
        <w:spacing w:line="357" w:lineRule="auto" w:before="0"/>
        <w:ind w:left="152" w:right="6534" w:firstLine="0"/>
        <w:jc w:val="left"/>
        <w:rPr>
          <w:rFonts w:ascii="宋体" w:hAnsi="宋体" w:cs="宋体" w:eastAsia="宋体" w:hint="default"/>
          <w:sz w:val="18"/>
          <w:szCs w:val="18"/>
        </w:rPr>
      </w:pPr>
      <w:r>
        <w:rPr>
          <w:rFonts w:ascii="宋体" w:hAnsi="宋体" w:cs="宋体" w:eastAsia="宋体" w:hint="default"/>
          <w:sz w:val="18"/>
          <w:szCs w:val="18"/>
        </w:rPr>
        <w:t>公司是否需要遵守房地产行业的披露要求 否</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9" w:type="dxa"/>
            <w:vMerge w:val="restart"/>
            <w:tcBorders>
              <w:top w:val="single" w:sz="4" w:space="0" w:color="000000"/>
              <w:left w:val="single" w:sz="4" w:space="0" w:color="000000"/>
              <w:right w:val="single" w:sz="4" w:space="0" w:color="FFFFFF"/>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FFFFFF"/>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4"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FFFFFF"/>
            </w:tcBorders>
            <w:shd w:val="clear" w:color="auto" w:fill="D2D2D2"/>
          </w:tcPr>
          <w:p>
            <w:pPr/>
          </w:p>
        </w:tc>
        <w:tc>
          <w:tcPr>
            <w:tcW w:w="1368" w:type="dxa"/>
            <w:vMerge/>
            <w:tcBorders>
              <w:left w:val="single" w:sz="4" w:space="0" w:color="FFFFFF"/>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9" w:type="dxa"/>
            <w:tcBorders>
              <w:top w:val="single" w:sz="4" w:space="0" w:color="000000"/>
              <w:left w:val="single" w:sz="12" w:space="0" w:color="D2D2D2"/>
              <w:bottom w:val="single" w:sz="4" w:space="0" w:color="000000"/>
              <w:right w:val="single" w:sz="4" w:space="0" w:color="FFFFFF"/>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30,352,199.14</w:t>
            </w:r>
          </w:p>
        </w:tc>
        <w:tc>
          <w:tcPr>
            <w:tcW w:w="1368"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6,716,176.41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23,636,022.73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36,496,660.04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3,925,020.14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32,571,639.90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9"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8,978,534.55</w:t>
            </w:r>
          </w:p>
        </w:tc>
        <w:tc>
          <w:tcPr>
            <w:tcW w:w="1368" w:type="dxa"/>
            <w:tcBorders>
              <w:top w:val="single" w:sz="4" w:space="0" w:color="000000"/>
              <w:left w:val="single" w:sz="4" w:space="0" w:color="FFFFFF"/>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8,978,534.55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13,334,369.27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13,334,369.27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39,330,733.69</w:t>
            </w:r>
          </w:p>
        </w:tc>
        <w:tc>
          <w:tcPr>
            <w:tcW w:w="1368"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6,716,176.41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32,614,557.28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49,831,029.31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3,925,020.14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45,906,009.17</w:t>
            </w:r>
          </w:p>
        </w:tc>
      </w:tr>
    </w:tbl>
    <w:p>
      <w:pPr>
        <w:spacing w:line="338" w:lineRule="auto" w:before="49"/>
        <w:ind w:left="152" w:right="1496"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公司是否需遵守《深圳证券交易所行业信息披露指引第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上市公司从事种业、种植业务》的披露要求 否</w:t>
      </w:r>
    </w:p>
    <w:p>
      <w:pPr>
        <w:spacing w:line="340" w:lineRule="auto" w:before="43"/>
        <w:ind w:left="152" w:right="596"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上市公司从事广播电影电视业务》的披露要求 否</w:t>
      </w:r>
    </w:p>
    <w:p>
      <w:pPr>
        <w:spacing w:line="340" w:lineRule="auto" w:before="39"/>
        <w:ind w:left="152" w:right="776"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上市公司从事互联网游戏业务》的披露要求 否</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60"/>
        <w:ind w:right="0"/>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4"/>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6"/>
        <w:gridCol w:w="1369"/>
        <w:gridCol w:w="1368"/>
        <w:gridCol w:w="1366"/>
        <w:gridCol w:w="1368"/>
        <w:gridCol w:w="1366"/>
        <w:gridCol w:w="1368"/>
      </w:tblGrid>
      <w:tr>
        <w:trPr>
          <w:trHeight w:val="206"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9"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35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356" w:type="dxa"/>
            <w:vMerge/>
            <w:tcBorders>
              <w:left w:val="single" w:sz="4" w:space="0" w:color="000000"/>
              <w:bottom w:val="nil" w:sz="6" w:space="0" w:color="auto"/>
              <w:right w:val="single" w:sz="4" w:space="0" w:color="000000"/>
            </w:tcBorders>
            <w:shd w:val="clear" w:color="auto" w:fill="D2D2D2"/>
          </w:tcPr>
          <w:p>
            <w:pPr/>
          </w:p>
        </w:tc>
        <w:tc>
          <w:tcPr>
            <w:tcW w:w="1369"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27"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3,925,020.14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2,791,156.27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6,716,176.41</w:t>
            </w: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3,925,020.14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2,791,156.27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6,716,176.41</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before="50"/>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11</w:t>
      </w:r>
      <w:r>
        <w:rPr/>
        <w:t>、持有待售的资产</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3"/>
        <w:gridCol w:w="1916"/>
        <w:gridCol w:w="1913"/>
        <w:gridCol w:w="1906"/>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9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3"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spacing w:before="50"/>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12</w:t>
      </w:r>
      <w:r>
        <w:rPr/>
        <w:t>、一年内到期的非流动资产</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13</w:t>
      </w:r>
      <w:r>
        <w:rPr/>
        <w:t>、其他流动资产</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增值税进项留抵</w:t>
            </w:r>
            <w:r>
              <w:rPr>
                <w:rFonts w:ascii="Times New Roman" w:hAnsi="Times New Roman" w:cs="Times New Roman" w:eastAsia="Times New Roman" w:hint="default"/>
                <w:sz w:val="18"/>
                <w:szCs w:val="18"/>
              </w:rPr>
              <w:t>/</w:t>
            </w:r>
            <w:r>
              <w:rPr>
                <w:rFonts w:ascii="宋体" w:hAnsi="宋体" w:cs="宋体" w:eastAsia="宋体" w:hint="default"/>
                <w:sz w:val="18"/>
                <w:szCs w:val="18"/>
              </w:rPr>
              <w:t>待抵税额</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6,763,843.34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11,918,051.13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6,763,843.34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11,918,051.13</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14</w:t>
      </w:r>
      <w:r>
        <w:rPr/>
        <w:t>、可供出售金融资产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001"/>
        <w:gridCol w:w="1195"/>
        <w:gridCol w:w="1198"/>
        <w:gridCol w:w="1196"/>
        <w:gridCol w:w="1248"/>
        <w:gridCol w:w="1369"/>
        <w:gridCol w:w="1366"/>
      </w:tblGrid>
      <w:tr>
        <w:trPr>
          <w:trHeight w:val="206" w:hRule="exact"/>
        </w:trPr>
        <w:tc>
          <w:tcPr>
            <w:tcW w:w="20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58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20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8"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2001"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20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19,839,589.00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19,839,589.00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16,000,000.00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16,000,000.00</w:t>
            </w:r>
          </w:p>
        </w:tc>
      </w:tr>
      <w:tr>
        <w:trPr>
          <w:trHeight w:val="401"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按成本计量的</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19,839,589.00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19,839,589.00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16,000,000.00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16,000,000.00</w:t>
            </w:r>
          </w:p>
        </w:tc>
      </w:tr>
      <w:tr>
        <w:trPr>
          <w:trHeight w:val="403"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19,839,589.00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19,839,589.00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16,000,000.00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16,000,000.00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4"/>
        <w:gridCol w:w="1903"/>
      </w:tblGrid>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4" w:type="dxa"/>
            <w:tcBorders>
              <w:top w:val="single" w:sz="4" w:space="0" w:color="000000"/>
              <w:left w:val="single" w:sz="4" w:space="0" w:color="000000"/>
              <w:bottom w:val="single" w:sz="4" w:space="0" w:color="000000"/>
              <w:right w:val="single" w:sz="13" w:space="0" w:color="D2D2D2"/>
            </w:tcBorders>
            <w:shd w:val="clear" w:color="auto" w:fill="E0FFFF"/>
          </w:tcPr>
          <w:p>
            <w:pPr/>
          </w:p>
        </w:tc>
        <w:tc>
          <w:tcPr>
            <w:tcW w:w="1903" w:type="dxa"/>
            <w:tcBorders>
              <w:top w:val="single" w:sz="4" w:space="0" w:color="000000"/>
              <w:left w:val="single" w:sz="12" w:space="0" w:color="E0FFFF"/>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3"/>
        <w:gridCol w:w="869"/>
        <w:gridCol w:w="871"/>
        <w:gridCol w:w="869"/>
        <w:gridCol w:w="871"/>
        <w:gridCol w:w="869"/>
        <w:gridCol w:w="871"/>
        <w:gridCol w:w="869"/>
        <w:gridCol w:w="872"/>
        <w:gridCol w:w="869"/>
        <w:gridCol w:w="871"/>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69"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69" w:right="67"/>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9" w:right="71"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3"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0"/>
              <w:ind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0"/>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0"/>
              <w:ind w:left="7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0"/>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0"/>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0"/>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0"/>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0"/>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69" w:type="dxa"/>
            <w:vMerge/>
            <w:tcBorders>
              <w:left w:val="single" w:sz="4" w:space="0" w:color="000000"/>
              <w:bottom w:val="single" w:sz="4" w:space="0" w:color="000000"/>
              <w:right w:val="single" w:sz="4" w:space="0" w:color="000000"/>
            </w:tcBorders>
            <w:shd w:val="clear" w:color="auto" w:fill="D2D2D2"/>
          </w:tcPr>
          <w:p>
            <w:pPr/>
          </w:p>
        </w:tc>
        <w:tc>
          <w:tcPr>
            <w:tcW w:w="871"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2" w:right="0"/>
              <w:jc w:val="left"/>
              <w:rPr>
                <w:rFonts w:ascii="宋体" w:hAnsi="宋体" w:cs="宋体" w:eastAsia="宋体" w:hint="default"/>
                <w:sz w:val="18"/>
                <w:szCs w:val="18"/>
              </w:rPr>
            </w:pPr>
            <w:r>
              <w:rPr>
                <w:rFonts w:ascii="宋体" w:hAnsi="宋体" w:cs="宋体" w:eastAsia="宋体" w:hint="default"/>
                <w:sz w:val="18"/>
                <w:szCs w:val="18"/>
              </w:rPr>
              <w:t>苏州北极</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4" w:right="0"/>
              <w:jc w:val="center"/>
              <w:rPr>
                <w:rFonts w:ascii="Times New Roman" w:hAnsi="Times New Roman" w:cs="Times New Roman" w:eastAsia="Times New Roman" w:hint="default"/>
                <w:sz w:val="18"/>
                <w:szCs w:val="18"/>
              </w:rPr>
            </w:pPr>
            <w:r>
              <w:rPr>
                <w:rFonts w:ascii="Times New Roman"/>
                <w:sz w:val="18"/>
              </w:rPr>
              <w:t>16,000,000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48" w:right="0"/>
              <w:jc w:val="center"/>
              <w:rPr>
                <w:rFonts w:ascii="Times New Roman" w:hAnsi="Times New Roman" w:cs="Times New Roman" w:eastAsia="Times New Roman" w:hint="default"/>
                <w:sz w:val="18"/>
                <w:szCs w:val="18"/>
              </w:rPr>
            </w:pPr>
            <w:r>
              <w:rPr>
                <w:rFonts w:ascii="Times New Roman"/>
                <w:sz w:val="18"/>
              </w:rPr>
              <w:t>4,000,000.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3" w:right="0"/>
              <w:jc w:val="left"/>
              <w:rPr>
                <w:rFonts w:ascii="Times New Roman" w:hAnsi="Times New Roman" w:cs="Times New Roman" w:eastAsia="Times New Roman" w:hint="default"/>
                <w:sz w:val="18"/>
                <w:szCs w:val="18"/>
              </w:rPr>
            </w:pPr>
            <w:r>
              <w:rPr>
                <w:rFonts w:ascii="Times New Roman"/>
                <w:sz w:val="18"/>
              </w:rPr>
              <w:t>160,411.00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 w:right="0"/>
              <w:jc w:val="center"/>
              <w:rPr>
                <w:rFonts w:ascii="Times New Roman" w:hAnsi="Times New Roman" w:cs="Times New Roman" w:eastAsia="Times New Roman" w:hint="default"/>
                <w:sz w:val="18"/>
                <w:szCs w:val="18"/>
              </w:rPr>
            </w:pPr>
            <w:r>
              <w:rPr>
                <w:rFonts w:ascii="Times New Roman"/>
                <w:sz w:val="18"/>
              </w:rPr>
              <w:t>19,839,589</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72" w:right="0"/>
              <w:jc w:val="left"/>
              <w:rPr>
                <w:rFonts w:ascii="Times New Roman" w:hAnsi="Times New Roman" w:cs="Times New Roman" w:eastAsia="Times New Roman" w:hint="default"/>
                <w:sz w:val="18"/>
                <w:szCs w:val="18"/>
              </w:rPr>
            </w:pPr>
            <w:r>
              <w:rPr>
                <w:rFonts w:ascii="Times New Roman"/>
                <w:sz w:val="18"/>
              </w:rPr>
              <w:t>3.17%</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7" w:right="0"/>
              <w:jc w:val="left"/>
              <w:rPr>
                <w:rFonts w:ascii="Times New Roman" w:hAnsi="Times New Roman" w:cs="Times New Roman" w:eastAsia="Times New Roman" w:hint="default"/>
                <w:sz w:val="18"/>
                <w:szCs w:val="18"/>
              </w:rPr>
            </w:pPr>
            <w:r>
              <w:rPr>
                <w:rFonts w:ascii="Times New Roman"/>
                <w:sz w:val="18"/>
              </w:rPr>
              <w:t>35,858.89</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864"/>
        <w:gridCol w:w="869"/>
        <w:gridCol w:w="871"/>
        <w:gridCol w:w="869"/>
        <w:gridCol w:w="871"/>
        <w:gridCol w:w="869"/>
        <w:gridCol w:w="871"/>
        <w:gridCol w:w="869"/>
        <w:gridCol w:w="872"/>
        <w:gridCol w:w="869"/>
        <w:gridCol w:w="871"/>
      </w:tblGrid>
      <w:tr>
        <w:trPr>
          <w:trHeight w:val="1611"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08"/>
              <w:jc w:val="both"/>
              <w:rPr>
                <w:rFonts w:ascii="宋体" w:hAnsi="宋体" w:cs="宋体" w:eastAsia="宋体" w:hint="default"/>
                <w:sz w:val="18"/>
                <w:szCs w:val="18"/>
              </w:rPr>
            </w:pPr>
            <w:r>
              <w:rPr>
                <w:rFonts w:ascii="宋体" w:hAnsi="宋体" w:cs="宋体" w:eastAsia="宋体" w:hint="default"/>
                <w:sz w:val="18"/>
                <w:szCs w:val="18"/>
              </w:rPr>
              <w:t>光正源创 业投资合 伙企业</w:t>
            </w:r>
          </w:p>
          <w:p>
            <w:pPr>
              <w:pStyle w:val="TableParagraph"/>
              <w:spacing w:line="316" w:lineRule="auto" w:before="19"/>
              <w:ind w:left="24" w:right="20"/>
              <w:jc w:val="both"/>
              <w:rPr>
                <w:rFonts w:ascii="宋体" w:hAnsi="宋体" w:cs="宋体" w:eastAsia="宋体" w:hint="default"/>
                <w:sz w:val="18"/>
                <w:szCs w:val="18"/>
              </w:rPr>
            </w:pPr>
            <w:r>
              <w:rPr>
                <w:rFonts w:ascii="宋体" w:hAnsi="宋体" w:cs="宋体" w:eastAsia="宋体" w:hint="default"/>
                <w:sz w:val="18"/>
                <w:szCs w:val="18"/>
              </w:rPr>
              <w:t>（有限合 </w:t>
            </w:r>
            <w:r>
              <w:rPr>
                <w:rFonts w:ascii="宋体" w:hAnsi="宋体" w:cs="宋体" w:eastAsia="宋体" w:hint="default"/>
                <w:spacing w:val="-19"/>
                <w:sz w:val="18"/>
                <w:szCs w:val="18"/>
              </w:rPr>
              <w:t>伙）（注）</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160,411.00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19,839,589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35,858.89</w:t>
            </w:r>
          </w:p>
        </w:tc>
      </w:tr>
    </w:tbl>
    <w:p>
      <w:pPr>
        <w:spacing w:line="240" w:lineRule="auto" w:before="3"/>
        <w:rPr>
          <w:rFonts w:ascii="宋体" w:hAnsi="宋体" w:cs="宋体" w:eastAsia="宋体" w:hint="default"/>
          <w:sz w:val="19"/>
          <w:szCs w:val="19"/>
        </w:rPr>
      </w:pPr>
    </w:p>
    <w:p>
      <w:pPr>
        <w:pStyle w:val="Heading3"/>
        <w:spacing w:line="240" w:lineRule="auto" w:before="36"/>
        <w:ind w:right="101"/>
        <w:jc w:val="left"/>
        <w:rPr>
          <w:b w:val="0"/>
          <w:bCs w:val="0"/>
        </w:rPr>
      </w:pP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13"/>
        <w:rPr>
          <w:rFonts w:ascii="宋体" w:hAnsi="宋体" w:cs="宋体" w:eastAsia="宋体" w:hint="default"/>
          <w:b/>
          <w:bCs/>
          <w:sz w:val="22"/>
          <w:szCs w:val="22"/>
        </w:rPr>
      </w:pPr>
    </w:p>
    <w:p>
      <w:pPr>
        <w:spacing w:before="44"/>
        <w:ind w:left="0" w:right="2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4"/>
        <w:gridCol w:w="1903"/>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4" w:type="dxa"/>
            <w:tcBorders>
              <w:top w:val="single" w:sz="4" w:space="0" w:color="000000"/>
              <w:left w:val="single" w:sz="4" w:space="0" w:color="000000"/>
              <w:bottom w:val="single" w:sz="4" w:space="0" w:color="000000"/>
              <w:right w:val="single" w:sz="13" w:space="0" w:color="D2D2D2"/>
            </w:tcBorders>
            <w:shd w:val="clear" w:color="auto" w:fill="E0FFFF"/>
          </w:tcPr>
          <w:p>
            <w:pPr/>
          </w:p>
        </w:tc>
        <w:tc>
          <w:tcPr>
            <w:tcW w:w="1903" w:type="dxa"/>
            <w:tcBorders>
              <w:top w:val="single" w:sz="4" w:space="0" w:color="000000"/>
              <w:left w:val="single" w:sz="12" w:space="0" w:color="E0FFFF"/>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3"/>
        <w:rPr>
          <w:rFonts w:ascii="宋体" w:hAnsi="宋体" w:cs="宋体" w:eastAsia="宋体" w:hint="default"/>
          <w:sz w:val="19"/>
          <w:szCs w:val="19"/>
        </w:rPr>
      </w:pPr>
    </w:p>
    <w:p>
      <w:pPr>
        <w:pStyle w:val="Heading3"/>
        <w:spacing w:line="240" w:lineRule="auto" w:before="36"/>
        <w:ind w:right="101"/>
        <w:jc w:val="left"/>
        <w:rPr>
          <w:b w:val="0"/>
          <w:bCs w:val="0"/>
        </w:rPr>
      </w:pP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12"/>
        <w:rPr>
          <w:rFonts w:ascii="宋体" w:hAnsi="宋体" w:cs="宋体" w:eastAsia="宋体" w:hint="default"/>
          <w:b/>
          <w:bCs/>
          <w:sz w:val="22"/>
          <w:szCs w:val="22"/>
        </w:rPr>
      </w:pPr>
    </w:p>
    <w:p>
      <w:pPr>
        <w:spacing w:before="44"/>
        <w:ind w:left="0" w:right="2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09" w:right="46" w:hanging="361"/>
              <w:jc w:val="left"/>
              <w:rPr>
                <w:rFonts w:ascii="宋体" w:hAnsi="宋体" w:cs="宋体" w:eastAsia="宋体" w:hint="default"/>
                <w:sz w:val="18"/>
                <w:szCs w:val="18"/>
              </w:rPr>
            </w:pPr>
            <w:r>
              <w:rPr>
                <w:rFonts w:ascii="宋体" w:hAnsi="宋体" w:cs="宋体" w:eastAsia="宋体" w:hint="default"/>
                <w:sz w:val="18"/>
                <w:szCs w:val="18"/>
              </w:rPr>
              <w:t>可供出售权益工 具项目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8" w:right="46"/>
              <w:jc w:val="left"/>
              <w:rPr>
                <w:rFonts w:ascii="宋体" w:hAnsi="宋体" w:cs="宋体" w:eastAsia="宋体" w:hint="default"/>
                <w:sz w:val="18"/>
                <w:szCs w:val="18"/>
              </w:rPr>
            </w:pPr>
            <w:r>
              <w:rPr>
                <w:rFonts w:ascii="宋体" w:hAnsi="宋体" w:cs="宋体" w:eastAsia="宋体" w:hint="default"/>
                <w:sz w:val="18"/>
                <w:szCs w:val="18"/>
              </w:rPr>
              <w:t>公允价值相对于 成本的下跌幅度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（个月）</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未计提减值原因</w:t>
            </w:r>
          </w:p>
        </w:tc>
      </w:tr>
    </w:tbl>
    <w:p>
      <w:pPr>
        <w:spacing w:before="49"/>
        <w:ind w:left="152" w:right="101"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56" w:lineRule="auto" w:before="96"/>
        <w:ind w:right="101"/>
        <w:jc w:val="left"/>
      </w:pPr>
      <w:r>
        <w:rPr>
          <w:spacing w:val="-6"/>
        </w:rPr>
        <w:t>注：</w:t>
      </w:r>
      <w:r>
        <w:rPr>
          <w:rFonts w:ascii="Times New Roman" w:hAnsi="Times New Roman" w:cs="Times New Roman" w:eastAsia="Times New Roman" w:hint="default"/>
          <w:spacing w:val="-6"/>
        </w:rPr>
        <w:t>2016</w:t>
      </w:r>
      <w:r>
        <w:rPr>
          <w:spacing w:val="-6"/>
        </w:rPr>
        <w:t>年</w:t>
      </w:r>
      <w:r>
        <w:rPr>
          <w:rFonts w:ascii="Times New Roman" w:hAnsi="Times New Roman" w:cs="Times New Roman" w:eastAsia="Times New Roman" w:hint="default"/>
          <w:spacing w:val="-6"/>
        </w:rPr>
        <w:t>1</w:t>
      </w:r>
      <w:r>
        <w:rPr>
          <w:spacing w:val="-6"/>
        </w:rPr>
        <w:t>月</w:t>
      </w:r>
      <w:r>
        <w:rPr>
          <w:rFonts w:ascii="Times New Roman" w:hAnsi="Times New Roman" w:cs="Times New Roman" w:eastAsia="Times New Roman" w:hint="default"/>
          <w:spacing w:val="-6"/>
        </w:rPr>
        <w:t>21</w:t>
      </w:r>
      <w:r>
        <w:rPr>
          <w:spacing w:val="-6"/>
        </w:rPr>
        <w:t>日，公司第二届董事会第二十二次会议审议通过了《关于出资参与股权投资基金的议案》，</w:t>
      </w:r>
      <w:r>
        <w:rPr>
          <w:spacing w:val="-39"/>
        </w:rPr>
        <w:t> </w:t>
      </w:r>
      <w:r>
        <w:rPr>
          <w:spacing w:val="-39"/>
        </w:rPr>
      </w:r>
      <w:r>
        <w:rPr>
          <w:spacing w:val="2"/>
        </w:rPr>
        <w:t>同意向苏州北极光正源创业投资合伙企业</w:t>
      </w:r>
      <w:r>
        <w:rPr>
          <w:rFonts w:ascii="Times New Roman" w:hAnsi="Times New Roman" w:cs="Times New Roman" w:eastAsia="Times New Roman" w:hint="default"/>
          <w:spacing w:val="2"/>
        </w:rPr>
        <w:t>(</w:t>
      </w:r>
      <w:r>
        <w:rPr>
          <w:spacing w:val="2"/>
        </w:rPr>
        <w:t>以下简称</w:t>
      </w:r>
      <w:r>
        <w:rPr>
          <w:rFonts w:ascii="Times New Roman" w:hAnsi="Times New Roman" w:cs="Times New Roman" w:eastAsia="Times New Roman" w:hint="default"/>
          <w:spacing w:val="2"/>
        </w:rPr>
        <w:t>“</w:t>
      </w:r>
      <w:r>
        <w:rPr>
          <w:spacing w:val="2"/>
        </w:rPr>
        <w:t>合伙企业</w:t>
      </w:r>
      <w:r>
        <w:rPr>
          <w:rFonts w:ascii="Times New Roman" w:hAnsi="Times New Roman" w:cs="Times New Roman" w:eastAsia="Times New Roman" w:hint="default"/>
          <w:spacing w:val="2"/>
        </w:rPr>
        <w:t>”)</w:t>
      </w:r>
      <w:r>
        <w:rPr>
          <w:spacing w:val="2"/>
        </w:rPr>
        <w:t>出资人民币</w:t>
      </w:r>
      <w:r>
        <w:rPr>
          <w:rFonts w:ascii="Times New Roman" w:hAnsi="Times New Roman" w:cs="Times New Roman" w:eastAsia="Times New Roman" w:hint="default"/>
          <w:spacing w:val="2"/>
        </w:rPr>
        <w:t>2,000</w:t>
      </w:r>
      <w:r>
        <w:rPr>
          <w:spacing w:val="2"/>
        </w:rPr>
        <w:t>万元并成为其有限合伙</w:t>
      </w:r>
      <w:r>
        <w:rPr>
          <w:spacing w:val="4"/>
        </w:rPr>
        <w:t> </w:t>
      </w:r>
      <w:r>
        <w:rPr>
          <w:spacing w:val="4"/>
        </w:rPr>
      </w:r>
      <w:r>
        <w:rPr>
          <w:spacing w:val="-3"/>
        </w:rPr>
        <w:t>人。截至本年末，公司累计已出资人民币</w:t>
      </w:r>
      <w:r>
        <w:rPr>
          <w:rFonts w:ascii="Times New Roman" w:hAnsi="Times New Roman" w:cs="Times New Roman" w:eastAsia="Times New Roman" w:hint="default"/>
          <w:spacing w:val="-3"/>
        </w:rPr>
        <w:t>2,000</w:t>
      </w:r>
      <w:r>
        <w:rPr>
          <w:spacing w:val="-3"/>
        </w:rPr>
        <w:t>万元，本年减少系合伙企业投资项目退出返还合伙人实缴出</w:t>
      </w:r>
      <w:r>
        <w:rPr>
          <w:spacing w:val="-46"/>
        </w:rPr>
        <w:t> </w:t>
      </w:r>
      <w:r>
        <w:rPr>
          <w:spacing w:val="-46"/>
        </w:rPr>
      </w:r>
      <w:r>
        <w:rPr/>
        <w:t>资。</w:t>
      </w:r>
    </w:p>
    <w:p>
      <w:pPr>
        <w:spacing w:line="240" w:lineRule="auto" w:before="8"/>
        <w:rPr>
          <w:rFonts w:ascii="宋体" w:hAnsi="宋体" w:cs="宋体" w:eastAsia="宋体" w:hint="default"/>
          <w:sz w:val="24"/>
          <w:szCs w:val="24"/>
        </w:rPr>
      </w:pPr>
    </w:p>
    <w:p>
      <w:pPr>
        <w:pStyle w:val="Heading3"/>
        <w:spacing w:line="240" w:lineRule="auto"/>
        <w:ind w:right="101"/>
        <w:jc w:val="left"/>
        <w:rPr>
          <w:b w:val="0"/>
          <w:bCs w:val="0"/>
        </w:rPr>
      </w:pPr>
      <w:r>
        <w:rPr>
          <w:rFonts w:ascii="Times New Roman" w:hAnsi="Times New Roman" w:cs="Times New Roman" w:eastAsia="Times New Roman" w:hint="default"/>
        </w:rPr>
        <w:t>15</w:t>
      </w:r>
      <w:r>
        <w:rPr/>
        <w:t>、持有至到期投资</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01"/>
        <w:jc w:val="left"/>
        <w:rPr>
          <w:b w:val="0"/>
          <w:bCs w:val="0"/>
        </w:rPr>
      </w:pPr>
      <w:r>
        <w:rPr/>
        <w:t>（</w:t>
      </w:r>
      <w:r>
        <w:rPr>
          <w:rFonts w:ascii="Times New Roman" w:hAnsi="Times New Roman" w:cs="Times New Roman" w:eastAsia="Times New Roman" w:hint="default"/>
        </w:rPr>
        <w:t>1</w:t>
      </w:r>
      <w:r>
        <w:rPr/>
        <w:t>）持有至到期投资情况</w:t>
      </w:r>
      <w:r>
        <w:rPr>
          <w:b w:val="0"/>
          <w:bCs w:val="0"/>
        </w:rPr>
      </w:r>
    </w:p>
    <w:p>
      <w:pPr>
        <w:spacing w:line="240" w:lineRule="auto" w:before="4"/>
        <w:rPr>
          <w:rFonts w:ascii="宋体" w:hAnsi="宋体" w:cs="宋体" w:eastAsia="宋体" w:hint="default"/>
          <w:b/>
          <w:bCs/>
          <w:sz w:val="26"/>
          <w:szCs w:val="26"/>
        </w:rPr>
      </w:pPr>
    </w:p>
    <w:p>
      <w:pPr>
        <w:spacing w:before="0"/>
        <w:ind w:left="0" w:right="2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3"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3"/>
        <w:spacing w:line="240" w:lineRule="auto" w:before="36"/>
        <w:ind w:right="101"/>
        <w:jc w:val="left"/>
        <w:rPr>
          <w:b w:val="0"/>
          <w:bCs w:val="0"/>
        </w:rPr>
      </w:pPr>
      <w:r>
        <w:rPr/>
        <w:t>（</w:t>
      </w:r>
      <w:r>
        <w:rPr>
          <w:rFonts w:ascii="Times New Roman" w:hAnsi="Times New Roman" w:cs="Times New Roman" w:eastAsia="Times New Roman" w:hint="default"/>
        </w:rPr>
        <w:t>2</w:t>
      </w:r>
      <w:r>
        <w:rPr/>
        <w:t>）期末重要的持有至到期投资</w:t>
      </w:r>
      <w:r>
        <w:rPr>
          <w:b w:val="0"/>
          <w:bCs w:val="0"/>
        </w:rPr>
      </w:r>
    </w:p>
    <w:p>
      <w:pPr>
        <w:spacing w:line="240" w:lineRule="auto" w:before="12"/>
        <w:rPr>
          <w:rFonts w:ascii="宋体" w:hAnsi="宋体" w:cs="宋体" w:eastAsia="宋体" w:hint="default"/>
          <w:b/>
          <w:bCs/>
          <w:sz w:val="22"/>
          <w:szCs w:val="22"/>
        </w:rPr>
      </w:pPr>
    </w:p>
    <w:p>
      <w:pPr>
        <w:spacing w:before="44"/>
        <w:ind w:left="0" w:right="2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03"/>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9"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到期日</w:t>
            </w:r>
          </w:p>
        </w:tc>
      </w:tr>
    </w:tbl>
    <w:p>
      <w:pPr>
        <w:spacing w:line="240" w:lineRule="auto" w:before="3"/>
        <w:rPr>
          <w:rFonts w:ascii="宋体" w:hAnsi="宋体" w:cs="宋体" w:eastAsia="宋体" w:hint="default"/>
          <w:sz w:val="19"/>
          <w:szCs w:val="19"/>
        </w:rPr>
      </w:pPr>
    </w:p>
    <w:p>
      <w:pPr>
        <w:pStyle w:val="Heading3"/>
        <w:spacing w:line="240" w:lineRule="auto" w:before="36"/>
        <w:ind w:right="101"/>
        <w:jc w:val="left"/>
        <w:rPr>
          <w:b w:val="0"/>
          <w:bCs w:val="0"/>
        </w:rPr>
      </w:pPr>
      <w:r>
        <w:rPr/>
        <w:t>（</w:t>
      </w:r>
      <w:r>
        <w:rPr>
          <w:rFonts w:ascii="Times New Roman" w:hAnsi="Times New Roman" w:cs="Times New Roman" w:eastAsia="Times New Roman" w:hint="default"/>
        </w:rPr>
        <w:t>3</w:t>
      </w:r>
      <w:r>
        <w:rPr/>
        <w:t>）本期重分类的持有至到期投资</w:t>
      </w:r>
      <w:r>
        <w:rPr>
          <w:b w:val="0"/>
          <w:bCs w:val="0"/>
        </w:rPr>
      </w:r>
    </w:p>
    <w:p>
      <w:pPr>
        <w:spacing w:line="240" w:lineRule="auto" w:before="4"/>
        <w:rPr>
          <w:rFonts w:ascii="宋体" w:hAnsi="宋体" w:cs="宋体" w:eastAsia="宋体" w:hint="default"/>
          <w:b/>
          <w:bCs/>
          <w:sz w:val="26"/>
          <w:szCs w:val="26"/>
        </w:rPr>
      </w:pPr>
    </w:p>
    <w:p>
      <w:pPr>
        <w:spacing w:before="0"/>
        <w:ind w:left="152" w:right="101"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5" w:footer="979" w:top="1060" w:bottom="1160" w:left="980" w:right="92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16</w:t>
      </w:r>
      <w:r>
        <w:rPr/>
        <w:t>、长期应收款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）长期应收款情况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03"/>
        <w:gridCol w:w="1166"/>
        <w:gridCol w:w="1167"/>
        <w:gridCol w:w="1166"/>
        <w:gridCol w:w="1169"/>
        <w:gridCol w:w="1166"/>
        <w:gridCol w:w="1167"/>
        <w:gridCol w:w="1164"/>
      </w:tblGrid>
      <w:tr>
        <w:trPr>
          <w:trHeight w:val="401" w:hRule="exact"/>
        </w:trPr>
        <w:tc>
          <w:tcPr>
            <w:tcW w:w="14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5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3" w:hRule="exact"/>
        </w:trPr>
        <w:tc>
          <w:tcPr>
            <w:tcW w:w="1403" w:type="dxa"/>
            <w:vMerge/>
            <w:tcBorders>
              <w:left w:val="single" w:sz="4" w:space="0" w:color="000000"/>
              <w:bottom w:val="single" w:sz="4" w:space="0" w:color="000000"/>
              <w:right w:val="single" w:sz="4" w:space="0" w:color="000000"/>
            </w:tcBorders>
            <w:shd w:val="clear" w:color="auto" w:fill="D2D2D2"/>
          </w:tcPr>
          <w:p>
            <w:pP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4"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17</w:t>
      </w:r>
      <w:r>
        <w:rPr/>
        <w:t>、长期股权投资</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108"/>
        <w:gridCol w:w="689"/>
        <w:gridCol w:w="797"/>
        <w:gridCol w:w="799"/>
        <w:gridCol w:w="797"/>
        <w:gridCol w:w="800"/>
        <w:gridCol w:w="797"/>
        <w:gridCol w:w="799"/>
        <w:gridCol w:w="797"/>
        <w:gridCol w:w="799"/>
        <w:gridCol w:w="797"/>
      </w:tblGrid>
      <w:tr>
        <w:trPr>
          <w:trHeight w:val="403"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02" w:right="32"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651"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49"/>
              <w:ind w:left="24" w:right="41"/>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上海亿富 金融信息 服务有限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注 </w:t>
            </w:r>
            <w:r>
              <w:rPr>
                <w:rFonts w:ascii="Times New Roman" w:hAnsi="Times New Roman" w:cs="Times New Roman" w:eastAsia="Times New Roman" w:hint="default"/>
                <w:sz w:val="18"/>
                <w:szCs w:val="18"/>
              </w:rPr>
              <w:t>1)</w:t>
            </w:r>
          </w:p>
        </w:tc>
        <w:tc>
          <w:tcPr>
            <w:tcW w:w="905" w:type="dxa"/>
            <w:gridSpan w:val="2"/>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深圳市杉 岩数据技 术有限公 司</w:t>
            </w:r>
          </w:p>
        </w:tc>
        <w:tc>
          <w:tcPr>
            <w:tcW w:w="9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9,172,102.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54</w:t>
            </w:r>
          </w:p>
        </w:tc>
        <w:tc>
          <w:tcPr>
            <w:tcW w:w="68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-266,989.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76</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8,905,112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.78</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Times New Roman" w:hAnsi="Times New Roman" w:cs="Times New Roman" w:eastAsia="Times New Roman" w:hint="default"/>
                <w:sz w:val="18"/>
                <w:szCs w:val="18"/>
              </w:rPr>
            </w:pPr>
            <w:r>
              <w:rPr>
                <w:rFonts w:ascii="宋体" w:hAnsi="宋体" w:cs="宋体" w:eastAsia="宋体" w:hint="default"/>
                <w:sz w:val="18"/>
                <w:szCs w:val="18"/>
              </w:rPr>
              <w:t>上海复深 蓝软件股 份有限公 司</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w:t>
            </w:r>
          </w:p>
        </w:tc>
        <w:tc>
          <w:tcPr>
            <w:tcW w:w="9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11,800,230.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79</w:t>
            </w:r>
          </w:p>
        </w:tc>
        <w:tc>
          <w:tcPr>
            <w:tcW w:w="68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8,280,079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.84</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837,167.6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4,611,287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2"/>
                <w:w w:val="95"/>
                <w:sz w:val="18"/>
              </w:rPr>
              <w:t>.11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8,968,605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.69</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20,972,333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.33</w:t>
            </w:r>
          </w:p>
        </w:tc>
        <w:tc>
          <w:tcPr>
            <w:tcW w:w="68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8,730,079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.84</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570,177.8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4,611,287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2"/>
                <w:w w:val="95"/>
                <w:sz w:val="18"/>
              </w:rPr>
              <w:t>.11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17,873,71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8.47</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20,972,333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.33</w:t>
            </w:r>
          </w:p>
        </w:tc>
        <w:tc>
          <w:tcPr>
            <w:tcW w:w="68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8,730,079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.84</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570,177.8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4,611,287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2"/>
                <w:w w:val="95"/>
                <w:sz w:val="18"/>
              </w:rPr>
              <w:t>.11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17,873,71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8.47</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BodyText"/>
        <w:spacing w:line="256" w:lineRule="auto" w:before="36"/>
        <w:ind w:left="870" w:right="5494"/>
        <w:jc w:val="left"/>
      </w:pPr>
      <w:r>
        <w:rPr>
          <w:spacing w:val="-2"/>
        </w:rPr>
        <w:t>注</w:t>
      </w:r>
      <w:r>
        <w:rPr>
          <w:rFonts w:ascii="Times New Roman" w:hAnsi="Times New Roman" w:cs="Times New Roman" w:eastAsia="Times New Roman" w:hint="default"/>
          <w:spacing w:val="-2"/>
        </w:rPr>
        <w:t>1</w:t>
      </w:r>
      <w:r>
        <w:rPr>
          <w:spacing w:val="-2"/>
        </w:rPr>
        <w:t>：详见本附注九（五）</w:t>
      </w:r>
      <w:r>
        <w:rPr>
          <w:rFonts w:ascii="Times New Roman" w:hAnsi="Times New Roman" w:cs="Times New Roman" w:eastAsia="Times New Roman" w:hint="default"/>
          <w:spacing w:val="-2"/>
        </w:rPr>
        <w:t>4</w:t>
      </w:r>
      <w:r>
        <w:rPr>
          <w:spacing w:val="-2"/>
        </w:rPr>
        <w:t>（</w:t>
      </w:r>
      <w:r>
        <w:rPr>
          <w:rFonts w:ascii="Times New Roman" w:hAnsi="Times New Roman" w:cs="Times New Roman" w:eastAsia="Times New Roman" w:hint="default"/>
          <w:spacing w:val="-2"/>
        </w:rPr>
        <w:t>2</w:t>
      </w:r>
      <w:r>
        <w:rPr>
          <w:spacing w:val="-2"/>
        </w:rPr>
        <w:t>）。</w:t>
      </w:r>
      <w:r>
        <w:rPr>
          <w:spacing w:val="-78"/>
        </w:rPr>
        <w:t> </w:t>
      </w:r>
      <w:r>
        <w:rPr>
          <w:spacing w:val="-2"/>
        </w:rPr>
        <w:t>注</w:t>
      </w:r>
      <w:r>
        <w:rPr>
          <w:rFonts w:ascii="Times New Roman" w:hAnsi="Times New Roman" w:cs="Times New Roman" w:eastAsia="Times New Roman" w:hint="default"/>
          <w:spacing w:val="-2"/>
        </w:rPr>
        <w:t>2</w:t>
      </w:r>
      <w:r>
        <w:rPr>
          <w:spacing w:val="-2"/>
        </w:rPr>
        <w:t>：详见本附注九（五）</w:t>
      </w:r>
      <w:r>
        <w:rPr>
          <w:rFonts w:ascii="Times New Roman" w:hAnsi="Times New Roman" w:cs="Times New Roman" w:eastAsia="Times New Roman" w:hint="default"/>
          <w:spacing w:val="-2"/>
        </w:rPr>
        <w:t>4</w:t>
      </w:r>
      <w:r>
        <w:rPr>
          <w:spacing w:val="-2"/>
        </w:rPr>
        <w:t>（</w:t>
      </w:r>
      <w:r>
        <w:rPr>
          <w:rFonts w:ascii="Times New Roman" w:hAnsi="Times New Roman" w:cs="Times New Roman" w:eastAsia="Times New Roman" w:hint="default"/>
          <w:spacing w:val="-2"/>
        </w:rPr>
        <w:t>3</w:t>
      </w:r>
      <w:r>
        <w:rPr>
          <w:spacing w:val="-2"/>
        </w:rPr>
        <w:t>）。</w:t>
      </w:r>
      <w:r>
        <w:rPr/>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18</w:t>
      </w:r>
      <w:r>
        <w:rPr/>
        <w:t>、投资性房地产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10"/>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3"/>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25,369,136.37</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25,369,136.37</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43"/>
                <w:sz w:val="18"/>
                <w:szCs w:val="18"/>
              </w:rPr>
              <w:t> </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）存货</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固定资产</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7"/>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25,369,136.37</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25,369,136.37</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二、累计折旧和累计摊 销</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6,624,064.43</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6,624,064.43</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907,604.59</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907,604.59</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907,604.59</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907,604.59</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7,531,669.02</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7,531,669.02</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17,837,467.35</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17,837,467.35</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18,745,071.94</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18,745,071.94</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9"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19</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8"/>
        <w:gridCol w:w="1366"/>
        <w:gridCol w:w="1368"/>
        <w:gridCol w:w="1369"/>
        <w:gridCol w:w="1366"/>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0"/>
              <w:ind w:left="139"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36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36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0"/>
              <w:ind w:left="407" w:right="0"/>
              <w:jc w:val="left"/>
              <w:rPr>
                <w:rFonts w:ascii="宋体" w:hAnsi="宋体" w:cs="宋体" w:eastAsia="宋体" w:hint="default"/>
                <w:sz w:val="18"/>
                <w:szCs w:val="18"/>
              </w:rPr>
            </w:pPr>
            <w:r>
              <w:rPr>
                <w:rFonts w:ascii="宋体" w:hAnsi="宋体" w:cs="宋体" w:eastAsia="宋体" w:hint="default"/>
                <w:sz w:val="18"/>
                <w:szCs w:val="18"/>
              </w:rPr>
              <w:t>办公及</w:t>
            </w:r>
          </w:p>
        </w:tc>
        <w:tc>
          <w:tcPr>
            <w:tcW w:w="1366" w:type="dxa"/>
            <w:tcBorders>
              <w:top w:val="single" w:sz="4" w:space="0" w:color="000000"/>
              <w:left w:val="single" w:sz="13" w:space="0" w:color="E0FFFF"/>
              <w:bottom w:val="single" w:sz="4" w:space="0" w:color="000000"/>
              <w:right w:val="single" w:sz="4" w:space="0" w:color="000000"/>
            </w:tcBorders>
            <w:shd w:val="clear" w:color="auto" w:fill="D2D2D2"/>
          </w:tcPr>
          <w:p>
            <w:pPr>
              <w:pStyle w:val="TableParagraph"/>
              <w:spacing w:line="240" w:lineRule="auto" w:before="50"/>
              <w:ind w:right="7"/>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247,112,579.81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34,134,708.95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8,443,104.21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8" w:right="0"/>
              <w:jc w:val="left"/>
              <w:rPr>
                <w:rFonts w:ascii="Times New Roman" w:hAnsi="Times New Roman" w:cs="Times New Roman" w:eastAsia="Times New Roman" w:hint="default"/>
                <w:sz w:val="18"/>
                <w:szCs w:val="18"/>
              </w:rPr>
            </w:pPr>
            <w:r>
              <w:rPr>
                <w:rFonts w:ascii="Times New Roman"/>
                <w:sz w:val="18"/>
              </w:rPr>
              <w:t>1,027,672.23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2,743,278.78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293,461,343.98</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15"/>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75,729,998.72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1,759,256.21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150,538.45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96,890.56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77,736,683.94</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75,729,998.72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1,759,256.21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150,538.45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96,890.56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77,736,683.94</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9"/>
                <w:sz w:val="18"/>
                <w:szCs w:val="18"/>
              </w:rPr>
              <w:t> </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）在建工</w:t>
            </w:r>
            <w:r>
              <w:rPr>
                <w:rFonts w:ascii="宋体" w:hAnsi="宋体" w:cs="宋体" w:eastAsia="宋体" w:hint="default"/>
                <w:sz w:val="18"/>
                <w:szCs w:val="18"/>
              </w:rPr>
              <w:t> 程转入</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1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9"/>
                <w:sz w:val="18"/>
                <w:szCs w:val="18"/>
              </w:rPr>
              <w:t> </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）企业合</w:t>
            </w:r>
            <w:r>
              <w:rPr>
                <w:rFonts w:ascii="宋体" w:hAnsi="宋体" w:cs="宋体" w:eastAsia="宋体" w:hint="default"/>
                <w:sz w:val="18"/>
                <w:szCs w:val="18"/>
              </w:rPr>
              <w:t> 并增加</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8"/>
        <w:gridCol w:w="1366"/>
        <w:gridCol w:w="1368"/>
        <w:gridCol w:w="1369"/>
        <w:gridCol w:w="1366"/>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15"/>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7,264.96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181,930.23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66,646.67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255,841.86</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1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9"/>
                <w:sz w:val="18"/>
                <w:szCs w:val="18"/>
              </w:rPr>
              <w:t> </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7,264.96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181,930.23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66,646.67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255,841.86</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322,842,578.53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35,886,700.20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8,411,712.43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1,027,672.23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2,773,522.67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370,942,186.06</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6,871,804.39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16,071,566.99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6,244,266.69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551,295.62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1,720,385.80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31,459,319.49</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15"/>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7,412,486.07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4,503,652.10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992,773.50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119,175.96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329,191.06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13,357,278.69</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7,412,486.07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4,503,652.10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992,773.50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119,175.96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329,191.06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13,357,278.69</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115"/>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2,108.70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158,058.08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33,020.71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193,187.49</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9"/>
                <w:sz w:val="18"/>
                <w:szCs w:val="18"/>
              </w:rPr>
              <w:t> </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2,108.70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158,058.08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33,020.71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193,187.49</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14,284,290.46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20,573,110.39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7,078,982.11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670,471.58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2,016,556.15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44,623,410.69</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913,145.63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29,202.85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942,348.48</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115"/>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1,107,810.50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58,106.87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1,165,917.37</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1,107,810.50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58,106.87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1,165,917.37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15"/>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2"/>
              <w:ind w:left="24" w:right="1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9"/>
                <w:sz w:val="18"/>
                <w:szCs w:val="18"/>
              </w:rPr>
              <w:t> </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2,020,956.13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87,309.72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2,108,265.85</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115"/>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 值</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308,558,288.07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13,292,633.68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1,245,420.57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357,200.65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756,966.55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324,210,509.52</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15"/>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 值</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240,240,775.42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17,149,996.33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2,169,634.67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476,376.61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1,022,892.98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261,059,676.01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3"/>
        <w:rPr>
          <w:rFonts w:ascii="Times New Roman" w:hAnsi="Times New Roman" w:cs="Times New Roman" w:eastAsia="Times New Roman" w:hint="default"/>
          <w:sz w:val="28"/>
          <w:szCs w:val="28"/>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3"/>
        <w:gridCol w:w="1597"/>
        <w:gridCol w:w="1594"/>
        <w:gridCol w:w="1596"/>
        <w:gridCol w:w="1594"/>
        <w:gridCol w:w="1594"/>
      </w:tblGrid>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03"/>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2"/>
        <w:gridCol w:w="4789"/>
      </w:tblGrid>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7,426,368.93</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325,439.07</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7,751,808.00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20</w:t>
      </w:r>
      <w:r>
        <w:rPr/>
        <w:t>、在建工程</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3"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4"/>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1"/>
        <w:gridCol w:w="737"/>
        <w:gridCol w:w="734"/>
        <w:gridCol w:w="737"/>
        <w:gridCol w:w="737"/>
        <w:gridCol w:w="734"/>
        <w:gridCol w:w="737"/>
        <w:gridCol w:w="737"/>
        <w:gridCol w:w="734"/>
        <w:gridCol w:w="737"/>
        <w:gridCol w:w="737"/>
        <w:gridCol w:w="734"/>
        <w:gridCol w:w="737"/>
      </w:tblGrid>
      <w:tr>
        <w:trPr>
          <w:trHeight w:val="1337" w:hRule="exact"/>
        </w:trPr>
        <w:tc>
          <w:tcPr>
            <w:tcW w:w="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0" w:right="89" w:hanging="181"/>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3" w:right="92"/>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bl>
    <w:p>
      <w:pPr>
        <w:spacing w:after="0" w:line="316"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21</w:t>
      </w:r>
      <w:r>
        <w:rPr/>
        <w:t>、工程物资</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22</w:t>
      </w:r>
      <w:r>
        <w:rPr/>
        <w:t>、固定资产清理</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23</w:t>
      </w:r>
      <w:r>
        <w:rPr/>
        <w:t>、生产性生物资产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24</w:t>
      </w:r>
      <w:r>
        <w:rPr/>
        <w:t>、油气资产</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25</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上市公司从事互联网游戏业务》的披露要求</w:t>
      </w:r>
    </w:p>
    <w:p>
      <w:pPr>
        <w:spacing w:before="10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before="101"/>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4"/>
        <w:gridCol w:w="1378"/>
        <w:gridCol w:w="1368"/>
        <w:gridCol w:w="1366"/>
        <w:gridCol w:w="1368"/>
        <w:gridCol w:w="1369"/>
        <w:gridCol w:w="1366"/>
      </w:tblGrid>
      <w:tr>
        <w:trPr>
          <w:trHeight w:val="401"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9"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7"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68" w:type="dxa"/>
            <w:tcBorders>
              <w:top w:val="single" w:sz="4" w:space="0" w:color="000000"/>
              <w:left w:val="single" w:sz="10" w:space="0" w:color="D2D2D2"/>
              <w:bottom w:val="single" w:sz="4" w:space="0" w:color="000000"/>
              <w:right w:val="single" w:sz="4" w:space="0" w:color="000000"/>
            </w:tcBorders>
            <w:shd w:val="clear" w:color="auto" w:fill="E0FFFF"/>
          </w:tcPr>
          <w:p>
            <w:pPr>
              <w:pStyle w:val="TableParagraph"/>
              <w:spacing w:line="240" w:lineRule="auto" w:before="49"/>
              <w:ind w:left="220" w:right="0"/>
              <w:jc w:val="left"/>
              <w:rPr>
                <w:rFonts w:ascii="宋体" w:hAnsi="宋体" w:cs="宋体" w:eastAsia="宋体" w:hint="default"/>
                <w:sz w:val="18"/>
                <w:szCs w:val="18"/>
              </w:rPr>
            </w:pPr>
            <w:r>
              <w:rPr>
                <w:rFonts w:ascii="宋体" w:hAnsi="宋体" w:cs="宋体" w:eastAsia="宋体" w:hint="default"/>
                <w:sz w:val="18"/>
                <w:szCs w:val="18"/>
              </w:rPr>
              <w:t>软件著作权</w:t>
            </w:r>
          </w:p>
        </w:tc>
        <w:tc>
          <w:tcPr>
            <w:tcW w:w="136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软件使用权</w:t>
            </w:r>
          </w:p>
        </w:tc>
        <w:tc>
          <w:tcPr>
            <w:tcW w:w="1366" w:type="dxa"/>
            <w:tcBorders>
              <w:top w:val="single" w:sz="4" w:space="0" w:color="000000"/>
              <w:left w:val="single" w:sz="13" w:space="0" w:color="E0FFFF"/>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4"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25,000,000.00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8" w:right="0"/>
              <w:jc w:val="left"/>
              <w:rPr>
                <w:rFonts w:ascii="Times New Roman" w:hAnsi="Times New Roman" w:cs="Times New Roman" w:eastAsia="Times New Roman" w:hint="default"/>
                <w:sz w:val="18"/>
                <w:szCs w:val="18"/>
              </w:rPr>
            </w:pPr>
            <w:r>
              <w:rPr>
                <w:rFonts w:ascii="Times New Roman"/>
                <w:sz w:val="18"/>
              </w:rPr>
              <w:t>4,124,344.40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29,124,344.40</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8"/>
        <w:gridCol w:w="1366"/>
        <w:gridCol w:w="1368"/>
        <w:gridCol w:w="1369"/>
        <w:gridCol w:w="1366"/>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1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15,912,506.47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465,517.23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16,378,023.70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9"/>
                <w:sz w:val="18"/>
                <w:szCs w:val="18"/>
              </w:rPr>
              <w:t> </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）购置</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465,517.23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465,517.23</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9"/>
                <w:sz w:val="18"/>
                <w:szCs w:val="18"/>
              </w:rPr>
              <w:t> </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）内部</w:t>
            </w:r>
            <w:r>
              <w:rPr>
                <w:rFonts w:ascii="宋体" w:hAnsi="宋体" w:cs="宋体" w:eastAsia="宋体" w:hint="default"/>
                <w:sz w:val="18"/>
                <w:szCs w:val="18"/>
              </w:rPr>
              <w:t> 研发</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15,912,506.47</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15,912,506.47</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1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9"/>
                <w:sz w:val="18"/>
                <w:szCs w:val="18"/>
              </w:rPr>
              <w:t> </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）企业</w:t>
            </w:r>
            <w:r>
              <w:rPr>
                <w:rFonts w:ascii="宋体" w:hAnsi="宋体" w:cs="宋体" w:eastAsia="宋体" w:hint="default"/>
                <w:sz w:val="18"/>
                <w:szCs w:val="18"/>
              </w:rPr>
              <w:t> 合并增加</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115"/>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25,000,000.00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25,000,000.00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9"/>
                <w:sz w:val="18"/>
                <w:szCs w:val="18"/>
              </w:rPr>
              <w:t> </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25,000,000.00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25,000,000.00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15,912,506.47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4,589,861.63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20,502,368.10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2,064,415.55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7,064,415.55</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11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7,702,779.22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1,153,115.53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8,855,894.75</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9"/>
                <w:sz w:val="18"/>
                <w:szCs w:val="18"/>
              </w:rPr>
              <w:t> </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）计提</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7,702,779.22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1,153,115.53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8,855,894.75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1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9,166,666.66</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9,166,666.66</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9"/>
                <w:sz w:val="18"/>
                <w:szCs w:val="18"/>
              </w:rPr>
              <w:t> </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9,166,666.66</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9,166,666.66</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3,536,112.56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3,217,531.08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6,753,643.64</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1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9"/>
                <w:sz w:val="18"/>
                <w:szCs w:val="18"/>
              </w:rPr>
              <w:t> </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）计提</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11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8"/>
        <w:gridCol w:w="1366"/>
        <w:gridCol w:w="1368"/>
        <w:gridCol w:w="1369"/>
        <w:gridCol w:w="1366"/>
      </w:tblGrid>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2"/>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12,376,393.91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1,372,330.55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13,748,724.46</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2"/>
              <w:jc w:val="center"/>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20,000,000.00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2,059,928.85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22,059,928.85</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本期末通过公司内部研发形成的无形资产占无形资产余额的比例。</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26</w:t>
      </w:r>
      <w:r>
        <w:rPr/>
        <w:t>、开发支出</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18"/>
        <w:gridCol w:w="1133"/>
        <w:gridCol w:w="994"/>
        <w:gridCol w:w="708"/>
        <w:gridCol w:w="1064"/>
        <w:gridCol w:w="1063"/>
        <w:gridCol w:w="1061"/>
        <w:gridCol w:w="1064"/>
        <w:gridCol w:w="1063"/>
      </w:tblGrid>
      <w:tr>
        <w:trPr>
          <w:trHeight w:val="401"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6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38"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8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5" w:hRule="exact"/>
        </w:trPr>
        <w:tc>
          <w:tcPr>
            <w:tcW w:w="141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2" w:right="123"/>
              <w:jc w:val="left"/>
              <w:rPr>
                <w:rFonts w:ascii="宋体" w:hAnsi="宋体" w:cs="宋体" w:eastAsia="宋体" w:hint="default"/>
                <w:sz w:val="18"/>
                <w:szCs w:val="18"/>
              </w:rPr>
            </w:pPr>
            <w:r>
              <w:rPr>
                <w:rFonts w:ascii="宋体" w:hAnsi="宋体" w:cs="宋体" w:eastAsia="宋体" w:hint="default"/>
                <w:sz w:val="18"/>
                <w:szCs w:val="18"/>
              </w:rPr>
              <w:t>数据化运营管理 平台项目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4,340,330.55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191,708.37</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4,532,038.92</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1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4" w:lineRule="auto" w:before="49"/>
              <w:ind w:left="22" w:right="123"/>
              <w:jc w:val="left"/>
              <w:rPr>
                <w:rFonts w:ascii="宋体" w:hAnsi="宋体" w:cs="宋体" w:eastAsia="宋体" w:hint="default"/>
                <w:sz w:val="18"/>
                <w:szCs w:val="18"/>
              </w:rPr>
            </w:pPr>
            <w:r>
              <w:rPr>
                <w:rFonts w:ascii="宋体" w:hAnsi="宋体" w:cs="宋体" w:eastAsia="宋体" w:hint="default"/>
                <w:sz w:val="18"/>
                <w:szCs w:val="18"/>
              </w:rPr>
              <w:t>云数据中心操作 系统项目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5,900,190.52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1,341,534.3</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2</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7,241,724.84</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1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49"/>
              <w:ind w:left="22" w:right="123"/>
              <w:jc w:val="left"/>
              <w:rPr>
                <w:rFonts w:ascii="宋体" w:hAnsi="宋体" w:cs="宋体" w:eastAsia="宋体" w:hint="default"/>
                <w:sz w:val="18"/>
                <w:szCs w:val="18"/>
              </w:rPr>
            </w:pPr>
            <w:r>
              <w:rPr>
                <w:rFonts w:ascii="宋体" w:hAnsi="宋体" w:cs="宋体" w:eastAsia="宋体" w:hint="default"/>
                <w:sz w:val="18"/>
                <w:szCs w:val="18"/>
              </w:rPr>
              <w:t>超融合存储一体 化平台项目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3,474,594.54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664,148.17</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4,138,742.71</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1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97" w:lineRule="auto" w:before="49"/>
              <w:ind w:left="22"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DevOps</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环境中的 持续集成平台</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4,570,486.9</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7</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4,570,486.97</w:t>
            </w:r>
          </w:p>
        </w:tc>
      </w:tr>
      <w:tr>
        <w:trPr>
          <w:trHeight w:val="715" w:hRule="exact"/>
        </w:trPr>
        <w:tc>
          <w:tcPr>
            <w:tcW w:w="141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2" w:right="123"/>
              <w:jc w:val="left"/>
              <w:rPr>
                <w:rFonts w:ascii="宋体" w:hAnsi="宋体" w:cs="宋体" w:eastAsia="宋体" w:hint="default"/>
                <w:sz w:val="18"/>
                <w:szCs w:val="18"/>
              </w:rPr>
            </w:pPr>
            <w:r>
              <w:rPr>
                <w:rFonts w:ascii="宋体" w:hAnsi="宋体" w:cs="宋体" w:eastAsia="宋体" w:hint="default"/>
                <w:sz w:val="18"/>
                <w:szCs w:val="18"/>
              </w:rPr>
              <w:t>基于开源技术的 容器存储开发</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3,521,480.2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3,521,480.20</w:t>
            </w:r>
          </w:p>
        </w:tc>
      </w:tr>
      <w:tr>
        <w:trPr>
          <w:trHeight w:val="71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13,715,115.61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10,289,358.</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03</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15,912,506.4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7</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8,091,967.17</w:t>
            </w:r>
          </w:p>
        </w:tc>
      </w:tr>
    </w:tbl>
    <w:p>
      <w:pPr>
        <w:pStyle w:val="BodyText"/>
        <w:spacing w:line="410" w:lineRule="auto" w:before="49"/>
        <w:ind w:right="0"/>
        <w:jc w:val="left"/>
        <w:rPr>
          <w:rFonts w:ascii="宋体" w:hAnsi="宋体" w:cs="宋体" w:eastAsia="宋体" w:hint="default"/>
        </w:rPr>
      </w:pPr>
      <w:r>
        <w:rPr>
          <w:sz w:val="18"/>
          <w:szCs w:val="18"/>
        </w:rPr>
        <w:t>其他说明 </w:t>
      </w:r>
      <w:r>
        <w:rPr>
          <w:spacing w:val="-2"/>
        </w:rPr>
        <w:t>公司研发活动的特点是以成熟的市场需求与技术为依托进行开发。通过前期调研对市场需求及产品竞争力</w:t>
      </w:r>
      <w:r>
        <w:rPr>
          <w:spacing w:val="-43"/>
        </w:rPr>
        <w:t> </w:t>
      </w:r>
      <w:r>
        <w:rPr>
          <w:spacing w:val="-43"/>
        </w:rPr>
      </w:r>
      <w:r>
        <w:rPr>
          <w:spacing w:val="-2"/>
        </w:rPr>
        <w:t>进行分析，公司对项目的技术可行性与成熟性进行论证，对完成可行性论证的项目予以立项，确定项目实</w:t>
      </w:r>
      <w:r>
        <w:rPr>
          <w:spacing w:val="-44"/>
        </w:rPr>
        <w:t> </w:t>
      </w:r>
      <w:r>
        <w:rPr>
          <w:spacing w:val="-44"/>
        </w:rPr>
      </w:r>
      <w:r>
        <w:rPr>
          <w:spacing w:val="-2"/>
        </w:rPr>
        <w:t>施方案。由于公司予以立项的研发项目都是经可行性论证具有广泛市场需求，并以技术可行性为依托而进</w:t>
      </w:r>
      <w:r>
        <w:rPr>
          <w:spacing w:val="-44"/>
        </w:rPr>
        <w:t> </w:t>
      </w:r>
      <w:r>
        <w:rPr>
          <w:spacing w:val="-44"/>
        </w:rPr>
      </w:r>
      <w:r>
        <w:rPr>
          <w:spacing w:val="-2"/>
        </w:rPr>
        <w:t>行的，因此开发项目在通过前期市场调研和项目可行性论证，并报经公司批准立项后即进入开发阶段，能</w:t>
      </w:r>
      <w:r>
        <w:rPr>
          <w:spacing w:val="-44"/>
        </w:rPr>
        <w:t> </w:t>
      </w:r>
      <w:r>
        <w:rPr>
          <w:spacing w:val="-44"/>
        </w:rPr>
      </w:r>
      <w:r>
        <w:rPr>
          <w:spacing w:val="-2"/>
        </w:rPr>
        <w:t>够同时满足资本化的五个条件。以前年度开发的数据化运营管理平台项目、云数据中心操作系统项目、超</w:t>
      </w:r>
      <w:r>
        <w:rPr>
          <w:spacing w:val="-43"/>
        </w:rPr>
        <w:t> </w:t>
      </w:r>
      <w:r>
        <w:rPr>
          <w:spacing w:val="-43"/>
        </w:rPr>
      </w:r>
      <w:r>
        <w:rPr>
          <w:spacing w:val="-2"/>
        </w:rPr>
        <w:t>融合存储一体化平台项目本年度已完成开发转入无形资产；本年度的</w:t>
      </w:r>
      <w:r>
        <w:rPr>
          <w:rFonts w:ascii="宋体" w:hAnsi="宋体" w:cs="宋体" w:eastAsia="宋体" w:hint="default"/>
          <w:spacing w:val="-2"/>
        </w:rPr>
        <w:t>DevOps</w:t>
      </w:r>
      <w:r>
        <w:rPr>
          <w:spacing w:val="-2"/>
        </w:rPr>
        <w:t>环境中的持续集成平台项目、</w:t>
      </w:r>
      <w:r>
        <w:rPr>
          <w:spacing w:val="-15"/>
        </w:rPr>
        <w:t> </w:t>
      </w:r>
      <w:r>
        <w:rPr>
          <w:spacing w:val="-15"/>
        </w:rPr>
      </w:r>
      <w:r>
        <w:rPr/>
        <w:t>基于开源技术的容器存储开发项目同时满足资本化五个条件的判断分别如下：</w:t>
      </w:r>
      <w:r>
        <w:rPr>
          <w:rFonts w:ascii="宋体" w:hAnsi="宋体" w:cs="宋体" w:eastAsia="宋体" w:hint="default"/>
        </w:rPr>
        <w:t> </w:t>
      </w:r>
    </w:p>
    <w:p>
      <w:pPr>
        <w:spacing w:line="240" w:lineRule="auto" w:before="5"/>
        <w:rPr>
          <w:rFonts w:ascii="宋体" w:hAnsi="宋体" w:cs="宋体" w:eastAsia="宋体" w:hint="default"/>
          <w:sz w:val="21"/>
          <w:szCs w:val="21"/>
        </w:rPr>
      </w:pPr>
    </w:p>
    <w:p>
      <w:pPr>
        <w:pStyle w:val="Heading3"/>
        <w:spacing w:line="256" w:lineRule="auto"/>
        <w:ind w:right="5826"/>
        <w:jc w:val="left"/>
        <w:rPr>
          <w:b w:val="0"/>
          <w:bCs w:val="0"/>
        </w:rPr>
      </w:pPr>
      <w:r>
        <w:rPr>
          <w:spacing w:val="-1"/>
        </w:rPr>
        <w:t>注</w:t>
      </w:r>
      <w:r>
        <w:rPr>
          <w:rFonts w:ascii="Times New Roman" w:hAnsi="Times New Roman" w:cs="Times New Roman" w:eastAsia="Times New Roman" w:hint="default"/>
          <w:spacing w:val="-1"/>
        </w:rPr>
        <w:t>1</w:t>
      </w:r>
      <w:r>
        <w:rPr>
          <w:spacing w:val="-1"/>
        </w:rPr>
        <w:t>：</w:t>
      </w:r>
      <w:r>
        <w:rPr>
          <w:rFonts w:ascii="Times New Roman" w:hAnsi="Times New Roman" w:cs="Times New Roman" w:eastAsia="Times New Roman" w:hint="default"/>
          <w:spacing w:val="-1"/>
        </w:rPr>
        <w:t>DevOps</w:t>
      </w:r>
      <w:r>
        <w:rPr>
          <w:spacing w:val="-1"/>
        </w:rPr>
        <w:t>环境中的持续集成平台</w:t>
      </w:r>
      <w:r>
        <w:rPr>
          <w:spacing w:val="-90"/>
        </w:rPr>
        <w:t> </w:t>
      </w:r>
      <w:r>
        <w:rPr>
          <w:spacing w:val="-90"/>
        </w:rPr>
      </w:r>
      <w:r>
        <w:rPr/>
        <w:t>资本化开始时点：</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w:t>
      </w:r>
      <w:r>
        <w:rPr/>
        <w:t>日</w:t>
      </w:r>
      <w:r>
        <w:rPr>
          <w:b w:val="0"/>
          <w:bCs w:val="0"/>
        </w:rPr>
      </w:r>
    </w:p>
    <w:p>
      <w:pPr>
        <w:spacing w:after="0" w:line="256" w:lineRule="auto"/>
        <w:jc w:val="left"/>
        <w:sectPr>
          <w:pgSz w:w="11910" w:h="16840"/>
          <w:pgMar w:header="745" w:footer="979" w:top="1060" w:bottom="1160" w:left="980" w:right="980"/>
        </w:sectPr>
      </w:pPr>
    </w:p>
    <w:p>
      <w:pPr>
        <w:spacing w:line="240" w:lineRule="auto" w:before="10"/>
        <w:rPr>
          <w:rFonts w:ascii="宋体" w:hAnsi="宋体" w:cs="宋体" w:eastAsia="宋体" w:hint="default"/>
          <w:b/>
          <w:bCs/>
          <w:sz w:val="24"/>
          <w:szCs w:val="24"/>
        </w:rPr>
      </w:pPr>
    </w:p>
    <w:p>
      <w:pPr>
        <w:pStyle w:val="BodyText"/>
        <w:spacing w:line="338" w:lineRule="auto" w:before="36"/>
        <w:ind w:right="2574"/>
        <w:jc w:val="left"/>
        <w:rPr>
          <w:rFonts w:ascii="宋体" w:hAnsi="宋体" w:cs="宋体" w:eastAsia="宋体" w:hint="default"/>
        </w:rPr>
      </w:pPr>
      <w:r>
        <w:rPr>
          <w:rFonts w:ascii="宋体" w:hAnsi="宋体" w:cs="宋体" w:eastAsia="宋体" w:hint="default"/>
          <w:b/>
          <w:bCs/>
        </w:rPr>
        <w:t>资本化依据：</w:t>
      </w:r>
      <w:r>
        <w:rPr>
          <w:rFonts w:ascii="宋体" w:hAnsi="宋体" w:cs="宋体" w:eastAsia="宋体" w:hint="default"/>
          <w:b/>
          <w:bCs/>
          <w:spacing w:val="-104"/>
        </w:rPr>
        <w:t> </w:t>
      </w:r>
      <w:r>
        <w:rPr/>
        <w:t>第一，完成该无形资产以使其能够使用或出售在技术上具有可行性；</w:t>
      </w:r>
      <w:r>
        <w:rPr>
          <w:rFonts w:ascii="宋体" w:hAnsi="宋体" w:cs="宋体" w:eastAsia="宋体" w:hint="default"/>
        </w:rPr>
        <w:t> </w:t>
      </w:r>
    </w:p>
    <w:p>
      <w:pPr>
        <w:pStyle w:val="BodyText"/>
        <w:spacing w:line="408" w:lineRule="auto" w:before="107"/>
        <w:ind w:right="0" w:firstLine="420"/>
        <w:jc w:val="left"/>
        <w:rPr>
          <w:rFonts w:ascii="宋体" w:hAnsi="宋体" w:cs="宋体" w:eastAsia="宋体" w:hint="default"/>
        </w:rPr>
      </w:pPr>
      <w:r>
        <w:rPr>
          <w:spacing w:val="-2"/>
        </w:rPr>
        <w:t>本项目是整个</w:t>
      </w:r>
      <w:r>
        <w:rPr>
          <w:rFonts w:ascii="宋体" w:hAnsi="宋体" w:cs="宋体" w:eastAsia="宋体" w:hint="default"/>
          <w:spacing w:val="-2"/>
        </w:rPr>
        <w:t>DevOps</w:t>
      </w:r>
      <w:r>
        <w:rPr>
          <w:spacing w:val="-2"/>
        </w:rPr>
        <w:t>体系中的重要一环，它倡导团队开发成员必须经常集成他们的工作，每次集成都</w:t>
      </w:r>
      <w:r>
        <w:rPr>
          <w:w w:val="100"/>
        </w:rPr>
        <w:t> </w:t>
      </w:r>
      <w:r>
        <w:rPr>
          <w:spacing w:val="-2"/>
        </w:rPr>
        <w:t>是通过自动化的构建来验证，包括自动编译、发布和测试，从而尽快地发现集成错误，让团队能够更快的</w:t>
      </w:r>
      <w:r>
        <w:rPr>
          <w:spacing w:val="-47"/>
        </w:rPr>
        <w:t> </w:t>
      </w:r>
      <w:r>
        <w:rPr>
          <w:spacing w:val="-47"/>
        </w:rPr>
      </w:r>
      <w:r>
        <w:rPr>
          <w:spacing w:val="-2"/>
        </w:rPr>
        <w:t>开发内聚的软件。由于公司前期在</w:t>
      </w:r>
      <w:r>
        <w:rPr>
          <w:rFonts w:ascii="宋体" w:hAnsi="宋体" w:cs="宋体" w:eastAsia="宋体" w:hint="default"/>
          <w:spacing w:val="-2"/>
        </w:rPr>
        <w:t>PaaS</w:t>
      </w:r>
      <w:r>
        <w:rPr>
          <w:spacing w:val="-2"/>
        </w:rPr>
        <w:t>平台以及自动化运维等方面开发一系列具有自主知识产权的软件产</w:t>
      </w:r>
      <w:r>
        <w:rPr>
          <w:spacing w:val="-40"/>
        </w:rPr>
        <w:t> </w:t>
      </w:r>
      <w:r>
        <w:rPr>
          <w:spacing w:val="-40"/>
        </w:rPr>
      </w:r>
      <w:r>
        <w:rPr/>
        <w:t>品，如：天玑云资源管理平台软件</w:t>
      </w:r>
      <w:r>
        <w:rPr>
          <w:spacing w:val="-5"/>
        </w:rPr>
        <w:t> </w:t>
      </w:r>
      <w:r>
        <w:rPr>
          <w:rFonts w:ascii="宋体" w:hAnsi="宋体" w:cs="宋体" w:eastAsia="宋体" w:hint="default"/>
          <w:spacing w:val="-5"/>
        </w:rPr>
      </w:r>
      <w:r>
        <w:rPr>
          <w:rFonts w:ascii="宋体" w:hAnsi="宋体" w:cs="宋体" w:eastAsia="宋体" w:hint="default"/>
        </w:rPr>
        <w:t>V1.0</w:t>
      </w:r>
      <w:r>
        <w:rPr/>
        <w:t>、天玑自动巡检工具软件</w:t>
      </w:r>
      <w:r>
        <w:rPr>
          <w:rFonts w:ascii="宋体" w:hAnsi="宋体" w:cs="宋体" w:eastAsia="宋体" w:hint="default"/>
        </w:rPr>
        <w:t>V1.0</w:t>
      </w:r>
      <w:r>
        <w:rPr/>
        <w:t>等。所以，使得本项目的研发在技</w:t>
      </w:r>
      <w:r>
        <w:rPr>
          <w:w w:val="100"/>
        </w:rPr>
        <w:t> </w:t>
      </w:r>
      <w:r>
        <w:rPr/>
        <w:t>术上拥有丰富的储备，完全具有可行性。</w:t>
      </w:r>
      <w:r>
        <w:rPr>
          <w:rFonts w:ascii="宋体" w:hAnsi="宋体" w:cs="宋体" w:eastAsia="宋体" w:hint="default"/>
        </w:rPr>
        <w:t> </w:t>
      </w:r>
    </w:p>
    <w:p>
      <w:pPr>
        <w:pStyle w:val="BodyText"/>
        <w:spacing w:line="410" w:lineRule="auto" w:before="46"/>
        <w:ind w:left="573" w:right="0" w:hanging="421"/>
        <w:jc w:val="left"/>
      </w:pPr>
      <w:r>
        <w:rPr/>
        <w:t>第二，具有完成该无形资产并使用或出售的意图；</w:t>
      </w:r>
      <w:r>
        <w:rPr>
          <w:rFonts w:ascii="宋体" w:hAnsi="宋体" w:cs="宋体" w:eastAsia="宋体" w:hint="default"/>
          <w:w w:val="100"/>
        </w:rPr>
        <w:t> </w:t>
      </w:r>
      <w:r>
        <w:rPr>
          <w:spacing w:val="-2"/>
        </w:rPr>
        <w:t>本项目的主要目标用户是正在或计划构建自己</w:t>
      </w:r>
      <w:r>
        <w:rPr>
          <w:rFonts w:ascii="宋体" w:hAnsi="宋体" w:cs="宋体" w:eastAsia="宋体" w:hint="default"/>
          <w:spacing w:val="-2"/>
        </w:rPr>
        <w:t>DevOps</w:t>
      </w:r>
      <w:r>
        <w:rPr>
          <w:spacing w:val="-2"/>
        </w:rPr>
        <w:t>体系的各行业企事业单位，尤其是一些信息化程</w:t>
      </w:r>
    </w:p>
    <w:p>
      <w:pPr>
        <w:pStyle w:val="BodyText"/>
        <w:spacing w:line="408" w:lineRule="auto" w:before="44"/>
        <w:ind w:right="0"/>
        <w:jc w:val="left"/>
        <w:rPr>
          <w:rFonts w:ascii="宋体" w:hAnsi="宋体" w:cs="宋体" w:eastAsia="宋体" w:hint="default"/>
        </w:rPr>
      </w:pPr>
      <w:r>
        <w:rPr>
          <w:spacing w:val="-2"/>
        </w:rPr>
        <w:t>度比较高的电信、金融、政府等行业，而这些行业又是公司的传统优势行业，所以帮助这些行业用户尽快</w:t>
      </w:r>
      <w:r>
        <w:rPr>
          <w:spacing w:val="-47"/>
        </w:rPr>
        <w:t> </w:t>
      </w:r>
      <w:r>
        <w:rPr>
          <w:spacing w:val="-47"/>
        </w:rPr>
      </w:r>
      <w:r>
        <w:rPr>
          <w:spacing w:val="-2"/>
        </w:rPr>
        <w:t>建立本项目的建设成果，完善</w:t>
      </w:r>
      <w:r>
        <w:rPr>
          <w:rFonts w:ascii="宋体" w:hAnsi="宋体" w:cs="宋体" w:eastAsia="宋体" w:hint="default"/>
          <w:spacing w:val="-2"/>
        </w:rPr>
        <w:t>DevOps</w:t>
      </w:r>
      <w:r>
        <w:rPr>
          <w:spacing w:val="-2"/>
        </w:rPr>
        <w:t>体系，无论是对于这些用户提高各自的信息化管理和服务能力，还是</w:t>
      </w:r>
      <w:r>
        <w:rPr>
          <w:spacing w:val="-37"/>
        </w:rPr>
        <w:t> </w:t>
      </w:r>
      <w:r>
        <w:rPr>
          <w:spacing w:val="-37"/>
        </w:rPr>
      </w:r>
      <w:r>
        <w:rPr>
          <w:spacing w:val="-2"/>
        </w:rPr>
        <w:t>对于公司保持行业竞争优势，进一步提升核心竞争力，都有着十分重要的现实和战略意义。所以，本项目</w:t>
      </w:r>
      <w:r>
        <w:rPr>
          <w:spacing w:val="-47"/>
        </w:rPr>
        <w:t> </w:t>
      </w:r>
      <w:r>
        <w:rPr>
          <w:spacing w:val="-47"/>
        </w:rPr>
      </w:r>
      <w:r>
        <w:rPr/>
        <w:t>具备明显的使用或出售意图。</w:t>
      </w:r>
      <w:r>
        <w:rPr>
          <w:rFonts w:ascii="宋体" w:hAnsi="宋体" w:cs="宋体" w:eastAsia="宋体" w:hint="default"/>
          <w:w w:val="100"/>
        </w:rPr>
        <w:t> </w:t>
      </w:r>
      <w:r>
        <w:rPr>
          <w:spacing w:val="-2"/>
        </w:rPr>
        <w:t>第三，无形资产产生经济利益的方式，包括能够证明运用该无形资产生产的产品存在市场或无形资产自身</w:t>
      </w:r>
      <w:r>
        <w:rPr>
          <w:spacing w:val="-42"/>
        </w:rPr>
        <w:t> </w:t>
      </w:r>
      <w:r>
        <w:rPr>
          <w:spacing w:val="-42"/>
        </w:rPr>
      </w:r>
      <w:r>
        <w:rPr/>
        <w:t>存在市场，无形资产将在内部使用的，应当证明其有用性；</w:t>
      </w:r>
      <w:r>
        <w:rPr>
          <w:rFonts w:ascii="宋体" w:hAnsi="宋体" w:cs="宋体" w:eastAsia="宋体" w:hint="default"/>
        </w:rPr>
        <w:t> </w:t>
      </w:r>
    </w:p>
    <w:p>
      <w:pPr>
        <w:pStyle w:val="BodyText"/>
        <w:spacing w:line="408" w:lineRule="auto" w:before="46"/>
        <w:ind w:right="0" w:firstLine="420"/>
        <w:jc w:val="left"/>
        <w:rPr>
          <w:rFonts w:ascii="宋体" w:hAnsi="宋体" w:cs="宋体" w:eastAsia="宋体" w:hint="default"/>
        </w:rPr>
      </w:pPr>
      <w:r>
        <w:rPr/>
        <w:t>根据行业权威机构（</w:t>
      </w:r>
      <w:r>
        <w:rPr>
          <w:rFonts w:ascii="宋体" w:hAnsi="宋体" w:cs="宋体" w:eastAsia="宋体" w:hint="default"/>
        </w:rPr>
        <w:t>CA</w:t>
      </w:r>
      <w:r>
        <w:rPr>
          <w:rFonts w:ascii="宋体" w:hAnsi="宋体" w:cs="宋体" w:eastAsia="宋体" w:hint="default"/>
          <w:spacing w:val="-5"/>
        </w:rPr>
        <w:t> </w:t>
      </w:r>
      <w:r>
        <w:rPr>
          <w:rFonts w:ascii="宋体" w:hAnsi="宋体" w:cs="宋体" w:eastAsia="宋体" w:hint="default"/>
        </w:rPr>
        <w:t>Technologies</w:t>
      </w:r>
      <w:r>
        <w:rPr/>
        <w:t>）发布的最新</w:t>
      </w:r>
      <w:r>
        <w:rPr>
          <w:rFonts w:ascii="宋体" w:hAnsi="宋体" w:cs="宋体" w:eastAsia="宋体" w:hint="default"/>
        </w:rPr>
        <w:t>DevOps</w:t>
      </w:r>
      <w:r>
        <w:rPr/>
        <w:t>实践及影响力全球调查报告显示，在受访</w:t>
      </w:r>
      <w:r>
        <w:rPr>
          <w:w w:val="100"/>
        </w:rPr>
        <w:t> </w:t>
      </w:r>
      <w:r>
        <w:rPr>
          <w:spacing w:val="-2"/>
        </w:rPr>
        <w:t>的中国企业中，</w:t>
      </w:r>
      <w:r>
        <w:rPr>
          <w:rFonts w:ascii="宋体" w:hAnsi="宋体" w:cs="宋体" w:eastAsia="宋体" w:hint="default"/>
          <w:spacing w:val="-2"/>
        </w:rPr>
        <w:t>89%</w:t>
      </w:r>
      <w:r>
        <w:rPr>
          <w:spacing w:val="-2"/>
        </w:rPr>
        <w:t>的中国大陆受访企业认同</w:t>
      </w:r>
      <w:r>
        <w:rPr>
          <w:rFonts w:ascii="宋体" w:hAnsi="宋体" w:cs="宋体" w:eastAsia="宋体" w:hint="default"/>
          <w:spacing w:val="-2"/>
        </w:rPr>
        <w:t>DevOps</w:t>
      </w:r>
      <w:r>
        <w:rPr>
          <w:spacing w:val="-2"/>
        </w:rPr>
        <w:t>方案是致胜数字化转型的关键，</w:t>
      </w:r>
      <w:r>
        <w:rPr>
          <w:rFonts w:ascii="宋体" w:hAnsi="宋体" w:cs="宋体" w:eastAsia="宋体" w:hint="default"/>
          <w:spacing w:val="-2"/>
        </w:rPr>
        <w:t>91%</w:t>
      </w:r>
      <w:r>
        <w:rPr>
          <w:spacing w:val="-2"/>
        </w:rPr>
        <w:t>的企业已经分别在</w:t>
      </w:r>
      <w:r>
        <w:rPr>
          <w:spacing w:val="-34"/>
        </w:rPr>
        <w:t> </w:t>
      </w:r>
      <w:r>
        <w:rPr>
          <w:spacing w:val="-34"/>
        </w:rPr>
      </w:r>
      <w:r>
        <w:rPr/>
        <w:t>不同程度上采用了</w:t>
      </w:r>
      <w:r>
        <w:rPr>
          <w:rFonts w:ascii="宋体" w:hAnsi="宋体" w:cs="宋体" w:eastAsia="宋体" w:hint="default"/>
        </w:rPr>
        <w:t>DevOps</w:t>
      </w:r>
      <w:r>
        <w:rPr/>
        <w:t>，但能够在整个组织中广泛深入部署的企业比例只占有</w:t>
      </w:r>
      <w:r>
        <w:rPr>
          <w:spacing w:val="-1"/>
        </w:rPr>
        <w:t> </w:t>
      </w:r>
      <w:r>
        <w:rPr>
          <w:rFonts w:ascii="宋体" w:hAnsi="宋体" w:cs="宋体" w:eastAsia="宋体" w:hint="default"/>
          <w:spacing w:val="-1"/>
        </w:rPr>
      </w:r>
      <w:r>
        <w:rPr>
          <w:rFonts w:ascii="宋体" w:hAnsi="宋体" w:cs="宋体" w:eastAsia="宋体" w:hint="default"/>
        </w:rPr>
        <w:t>33%</w:t>
      </w:r>
      <w:r>
        <w:rPr/>
        <w:t>。上述数字表明</w:t>
      </w:r>
      <w:r>
        <w:rPr>
          <w:w w:val="100"/>
        </w:rPr>
        <w:t> </w:t>
      </w:r>
      <w:r>
        <w:rPr>
          <w:rFonts w:ascii="宋体" w:hAnsi="宋体" w:cs="宋体" w:eastAsia="宋体" w:hint="default"/>
          <w:spacing w:val="-2"/>
        </w:rPr>
        <w:t>DevOps</w:t>
      </w:r>
      <w:r>
        <w:rPr>
          <w:spacing w:val="-2"/>
        </w:rPr>
        <w:t>体系的建设仍然具有广阔的市场空间，而这也正是本项目建设的市场意义。同时，本项目对于公司</w:t>
      </w:r>
      <w:r>
        <w:rPr>
          <w:spacing w:val="-36"/>
        </w:rPr>
        <w:t> </w:t>
      </w:r>
      <w:r>
        <w:rPr>
          <w:spacing w:val="-36"/>
        </w:rPr>
      </w:r>
      <w:r>
        <w:rPr/>
        <w:t>自身提高第三方</w:t>
      </w:r>
      <w:r>
        <w:rPr>
          <w:rFonts w:ascii="宋体" w:hAnsi="宋体" w:cs="宋体" w:eastAsia="宋体" w:hint="default"/>
        </w:rPr>
        <w:t>IT</w:t>
      </w:r>
      <w:r>
        <w:rPr/>
        <w:t>服务能力，进一步提升服务价值，有着十分重要的作用。</w:t>
      </w:r>
      <w:r>
        <w:rPr>
          <w:rFonts w:ascii="宋体" w:hAnsi="宋体" w:cs="宋体" w:eastAsia="宋体" w:hint="default"/>
          <w:w w:val="100"/>
        </w:rPr>
        <w:t> </w:t>
      </w:r>
      <w:r>
        <w:rPr>
          <w:spacing w:val="-2"/>
        </w:rPr>
        <w:t>第四，有足够的技术、财务资源和其他资源支持，以完成该无形资产的开发，并有能力使用或出售该无形</w:t>
      </w:r>
      <w:r>
        <w:rPr>
          <w:spacing w:val="-47"/>
        </w:rPr>
        <w:t> </w:t>
      </w:r>
      <w:r>
        <w:rPr>
          <w:spacing w:val="-47"/>
        </w:rPr>
      </w:r>
      <w:r>
        <w:rPr/>
        <w:t>资产；</w:t>
      </w:r>
      <w:r>
        <w:rPr>
          <w:rFonts w:ascii="宋体" w:hAnsi="宋体" w:cs="宋体" w:eastAsia="宋体" w:hint="default"/>
        </w:rPr>
        <w:t> </w:t>
      </w:r>
    </w:p>
    <w:p>
      <w:pPr>
        <w:pStyle w:val="BodyText"/>
        <w:spacing w:line="408" w:lineRule="auto" w:before="46"/>
        <w:ind w:right="0" w:firstLine="420"/>
        <w:jc w:val="left"/>
        <w:rPr>
          <w:rFonts w:ascii="宋体" w:hAnsi="宋体" w:cs="宋体" w:eastAsia="宋体" w:hint="default"/>
        </w:rPr>
      </w:pPr>
      <w:r>
        <w:rPr>
          <w:spacing w:val="-3"/>
        </w:rPr>
        <w:t>本项目从前期调研、论证立项，直至项目开发阶段，都建筑在公司前期的研发基础上，其中既有前期</w:t>
      </w:r>
      <w:r>
        <w:rPr>
          <w:w w:val="100"/>
        </w:rPr>
        <w:t> </w:t>
      </w:r>
      <w:r>
        <w:rPr>
          <w:spacing w:val="-5"/>
        </w:rPr>
        <w:t>储备的各项技术资源，包括研发的各项具有自主知识产权的软硬件产品，如天玑</w:t>
      </w:r>
      <w:r>
        <w:rPr>
          <w:rFonts w:ascii="宋体" w:hAnsi="宋体" w:cs="宋体" w:eastAsia="宋体" w:hint="default"/>
          <w:spacing w:val="-5"/>
        </w:rPr>
        <w:t>IT</w:t>
      </w:r>
      <w:r>
        <w:rPr>
          <w:spacing w:val="-5"/>
        </w:rPr>
        <w:t>资源管控平台软件</w:t>
      </w:r>
      <w:r>
        <w:rPr>
          <w:spacing w:val="72"/>
        </w:rPr>
        <w:t> </w:t>
      </w:r>
      <w:r>
        <w:rPr>
          <w:rFonts w:ascii="宋体" w:hAnsi="宋体" w:cs="宋体" w:eastAsia="宋体" w:hint="default"/>
          <w:spacing w:val="72"/>
        </w:rPr>
      </w:r>
      <w:r>
        <w:rPr>
          <w:rFonts w:ascii="宋体" w:hAnsi="宋体" w:cs="宋体" w:eastAsia="宋体" w:hint="default"/>
        </w:rPr>
        <w:t>V1.0</w:t>
      </w:r>
      <w:r>
        <w:rPr>
          <w:rFonts w:ascii="宋体" w:hAnsi="宋体" w:cs="宋体" w:eastAsia="宋体" w:hint="default"/>
          <w:spacing w:val="-90"/>
        </w:rPr>
        <w:t> </w:t>
      </w:r>
      <w:r>
        <w:rPr>
          <w:rFonts w:ascii="宋体" w:hAnsi="宋体" w:cs="宋体" w:eastAsia="宋体" w:hint="default"/>
          <w:spacing w:val="-90"/>
        </w:rPr>
      </w:r>
      <w:r>
        <w:rPr>
          <w:spacing w:val="-2"/>
        </w:rPr>
        <w:t>等，又有前期公司每年一定比例的研发资金投入，以及多年形成的一支稳定、高效的研发队伍。所有这些</w:t>
      </w:r>
      <w:r>
        <w:rPr>
          <w:spacing w:val="-47"/>
        </w:rPr>
        <w:t> </w:t>
      </w:r>
      <w:r>
        <w:rPr>
          <w:spacing w:val="-47"/>
        </w:rPr>
      </w:r>
      <w:r>
        <w:rPr/>
        <w:t>资源都将有力地支撑本项目的实施和完成，并有能力使用或出售该项目成果。</w:t>
      </w:r>
      <w:r>
        <w:rPr>
          <w:rFonts w:ascii="宋体" w:hAnsi="宋体" w:cs="宋体" w:eastAsia="宋体" w:hint="default"/>
          <w:w w:val="100"/>
        </w:rPr>
        <w:t> </w:t>
      </w:r>
      <w:r>
        <w:rPr/>
        <w:t>第五，归属于该无形资产开发阶段的支出能够可靠地计量：</w:t>
      </w:r>
      <w:r>
        <w:rPr>
          <w:rFonts w:ascii="宋体" w:hAnsi="宋体" w:cs="宋体" w:eastAsia="宋体" w:hint="default"/>
        </w:rPr>
        <w:t> </w:t>
      </w:r>
    </w:p>
    <w:p>
      <w:pPr>
        <w:pStyle w:val="BodyText"/>
        <w:spacing w:line="408" w:lineRule="auto" w:before="46"/>
        <w:ind w:right="146" w:firstLine="420"/>
        <w:jc w:val="both"/>
      </w:pPr>
      <w:r>
        <w:rPr>
          <w:spacing w:val="-2"/>
        </w:rPr>
        <w:t>公司设立有独立的研发中心，并会根据每个研发项目的特点，组成相对固定的研发项目团队，明确各</w:t>
      </w:r>
      <w:r>
        <w:rPr>
          <w:w w:val="100"/>
        </w:rPr>
        <w:t> </w:t>
      </w:r>
      <w:r>
        <w:rPr>
          <w:spacing w:val="-2"/>
        </w:rPr>
        <w:t>自不同的角色和职责，同时，独立核算各项目组的费用，按月按项目统计各项支出，以确保项目费用核算</w:t>
      </w:r>
      <w:r>
        <w:rPr>
          <w:spacing w:val="-50"/>
        </w:rPr>
        <w:t> </w:t>
      </w:r>
      <w:r>
        <w:rPr>
          <w:spacing w:val="-50"/>
        </w:rPr>
      </w:r>
      <w:r>
        <w:rPr>
          <w:spacing w:val="-2"/>
        </w:rPr>
        <w:t>的科学、准确。本项目的研发投入主要是研发人员的薪酬、研发软硬件等直接相关的成本费用，按照公司</w:t>
      </w:r>
    </w:p>
    <w:p>
      <w:pPr>
        <w:spacing w:after="0" w:line="408" w:lineRule="auto"/>
        <w:jc w:val="both"/>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pStyle w:val="BodyText"/>
        <w:spacing w:line="408" w:lineRule="auto" w:before="176"/>
        <w:ind w:right="1784"/>
        <w:jc w:val="left"/>
        <w:rPr>
          <w:rFonts w:ascii="宋体" w:hAnsi="宋体" w:cs="宋体" w:eastAsia="宋体" w:hint="default"/>
        </w:rPr>
      </w:pPr>
      <w:r>
        <w:rPr/>
        <w:t>的研发项目管理规定和财务核算体系，完全可以进行可靠地计量。</w:t>
      </w:r>
      <w:r>
        <w:rPr>
          <w:rFonts w:ascii="宋体" w:hAnsi="宋体" w:cs="宋体" w:eastAsia="宋体" w:hint="default"/>
          <w:w w:val="100"/>
        </w:rPr>
        <w:t> </w:t>
      </w:r>
      <w:r>
        <w:rPr/>
        <w:t>截止期末的研发进度：</w:t>
      </w:r>
      <w:r>
        <w:rPr>
          <w:rFonts w:ascii="宋体" w:hAnsi="宋体" w:cs="宋体" w:eastAsia="宋体" w:hint="default"/>
        </w:rPr>
        <w:t>75% </w:t>
      </w:r>
    </w:p>
    <w:p>
      <w:pPr>
        <w:spacing w:line="240" w:lineRule="auto" w:before="7"/>
        <w:rPr>
          <w:rFonts w:ascii="宋体" w:hAnsi="宋体" w:cs="宋体" w:eastAsia="宋体" w:hint="default"/>
          <w:sz w:val="21"/>
          <w:szCs w:val="21"/>
        </w:rPr>
      </w:pPr>
    </w:p>
    <w:p>
      <w:pPr>
        <w:pStyle w:val="Heading3"/>
        <w:spacing w:line="256" w:lineRule="auto"/>
        <w:ind w:right="5660"/>
        <w:jc w:val="left"/>
        <w:rPr>
          <w:b w:val="0"/>
          <w:bCs w:val="0"/>
        </w:rPr>
      </w:pPr>
      <w:r>
        <w:rPr>
          <w:spacing w:val="-1"/>
        </w:rPr>
        <w:t>注</w:t>
      </w:r>
      <w:r>
        <w:rPr>
          <w:rFonts w:ascii="Times New Roman" w:hAnsi="Times New Roman" w:cs="Times New Roman" w:eastAsia="Times New Roman" w:hint="default"/>
          <w:spacing w:val="-1"/>
        </w:rPr>
        <w:t>2</w:t>
      </w:r>
      <w:r>
        <w:rPr>
          <w:spacing w:val="-1"/>
        </w:rPr>
        <w:t>：基于开源技术的容器存储开发项目</w:t>
      </w:r>
      <w:r>
        <w:rPr>
          <w:spacing w:val="-88"/>
        </w:rPr>
        <w:t> </w:t>
      </w:r>
      <w:r>
        <w:rPr>
          <w:spacing w:val="-88"/>
        </w:rPr>
      </w:r>
      <w:r>
        <w:rPr/>
        <w:t>资本化开始时点：</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w:t>
      </w:r>
      <w:r>
        <w:rPr/>
        <w:t>日</w:t>
      </w:r>
      <w:r>
        <w:rPr>
          <w:w w:val="100"/>
        </w:rPr>
        <w:t> </w:t>
      </w:r>
      <w:r>
        <w:rPr/>
        <w:t>资本化依据：</w:t>
      </w:r>
      <w:r>
        <w:rPr>
          <w:b w:val="0"/>
          <w:bCs w:val="0"/>
        </w:rPr>
      </w:r>
    </w:p>
    <w:p>
      <w:pPr>
        <w:pStyle w:val="BodyText"/>
        <w:spacing w:line="408" w:lineRule="auto" w:before="99"/>
        <w:ind w:left="573" w:right="101" w:hanging="421"/>
        <w:jc w:val="left"/>
      </w:pPr>
      <w:r>
        <w:rPr/>
        <w:t>第一，完成该无形资产以使其能够使用或出售在技术上具有可行性；</w:t>
      </w:r>
      <w:r>
        <w:rPr>
          <w:rFonts w:ascii="宋体" w:hAnsi="宋体" w:cs="宋体" w:eastAsia="宋体" w:hint="default"/>
          <w:w w:val="100"/>
        </w:rPr>
        <w:t> </w:t>
      </w:r>
      <w:r>
        <w:rPr>
          <w:spacing w:val="-4"/>
        </w:rPr>
        <w:t>本项目是整个容器技术的重要组成部分。</w:t>
      </w:r>
      <w:r>
        <w:rPr>
          <w:rFonts w:ascii="宋体" w:hAnsi="宋体" w:cs="宋体" w:eastAsia="宋体" w:hint="default"/>
          <w:spacing w:val="-4"/>
        </w:rPr>
        <w:t>Docker</w:t>
      </w:r>
      <w:r>
        <w:rPr>
          <w:spacing w:val="-4"/>
        </w:rPr>
        <w:t>本身只提供了容器的运行环境，对“计算”完全掌控，</w:t>
      </w:r>
    </w:p>
    <w:p>
      <w:pPr>
        <w:pStyle w:val="BodyText"/>
        <w:spacing w:line="408" w:lineRule="auto" w:before="46"/>
        <w:ind w:right="101"/>
        <w:jc w:val="left"/>
        <w:rPr>
          <w:rFonts w:ascii="宋体" w:hAnsi="宋体" w:cs="宋体" w:eastAsia="宋体" w:hint="default"/>
        </w:rPr>
      </w:pPr>
      <w:r>
        <w:rPr/>
        <w:t>对“存储”和“网络”仅起到基本支持功能，直到</w:t>
      </w:r>
      <w:r>
        <w:rPr>
          <w:rFonts w:ascii="宋体" w:hAnsi="宋体" w:cs="宋体" w:eastAsia="宋体" w:hint="default"/>
        </w:rPr>
        <w:t>1.7</w:t>
      </w:r>
      <w:r>
        <w:rPr/>
        <w:t>之后的版本推出了插件（</w:t>
      </w:r>
      <w:r>
        <w:rPr>
          <w:rFonts w:ascii="宋体" w:hAnsi="宋体" w:cs="宋体" w:eastAsia="宋体" w:hint="default"/>
        </w:rPr>
        <w:t>Plugin</w:t>
      </w:r>
      <w:r>
        <w:rPr/>
        <w:t>）的概念才有所改</w:t>
      </w:r>
      <w:r>
        <w:rPr>
          <w:w w:val="100"/>
        </w:rPr>
        <w:t> </w:t>
      </w:r>
      <w:r>
        <w:rPr>
          <w:spacing w:val="-4"/>
        </w:rPr>
        <w:t>善，有了插件系统提供的能力，开发者可以根据</w:t>
      </w:r>
      <w:r>
        <w:rPr>
          <w:rFonts w:ascii="宋体" w:hAnsi="宋体" w:cs="宋体" w:eastAsia="宋体" w:hint="default"/>
          <w:spacing w:val="-4"/>
        </w:rPr>
        <w:t>Docker</w:t>
      </w:r>
      <w:r>
        <w:rPr>
          <w:spacing w:val="-4"/>
        </w:rPr>
        <w:t>运行的周边环境，定制属于自己的网络和存储方案，</w:t>
      </w:r>
      <w:r>
        <w:rPr>
          <w:spacing w:val="-40"/>
        </w:rPr>
        <w:t> </w:t>
      </w:r>
      <w:r>
        <w:rPr>
          <w:spacing w:val="-40"/>
        </w:rPr>
      </w:r>
      <w:r>
        <w:rPr>
          <w:spacing w:val="-2"/>
        </w:rPr>
        <w:t>满足自己容器化的各种需求。</w:t>
      </w:r>
      <w:r>
        <w:rPr>
          <w:rFonts w:ascii="宋体" w:hAnsi="宋体" w:cs="宋体" w:eastAsia="宋体" w:hint="default"/>
          <w:spacing w:val="-2"/>
        </w:rPr>
        <w:t>Docker</w:t>
      </w:r>
      <w:r>
        <w:rPr>
          <w:spacing w:val="-2"/>
        </w:rPr>
        <w:t>可通过插件扩展存储和网络的边界，与现有云计算的成果进行无缝融</w:t>
      </w:r>
      <w:r>
        <w:rPr>
          <w:spacing w:val="-37"/>
        </w:rPr>
        <w:t> </w:t>
      </w:r>
      <w:r>
        <w:rPr>
          <w:spacing w:val="-37"/>
        </w:rPr>
      </w:r>
      <w:r>
        <w:rPr>
          <w:spacing w:val="-2"/>
        </w:rPr>
        <w:t>合。所以，上述的技术发展成果，结合公司前几年在容器技术上的研发技术储备，使得本项目在技术上完</w:t>
      </w:r>
      <w:r>
        <w:rPr>
          <w:spacing w:val="-47"/>
        </w:rPr>
        <w:t> </w:t>
      </w:r>
      <w:r>
        <w:rPr>
          <w:spacing w:val="-47"/>
        </w:rPr>
      </w:r>
      <w:r>
        <w:rPr/>
        <w:t>全具有可行性。</w:t>
      </w:r>
      <w:r>
        <w:rPr>
          <w:rFonts w:ascii="宋体" w:hAnsi="宋体" w:cs="宋体" w:eastAsia="宋体" w:hint="default"/>
        </w:rPr>
        <w:t> </w:t>
      </w:r>
    </w:p>
    <w:p>
      <w:pPr>
        <w:pStyle w:val="BodyText"/>
        <w:spacing w:line="408" w:lineRule="auto" w:before="46"/>
        <w:ind w:left="573" w:right="101" w:hanging="421"/>
        <w:jc w:val="left"/>
      </w:pPr>
      <w:r>
        <w:rPr/>
        <w:t>第二，具有完成该无形资产并使用或出售的意图；</w:t>
      </w:r>
      <w:r>
        <w:rPr>
          <w:rFonts w:ascii="宋体" w:hAnsi="宋体" w:cs="宋体" w:eastAsia="宋体" w:hint="default"/>
          <w:w w:val="100"/>
        </w:rPr>
        <w:t> </w:t>
      </w:r>
      <w:r>
        <w:rPr>
          <w:spacing w:val="-2"/>
        </w:rPr>
        <w:t>本项目的主要目标用户是正在或计划开展容器化改造或容器云建设的各行业企事业单位，尤其是一些</w:t>
      </w:r>
    </w:p>
    <w:p>
      <w:pPr>
        <w:pStyle w:val="BodyText"/>
        <w:spacing w:line="408" w:lineRule="auto" w:before="46"/>
        <w:ind w:right="101"/>
        <w:jc w:val="left"/>
        <w:rPr>
          <w:rFonts w:ascii="宋体" w:hAnsi="宋体" w:cs="宋体" w:eastAsia="宋体" w:hint="default"/>
        </w:rPr>
      </w:pPr>
      <w:r>
        <w:rPr>
          <w:spacing w:val="-2"/>
        </w:rPr>
        <w:t>信息化程度比较高的电信、金融、政府等行业，而这些行业又是公司的传统优势行业，所以帮助这些行业</w:t>
      </w:r>
      <w:r>
        <w:rPr>
          <w:spacing w:val="-44"/>
        </w:rPr>
        <w:t> </w:t>
      </w:r>
      <w:r>
        <w:rPr>
          <w:spacing w:val="-44"/>
        </w:rPr>
      </w:r>
      <w:r>
        <w:rPr>
          <w:spacing w:val="-2"/>
        </w:rPr>
        <w:t>用户尽快应用本项目的建设成果，完成容器化改造或容器建设，无论是对于这些用户提高各自的信息化管</w:t>
      </w:r>
      <w:r>
        <w:rPr>
          <w:spacing w:val="-44"/>
        </w:rPr>
        <w:t> </w:t>
      </w:r>
      <w:r>
        <w:rPr>
          <w:spacing w:val="-44"/>
        </w:rPr>
      </w:r>
      <w:r>
        <w:rPr>
          <w:spacing w:val="-2"/>
        </w:rPr>
        <w:t>理和服务能力，还是对于公司保持行业竞争优势，进一步提升核心竞争力，都有着十分重要的现实和战略</w:t>
      </w:r>
      <w:r>
        <w:rPr>
          <w:spacing w:val="-43"/>
        </w:rPr>
        <w:t> </w:t>
      </w:r>
      <w:r>
        <w:rPr>
          <w:spacing w:val="-43"/>
        </w:rPr>
      </w:r>
      <w:r>
        <w:rPr/>
        <w:t>意义。所以，本项目具备明显的使用或出售意图。</w:t>
      </w:r>
      <w:r>
        <w:rPr>
          <w:rFonts w:ascii="宋体" w:hAnsi="宋体" w:cs="宋体" w:eastAsia="宋体" w:hint="default"/>
          <w:w w:val="100"/>
        </w:rPr>
        <w:t> </w:t>
      </w:r>
      <w:r>
        <w:rPr>
          <w:spacing w:val="-2"/>
        </w:rPr>
        <w:t>第三，无形资产产生经济利益的方式，包括能够证明运用该无形资产生产的产品存在市场或无形资产自身</w:t>
      </w:r>
      <w:r>
        <w:rPr>
          <w:spacing w:val="-43"/>
        </w:rPr>
        <w:t> </w:t>
      </w:r>
      <w:r>
        <w:rPr>
          <w:spacing w:val="-43"/>
        </w:rPr>
      </w:r>
      <w:r>
        <w:rPr/>
        <w:t>存在市场，无形资产将在内部使用的，应当证明其有用性；</w:t>
      </w:r>
      <w:r>
        <w:rPr>
          <w:rFonts w:ascii="宋体" w:hAnsi="宋体" w:cs="宋体" w:eastAsia="宋体" w:hint="default"/>
        </w:rPr>
        <w:t> </w:t>
      </w:r>
    </w:p>
    <w:p>
      <w:pPr>
        <w:pStyle w:val="BodyText"/>
        <w:spacing w:line="408" w:lineRule="auto" w:before="46"/>
        <w:ind w:right="101" w:firstLine="420"/>
        <w:jc w:val="left"/>
        <w:rPr>
          <w:rFonts w:ascii="宋体" w:hAnsi="宋体" w:cs="宋体" w:eastAsia="宋体" w:hint="default"/>
        </w:rPr>
      </w:pPr>
      <w:r>
        <w:rPr>
          <w:spacing w:val="-2"/>
        </w:rPr>
        <w:t>根据行业权威机构的全球最新市场监测报告，应用程序容器市场将从</w:t>
      </w:r>
      <w:r>
        <w:rPr>
          <w:rFonts w:ascii="宋体" w:hAnsi="宋体" w:cs="宋体" w:eastAsia="宋体" w:hint="default"/>
          <w:spacing w:val="-2"/>
        </w:rPr>
        <w:t>2016</w:t>
      </w:r>
      <w:r>
        <w:rPr>
          <w:spacing w:val="-2"/>
        </w:rPr>
        <w:t>年的</w:t>
      </w:r>
      <w:r>
        <w:rPr>
          <w:rFonts w:ascii="宋体" w:hAnsi="宋体" w:cs="宋体" w:eastAsia="宋体" w:hint="default"/>
          <w:spacing w:val="-2"/>
        </w:rPr>
        <w:t>7.62</w:t>
      </w:r>
      <w:r>
        <w:rPr>
          <w:spacing w:val="-2"/>
        </w:rPr>
        <w:t>亿美元增长到</w:t>
      </w:r>
      <w:r>
        <w:rPr>
          <w:rFonts w:ascii="宋体" w:hAnsi="宋体" w:cs="宋体" w:eastAsia="宋体" w:hint="default"/>
          <w:spacing w:val="-2"/>
        </w:rPr>
        <w:t>2020</w:t>
      </w:r>
      <w:r>
        <w:rPr>
          <w:rFonts w:ascii="宋体" w:hAnsi="宋体" w:cs="宋体" w:eastAsia="宋体" w:hint="default"/>
          <w:w w:val="100"/>
        </w:rPr>
        <w:t> </w:t>
      </w:r>
      <w:r>
        <w:rPr/>
        <w:t>年的</w:t>
      </w:r>
      <w:r>
        <w:rPr>
          <w:rFonts w:ascii="宋体" w:hAnsi="宋体" w:cs="宋体" w:eastAsia="宋体" w:hint="default"/>
        </w:rPr>
        <w:t>27</w:t>
      </w:r>
      <w:r>
        <w:rPr/>
        <w:t>亿美元，在整个云计算技术（</w:t>
      </w:r>
      <w:r>
        <w:rPr>
          <w:rFonts w:ascii="宋体" w:hAnsi="宋体" w:cs="宋体" w:eastAsia="宋体" w:hint="default"/>
        </w:rPr>
        <w:t>CET</w:t>
      </w:r>
      <w:r>
        <w:rPr/>
        <w:t>）市场中增长速度将是最快的，到</w:t>
      </w:r>
      <w:r>
        <w:rPr>
          <w:rFonts w:ascii="宋体" w:hAnsi="宋体" w:cs="宋体" w:eastAsia="宋体" w:hint="default"/>
        </w:rPr>
        <w:t>2020</w:t>
      </w:r>
      <w:r>
        <w:rPr/>
        <w:t>年，其复合年增长率估计</w:t>
      </w:r>
      <w:r>
        <w:rPr>
          <w:w w:val="100"/>
        </w:rPr>
        <w:t> </w:t>
      </w:r>
      <w:r>
        <w:rPr>
          <w:spacing w:val="-2"/>
        </w:rPr>
        <w:t>为</w:t>
      </w:r>
      <w:r>
        <w:rPr>
          <w:rFonts w:ascii="宋体" w:hAnsi="宋体" w:cs="宋体" w:eastAsia="宋体" w:hint="default"/>
          <w:spacing w:val="-2"/>
        </w:rPr>
        <w:t>40</w:t>
      </w:r>
      <w:r>
        <w:rPr>
          <w:spacing w:val="-2"/>
        </w:rPr>
        <w:t>％，按照预估的速度，应用程序容器市场规模将从</w:t>
      </w:r>
      <w:r>
        <w:rPr>
          <w:rFonts w:ascii="宋体" w:hAnsi="宋体" w:cs="宋体" w:eastAsia="宋体" w:hint="default"/>
          <w:spacing w:val="-2"/>
        </w:rPr>
        <w:t>2016</w:t>
      </w:r>
      <w:r>
        <w:rPr>
          <w:spacing w:val="-2"/>
        </w:rPr>
        <w:t>年的</w:t>
      </w:r>
      <w:r>
        <w:rPr>
          <w:rFonts w:ascii="宋体" w:hAnsi="宋体" w:cs="宋体" w:eastAsia="宋体" w:hint="default"/>
          <w:spacing w:val="-2"/>
        </w:rPr>
        <w:t>7.62</w:t>
      </w:r>
      <w:r>
        <w:rPr>
          <w:spacing w:val="-2"/>
        </w:rPr>
        <w:t>亿美元增长到四倍以上。上述数字表</w:t>
      </w:r>
      <w:r>
        <w:rPr>
          <w:spacing w:val="-36"/>
        </w:rPr>
        <w:t> </w:t>
      </w:r>
      <w:r>
        <w:rPr>
          <w:spacing w:val="-36"/>
        </w:rPr>
      </w:r>
      <w:r>
        <w:rPr>
          <w:spacing w:val="-2"/>
        </w:rPr>
        <w:t>明容器技术市场十分广阔，将有极大的提升空间，而这也正是本项目建设的市场意义。同时，本项目对于</w:t>
      </w:r>
      <w:r>
        <w:rPr>
          <w:spacing w:val="-43"/>
        </w:rPr>
        <w:t> </w:t>
      </w:r>
      <w:r>
        <w:rPr>
          <w:spacing w:val="-43"/>
        </w:rPr>
      </w:r>
      <w:r>
        <w:rPr/>
        <w:t>公司提高的主营业务—数据中心第三方</w:t>
      </w:r>
      <w:r>
        <w:rPr>
          <w:rFonts w:ascii="宋体" w:hAnsi="宋体" w:cs="宋体" w:eastAsia="宋体" w:hint="default"/>
        </w:rPr>
        <w:t>IT</w:t>
      </w:r>
      <w:r>
        <w:rPr/>
        <w:t>服务的能力，进一步提升服务价值，有着十分重要的作用。</w:t>
      </w:r>
      <w:r>
        <w:rPr>
          <w:rFonts w:ascii="宋体" w:hAnsi="宋体" w:cs="宋体" w:eastAsia="宋体" w:hint="default"/>
          <w:w w:val="100"/>
        </w:rPr>
        <w:t> </w:t>
      </w:r>
      <w:r>
        <w:rPr>
          <w:spacing w:val="-2"/>
        </w:rPr>
        <w:t>第四，有足够的技术、财务资源和其他资源支持，以完成该无形资产的开发，并有能力使用或出售该无形</w:t>
      </w:r>
      <w:r>
        <w:rPr>
          <w:spacing w:val="-47"/>
        </w:rPr>
        <w:t> </w:t>
      </w:r>
      <w:r>
        <w:rPr>
          <w:spacing w:val="-47"/>
        </w:rPr>
      </w:r>
      <w:r>
        <w:rPr/>
        <w:t>资产；</w:t>
      </w:r>
      <w:r>
        <w:rPr>
          <w:rFonts w:ascii="宋体" w:hAnsi="宋体" w:cs="宋体" w:eastAsia="宋体" w:hint="default"/>
        </w:rPr>
        <w:t> </w:t>
      </w:r>
    </w:p>
    <w:p>
      <w:pPr>
        <w:pStyle w:val="BodyText"/>
        <w:spacing w:line="408" w:lineRule="auto" w:before="46"/>
        <w:ind w:right="206" w:firstLine="420"/>
        <w:jc w:val="both"/>
      </w:pPr>
      <w:r>
        <w:rPr>
          <w:spacing w:val="-3"/>
        </w:rPr>
        <w:t>本项目从前期调研、论证立项，直至项目开发阶段，都建筑在公司前期的研发基础上，其中既有前期</w:t>
      </w:r>
      <w:r>
        <w:rPr>
          <w:w w:val="100"/>
        </w:rPr>
        <w:t> </w:t>
      </w:r>
      <w:r>
        <w:rPr>
          <w:spacing w:val="-2"/>
        </w:rPr>
        <w:t>储备的各项技术资源，包括研发的各项具有自主知识产权的软硬件产品，如玑云运营中心软件</w:t>
      </w:r>
      <w:r>
        <w:rPr>
          <w:rFonts w:ascii="宋体" w:hAnsi="宋体" w:cs="宋体" w:eastAsia="宋体" w:hint="default"/>
          <w:spacing w:val="-2"/>
        </w:rPr>
        <w:t>V1.0</w:t>
      </w:r>
      <w:r>
        <w:rPr>
          <w:spacing w:val="-2"/>
        </w:rPr>
        <w:t>等，又</w:t>
      </w:r>
      <w:r>
        <w:rPr>
          <w:spacing w:val="-41"/>
        </w:rPr>
        <w:t> </w:t>
      </w:r>
      <w:r>
        <w:rPr>
          <w:spacing w:val="-41"/>
        </w:rPr>
      </w:r>
      <w:r>
        <w:rPr>
          <w:spacing w:val="-2"/>
        </w:rPr>
        <w:t>有前期公司每年一定比例的研发资金投入，以及多年形成的一支稳定、高效的研发队伍。所有这些资源都</w:t>
      </w:r>
    </w:p>
    <w:p>
      <w:pPr>
        <w:spacing w:after="0" w:line="408" w:lineRule="auto"/>
        <w:jc w:val="both"/>
        <w:sectPr>
          <w:pgSz w:w="11910" w:h="16840"/>
          <w:pgMar w:header="745" w:footer="979" w:top="1060" w:bottom="1160" w:left="980" w:right="920"/>
        </w:sectPr>
      </w:pPr>
    </w:p>
    <w:p>
      <w:pPr>
        <w:spacing w:line="240" w:lineRule="auto" w:before="0"/>
        <w:rPr>
          <w:rFonts w:ascii="宋体" w:hAnsi="宋体" w:cs="宋体" w:eastAsia="宋体" w:hint="default"/>
          <w:sz w:val="20"/>
          <w:szCs w:val="20"/>
        </w:rPr>
      </w:pPr>
    </w:p>
    <w:p>
      <w:pPr>
        <w:pStyle w:val="BodyText"/>
        <w:spacing w:line="408" w:lineRule="auto" w:before="176"/>
        <w:ind w:right="0"/>
        <w:jc w:val="left"/>
        <w:rPr>
          <w:rFonts w:ascii="宋体" w:hAnsi="宋体" w:cs="宋体" w:eastAsia="宋体" w:hint="default"/>
        </w:rPr>
      </w:pPr>
      <w:r>
        <w:rPr/>
        <w:t>将有力地支撑本项目的实施和完成，并有能力使用或出售该项目成果。</w:t>
      </w:r>
      <w:r>
        <w:rPr>
          <w:rFonts w:ascii="宋体" w:hAnsi="宋体" w:cs="宋体" w:eastAsia="宋体" w:hint="default"/>
          <w:w w:val="100"/>
        </w:rPr>
        <w:t> </w:t>
      </w:r>
      <w:r>
        <w:rPr/>
        <w:t>第五，归属于该无形资产开发阶段的支出能够可靠地计量：</w:t>
      </w:r>
      <w:r>
        <w:rPr>
          <w:rFonts w:ascii="宋体" w:hAnsi="宋体" w:cs="宋体" w:eastAsia="宋体" w:hint="default"/>
        </w:rPr>
        <w:t> </w:t>
      </w:r>
    </w:p>
    <w:p>
      <w:pPr>
        <w:pStyle w:val="BodyText"/>
        <w:spacing w:line="408" w:lineRule="auto" w:before="46"/>
        <w:ind w:right="146" w:firstLine="420"/>
        <w:jc w:val="both"/>
        <w:rPr>
          <w:rFonts w:ascii="宋体" w:hAnsi="宋体" w:cs="宋体" w:eastAsia="宋体" w:hint="default"/>
        </w:rPr>
      </w:pPr>
      <w:r>
        <w:rPr>
          <w:spacing w:val="-2"/>
        </w:rPr>
        <w:t>公司设立有独立的研发中心，并会根据每个研发项目的特点，组成相对固定的研发项目团队，明确各</w:t>
      </w:r>
      <w:r>
        <w:rPr>
          <w:w w:val="100"/>
        </w:rPr>
        <w:t> </w:t>
      </w:r>
      <w:r>
        <w:rPr>
          <w:spacing w:val="-2"/>
        </w:rPr>
        <w:t>自不同的角色和职责，同时，独立核算各项目组的费用，按月按项目统计各项支出，以确保项目费用核算</w:t>
      </w:r>
      <w:r>
        <w:rPr>
          <w:spacing w:val="-50"/>
        </w:rPr>
        <w:t> </w:t>
      </w:r>
      <w:r>
        <w:rPr>
          <w:spacing w:val="-50"/>
        </w:rPr>
      </w:r>
      <w:r>
        <w:rPr>
          <w:spacing w:val="-2"/>
        </w:rPr>
        <w:t>的科学、准确。本项目的研发投入主要是研发人员的薪酬、研发软硬件等直接相关的成本费用，按照公司</w:t>
      </w:r>
      <w:r>
        <w:rPr>
          <w:spacing w:val="-47"/>
        </w:rPr>
        <w:t> </w:t>
      </w:r>
      <w:r>
        <w:rPr>
          <w:spacing w:val="-47"/>
        </w:rPr>
      </w:r>
      <w:r>
        <w:rPr/>
        <w:t>的研发项目管理规定和财务核算体系，完全可以进行可靠地计量。</w:t>
      </w:r>
      <w:r>
        <w:rPr>
          <w:rFonts w:ascii="宋体" w:hAnsi="宋体" w:cs="宋体" w:eastAsia="宋体" w:hint="default"/>
        </w:rPr>
        <w:t> </w:t>
      </w:r>
    </w:p>
    <w:p>
      <w:pPr>
        <w:pStyle w:val="BodyText"/>
        <w:spacing w:line="240" w:lineRule="auto" w:before="46"/>
        <w:ind w:left="573" w:right="0"/>
        <w:jc w:val="left"/>
        <w:rPr>
          <w:rFonts w:ascii="宋体" w:hAnsi="宋体" w:cs="宋体" w:eastAsia="宋体" w:hint="default"/>
        </w:rPr>
      </w:pPr>
      <w:r>
        <w:rPr/>
        <w:t>截止期末的研发进度：</w:t>
      </w:r>
      <w:r>
        <w:rPr>
          <w:rFonts w:ascii="宋体" w:hAnsi="宋体" w:cs="宋体" w:eastAsia="宋体" w:hint="default"/>
        </w:rPr>
        <w:t>75%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3"/>
        <w:spacing w:line="240" w:lineRule="auto"/>
        <w:ind w:right="0"/>
        <w:jc w:val="left"/>
        <w:rPr>
          <w:b w:val="0"/>
          <w:bCs w:val="0"/>
        </w:rPr>
      </w:pPr>
      <w:r>
        <w:rPr>
          <w:rFonts w:ascii="Times New Roman" w:hAnsi="Times New Roman" w:cs="Times New Roman" w:eastAsia="Times New Roman" w:hint="default"/>
        </w:rPr>
        <w:t>27</w:t>
      </w:r>
      <w:r>
        <w:rPr/>
        <w:t>、商誉</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）商誉账面原值</w:t>
      </w:r>
      <w:r>
        <w:rPr>
          <w:b w:val="0"/>
          <w:bCs w:val="0"/>
        </w:rPr>
      </w:r>
    </w:p>
    <w:p>
      <w:pPr>
        <w:spacing w:line="240" w:lineRule="auto" w:before="2"/>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2734"/>
        <w:gridCol w:w="2737"/>
        <w:gridCol w:w="1366"/>
      </w:tblGrid>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6" w:right="48"/>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）商誉减值准备</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2734"/>
        <w:gridCol w:w="2737"/>
        <w:gridCol w:w="1366"/>
      </w:tblGrid>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6" w:right="48"/>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line="360" w:lineRule="auto" w:before="49"/>
        <w:ind w:left="152" w:right="5094" w:firstLine="0"/>
        <w:jc w:val="left"/>
        <w:rPr>
          <w:rFonts w:ascii="宋体" w:hAnsi="宋体" w:cs="宋体" w:eastAsia="宋体" w:hint="default"/>
          <w:sz w:val="18"/>
          <w:szCs w:val="18"/>
        </w:rPr>
      </w:pPr>
      <w:r>
        <w:rPr>
          <w:rFonts w:ascii="宋体" w:hAnsi="宋体" w:cs="宋体" w:eastAsia="宋体" w:hint="default"/>
          <w:sz w:val="18"/>
          <w:szCs w:val="18"/>
        </w:rPr>
        <w:t>说明商誉减值测试过程、参数及商誉减值损失的确认方法： 其他说明</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28</w:t>
      </w:r>
      <w:r>
        <w:rPr/>
        <w:t>、长期待摊费用</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2,348,370.08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2,793,879.82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2,346,542.65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2,795,707.25</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2,348,370.08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2,793,879.82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2,346,542.65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2,795,707.25</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29</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206"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0"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16,035,583.93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2,405,337.59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10,556,051.47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1,583,407.72</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989,188.85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148,378.33</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股份支付</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10,259,881.67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1,538,982.25</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16,035,583.93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2,405,337.59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21,805,121.99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3,270,768.30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04"/>
      </w:tblGrid>
      <w:tr>
        <w:trPr>
          <w:trHeight w:val="403"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25"/>
        <w:gridCol w:w="1905"/>
        <w:gridCol w:w="1914"/>
        <w:gridCol w:w="1914"/>
        <w:gridCol w:w="1903"/>
      </w:tblGrid>
      <w:tr>
        <w:trPr>
          <w:trHeight w:val="163" w:hRule="exact"/>
        </w:trPr>
        <w:tc>
          <w:tcPr>
            <w:tcW w:w="1925" w:type="dxa"/>
            <w:tcBorders>
              <w:top w:val="single" w:sz="4" w:space="0" w:color="000000"/>
              <w:left w:val="single" w:sz="4" w:space="0" w:color="000000"/>
              <w:bottom w:val="nil" w:sz="6" w:space="0" w:color="auto"/>
              <w:right w:val="single" w:sz="4" w:space="0" w:color="000000"/>
            </w:tcBorders>
            <w:shd w:val="clear" w:color="auto" w:fill="D2D2D2"/>
          </w:tcPr>
          <w:p>
            <w:pPr/>
          </w:p>
        </w:tc>
        <w:tc>
          <w:tcPr>
            <w:tcW w:w="1905"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1"/>
              <w:ind w:left="400" w:right="52"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1"/>
              <w:ind w:left="320"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1"/>
              <w:ind w:left="412" w:right="49"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0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1"/>
              <w:ind w:left="320" w:right="39"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1" w:hRule="exact"/>
        </w:trPr>
        <w:tc>
          <w:tcPr>
            <w:tcW w:w="192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905"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03" w:type="dxa"/>
            <w:vMerge/>
            <w:tcBorders>
              <w:left w:val="single" w:sz="4" w:space="0" w:color="000000"/>
              <w:right w:val="single" w:sz="4" w:space="0" w:color="000000"/>
            </w:tcBorders>
            <w:shd w:val="clear" w:color="auto" w:fill="D2D2D2"/>
          </w:tcPr>
          <w:p>
            <w:pPr/>
          </w:p>
        </w:tc>
      </w:tr>
      <w:tr>
        <w:trPr>
          <w:trHeight w:val="161" w:hRule="exact"/>
        </w:trPr>
        <w:tc>
          <w:tcPr>
            <w:tcW w:w="1925" w:type="dxa"/>
            <w:tcBorders>
              <w:top w:val="nil" w:sz="6" w:space="0" w:color="auto"/>
              <w:left w:val="single" w:sz="4" w:space="0" w:color="000000"/>
              <w:bottom w:val="single" w:sz="4" w:space="0" w:color="000000"/>
              <w:right w:val="single" w:sz="4" w:space="0" w:color="000000"/>
            </w:tcBorders>
            <w:shd w:val="clear" w:color="auto" w:fill="D2D2D2"/>
          </w:tcPr>
          <w:p>
            <w:pPr/>
          </w:p>
        </w:tc>
        <w:tc>
          <w:tcPr>
            <w:tcW w:w="1905"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0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05"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4" w:right="0"/>
              <w:jc w:val="left"/>
              <w:rPr>
                <w:rFonts w:ascii="Times New Roman" w:hAnsi="Times New Roman" w:cs="Times New Roman" w:eastAsia="Times New Roman" w:hint="default"/>
                <w:sz w:val="18"/>
                <w:szCs w:val="18"/>
              </w:rPr>
            </w:pPr>
            <w:r>
              <w:rPr>
                <w:rFonts w:ascii="Times New Roman"/>
                <w:sz w:val="18"/>
              </w:rPr>
              <w:t>2,405,337.59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5" w:right="0"/>
              <w:jc w:val="left"/>
              <w:rPr>
                <w:rFonts w:ascii="Times New Roman" w:hAnsi="Times New Roman" w:cs="Times New Roman" w:eastAsia="Times New Roman" w:hint="default"/>
                <w:sz w:val="18"/>
                <w:szCs w:val="18"/>
              </w:rPr>
            </w:pPr>
            <w:r>
              <w:rPr>
                <w:rFonts w:ascii="Times New Roman"/>
                <w:sz w:val="18"/>
              </w:rPr>
              <w:t>3,270,768.30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w w:val="95"/>
                <w:sz w:val="18"/>
              </w:rPr>
              <w:t>11,345.00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59,725.88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29,843,016.45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32,959,047.83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1,300,206.67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57,219.40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31,154,568.12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33,075,993.11</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7"/>
        <w:gridCol w:w="2397"/>
        <w:gridCol w:w="2392"/>
        <w:gridCol w:w="2381"/>
      </w:tblGrid>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01"/>
        <w:jc w:val="left"/>
        <w:rPr>
          <w:b w:val="0"/>
          <w:bCs w:val="0"/>
        </w:rPr>
      </w:pPr>
      <w:r>
        <w:rPr>
          <w:rFonts w:ascii="Times New Roman" w:hAnsi="Times New Roman" w:cs="Times New Roman" w:eastAsia="Times New Roman" w:hint="default"/>
        </w:rPr>
        <w:t>30</w:t>
      </w:r>
      <w:r>
        <w:rPr/>
        <w:t>、其他非流动资产</w:t>
      </w:r>
      <w:r>
        <w:rPr>
          <w:b w:val="0"/>
          <w:bCs w:val="0"/>
        </w:rPr>
      </w:r>
    </w:p>
    <w:p>
      <w:pPr>
        <w:spacing w:line="240" w:lineRule="auto" w:before="12"/>
        <w:rPr>
          <w:rFonts w:ascii="宋体" w:hAnsi="宋体" w:cs="宋体" w:eastAsia="宋体" w:hint="default"/>
          <w:b/>
          <w:bCs/>
          <w:sz w:val="22"/>
          <w:szCs w:val="22"/>
        </w:rPr>
      </w:pPr>
    </w:p>
    <w:p>
      <w:pPr>
        <w:spacing w:before="44"/>
        <w:ind w:left="0" w:right="2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预付购房款（注）</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67,927,420.00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67,927,420.00</w:t>
            </w:r>
          </w:p>
        </w:tc>
      </w:tr>
    </w:tbl>
    <w:p>
      <w:pPr>
        <w:spacing w:before="49"/>
        <w:ind w:left="152" w:right="101"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64" w:lineRule="auto" w:before="94"/>
        <w:ind w:right="101"/>
        <w:jc w:val="left"/>
      </w:pPr>
      <w:r>
        <w:rPr>
          <w:spacing w:val="-4"/>
        </w:rPr>
        <w:t>注：</w:t>
      </w:r>
      <w:r>
        <w:rPr>
          <w:rFonts w:ascii="Times New Roman" w:hAnsi="Times New Roman" w:cs="Times New Roman" w:eastAsia="Times New Roman" w:hint="default"/>
          <w:spacing w:val="-4"/>
        </w:rPr>
        <w:t>2015</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16</w:t>
      </w:r>
      <w:r>
        <w:rPr>
          <w:spacing w:val="-4"/>
        </w:rPr>
        <w:t>日，公司第三届董事会第二次会议审议通过了《关于变更部分募投项目实施地点的议案》</w:t>
      </w:r>
      <w:r>
        <w:rPr>
          <w:spacing w:val="-36"/>
        </w:rPr>
        <w:t> </w:t>
      </w:r>
      <w:r>
        <w:rPr>
          <w:spacing w:val="-36"/>
        </w:rPr>
      </w:r>
      <w:r>
        <w:rPr>
          <w:spacing w:val="-2"/>
        </w:rPr>
        <w:t>和《关于使用超募资金购买办公房产并设立全资子公司的公告》，使用募集资金用于设立全资子公司并购</w:t>
      </w:r>
      <w:r>
        <w:rPr>
          <w:spacing w:val="-44"/>
        </w:rPr>
        <w:t> </w:t>
      </w:r>
      <w:r>
        <w:rPr>
          <w:spacing w:val="-44"/>
        </w:rPr>
      </w:r>
      <w:r>
        <w:rPr/>
        <w:t>置办公房产。截至本年末，相关房产已全部交付。</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8"/>
          <w:szCs w:val="28"/>
        </w:rPr>
      </w:pPr>
    </w:p>
    <w:p>
      <w:pPr>
        <w:pStyle w:val="Heading3"/>
        <w:spacing w:line="240" w:lineRule="auto"/>
        <w:ind w:right="101"/>
        <w:jc w:val="left"/>
        <w:rPr>
          <w:b w:val="0"/>
          <w:bCs w:val="0"/>
        </w:rPr>
      </w:pPr>
      <w:r>
        <w:rPr>
          <w:rFonts w:ascii="Times New Roman" w:hAnsi="Times New Roman" w:cs="Times New Roman" w:eastAsia="Times New Roman" w:hint="default"/>
        </w:rPr>
        <w:t>31</w:t>
      </w:r>
      <w:r>
        <w:rPr/>
        <w:t>、短期借款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1"/>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2"/>
        <w:rPr>
          <w:rFonts w:ascii="宋体" w:hAnsi="宋体" w:cs="宋体" w:eastAsia="宋体" w:hint="default"/>
          <w:b/>
          <w:bCs/>
          <w:sz w:val="26"/>
          <w:szCs w:val="26"/>
        </w:rPr>
      </w:pPr>
    </w:p>
    <w:p>
      <w:pPr>
        <w:spacing w:before="0"/>
        <w:ind w:left="0" w:right="2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9,500,000.00</w:t>
            </w:r>
          </w:p>
        </w:tc>
      </w:tr>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9,500,000.00</w:t>
            </w:r>
          </w:p>
        </w:tc>
      </w:tr>
    </w:tbl>
    <w:p>
      <w:pPr>
        <w:spacing w:before="49"/>
        <w:ind w:left="152" w:right="101" w:firstLine="0"/>
        <w:jc w:val="left"/>
        <w:rPr>
          <w:rFonts w:ascii="宋体" w:hAnsi="宋体" w:cs="宋体" w:eastAsia="宋体" w:hint="default"/>
          <w:sz w:val="18"/>
          <w:szCs w:val="18"/>
        </w:rPr>
      </w:pPr>
      <w:r>
        <w:rPr>
          <w:rFonts w:ascii="宋体" w:hAnsi="宋体" w:cs="宋体" w:eastAsia="宋体" w:hint="default"/>
          <w:sz w:val="18"/>
          <w:szCs w:val="18"/>
        </w:rPr>
        <w:t>短期借款分类的说明：</w:t>
      </w:r>
    </w:p>
    <w:p>
      <w:pPr>
        <w:spacing w:line="240" w:lineRule="auto" w:before="0"/>
        <w:rPr>
          <w:rFonts w:ascii="宋体" w:hAnsi="宋体" w:cs="宋体" w:eastAsia="宋体" w:hint="default"/>
          <w:sz w:val="18"/>
          <w:szCs w:val="18"/>
        </w:rPr>
      </w:pPr>
    </w:p>
    <w:p>
      <w:pPr>
        <w:pStyle w:val="Heading3"/>
        <w:spacing w:line="240" w:lineRule="auto" w:before="118"/>
        <w:ind w:right="101"/>
        <w:jc w:val="left"/>
        <w:rPr>
          <w:b w:val="0"/>
          <w:bCs w:val="0"/>
        </w:rPr>
      </w:pP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12"/>
        <w:rPr>
          <w:rFonts w:ascii="宋体" w:hAnsi="宋体" w:cs="宋体" w:eastAsia="宋体" w:hint="default"/>
          <w:b/>
          <w:bCs/>
          <w:sz w:val="22"/>
          <w:szCs w:val="22"/>
        </w:rPr>
      </w:pPr>
    </w:p>
    <w:p>
      <w:pPr>
        <w:spacing w:before="44"/>
        <w:ind w:left="152" w:right="101" w:firstLine="0"/>
        <w:jc w:val="left"/>
        <w:rPr>
          <w:rFonts w:ascii="宋体" w:hAnsi="宋体" w:cs="宋体" w:eastAsia="宋体" w:hint="default"/>
          <w:sz w:val="18"/>
          <w:szCs w:val="18"/>
        </w:rPr>
      </w:pPr>
      <w:r>
        <w:rPr>
          <w:rFonts w:ascii="宋体" w:hAnsi="宋体" w:cs="宋体" w:eastAsia="宋体" w:hint="default"/>
          <w:sz w:val="18"/>
          <w:szCs w:val="18"/>
        </w:rPr>
        <w:t>本期末已逾期未偿还的短期借款总额为元，其中重要的已逾期未偿还的短期借款情况如下：</w:t>
      </w:r>
    </w:p>
    <w:p>
      <w:pPr>
        <w:spacing w:before="115"/>
        <w:ind w:left="0" w:right="2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03"/>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9"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spacing w:before="49"/>
        <w:ind w:left="152" w:right="101"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101"/>
        <w:jc w:val="left"/>
        <w:rPr>
          <w:b w:val="0"/>
          <w:bCs w:val="0"/>
        </w:rPr>
      </w:pPr>
      <w:r>
        <w:rPr>
          <w:rFonts w:ascii="Times New Roman" w:hAnsi="Times New Roman" w:cs="Times New Roman" w:eastAsia="Times New Roman" w:hint="default"/>
        </w:rPr>
        <w:t>32</w:t>
      </w:r>
      <w:r>
        <w:rPr/>
        <w:t>、以公允价值计量且其变动计入当期损益的金融负债</w:t>
      </w:r>
      <w:r>
        <w:rPr>
          <w:b w:val="0"/>
          <w:bCs w:val="0"/>
        </w:rPr>
      </w:r>
    </w:p>
    <w:p>
      <w:pPr>
        <w:spacing w:line="240" w:lineRule="auto" w:before="12"/>
        <w:rPr>
          <w:rFonts w:ascii="宋体" w:hAnsi="宋体" w:cs="宋体" w:eastAsia="宋体" w:hint="default"/>
          <w:b/>
          <w:bCs/>
          <w:sz w:val="22"/>
          <w:szCs w:val="22"/>
        </w:rPr>
      </w:pPr>
    </w:p>
    <w:p>
      <w:pPr>
        <w:spacing w:before="44"/>
        <w:ind w:left="0" w:right="2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2" w:right="101"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20"/>
        <w:ind w:right="101"/>
        <w:jc w:val="left"/>
        <w:rPr>
          <w:b w:val="0"/>
          <w:bCs w:val="0"/>
        </w:rPr>
      </w:pPr>
      <w:r>
        <w:rPr>
          <w:rFonts w:ascii="Times New Roman" w:hAnsi="Times New Roman" w:cs="Times New Roman" w:eastAsia="Times New Roman" w:hint="default"/>
        </w:rPr>
        <w:t>33</w:t>
      </w:r>
      <w:r>
        <w:rPr/>
        <w:t>、衍生金融负债</w:t>
      </w:r>
      <w:r>
        <w:rPr>
          <w:b w:val="0"/>
          <w:bCs w:val="0"/>
        </w:rPr>
      </w:r>
    </w:p>
    <w:p>
      <w:pPr>
        <w:spacing w:line="240" w:lineRule="auto" w:before="4"/>
        <w:rPr>
          <w:rFonts w:ascii="宋体" w:hAnsi="宋体" w:cs="宋体" w:eastAsia="宋体" w:hint="default"/>
          <w:b/>
          <w:bCs/>
          <w:sz w:val="26"/>
          <w:szCs w:val="26"/>
        </w:rPr>
      </w:pPr>
    </w:p>
    <w:p>
      <w:pPr>
        <w:spacing w:before="0"/>
        <w:ind w:left="152" w:right="10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79" w:top="1060" w:bottom="1160" w:left="980" w:right="92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34</w:t>
      </w:r>
      <w:r>
        <w:rPr/>
        <w:t>、应付票据</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2,018,832.00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2,018,832.00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本期末已到期未支付的应付票据总额为元。</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35</w:t>
      </w:r>
      <w:r>
        <w:rPr/>
        <w:t>、应付账款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）应付账款列示</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应付购买商品、接受劳务款项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70,834,794.89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84,577,494.24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70,834,794.89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84,577,494.24</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年的重要应付账款</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36</w:t>
      </w:r>
      <w:r>
        <w:rPr/>
        <w:t>、预收款项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预收服务款及货款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12,375,192.43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17,280,039.37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12,375,192.43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17,280,039.37</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年的重要预收款项</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5" w:footer="979" w:top="1060" w:bottom="1160" w:left="980" w:right="980"/>
        </w:sectPr>
      </w:pPr>
    </w:p>
    <w:p>
      <w:pPr>
        <w:spacing w:line="240" w:lineRule="auto" w:before="11"/>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4778"/>
        <w:gridCol w:w="4791"/>
      </w:tblGrid>
      <w:tr>
        <w:trPr>
          <w:trHeight w:val="334" w:hRule="exact"/>
        </w:trPr>
        <w:tc>
          <w:tcPr>
            <w:tcW w:w="4778" w:type="dxa"/>
            <w:tcBorders>
              <w:top w:val="single" w:sz="6" w:space="0" w:color="000000"/>
              <w:left w:val="nil" w:sz="6" w:space="0" w:color="auto"/>
              <w:bottom w:val="single" w:sz="4" w:space="0" w:color="000000"/>
              <w:right w:val="nil" w:sz="6" w:space="0" w:color="auto"/>
            </w:tcBorders>
          </w:tcPr>
          <w:p>
            <w:pPr/>
          </w:p>
        </w:tc>
        <w:tc>
          <w:tcPr>
            <w:tcW w:w="4791" w:type="dxa"/>
            <w:tcBorders>
              <w:top w:val="single" w:sz="6" w:space="0" w:color="000000"/>
              <w:left w:val="nil" w:sz="6" w:space="0" w:color="auto"/>
              <w:bottom w:val="single" w:sz="4" w:space="0" w:color="000000"/>
              <w:right w:val="nil" w:sz="6" w:space="0" w:color="auto"/>
            </w:tcBorders>
          </w:tcPr>
          <w:p>
            <w:pPr/>
          </w:p>
        </w:tc>
      </w:tr>
      <w:tr>
        <w:trPr>
          <w:trHeight w:val="402" w:hRule="exact"/>
        </w:trPr>
        <w:tc>
          <w:tcPr>
            <w:tcW w:w="4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left="112" w:right="0"/>
        <w:jc w:val="left"/>
        <w:rPr>
          <w:b w:val="0"/>
          <w:bCs w:val="0"/>
        </w:rPr>
      </w:pPr>
      <w:r>
        <w:rPr>
          <w:rFonts w:ascii="Times New Roman" w:hAnsi="Times New Roman" w:cs="Times New Roman" w:eastAsia="Times New Roman" w:hint="default"/>
        </w:rPr>
        <w:t>37</w:t>
      </w:r>
      <w:r>
        <w:rPr/>
        <w:t>、应付职工薪酬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2" w:right="0"/>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10"/>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20,078,046.57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122,441,240.51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125,832,085.87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16,687,201.21</w:t>
            </w:r>
          </w:p>
        </w:tc>
      </w:tr>
      <w:tr>
        <w:trPr>
          <w:trHeight w:val="716"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1"/>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1,131,120.36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11,402,593.89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11,701,579.78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832,134.47</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1,870,108.87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1,870,108.87</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21,209,166.93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135,713,943.27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139,403,774.52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17,519,335.68</w:t>
            </w:r>
          </w:p>
        </w:tc>
      </w:tr>
    </w:tbl>
    <w:p>
      <w:pPr>
        <w:spacing w:line="240" w:lineRule="auto" w:before="3"/>
        <w:rPr>
          <w:rFonts w:ascii="宋体" w:hAnsi="宋体" w:cs="宋体" w:eastAsia="宋体" w:hint="default"/>
          <w:sz w:val="19"/>
          <w:szCs w:val="19"/>
        </w:rPr>
      </w:pPr>
    </w:p>
    <w:p>
      <w:pPr>
        <w:pStyle w:val="Heading3"/>
        <w:spacing w:line="240" w:lineRule="auto" w:before="36"/>
        <w:ind w:left="112" w:right="0"/>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10"/>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6"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1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19,048,755.73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106,682,163.59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109,846,159.76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15,884,759.56</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1,143,620.24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1,143,620.24</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616,874.17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6,393,497.89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6,535,206.81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475,165.25</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551,161.37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5,709,131.43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5,836,710.85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423,581.95</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14,786.91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154,640.47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155,407.10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14,020.28</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50,925.89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529,725.99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543,088.86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37,563.02</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412,416.67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6,934,029.67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7,019,169.94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327,276.40</w:t>
            </w:r>
          </w:p>
        </w:tc>
      </w:tr>
      <w:tr>
        <w:trPr>
          <w:trHeight w:val="71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、工会经费和职工教育</w:t>
            </w:r>
            <w:r>
              <w:rPr>
                <w:rFonts w:ascii="宋体" w:hAnsi="宋体" w:cs="宋体" w:eastAsia="宋体" w:hint="default"/>
                <w:sz w:val="18"/>
                <w:szCs w:val="18"/>
              </w:rPr>
              <w:t> 经费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366,339.48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366,339.48</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、其他</w:t>
            </w:r>
          </w:p>
        </w:tc>
        <w:tc>
          <w:tcPr>
            <w:tcW w:w="1928"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921,589.64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921,589.64</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20,078,046.57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122,441,240.51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125,832,085.87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16,687,201.21</w:t>
            </w:r>
          </w:p>
        </w:tc>
      </w:tr>
    </w:tbl>
    <w:p>
      <w:pPr>
        <w:spacing w:line="240" w:lineRule="auto" w:before="3"/>
        <w:rPr>
          <w:rFonts w:ascii="宋体" w:hAnsi="宋体" w:cs="宋体" w:eastAsia="宋体" w:hint="default"/>
          <w:sz w:val="19"/>
          <w:szCs w:val="19"/>
        </w:rPr>
      </w:pPr>
    </w:p>
    <w:p>
      <w:pPr>
        <w:pStyle w:val="Heading3"/>
        <w:spacing w:line="240" w:lineRule="auto" w:before="36"/>
        <w:ind w:left="112" w:right="0"/>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10"/>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1,077,699.45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10,994,127.66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11,263,260.81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808,566.30</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53,420.91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408,466.23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438,318.97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23,568.17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1020" w:right="102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8" w:right="0"/>
              <w:jc w:val="left"/>
              <w:rPr>
                <w:rFonts w:ascii="Times New Roman" w:hAnsi="Times New Roman" w:cs="Times New Roman" w:eastAsia="Times New Roman" w:hint="default"/>
                <w:sz w:val="18"/>
                <w:szCs w:val="18"/>
              </w:rPr>
            </w:pPr>
            <w:r>
              <w:rPr>
                <w:rFonts w:ascii="Times New Roman"/>
                <w:sz w:val="18"/>
              </w:rPr>
              <w:t>1,131,120.36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2" w:right="0"/>
              <w:jc w:val="left"/>
              <w:rPr>
                <w:rFonts w:ascii="Times New Roman" w:hAnsi="Times New Roman" w:cs="Times New Roman" w:eastAsia="Times New Roman" w:hint="default"/>
                <w:sz w:val="18"/>
                <w:szCs w:val="18"/>
              </w:rPr>
            </w:pPr>
            <w:r>
              <w:rPr>
                <w:rFonts w:ascii="Times New Roman"/>
                <w:sz w:val="18"/>
              </w:rPr>
              <w:t>11,402,593.89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1" w:right="0"/>
              <w:jc w:val="left"/>
              <w:rPr>
                <w:rFonts w:ascii="Times New Roman" w:hAnsi="Times New Roman" w:cs="Times New Roman" w:eastAsia="Times New Roman" w:hint="default"/>
                <w:sz w:val="18"/>
                <w:szCs w:val="18"/>
              </w:rPr>
            </w:pPr>
            <w:r>
              <w:rPr>
                <w:rFonts w:ascii="Times New Roman"/>
                <w:sz w:val="18"/>
              </w:rPr>
              <w:t>11,701,579.78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0" w:right="0"/>
              <w:jc w:val="left"/>
              <w:rPr>
                <w:rFonts w:ascii="Times New Roman" w:hAnsi="Times New Roman" w:cs="Times New Roman" w:eastAsia="Times New Roman" w:hint="default"/>
                <w:sz w:val="18"/>
                <w:szCs w:val="18"/>
              </w:rPr>
            </w:pPr>
            <w:r>
              <w:rPr>
                <w:rFonts w:ascii="Times New Roman"/>
                <w:sz w:val="18"/>
              </w:rPr>
              <w:t>832,134.47</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38</w:t>
      </w:r>
      <w:r>
        <w:rPr/>
        <w:t>、应交税费</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3,263,443.98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5,070,979.95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3,842,248.86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7,770,876.59</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626,922.44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695,182.02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164,023.50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263,856.32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163,590.65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257,335.24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契税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2,037,790.54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其他税费</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50,674.03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10,098,019.97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14,108,904.15</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39</w:t>
      </w:r>
      <w:r>
        <w:rPr/>
        <w:t>、应付利息</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12,627.08</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12,627.08</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重要的已逾期未支付的利息情况：</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21"/>
        <w:ind w:right="0"/>
        <w:jc w:val="left"/>
        <w:rPr>
          <w:b w:val="0"/>
          <w:bCs w:val="0"/>
        </w:rPr>
      </w:pPr>
      <w:r>
        <w:rPr>
          <w:rFonts w:ascii="Times New Roman" w:hAnsi="Times New Roman" w:cs="Times New Roman" w:eastAsia="Times New Roman" w:hint="default"/>
        </w:rPr>
        <w:t>40</w:t>
      </w:r>
      <w:r>
        <w:rPr/>
        <w:t>、应付股利</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其他说明，包括重要的超过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年未支付的应付股利，应披露未支付原因：</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41</w:t>
      </w:r>
      <w:r>
        <w:rPr/>
        <w:t>、其他应付款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限制性股票回购义务款项（注）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32,489,821.72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78,380,278.02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327,823.25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336,188.35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872,551.07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481,890.43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33,690,196.04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79,198,356.80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年的重要其他应付款</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before="50"/>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3"/>
          <w:szCs w:val="13"/>
        </w:rPr>
      </w:pPr>
    </w:p>
    <w:p>
      <w:pPr>
        <w:pStyle w:val="BodyText"/>
        <w:spacing w:line="240" w:lineRule="auto"/>
        <w:ind w:right="0"/>
        <w:jc w:val="left"/>
      </w:pPr>
      <w:r>
        <w:rPr/>
        <w:t>详见本报告第十一节十三股份支付。</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Heading3"/>
        <w:spacing w:line="240" w:lineRule="auto"/>
        <w:ind w:right="0"/>
        <w:jc w:val="left"/>
        <w:rPr>
          <w:b w:val="0"/>
          <w:bCs w:val="0"/>
        </w:rPr>
      </w:pPr>
      <w:r>
        <w:rPr>
          <w:rFonts w:ascii="Times New Roman" w:hAnsi="Times New Roman" w:cs="Times New Roman" w:eastAsia="Times New Roman" w:hint="default"/>
        </w:rPr>
        <w:t>42</w:t>
      </w:r>
      <w:r>
        <w:rPr/>
        <w:t>、持有待售的负债</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43</w:t>
      </w:r>
      <w:r>
        <w:rPr/>
        <w:t>、一年内到期的非流动负债</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44</w:t>
      </w:r>
      <w:r>
        <w:rPr/>
        <w:t>、其他流动负债</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待转销项税额</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7,163,550.56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10,179,800.52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7,163,550.56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10,179,800.52</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短期应付债券的增减变动：</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9"/>
        <w:gridCol w:w="797"/>
        <w:gridCol w:w="799"/>
        <w:gridCol w:w="797"/>
        <w:gridCol w:w="800"/>
        <w:gridCol w:w="798"/>
        <w:gridCol w:w="798"/>
        <w:gridCol w:w="799"/>
        <w:gridCol w:w="798"/>
        <w:gridCol w:w="797"/>
      </w:tblGrid>
      <w:tr>
        <w:trPr>
          <w:trHeight w:val="713"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4" w:right="32" w:hanging="92"/>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03" w:right="35" w:hanging="272"/>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45</w:t>
      </w:r>
      <w:r>
        <w:rPr/>
        <w:t>、长期借款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）长期借款分类</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360" w:lineRule="auto" w:before="49"/>
        <w:ind w:left="152" w:right="7614" w:firstLine="0"/>
        <w:jc w:val="left"/>
        <w:rPr>
          <w:rFonts w:ascii="宋体" w:hAnsi="宋体" w:cs="宋体" w:eastAsia="宋体" w:hint="default"/>
          <w:sz w:val="18"/>
          <w:szCs w:val="18"/>
        </w:rPr>
      </w:pPr>
      <w:r>
        <w:rPr>
          <w:rFonts w:ascii="宋体" w:hAnsi="宋体" w:cs="宋体" w:eastAsia="宋体" w:hint="default"/>
          <w:sz w:val="18"/>
          <w:szCs w:val="18"/>
        </w:rPr>
        <w:t>长期借款分类的说明： 其他说明，包括利率区间：</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46</w:t>
      </w:r>
      <w:r>
        <w:rPr/>
        <w:t>、应付债券</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）应付债券</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79" w:top="1060" w:bottom="1160" w:left="980" w:right="980"/>
        </w:sectPr>
      </w:pPr>
    </w:p>
    <w:p>
      <w:pPr>
        <w:spacing w:line="357" w:lineRule="auto"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期末发行在外的优先股、永续债等其他金融工具基本情况 期末发行在外的优先股、永续债等金融工具变动情况表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4653" w:space="4176"/>
            <w:col w:w="112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5"/>
        <w:gridCol w:w="1066"/>
        <w:gridCol w:w="1064"/>
        <w:gridCol w:w="1063"/>
        <w:gridCol w:w="1064"/>
        <w:gridCol w:w="1063"/>
        <w:gridCol w:w="1061"/>
        <w:gridCol w:w="1064"/>
        <w:gridCol w:w="1061"/>
      </w:tblGrid>
      <w:tr>
        <w:trPr>
          <w:trHeight w:val="401" w:hRule="exact"/>
        </w:trPr>
        <w:tc>
          <w:tcPr>
            <w:tcW w:w="1065"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4"/>
              <w:ind w:left="167" w:right="77" w:hanging="92"/>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3" w:hRule="exact"/>
        </w:trPr>
        <w:tc>
          <w:tcPr>
            <w:tcW w:w="1065" w:type="dxa"/>
            <w:vMerge/>
            <w:tcBorders>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357" w:lineRule="auto" w:before="49"/>
        <w:ind w:left="152" w:right="6534" w:firstLine="0"/>
        <w:jc w:val="left"/>
        <w:rPr>
          <w:rFonts w:ascii="宋体" w:hAnsi="宋体" w:cs="宋体" w:eastAsia="宋体" w:hint="default"/>
          <w:sz w:val="18"/>
          <w:szCs w:val="18"/>
        </w:rPr>
      </w:pPr>
      <w:r>
        <w:rPr>
          <w:rFonts w:ascii="宋体" w:hAnsi="宋体" w:cs="宋体" w:eastAsia="宋体" w:hint="default"/>
          <w:sz w:val="18"/>
          <w:szCs w:val="18"/>
        </w:rPr>
        <w:t>其他金融工具划分为金融负债的依据说明 其他说明</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47</w:t>
      </w:r>
      <w:r>
        <w:rPr/>
        <w:t>、长期应付款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48</w:t>
      </w:r>
      <w:r>
        <w:rPr/>
        <w:t>、长期应付职工薪酬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）长期应付职工薪酬表</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设定受益计划义务现值：</w:t>
      </w:r>
    </w:p>
    <w:p>
      <w:pPr>
        <w:spacing w:before="118"/>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计划资产：</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0"/>
        <w:ind w:left="152" w:right="0" w:firstLine="0"/>
        <w:jc w:val="left"/>
        <w:rPr>
          <w:rFonts w:ascii="宋体" w:hAnsi="宋体" w:cs="宋体" w:eastAsia="宋体" w:hint="default"/>
          <w:sz w:val="18"/>
          <w:szCs w:val="18"/>
        </w:rPr>
      </w:pPr>
      <w:r>
        <w:rPr>
          <w:rFonts w:ascii="宋体" w:hAnsi="宋体" w:cs="宋体" w:eastAsia="宋体" w:hint="default"/>
          <w:sz w:val="18"/>
          <w:szCs w:val="18"/>
        </w:rPr>
        <w:t>设定受益计划净负债（净资产）</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360" w:lineRule="auto" w:before="49"/>
        <w:ind w:left="152" w:right="2574" w:firstLine="0"/>
        <w:jc w:val="left"/>
        <w:rPr>
          <w:rFonts w:ascii="宋体" w:hAnsi="宋体" w:cs="宋体" w:eastAsia="宋体" w:hint="default"/>
          <w:sz w:val="18"/>
          <w:szCs w:val="18"/>
        </w:rPr>
      </w:pPr>
      <w:r>
        <w:rPr>
          <w:rFonts w:ascii="宋体" w:hAnsi="宋体" w:cs="宋体" w:eastAsia="宋体" w:hint="default"/>
          <w:sz w:val="18"/>
          <w:szCs w:val="18"/>
        </w:rPr>
        <w:t>设定受益计划的内容及与之相关风险、对公司未来现金流量、时间和不确定性的影响说明： 设定受益计划重大精算假设及敏感性分析结果说明：</w:t>
      </w:r>
    </w:p>
    <w:p>
      <w:pPr>
        <w:spacing w:before="25"/>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49</w:t>
      </w:r>
      <w:r>
        <w:rPr/>
        <w:t>、专项应付款</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3"/>
        <w:gridCol w:w="1597"/>
        <w:gridCol w:w="1594"/>
        <w:gridCol w:w="1596"/>
        <w:gridCol w:w="1594"/>
        <w:gridCol w:w="1594"/>
      </w:tblGrid>
      <w:tr>
        <w:trPr>
          <w:trHeight w:val="402"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50</w:t>
      </w:r>
      <w:r>
        <w:rPr/>
        <w:t>、预计负债</w:t>
      </w:r>
      <w:r>
        <w:rPr>
          <w:b w:val="0"/>
          <w:bCs w:val="0"/>
        </w:rPr>
      </w:r>
    </w:p>
    <w:p>
      <w:pPr>
        <w:spacing w:line="240" w:lineRule="auto" w:before="13"/>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6"/>
        <w:gridCol w:w="2407"/>
        <w:gridCol w:w="2393"/>
        <w:gridCol w:w="2393"/>
      </w:tblGrid>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产品质量保证</w:t>
            </w:r>
          </w:p>
        </w:tc>
        <w:tc>
          <w:tcPr>
            <w:tcW w:w="24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1,300,206.67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1,046,408.25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预计免费维修期内的维修费</w:t>
            </w: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1,300,206.67</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1,046,408.25</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其他说明，包括重要预计负债的相关重要假设、估计说明：</w:t>
      </w:r>
    </w:p>
    <w:p>
      <w:pPr>
        <w:pStyle w:val="Heading3"/>
        <w:spacing w:line="240" w:lineRule="auto" w:before="94"/>
        <w:ind w:left="654" w:right="0"/>
        <w:jc w:val="left"/>
        <w:rPr>
          <w:b w:val="0"/>
          <w:bCs w:val="0"/>
        </w:rPr>
      </w:pPr>
      <w:r>
        <w:rPr/>
        <w:t>预计以后各年度发生的维修费</w:t>
      </w:r>
      <w:r>
        <w:rPr>
          <w:b w:val="0"/>
          <w:bCs w:val="0"/>
        </w:rPr>
      </w:r>
    </w:p>
    <w:p>
      <w:pPr>
        <w:spacing w:line="240" w:lineRule="auto" w:before="10"/>
        <w:rPr>
          <w:rFonts w:ascii="宋体" w:hAnsi="宋体" w:cs="宋体" w:eastAsia="宋体" w:hint="default"/>
          <w:b/>
          <w:bCs/>
          <w:sz w:val="3"/>
          <w:szCs w:val="3"/>
        </w:rPr>
      </w:pPr>
    </w:p>
    <w:tbl>
      <w:tblPr>
        <w:tblW w:w="0" w:type="auto"/>
        <w:jc w:val="left"/>
        <w:tblInd w:w="753" w:type="dxa"/>
        <w:tblLayout w:type="fixed"/>
        <w:tblCellMar>
          <w:top w:w="0" w:type="dxa"/>
          <w:left w:w="0" w:type="dxa"/>
          <w:bottom w:w="0" w:type="dxa"/>
          <w:right w:w="0" w:type="dxa"/>
        </w:tblCellMar>
        <w:tblLook w:val="01E0"/>
      </w:tblPr>
      <w:tblGrid>
        <w:gridCol w:w="3785"/>
        <w:gridCol w:w="4028"/>
      </w:tblGrid>
      <w:tr>
        <w:trPr>
          <w:trHeight w:val="348" w:hRule="exact"/>
        </w:trPr>
        <w:tc>
          <w:tcPr>
            <w:tcW w:w="378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02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346" w:hRule="exact"/>
        </w:trPr>
        <w:tc>
          <w:tcPr>
            <w:tcW w:w="3785"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2" w:right="0"/>
              <w:jc w:val="left"/>
              <w:rPr>
                <w:rFonts w:ascii="宋体" w:hAnsi="宋体" w:cs="宋体" w:eastAsia="宋体" w:hint="default"/>
                <w:sz w:val="21"/>
                <w:szCs w:val="21"/>
              </w:rPr>
            </w:pPr>
            <w:r>
              <w:rPr>
                <w:rFonts w:ascii="宋体" w:hAnsi="宋体" w:cs="宋体" w:eastAsia="宋体" w:hint="default"/>
                <w:sz w:val="21"/>
                <w:szCs w:val="21"/>
              </w:rPr>
              <w:t>预提</w:t>
            </w:r>
            <w:r>
              <w:rPr>
                <w:rFonts w:ascii="Times New Roman" w:hAnsi="Times New Roman" w:cs="Times New Roman" w:eastAsia="Times New Roman" w:hint="default"/>
                <w:sz w:val="21"/>
                <w:szCs w:val="21"/>
              </w:rPr>
              <w:t>2018</w:t>
            </w:r>
            <w:r>
              <w:rPr>
                <w:rFonts w:ascii="宋体" w:hAnsi="宋体" w:cs="宋体" w:eastAsia="宋体" w:hint="default"/>
                <w:sz w:val="21"/>
                <w:szCs w:val="21"/>
              </w:rPr>
              <w:t>年度费用</w:t>
            </w:r>
          </w:p>
        </w:tc>
        <w:tc>
          <w:tcPr>
            <w:tcW w:w="40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588,229.59</w:t>
            </w:r>
          </w:p>
        </w:tc>
      </w:tr>
      <w:tr>
        <w:trPr>
          <w:trHeight w:val="348" w:hRule="exact"/>
        </w:trPr>
        <w:tc>
          <w:tcPr>
            <w:tcW w:w="3785"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left="2" w:right="0"/>
              <w:jc w:val="left"/>
              <w:rPr>
                <w:rFonts w:ascii="宋体" w:hAnsi="宋体" w:cs="宋体" w:eastAsia="宋体" w:hint="default"/>
                <w:sz w:val="21"/>
                <w:szCs w:val="21"/>
              </w:rPr>
            </w:pPr>
            <w:r>
              <w:rPr>
                <w:rFonts w:ascii="宋体" w:hAnsi="宋体" w:cs="宋体" w:eastAsia="宋体" w:hint="default"/>
                <w:sz w:val="21"/>
                <w:szCs w:val="21"/>
              </w:rPr>
              <w:t>预提</w:t>
            </w:r>
            <w:r>
              <w:rPr>
                <w:rFonts w:ascii="Times New Roman" w:hAnsi="Times New Roman" w:cs="Times New Roman" w:eastAsia="Times New Roman" w:hint="default"/>
                <w:sz w:val="21"/>
                <w:szCs w:val="21"/>
              </w:rPr>
              <w:t>2019</w:t>
            </w:r>
            <w:r>
              <w:rPr>
                <w:rFonts w:ascii="宋体" w:hAnsi="宋体" w:cs="宋体" w:eastAsia="宋体" w:hint="default"/>
                <w:sz w:val="21"/>
                <w:szCs w:val="21"/>
              </w:rPr>
              <w:t>年度费用</w:t>
            </w:r>
          </w:p>
        </w:tc>
        <w:tc>
          <w:tcPr>
            <w:tcW w:w="40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488,113.56</w:t>
            </w:r>
          </w:p>
        </w:tc>
      </w:tr>
    </w:tbl>
    <w:p>
      <w:pPr>
        <w:spacing w:after="0" w:line="240" w:lineRule="auto"/>
        <w:jc w:val="right"/>
        <w:rPr>
          <w:rFonts w:ascii="Times New Roman" w:hAnsi="Times New Roman" w:cs="Times New Roman" w:eastAsia="Times New Roman" w:hint="default"/>
          <w:sz w:val="21"/>
          <w:szCs w:val="21"/>
        </w:rPr>
        <w:sectPr>
          <w:pgSz w:w="11910" w:h="16840"/>
          <w:pgMar w:header="745" w:footer="979"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753" w:type="dxa"/>
        <w:tblLayout w:type="fixed"/>
        <w:tblCellMar>
          <w:top w:w="0" w:type="dxa"/>
          <w:left w:w="0" w:type="dxa"/>
          <w:bottom w:w="0" w:type="dxa"/>
          <w:right w:w="0" w:type="dxa"/>
        </w:tblCellMar>
        <w:tblLook w:val="01E0"/>
      </w:tblPr>
      <w:tblGrid>
        <w:gridCol w:w="3785"/>
        <w:gridCol w:w="4028"/>
      </w:tblGrid>
      <w:tr>
        <w:trPr>
          <w:trHeight w:val="348" w:hRule="exact"/>
        </w:trPr>
        <w:tc>
          <w:tcPr>
            <w:tcW w:w="3785"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2" w:right="0"/>
              <w:jc w:val="left"/>
              <w:rPr>
                <w:rFonts w:ascii="宋体" w:hAnsi="宋体" w:cs="宋体" w:eastAsia="宋体" w:hint="default"/>
                <w:sz w:val="21"/>
                <w:szCs w:val="21"/>
              </w:rPr>
            </w:pPr>
            <w:r>
              <w:rPr>
                <w:rFonts w:ascii="宋体" w:hAnsi="宋体" w:cs="宋体" w:eastAsia="宋体" w:hint="default"/>
                <w:sz w:val="21"/>
                <w:szCs w:val="21"/>
              </w:rPr>
              <w:t>预提</w:t>
            </w:r>
            <w:r>
              <w:rPr>
                <w:rFonts w:ascii="Times New Roman" w:hAnsi="Times New Roman" w:cs="Times New Roman" w:eastAsia="Times New Roman" w:hint="default"/>
                <w:sz w:val="21"/>
                <w:szCs w:val="21"/>
              </w:rPr>
              <w:t>2020</w:t>
            </w:r>
            <w:r>
              <w:rPr>
                <w:rFonts w:ascii="宋体" w:hAnsi="宋体" w:cs="宋体" w:eastAsia="宋体" w:hint="default"/>
                <w:sz w:val="21"/>
                <w:szCs w:val="21"/>
              </w:rPr>
              <w:t>年度费用</w:t>
            </w:r>
          </w:p>
        </w:tc>
        <w:tc>
          <w:tcPr>
            <w:tcW w:w="40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223,863.52</w:t>
            </w:r>
          </w:p>
        </w:tc>
      </w:tr>
      <w:tr>
        <w:trPr>
          <w:trHeight w:val="346" w:hRule="exact"/>
        </w:trPr>
        <w:tc>
          <w:tcPr>
            <w:tcW w:w="378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0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1,300,206.67</w:t>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3"/>
          <w:szCs w:val="23"/>
        </w:rPr>
      </w:pPr>
    </w:p>
    <w:p>
      <w:pPr>
        <w:pStyle w:val="Heading3"/>
        <w:spacing w:line="240" w:lineRule="auto" w:before="36"/>
        <w:ind w:right="0"/>
        <w:jc w:val="left"/>
        <w:rPr>
          <w:b w:val="0"/>
          <w:bCs w:val="0"/>
        </w:rPr>
      </w:pPr>
      <w:r>
        <w:rPr>
          <w:rFonts w:ascii="Times New Roman" w:hAnsi="Times New Roman" w:cs="Times New Roman" w:eastAsia="Times New Roman" w:hint="default"/>
        </w:rPr>
        <w:t>51</w:t>
      </w:r>
      <w:r>
        <w:rPr/>
        <w:t>、递延收益</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71"/>
        <w:gridCol w:w="1607"/>
        <w:gridCol w:w="1594"/>
        <w:gridCol w:w="1596"/>
        <w:gridCol w:w="1594"/>
        <w:gridCol w:w="1594"/>
      </w:tblGrid>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1,350,000.00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120,000.00</w:t>
            </w:r>
          </w:p>
        </w:tc>
        <w:tc>
          <w:tcPr>
            <w:tcW w:w="159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1,350,000.00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涉及政府补助的项目：</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4"/>
        <w:gridCol w:w="1066"/>
        <w:gridCol w:w="1064"/>
        <w:gridCol w:w="1063"/>
        <w:gridCol w:w="1061"/>
        <w:gridCol w:w="1063"/>
        <w:gridCol w:w="1063"/>
        <w:gridCol w:w="1064"/>
        <w:gridCol w:w="1063"/>
      </w:tblGrid>
      <w:tr>
        <w:trPr>
          <w:trHeight w:val="1027"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8"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56" w:right="75"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4"/>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2"/>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9" w:right="72"/>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7"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76" w:right="48"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02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9"/>
              <w:jc w:val="both"/>
              <w:rPr>
                <w:rFonts w:ascii="宋体" w:hAnsi="宋体" w:cs="宋体" w:eastAsia="宋体" w:hint="default"/>
                <w:sz w:val="18"/>
                <w:szCs w:val="18"/>
              </w:rPr>
            </w:pPr>
            <w:r>
              <w:rPr>
                <w:rFonts w:ascii="宋体" w:hAnsi="宋体" w:cs="宋体" w:eastAsia="宋体" w:hint="default"/>
                <w:sz w:val="18"/>
                <w:szCs w:val="18"/>
              </w:rPr>
              <w:t>上海天玑大 数据技术研 发中心</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120,000.00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4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79"/>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年软件 和集成电路 产业发展专 项资金</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1,350,000.00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1,350,000.00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1"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120,000.00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76" w:right="0"/>
              <w:jc w:val="center"/>
              <w:rPr>
                <w:rFonts w:ascii="Times New Roman" w:hAnsi="Times New Roman" w:cs="Times New Roman" w:eastAsia="Times New Roman" w:hint="default"/>
                <w:sz w:val="18"/>
                <w:szCs w:val="18"/>
              </w:rPr>
            </w:pPr>
            <w:r>
              <w:rPr>
                <w:rFonts w:ascii="Times New Roman"/>
                <w:sz w:val="18"/>
              </w:rPr>
              <w:t>1,350,000.00</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52</w:t>
      </w:r>
      <w:r>
        <w:rPr/>
        <w:t>、其他非流动负债</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53</w:t>
      </w:r>
      <w:r>
        <w:rPr/>
        <w:t>、股本</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198"/>
        <w:gridCol w:w="1196"/>
        <w:gridCol w:w="1195"/>
        <w:gridCol w:w="1198"/>
        <w:gridCol w:w="1195"/>
        <w:gridCol w:w="1185"/>
        <w:gridCol w:w="1208"/>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69"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1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69" w:type="dxa"/>
            <w:gridSpan w:val="5"/>
            <w:vMerge/>
            <w:tcBorders>
              <w:left w:val="single" w:sz="4" w:space="0" w:color="000000"/>
              <w:bottom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4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198"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85" w:type="dxa"/>
            <w:vMerge/>
            <w:tcBorders>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275,185,795.00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4" w:right="0"/>
              <w:jc w:val="left"/>
              <w:rPr>
                <w:rFonts w:ascii="Times New Roman" w:hAnsi="Times New Roman" w:cs="Times New Roman" w:eastAsia="Times New Roman" w:hint="default"/>
                <w:sz w:val="18"/>
                <w:szCs w:val="18"/>
              </w:rPr>
            </w:pPr>
            <w:r>
              <w:rPr>
                <w:rFonts w:ascii="Times New Roman"/>
                <w:sz w:val="18"/>
              </w:rPr>
              <w:t>45,511,698.00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-4,225,000.00</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 w:right="0"/>
              <w:jc w:val="left"/>
              <w:rPr>
                <w:rFonts w:ascii="Times New Roman" w:hAnsi="Times New Roman" w:cs="Times New Roman" w:eastAsia="Times New Roman" w:hint="default"/>
                <w:sz w:val="18"/>
                <w:szCs w:val="18"/>
              </w:rPr>
            </w:pPr>
            <w:r>
              <w:rPr>
                <w:rFonts w:ascii="Times New Roman"/>
                <w:sz w:val="18"/>
              </w:rPr>
              <w:t>41,286,698.00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316,472,493.00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13"/>
          <w:szCs w:val="13"/>
        </w:rPr>
      </w:pPr>
    </w:p>
    <w:p>
      <w:pPr>
        <w:pStyle w:val="BodyText"/>
        <w:spacing w:line="240" w:lineRule="auto"/>
        <w:ind w:left="573" w:right="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17</w:t>
      </w:r>
      <w:r>
        <w:rPr/>
        <w:t>日，中国证券监督管理委员会</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w:t>
      </w:r>
      <w:r>
        <w:rPr/>
        <w:t>中国证监会</w:t>
      </w:r>
      <w:r>
        <w:rPr>
          <w:rFonts w:ascii="Times New Roman" w:hAnsi="Times New Roman" w:cs="Times New Roman" w:eastAsia="Times New Roman" w:hint="default"/>
        </w:rPr>
        <w:t>”)</w:t>
      </w:r>
      <w:r>
        <w:rPr/>
        <w:t>发行审核委员会对公司非公开发行</w:t>
      </w:r>
    </w:p>
    <w:p>
      <w:pPr>
        <w:spacing w:after="0" w:line="240"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pStyle w:val="BodyText"/>
        <w:spacing w:line="386" w:lineRule="auto" w:before="176"/>
        <w:ind w:right="148"/>
        <w:jc w:val="both"/>
      </w:pPr>
      <w:r>
        <w:rPr/>
        <w:t>股票申请获得审核通过。经</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5</w:t>
      </w:r>
      <w:r>
        <w:rPr/>
        <w:t>日中国证券监督管理委员会证监许可</w:t>
      </w:r>
      <w:r>
        <w:rPr>
          <w:rFonts w:ascii="Times New Roman" w:hAnsi="Times New Roman" w:cs="Times New Roman" w:eastAsia="Times New Roman" w:hint="default"/>
        </w:rPr>
        <w:t>[2017]1147</w:t>
      </w:r>
      <w:r>
        <w:rPr/>
        <w:t>号《关于核准上海</w:t>
      </w:r>
      <w:r>
        <w:rPr>
          <w:spacing w:val="-56"/>
        </w:rPr>
        <w:t> </w:t>
      </w:r>
      <w:r>
        <w:rPr>
          <w:spacing w:val="-4"/>
        </w:rPr>
        <w:t>天玑科技股份有限公司非公开发行股票的批复》核准，本公司非公开方式发行人民币普通股股票</w:t>
      </w:r>
      <w:r>
        <w:rPr>
          <w:rFonts w:ascii="Times New Roman" w:hAnsi="Times New Roman" w:cs="Times New Roman" w:eastAsia="Times New Roman" w:hint="default"/>
          <w:spacing w:val="-4"/>
        </w:rPr>
        <w:t>45,511,698</w:t>
      </w:r>
      <w:r>
        <w:rPr>
          <w:rFonts w:ascii="Times New Roman" w:hAnsi="Times New Roman" w:cs="Times New Roman" w:eastAsia="Times New Roman" w:hint="default"/>
          <w:spacing w:val="19"/>
        </w:rPr>
        <w:t> </w:t>
      </w:r>
      <w:r>
        <w:rPr>
          <w:rFonts w:ascii="Times New Roman" w:hAnsi="Times New Roman" w:cs="Times New Roman" w:eastAsia="Times New Roman" w:hint="default"/>
          <w:spacing w:val="19"/>
        </w:rPr>
      </w:r>
      <w:r>
        <w:rPr>
          <w:spacing w:val="-3"/>
        </w:rPr>
        <w:t>股，每股面值</w:t>
      </w:r>
      <w:r>
        <w:rPr>
          <w:rFonts w:ascii="Times New Roman" w:hAnsi="Times New Roman" w:cs="Times New Roman" w:eastAsia="Times New Roman" w:hint="default"/>
          <w:spacing w:val="-3"/>
        </w:rPr>
        <w:t>1</w:t>
      </w:r>
      <w:r>
        <w:rPr>
          <w:spacing w:val="-3"/>
        </w:rPr>
        <w:t>元，发行价格</w:t>
      </w:r>
      <w:r>
        <w:rPr>
          <w:rFonts w:ascii="Times New Roman" w:hAnsi="Times New Roman" w:cs="Times New Roman" w:eastAsia="Times New Roman" w:hint="default"/>
          <w:spacing w:val="-3"/>
        </w:rPr>
        <w:t>13.25</w:t>
      </w:r>
      <w:r>
        <w:rPr>
          <w:spacing w:val="-3"/>
        </w:rPr>
        <w:t>元</w:t>
      </w:r>
      <w:r>
        <w:rPr>
          <w:rFonts w:ascii="Times New Roman" w:hAnsi="Times New Roman" w:cs="Times New Roman" w:eastAsia="Times New Roman" w:hint="default"/>
          <w:spacing w:val="-3"/>
        </w:rPr>
        <w:t>/</w:t>
      </w:r>
      <w:r>
        <w:rPr>
          <w:spacing w:val="-3"/>
        </w:rPr>
        <w:t>股。本次发行募集资金总额为人民币</w:t>
      </w:r>
      <w:r>
        <w:rPr>
          <w:rFonts w:ascii="Times New Roman" w:hAnsi="Times New Roman" w:cs="Times New Roman" w:eastAsia="Times New Roman" w:hint="default"/>
          <w:spacing w:val="-3"/>
        </w:rPr>
        <w:t>603,029,998.50</w:t>
      </w:r>
      <w:r>
        <w:rPr>
          <w:spacing w:val="-3"/>
        </w:rPr>
        <w:t>元，扣除发行费用</w:t>
      </w:r>
      <w:r>
        <w:rPr>
          <w:spacing w:val="-28"/>
        </w:rPr>
        <w:t> </w:t>
      </w:r>
      <w:r>
        <w:rPr>
          <w:spacing w:val="-28"/>
        </w:rPr>
      </w:r>
      <w:r>
        <w:rPr>
          <w:spacing w:val="-1"/>
        </w:rPr>
        <w:t>人民币</w:t>
      </w:r>
      <w:r>
        <w:rPr>
          <w:rFonts w:ascii="Times New Roman" w:hAnsi="Times New Roman" w:cs="Times New Roman" w:eastAsia="Times New Roman" w:hint="default"/>
          <w:spacing w:val="-1"/>
        </w:rPr>
        <w:t>12,866,343.13</w:t>
      </w:r>
      <w:r>
        <w:rPr>
          <w:spacing w:val="-1"/>
        </w:rPr>
        <w:t>元，募集资金净额为人民币</w:t>
      </w:r>
      <w:r>
        <w:rPr>
          <w:rFonts w:ascii="Times New Roman" w:hAnsi="Times New Roman" w:cs="Times New Roman" w:eastAsia="Times New Roman" w:hint="default"/>
          <w:spacing w:val="-1"/>
        </w:rPr>
        <w:t>590,163,655.37</w:t>
      </w:r>
      <w:r>
        <w:rPr>
          <w:spacing w:val="-1"/>
        </w:rPr>
        <w:t>元。其中人民币</w:t>
      </w:r>
      <w:r>
        <w:rPr>
          <w:rFonts w:ascii="Times New Roman" w:hAnsi="Times New Roman" w:cs="Times New Roman" w:eastAsia="Times New Roman" w:hint="default"/>
          <w:spacing w:val="-1"/>
        </w:rPr>
        <w:t>45,511,698.00</w:t>
      </w:r>
      <w:r>
        <w:rPr>
          <w:spacing w:val="-1"/>
        </w:rPr>
        <w:t>元记入注册资</w:t>
      </w:r>
      <w:r>
        <w:rPr>
          <w:spacing w:val="-11"/>
        </w:rPr>
        <w:t> </w:t>
      </w:r>
      <w:r>
        <w:rPr>
          <w:spacing w:val="-11"/>
        </w:rPr>
      </w:r>
      <w:r>
        <w:rPr/>
        <w:t>本（股本），资本溢价人民币</w:t>
      </w:r>
      <w:r>
        <w:rPr>
          <w:rFonts w:ascii="Times New Roman" w:hAnsi="Times New Roman" w:cs="Times New Roman" w:eastAsia="Times New Roman" w:hint="default"/>
        </w:rPr>
        <w:t>545,380,240.94</w:t>
      </w:r>
      <w:r>
        <w:rPr/>
        <w:t>元记入资本公积。</w:t>
      </w:r>
    </w:p>
    <w:p>
      <w:pPr>
        <w:pStyle w:val="BodyText"/>
        <w:spacing w:line="408" w:lineRule="auto" w:before="35"/>
        <w:ind w:left="573" w:right="0"/>
        <w:jc w:val="left"/>
      </w:pPr>
      <w:r>
        <w:rPr/>
        <w:t>其他变动系本年度股权激励授予限制性股票所致，详见本报告第十一节十三股份支付。</w:t>
      </w:r>
      <w:r>
        <w:rPr>
          <w:w w:val="100"/>
        </w:rPr>
        <w:t> </w:t>
      </w:r>
      <w:r>
        <w:rPr>
          <w:spacing w:val="2"/>
        </w:rPr>
        <w:t>上述股本变更业经立信会计师事务所（特殊普通合伙）于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14</w:t>
      </w:r>
      <w:r>
        <w:rPr>
          <w:spacing w:val="2"/>
        </w:rPr>
        <w:t>日出具信会师报字</w:t>
      </w:r>
      <w:r>
        <w:rPr>
          <w:rFonts w:ascii="Times New Roman" w:hAnsi="Times New Roman" w:cs="Times New Roman" w:eastAsia="Times New Roman" w:hint="default"/>
          <w:spacing w:val="2"/>
        </w:rPr>
        <w:t>[2017]</w:t>
      </w:r>
      <w:r>
        <w:rPr>
          <w:spacing w:val="2"/>
        </w:rPr>
        <w:t>第</w:t>
      </w:r>
    </w:p>
    <w:p>
      <w:pPr>
        <w:pStyle w:val="BodyText"/>
        <w:spacing w:line="240" w:lineRule="auto" w:before="15"/>
        <w:ind w:right="0"/>
        <w:jc w:val="both"/>
      </w:pPr>
      <w:r>
        <w:rPr>
          <w:rFonts w:ascii="Times New Roman" w:hAnsi="Times New Roman" w:cs="Times New Roman" w:eastAsia="Times New Roman" w:hint="default"/>
        </w:rPr>
        <w:t>ZA16332</w:t>
      </w:r>
      <w:r>
        <w:rPr/>
        <w:t>号验资报告验证。</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32"/>
          <w:szCs w:val="32"/>
        </w:rPr>
      </w:pPr>
    </w:p>
    <w:p>
      <w:pPr>
        <w:pStyle w:val="Heading3"/>
        <w:spacing w:line="240" w:lineRule="auto"/>
        <w:ind w:right="0"/>
        <w:jc w:val="both"/>
        <w:rPr>
          <w:b w:val="0"/>
          <w:bCs w:val="0"/>
        </w:rPr>
      </w:pPr>
      <w:r>
        <w:rPr>
          <w:rFonts w:ascii="Times New Roman" w:hAnsi="Times New Roman" w:cs="Times New Roman" w:eastAsia="Times New Roman" w:hint="default"/>
        </w:rPr>
        <w:t>54</w:t>
      </w:r>
      <w:r>
        <w:rPr/>
        <w:t>、其他权益工具</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4"/>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5"/>
        <w:gridCol w:w="1066"/>
        <w:gridCol w:w="1064"/>
        <w:gridCol w:w="1063"/>
        <w:gridCol w:w="1064"/>
        <w:gridCol w:w="1063"/>
        <w:gridCol w:w="1061"/>
        <w:gridCol w:w="1064"/>
        <w:gridCol w:w="1061"/>
      </w:tblGrid>
      <w:tr>
        <w:trPr>
          <w:trHeight w:val="404" w:hRule="exact"/>
        </w:trPr>
        <w:tc>
          <w:tcPr>
            <w:tcW w:w="106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167" w:right="77" w:hanging="92"/>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1" w:hRule="exact"/>
        </w:trPr>
        <w:tc>
          <w:tcPr>
            <w:tcW w:w="1065" w:type="dxa"/>
            <w:vMerge/>
            <w:tcBorders>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360" w:lineRule="auto" w:before="49"/>
        <w:ind w:left="152" w:right="3654" w:firstLine="0"/>
        <w:jc w:val="left"/>
        <w:rPr>
          <w:rFonts w:ascii="宋体" w:hAnsi="宋体" w:cs="宋体" w:eastAsia="宋体" w:hint="default"/>
          <w:sz w:val="18"/>
          <w:szCs w:val="18"/>
        </w:rPr>
      </w:pPr>
      <w:r>
        <w:rPr>
          <w:rFonts w:ascii="宋体" w:hAnsi="宋体" w:cs="宋体" w:eastAsia="宋体" w:hint="default"/>
          <w:sz w:val="18"/>
          <w:szCs w:val="18"/>
        </w:rPr>
        <w:t>其他权益工具本期增减变动情况、变动原因说明，以及相关会计处理的依据： 其他说明：</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55</w:t>
      </w:r>
      <w:r>
        <w:rPr/>
        <w:t>、资本公积</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198,915,931.75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545,380,240.94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41,537,408.50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702,758,764.19</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3,362,428.50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4,611,287.11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1,458,450.11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6,515,265.50</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其中：权益法核算下被 投资单位其他权益变动</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4,611,287.11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4,611,287.11</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6" w:firstLine="91"/>
              <w:jc w:val="left"/>
              <w:rPr>
                <w:rFonts w:ascii="宋体" w:hAnsi="宋体" w:cs="宋体" w:eastAsia="宋体" w:hint="default"/>
                <w:sz w:val="18"/>
                <w:szCs w:val="18"/>
              </w:rPr>
            </w:pPr>
            <w:r>
              <w:rPr>
                <w:rFonts w:ascii="宋体" w:hAnsi="宋体" w:cs="宋体" w:eastAsia="宋体" w:hint="default"/>
                <w:sz w:val="18"/>
                <w:szCs w:val="18"/>
              </w:rPr>
              <w:t>以权益结算的股份支 付</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3,362,428.50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1,458,450.11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1,903,978.39</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202,278,360.25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549,991,528.05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42,995,858.61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709,274,029.69</w:t>
            </w:r>
          </w:p>
        </w:tc>
      </w:tr>
    </w:tbl>
    <w:p>
      <w:pPr>
        <w:spacing w:line="400" w:lineRule="auto" w:before="49"/>
        <w:ind w:left="152" w:right="0" w:firstLine="0"/>
        <w:jc w:val="left"/>
        <w:rPr>
          <w:rFonts w:ascii="宋体" w:hAnsi="宋体" w:cs="宋体" w:eastAsia="宋体" w:hint="default"/>
          <w:sz w:val="21"/>
          <w:szCs w:val="21"/>
        </w:rPr>
      </w:pPr>
      <w:r>
        <w:rPr>
          <w:rFonts w:ascii="宋体" w:hAnsi="宋体" w:cs="宋体" w:eastAsia="宋体" w:hint="default"/>
          <w:sz w:val="18"/>
          <w:szCs w:val="18"/>
        </w:rPr>
        <w:t>其他说明，包括本期增减变动情况、变动原因说明： </w:t>
      </w:r>
      <w:r>
        <w:rPr>
          <w:rFonts w:ascii="宋体" w:hAnsi="宋体" w:cs="宋体" w:eastAsia="宋体" w:hint="default"/>
          <w:spacing w:val="-2"/>
          <w:sz w:val="21"/>
          <w:szCs w:val="21"/>
        </w:rPr>
        <w:t>本年度股本溢价增加详见本报告第十一节第七项</w:t>
      </w:r>
      <w:r>
        <w:rPr>
          <w:rFonts w:ascii="Times New Roman" w:hAnsi="Times New Roman" w:cs="Times New Roman" w:eastAsia="Times New Roman" w:hint="default"/>
          <w:spacing w:val="-2"/>
          <w:sz w:val="21"/>
          <w:szCs w:val="21"/>
        </w:rPr>
        <w:t>53</w:t>
      </w:r>
      <w:r>
        <w:rPr>
          <w:rFonts w:ascii="宋体" w:hAnsi="宋体" w:cs="宋体" w:eastAsia="宋体" w:hint="default"/>
          <w:spacing w:val="-2"/>
          <w:sz w:val="21"/>
          <w:szCs w:val="21"/>
        </w:rPr>
        <w:t>股本；本年度股本溢价减少系回购注销已不符合激励条</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z w:val="21"/>
          <w:szCs w:val="21"/>
        </w:rPr>
        <w:t>件的限制性股票，详见本报告第十一节十三股份支付。</w:t>
      </w:r>
    </w:p>
    <w:p>
      <w:pPr>
        <w:spacing w:after="0" w:line="400" w:lineRule="auto"/>
        <w:jc w:val="left"/>
        <w:rPr>
          <w:rFonts w:ascii="宋体" w:hAnsi="宋体" w:cs="宋体" w:eastAsia="宋体" w:hint="default"/>
          <w:sz w:val="21"/>
          <w:szCs w:val="21"/>
        </w:rPr>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pStyle w:val="BodyText"/>
        <w:spacing w:line="240" w:lineRule="auto" w:before="176"/>
        <w:ind w:right="0"/>
        <w:jc w:val="left"/>
      </w:pPr>
      <w:r>
        <w:rPr/>
        <w:t>本年度股权激励授予限制性股票所致，详见本报告第十一节十三股份支付。</w:t>
      </w:r>
    </w:p>
    <w:p>
      <w:pPr>
        <w:spacing w:line="240" w:lineRule="auto" w:before="0"/>
        <w:rPr>
          <w:rFonts w:ascii="宋体" w:hAnsi="宋体" w:cs="宋体" w:eastAsia="宋体" w:hint="default"/>
          <w:sz w:val="20"/>
          <w:szCs w:val="20"/>
        </w:rPr>
      </w:pPr>
    </w:p>
    <w:p>
      <w:pPr>
        <w:pStyle w:val="Heading3"/>
        <w:spacing w:line="240" w:lineRule="auto" w:before="154"/>
        <w:ind w:right="0"/>
        <w:jc w:val="left"/>
        <w:rPr>
          <w:b w:val="0"/>
          <w:bCs w:val="0"/>
        </w:rPr>
      </w:pPr>
      <w:r>
        <w:rPr>
          <w:rFonts w:ascii="Times New Roman" w:hAnsi="Times New Roman" w:cs="Times New Roman" w:eastAsia="Times New Roman" w:hint="default"/>
        </w:rPr>
        <w:t>56</w:t>
      </w:r>
      <w:r>
        <w:rPr/>
        <w:t>、库存股</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股权激励回购股（注）</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78,499,268.21</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45,759,428.21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32,739,840.00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78,499,268.21</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45,759,428.21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32,739,840.00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pStyle w:val="BodyText"/>
        <w:spacing w:line="240" w:lineRule="auto" w:before="95"/>
        <w:ind w:right="0"/>
        <w:jc w:val="left"/>
      </w:pPr>
      <w:r>
        <w:rPr/>
        <w:t>注：本年度股权激励授予限制性股票所致，详见本报告第十一节十三股份支付。</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Heading3"/>
        <w:spacing w:line="240" w:lineRule="auto"/>
        <w:ind w:right="0"/>
        <w:jc w:val="left"/>
        <w:rPr>
          <w:b w:val="0"/>
          <w:bCs w:val="0"/>
        </w:rPr>
      </w:pPr>
      <w:r>
        <w:rPr>
          <w:rFonts w:ascii="Times New Roman" w:hAnsi="Times New Roman" w:cs="Times New Roman" w:eastAsia="Times New Roman" w:hint="default"/>
        </w:rPr>
        <w:t>57</w:t>
      </w:r>
      <w:r>
        <w:rPr/>
        <w:t>、其他综合收益</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811"/>
        <w:gridCol w:w="1068"/>
        <w:gridCol w:w="936"/>
        <w:gridCol w:w="1152"/>
        <w:gridCol w:w="934"/>
        <w:gridCol w:w="937"/>
        <w:gridCol w:w="936"/>
        <w:gridCol w:w="797"/>
      </w:tblGrid>
      <w:tr>
        <w:trPr>
          <w:trHeight w:val="398" w:hRule="exact"/>
        </w:trPr>
        <w:tc>
          <w:tcPr>
            <w:tcW w:w="2811" w:type="dxa"/>
            <w:vMerge w:val="restart"/>
            <w:tcBorders>
              <w:top w:val="single" w:sz="4" w:space="0" w:color="000000"/>
              <w:left w:val="single" w:sz="4" w:space="0" w:color="000000"/>
              <w:right w:val="single" w:sz="4" w:space="0" w:color="000000"/>
            </w:tcBorders>
            <w:shd w:val="clear" w:color="auto" w:fill="D2D2D2"/>
          </w:tcPr>
          <w:p>
            <w:pPr/>
          </w:p>
        </w:tc>
        <w:tc>
          <w:tcPr>
            <w:tcW w:w="1068" w:type="dxa"/>
            <w:vMerge w:val="restart"/>
            <w:tcBorders>
              <w:top w:val="single" w:sz="4" w:space="0" w:color="000000"/>
              <w:left w:val="single" w:sz="4" w:space="0" w:color="000000"/>
              <w:right w:val="single" w:sz="4" w:space="0" w:color="000000"/>
            </w:tcBorders>
            <w:shd w:val="clear" w:color="auto" w:fill="D2D2D2"/>
          </w:tcPr>
          <w:p>
            <w:pPr/>
          </w:p>
        </w:tc>
        <w:tc>
          <w:tcPr>
            <w:tcW w:w="48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7" w:type="dxa"/>
            <w:vMerge w:val="restart"/>
            <w:tcBorders>
              <w:top w:val="single" w:sz="4" w:space="0" w:color="000000"/>
              <w:left w:val="single" w:sz="4" w:space="0" w:color="000000"/>
              <w:right w:val="single" w:sz="4" w:space="0" w:color="000000"/>
            </w:tcBorders>
            <w:shd w:val="clear" w:color="auto" w:fill="D2D2D2"/>
          </w:tcPr>
          <w:p>
            <w:pPr/>
          </w:p>
        </w:tc>
      </w:tr>
      <w:tr>
        <w:trPr>
          <w:trHeight w:val="120" w:hRule="exact"/>
        </w:trPr>
        <w:tc>
          <w:tcPr>
            <w:tcW w:w="2811" w:type="dxa"/>
            <w:vMerge/>
            <w:tcBorders>
              <w:left w:val="single" w:sz="4" w:space="0" w:color="000000"/>
              <w:bottom w:val="nil" w:sz="6" w:space="0" w:color="auto"/>
              <w:right w:val="single" w:sz="4" w:space="0" w:color="000000"/>
            </w:tcBorders>
            <w:shd w:val="clear" w:color="auto" w:fill="D2D2D2"/>
          </w:tcPr>
          <w:p>
            <w:pPr/>
          </w:p>
        </w:tc>
        <w:tc>
          <w:tcPr>
            <w:tcW w:w="1068" w:type="dxa"/>
            <w:vMerge/>
            <w:tcBorders>
              <w:left w:val="single" w:sz="4" w:space="0" w:color="000000"/>
              <w:bottom w:val="nil" w:sz="6" w:space="0" w:color="auto"/>
              <w:right w:val="single" w:sz="4" w:space="0" w:color="000000"/>
            </w:tcBorders>
            <w:shd w:val="clear" w:color="auto" w:fill="D2D2D2"/>
          </w:tcPr>
          <w:p>
            <w:pPr/>
          </w:p>
        </w:tc>
        <w:tc>
          <w:tcPr>
            <w:tcW w:w="93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103"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31" w:right="29"/>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7" w:type="dxa"/>
            <w:tcBorders>
              <w:top w:val="single" w:sz="4" w:space="0" w:color="000000"/>
              <w:left w:val="single" w:sz="4" w:space="0" w:color="000000"/>
              <w:bottom w:val="nil" w:sz="6" w:space="0" w:color="auto"/>
              <w:right w:val="single" w:sz="4" w:space="0" w:color="000000"/>
            </w:tcBorders>
            <w:shd w:val="clear" w:color="auto" w:fill="D2D2D2"/>
          </w:tcPr>
          <w:p>
            <w:pPr/>
          </w:p>
        </w:tc>
        <w:tc>
          <w:tcPr>
            <w:tcW w:w="93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105" w:right="98"/>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7" w:type="dxa"/>
            <w:vMerge/>
            <w:tcBorders>
              <w:left w:val="single" w:sz="4" w:space="0" w:color="000000"/>
              <w:bottom w:val="nil" w:sz="6" w:space="0" w:color="auto"/>
              <w:right w:val="single" w:sz="4" w:space="0" w:color="000000"/>
            </w:tcBorders>
            <w:shd w:val="clear" w:color="auto" w:fill="D2D2D2"/>
          </w:tcPr>
          <w:p>
            <w:pPr/>
          </w:p>
        </w:tc>
      </w:tr>
      <w:tr>
        <w:trPr>
          <w:trHeight w:val="371" w:hRule="exact"/>
        </w:trPr>
        <w:tc>
          <w:tcPr>
            <w:tcW w:w="28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7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936"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1"/>
              <w:ind w:left="283" w:right="19"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1"/>
              <w:ind w:left="105" w:right="99"/>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6" w:type="dxa"/>
            <w:vMerge/>
            <w:tcBorders>
              <w:left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5" w:hRule="exact"/>
        </w:trPr>
        <w:tc>
          <w:tcPr>
            <w:tcW w:w="2811" w:type="dxa"/>
            <w:vMerge w:val="restart"/>
            <w:tcBorders>
              <w:top w:val="nil" w:sz="6" w:space="0" w:color="auto"/>
              <w:left w:val="single" w:sz="4" w:space="0" w:color="000000"/>
              <w:right w:val="single" w:sz="4" w:space="0" w:color="000000"/>
            </w:tcBorders>
            <w:shd w:val="clear" w:color="auto" w:fill="D2D2D2"/>
          </w:tcPr>
          <w:p>
            <w:pPr/>
          </w:p>
        </w:tc>
        <w:tc>
          <w:tcPr>
            <w:tcW w:w="1068" w:type="dxa"/>
            <w:vMerge w:val="restart"/>
            <w:tcBorders>
              <w:top w:val="nil" w:sz="6" w:space="0" w:color="auto"/>
              <w:left w:val="single" w:sz="4" w:space="0" w:color="000000"/>
              <w:right w:val="single" w:sz="4" w:space="0" w:color="000000"/>
            </w:tcBorders>
            <w:shd w:val="clear" w:color="auto" w:fill="D2D2D2"/>
          </w:tcPr>
          <w:p>
            <w:pPr/>
          </w:p>
        </w:tc>
        <w:tc>
          <w:tcPr>
            <w:tcW w:w="936"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7" w:type="dxa"/>
            <w:vMerge/>
            <w:tcBorders>
              <w:left w:val="single" w:sz="4" w:space="0" w:color="000000"/>
              <w:bottom w:val="nil" w:sz="6" w:space="0" w:color="auto"/>
              <w:right w:val="single" w:sz="4" w:space="0" w:color="000000"/>
            </w:tcBorders>
            <w:shd w:val="clear" w:color="auto" w:fill="D2D2D2"/>
          </w:tcPr>
          <w:p>
            <w:pPr/>
          </w:p>
        </w:tc>
        <w:tc>
          <w:tcPr>
            <w:tcW w:w="936"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811" w:type="dxa"/>
            <w:vMerge/>
            <w:tcBorders>
              <w:left w:val="single" w:sz="4" w:space="0" w:color="000000"/>
              <w:bottom w:val="single" w:sz="4" w:space="0" w:color="000000"/>
              <w:right w:val="single" w:sz="4" w:space="0" w:color="000000"/>
            </w:tcBorders>
            <w:shd w:val="clear" w:color="auto" w:fill="D2D2D2"/>
          </w:tcPr>
          <w:p>
            <w:pPr/>
          </w:p>
        </w:tc>
        <w:tc>
          <w:tcPr>
            <w:tcW w:w="1068" w:type="dxa"/>
            <w:vMerge/>
            <w:tcBorders>
              <w:left w:val="single" w:sz="4" w:space="0" w:color="000000"/>
              <w:bottom w:val="single" w:sz="4" w:space="0" w:color="000000"/>
              <w:right w:val="single" w:sz="4" w:space="0" w:color="000000"/>
            </w:tcBorders>
            <w:shd w:val="clear" w:color="auto" w:fill="D2D2D2"/>
          </w:tcPr>
          <w:p>
            <w:pPr/>
          </w:p>
        </w:tc>
        <w:tc>
          <w:tcPr>
            <w:tcW w:w="936" w:type="dxa"/>
            <w:vMerge/>
            <w:tcBorders>
              <w:left w:val="single" w:sz="4" w:space="0" w:color="000000"/>
              <w:bottom w:val="single" w:sz="4" w:space="0" w:color="000000"/>
              <w:right w:val="single" w:sz="4" w:space="0" w:color="000000"/>
            </w:tcBorders>
            <w:shd w:val="clear" w:color="auto" w:fill="D2D2D2"/>
          </w:tcPr>
          <w:p>
            <w:pPr/>
          </w:p>
        </w:tc>
        <w:tc>
          <w:tcPr>
            <w:tcW w:w="1152" w:type="dxa"/>
            <w:vMerge/>
            <w:tcBorders>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7" w:type="dxa"/>
            <w:tcBorders>
              <w:top w:val="nil" w:sz="6" w:space="0" w:color="auto"/>
              <w:left w:val="single" w:sz="4" w:space="0" w:color="000000"/>
              <w:bottom w:val="single" w:sz="4" w:space="0" w:color="000000"/>
              <w:right w:val="single" w:sz="4" w:space="0" w:color="000000"/>
            </w:tcBorders>
            <w:shd w:val="clear" w:color="auto" w:fill="D2D2D2"/>
          </w:tcPr>
          <w:p>
            <w:pPr/>
          </w:p>
        </w:tc>
        <w:tc>
          <w:tcPr>
            <w:tcW w:w="936"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716"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 合收益</w:t>
            </w:r>
          </w:p>
        </w:tc>
        <w:tc>
          <w:tcPr>
            <w:tcW w:w="10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128,806.58</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-162,598.01</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-162,598.01</w:t>
            </w:r>
          </w:p>
        </w:tc>
        <w:tc>
          <w:tcPr>
            <w:tcW w:w="93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-33,791.4</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3</w:t>
            </w:r>
          </w:p>
        </w:tc>
      </w:tr>
      <w:tr>
        <w:trPr>
          <w:trHeight w:val="401"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外币财务报表折算差额</w:t>
            </w:r>
          </w:p>
        </w:tc>
        <w:tc>
          <w:tcPr>
            <w:tcW w:w="10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128,806.58</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-162,598.01</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-162,598.01</w:t>
            </w:r>
          </w:p>
        </w:tc>
        <w:tc>
          <w:tcPr>
            <w:tcW w:w="93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281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8" w:type="dxa"/>
            <w:vMerge w:val="restart"/>
            <w:tcBorders>
              <w:top w:val="single" w:sz="4" w:space="0" w:color="000000"/>
              <w:left w:val="single" w:sz="9" w:space="0" w:color="D2D2D2"/>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19" w:right="0"/>
              <w:jc w:val="left"/>
              <w:rPr>
                <w:rFonts w:ascii="Times New Roman" w:hAnsi="Times New Roman" w:cs="Times New Roman" w:eastAsia="Times New Roman" w:hint="default"/>
                <w:sz w:val="18"/>
                <w:szCs w:val="18"/>
              </w:rPr>
            </w:pPr>
            <w:r>
              <w:rPr>
                <w:rFonts w:ascii="Times New Roman"/>
                <w:sz w:val="18"/>
              </w:rPr>
              <w:t>128,806.58</w:t>
            </w: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-162,598.01</w:t>
            </w:r>
          </w:p>
        </w:tc>
        <w:tc>
          <w:tcPr>
            <w:tcW w:w="1152" w:type="dxa"/>
            <w:vMerge w:val="restart"/>
            <w:tcBorders>
              <w:top w:val="single" w:sz="4" w:space="0" w:color="000000"/>
              <w:left w:val="single" w:sz="4" w:space="0" w:color="000000"/>
              <w:right w:val="single" w:sz="4" w:space="0" w:color="000000"/>
            </w:tcBorders>
          </w:tcPr>
          <w:p>
            <w:pPr/>
          </w:p>
        </w:tc>
        <w:tc>
          <w:tcPr>
            <w:tcW w:w="934" w:type="dxa"/>
            <w:vMerge w:val="restart"/>
            <w:tcBorders>
              <w:top w:val="single" w:sz="4" w:space="0" w:color="000000"/>
              <w:left w:val="single" w:sz="4" w:space="0" w:color="000000"/>
              <w:right w:val="single" w:sz="4" w:space="0" w:color="000000"/>
            </w:tcBorders>
          </w:tcPr>
          <w:p>
            <w:pPr/>
          </w:p>
        </w:tc>
        <w:tc>
          <w:tcPr>
            <w:tcW w:w="93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-162,598.01</w:t>
            </w:r>
          </w:p>
        </w:tc>
        <w:tc>
          <w:tcPr>
            <w:tcW w:w="936"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-33,791.4</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3</w:t>
            </w:r>
          </w:p>
        </w:tc>
      </w:tr>
      <w:tr>
        <w:trPr>
          <w:trHeight w:val="391" w:hRule="exact"/>
        </w:trPr>
        <w:tc>
          <w:tcPr>
            <w:tcW w:w="28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68" w:type="dxa"/>
            <w:vMerge/>
            <w:tcBorders>
              <w:left w:val="single" w:sz="9" w:space="0" w:color="D2D2D2"/>
              <w:right w:val="single" w:sz="4" w:space="0" w:color="000000"/>
            </w:tcBorders>
          </w:tcPr>
          <w:p>
            <w:pPr/>
          </w:p>
        </w:tc>
        <w:tc>
          <w:tcPr>
            <w:tcW w:w="936"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7"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161" w:hRule="exact"/>
        </w:trPr>
        <w:tc>
          <w:tcPr>
            <w:tcW w:w="281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8" w:type="dxa"/>
            <w:vMerge/>
            <w:tcBorders>
              <w:left w:val="single" w:sz="9" w:space="0" w:color="D2D2D2"/>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7"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其他说明，包括对现金流量套期损益的有效部分转为被套期项目初始确认金额调整：</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58</w:t>
      </w:r>
      <w:r>
        <w:rPr/>
        <w:t>、专项储备</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50"/>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59</w:t>
      </w:r>
      <w:r>
        <w:rPr/>
        <w:t>、盈余公积</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43,551,684.98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4,589,715.08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48,141,400.06</w:t>
            </w:r>
          </w:p>
        </w:tc>
      </w:tr>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43,551,684.98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4,589,715.08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48,141,400.06</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盈余公积说明，包括本期增减变动情况、变动原因说明：</w:t>
      </w:r>
    </w:p>
    <w:p>
      <w:pPr>
        <w:spacing w:after="0"/>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60</w:t>
      </w:r>
      <w:r>
        <w:rPr/>
        <w:t>、未分配利润</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703"/>
        <w:gridCol w:w="2934"/>
        <w:gridCol w:w="2919"/>
      </w:tblGrid>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290,999,513.74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250,322,437.14</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290,999,513.74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250,322,437.14</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54,954,319.42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57,773,537.53</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4,589,715.08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7,839,965.18</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应付普通股股利</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13,397,289.75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9,256,495.75</w:t>
            </w:r>
          </w:p>
        </w:tc>
      </w:tr>
      <w:tr>
        <w:trPr>
          <w:trHeight w:val="404"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327,966,828.33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290,999,513.74</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调整期初未分配利润明细：</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、由于《企业会计准则》及其相关新规定进行追溯调整，影响期初未分配利润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、由于会计政策变更，影响期初未分配利润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、由于重大会计差错更正，影响期初未分配利润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1"/>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、由于同一控制导致的合并范围变更，影响期初未分配利润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、其他调整合计影响期初未分配利润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61</w:t>
      </w:r>
      <w:r>
        <w:rPr/>
        <w:t>、营业收入和营业成本</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206"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357,734,952.63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233,093,390.65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415,503,482.22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259,468,884.84</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1,801,026.66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1,390,444.02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1,720,601.00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907,604.59</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359,535,979.29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234,483,834.67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417,224,083.22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260,376,489.43</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62</w:t>
      </w:r>
      <w:r>
        <w:rPr/>
        <w:t>、税金及附加</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48,107.85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城市建设维护税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573,010.93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743,644.26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583,747.53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716,044.90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河道管理费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19,590.05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136,062.67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2,570,669.74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513,503.79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46,157.26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29,836.78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300,721.37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19,049.95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车船使用费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2,220.00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水利基金</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3"/>
                <w:sz w:val="18"/>
              </w:rPr>
              <w:t>113.11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4,096,116.88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2,206,363.31</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63</w:t>
      </w:r>
      <w:r>
        <w:rPr/>
        <w:t>、销售费用</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工资薪酬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16,114,745.16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21,477,798.67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1,670,836.01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2,150,005.43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质保费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1,133,487.10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1,206,806.63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815,533.98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671,344.89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1,260,449.87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投标服务费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311,607.36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695,493.79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业务宣传及广告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40,892.83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191,249.89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22,684.30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9,669.21</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20,781,131.63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26,991,473.49</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64</w:t>
      </w:r>
      <w:r>
        <w:rPr/>
        <w:t>、管理费用</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30,713,425.69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34,481,870.80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工资薪酬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10,939,461.47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12,793,040.87</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10,835,948.83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11,844,562.12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4,166,666.66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9,228,409.07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4,678,940.84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1,175,487.77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2,575,580.08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3,550,307.51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2,502,073.37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股份支付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-210,864.19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2,111,833.43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2,456,163.75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1,829,669.96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中介机构费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929,491.92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1,485,696.19</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运杂费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1,453,485.72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1,346,047.55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951,216.78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1,018,845.23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电话网络通讯费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531,195.08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969,102.08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市内交通运行费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332,403.48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654,110.24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341,231.56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555,380.65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105,656.00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409,706.54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77,499,687.10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84,256,459.95</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65</w:t>
      </w:r>
      <w:r>
        <w:rPr/>
        <w:t>、财务费用</w:t>
      </w:r>
      <w:r>
        <w:rPr>
          <w:b w:val="0"/>
          <w:bCs w:val="0"/>
        </w:rPr>
      </w:r>
    </w:p>
    <w:p>
      <w:pPr>
        <w:spacing w:line="240" w:lineRule="auto" w:before="13"/>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45,916.67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160,730.12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3,767,262.36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7,018,465.73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23,213.35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144,764.82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84,655.86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149,842.65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-3,613,476.48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-6,563,128.14</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66</w:t>
      </w:r>
      <w:r>
        <w:rPr/>
        <w:t>、资产减值损失</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647,326.83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2,957,628.63</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2,791,156.27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606,096.93</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七、固定资产减值损失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1,165,917.37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942,348.48</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4,604,400.47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4,506,074.04</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21"/>
        <w:ind w:right="0"/>
        <w:jc w:val="left"/>
        <w:rPr>
          <w:b w:val="0"/>
          <w:bCs w:val="0"/>
        </w:rPr>
      </w:pPr>
      <w:r>
        <w:rPr>
          <w:rFonts w:ascii="Times New Roman" w:hAnsi="Times New Roman" w:cs="Times New Roman" w:eastAsia="Times New Roman" w:hint="default"/>
        </w:rPr>
        <w:t>67</w:t>
      </w:r>
      <w:r>
        <w:rPr/>
        <w:t>、公允价值变动收益</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9"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68</w:t>
      </w:r>
      <w:r>
        <w:rPr/>
        <w:t>、投资收益</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461"/>
        <w:gridCol w:w="3190"/>
        <w:gridCol w:w="2907"/>
      </w:tblGrid>
      <w:tr>
        <w:trPr>
          <w:trHeight w:val="401" w:hRule="exact"/>
        </w:trPr>
        <w:tc>
          <w:tcPr>
            <w:tcW w:w="3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461"/>
        <w:gridCol w:w="3190"/>
        <w:gridCol w:w="2919"/>
      </w:tblGrid>
      <w:tr>
        <w:trPr>
          <w:trHeight w:val="401" w:hRule="exact"/>
        </w:trPr>
        <w:tc>
          <w:tcPr>
            <w:tcW w:w="3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554,987.33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1,910,064.50</w:t>
            </w:r>
          </w:p>
        </w:tc>
      </w:tr>
      <w:tr>
        <w:trPr>
          <w:trHeight w:val="403" w:hRule="exact"/>
        </w:trPr>
        <w:tc>
          <w:tcPr>
            <w:tcW w:w="3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25,709,121.40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4,140,508.38</w:t>
            </w:r>
          </w:p>
        </w:tc>
      </w:tr>
      <w:tr>
        <w:trPr>
          <w:trHeight w:val="401" w:hRule="exact"/>
        </w:trPr>
        <w:tc>
          <w:tcPr>
            <w:tcW w:w="3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35,858.89</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26,299,967.62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6,050,572.88</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69</w:t>
      </w:r>
      <w:r>
        <w:rPr/>
        <w:t>、资产处置收益</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固定资产处置利得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8,979.88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245,974.30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固定资产处置损失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-1,135.51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-41,461.73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7,844.37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204,512.57</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70</w:t>
      </w:r>
      <w:r>
        <w:rPr/>
        <w:t>、其他收益</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9"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71</w:t>
      </w:r>
      <w:r>
        <w:rPr/>
        <w:t>、营业外收入</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715"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扶持资金（注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7,504,762.63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4,114,933.71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7,504,762.63</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812,456.45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2,806,345.60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812,456.45</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增值税免抵退</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22,794.03</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代扣代缴个税手续费返还</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140,202.88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315,179.46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140,202.88</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赔款收入</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20,842.00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303,990.46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20,842.00</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37,909.81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37,909.81</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8,516,173.77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7,563,244.27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8,516,173.77</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p>
      <w:pPr>
        <w:spacing w:before="117"/>
        <w:ind w:left="0" w:right="151" w:firstLine="0"/>
        <w:jc w:val="right"/>
        <w:rPr>
          <w:rFonts w:ascii="宋体" w:hAnsi="宋体" w:cs="宋体" w:eastAsia="宋体" w:hint="default"/>
          <w:sz w:val="18"/>
          <w:szCs w:val="18"/>
        </w:rPr>
      </w:pPr>
      <w:r>
        <w:rPr/>
        <w:pict>
          <v:group style="position:absolute;margin-left:269.690002pt;margin-top:59.201721pt;width:52.75pt;height:14.65pt;mso-position-horizontal-relative:page;mso-position-vertical-relative:paragraph;z-index:-1016224" coordorigin="5394,1184" coordsize="1055,293">
            <v:shape style="position:absolute;left:5394;top:1184;width:1055;height:293" coordorigin="5394,1184" coordsize="1055,293" path="m5394,1477l6448,1477,6448,1184,5394,1184,5394,1477xe" filled="true" fillcolor="#ffffff" stroked="false">
              <v:path arrowok="t"/>
              <v:fill type="solid"/>
            </v:shape>
            <w10:wrap type="none"/>
          </v:group>
        </w:pict>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6"/>
        <w:gridCol w:w="1063"/>
        <w:gridCol w:w="1064"/>
        <w:gridCol w:w="1063"/>
        <w:gridCol w:w="1061"/>
        <w:gridCol w:w="1063"/>
        <w:gridCol w:w="1063"/>
        <w:gridCol w:w="1064"/>
        <w:gridCol w:w="1063"/>
      </w:tblGrid>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76" w:right="72"/>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39" w:right="72"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36" w:right="74"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37" w:right="75" w:hanging="361"/>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0"/>
              <w:ind w:left="76" w:right="48"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98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30"/>
              <w:jc w:val="both"/>
              <w:rPr>
                <w:rFonts w:ascii="宋体" w:hAnsi="宋体" w:cs="宋体" w:eastAsia="宋体" w:hint="default"/>
                <w:sz w:val="18"/>
                <w:szCs w:val="18"/>
              </w:rPr>
            </w:pPr>
            <w:r>
              <w:rPr>
                <w:rFonts w:ascii="宋体" w:hAnsi="宋体" w:cs="宋体" w:eastAsia="宋体" w:hint="default"/>
                <w:sz w:val="18"/>
                <w:szCs w:val="18"/>
              </w:rPr>
              <w:t>超大规模分 布式存储系 统关键技术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316" w:lineRule="auto"/>
              <w:ind w:left="23" w:right="127"/>
              <w:jc w:val="left"/>
              <w:rPr>
                <w:rFonts w:ascii="宋体" w:hAnsi="宋体" w:cs="宋体" w:eastAsia="宋体" w:hint="default"/>
                <w:sz w:val="18"/>
                <w:szCs w:val="18"/>
              </w:rPr>
            </w:pPr>
            <w:r>
              <w:rPr>
                <w:rFonts w:ascii="宋体" w:hAnsi="宋体" w:cs="宋体" w:eastAsia="宋体" w:hint="default"/>
                <w:sz w:val="18"/>
                <w:szCs w:val="18"/>
              </w:rPr>
              <w:t>上海市科学 技术委员会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因研究开发 技术更新及 改造等获得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4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57"/>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left="220" w:right="0"/>
              <w:jc w:val="left"/>
              <w:rPr>
                <w:rFonts w:ascii="Times New Roman" w:hAnsi="Times New Roman" w:cs="Times New Roman" w:eastAsia="Times New Roman" w:hint="default"/>
                <w:sz w:val="18"/>
                <w:szCs w:val="18"/>
              </w:rPr>
            </w:pPr>
            <w:r>
              <w:rPr>
                <w:rFonts w:ascii="Times New Roman"/>
                <w:sz w:val="18"/>
              </w:rPr>
              <w:t>500,000.00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left="86" w:right="0"/>
              <w:jc w:val="left"/>
              <w:rPr>
                <w:rFonts w:ascii="Times New Roman" w:hAnsi="Times New Roman" w:cs="Times New Roman" w:eastAsia="Times New Roman" w:hint="default"/>
                <w:sz w:val="18"/>
                <w:szCs w:val="18"/>
              </w:rPr>
            </w:pPr>
            <w:r>
              <w:rPr>
                <w:rFonts w:ascii="Times New Roman"/>
                <w:sz w:val="18"/>
              </w:rPr>
              <w:t>2,000,000.00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2"/>
        <w:rPr>
          <w:rFonts w:ascii="宋体" w:hAnsi="宋体" w:cs="宋体" w:eastAsia="宋体" w:hint="default"/>
          <w:sz w:val="28"/>
          <w:szCs w:val="28"/>
        </w:rPr>
      </w:pPr>
    </w:p>
    <w:p>
      <w:pPr>
        <w:spacing w:line="9527" w:lineRule="exact"/>
        <w:ind w:left="148" w:right="0" w:firstLine="0"/>
        <w:rPr>
          <w:rFonts w:ascii="宋体" w:hAnsi="宋体" w:cs="宋体" w:eastAsia="宋体" w:hint="default"/>
          <w:sz w:val="20"/>
          <w:szCs w:val="20"/>
        </w:rPr>
      </w:pPr>
      <w:r>
        <w:rPr>
          <w:rFonts w:ascii="宋体" w:hAnsi="宋体" w:cs="宋体" w:eastAsia="宋体" w:hint="default"/>
          <w:position w:val="-190"/>
          <w:sz w:val="20"/>
          <w:szCs w:val="20"/>
        </w:rPr>
        <w:pict>
          <v:group style="width:479.05pt;height:476.35pt;mso-position-horizontal-relative:char;mso-position-vertical-relative:line" coordorigin="0,0" coordsize="9581,9527">
            <v:group style="position:absolute;left:10;top:10;width:1057;height:2" coordorigin="10,10" coordsize="1057,2">
              <v:shape style="position:absolute;left:10;top:10;width:1057;height:2" coordorigin="10,10" coordsize="1057,0" path="m10,10l1066,10e" filled="false" stroked="true" strokeweight=".48pt" strokecolor="#000000">
                <v:path arrowok="t"/>
              </v:shape>
            </v:group>
            <v:group style="position:absolute;left:1076;top:10;width:1054;height:2" coordorigin="1076,10" coordsize="1054,2">
              <v:shape style="position:absolute;left:1076;top:10;width:1054;height:2" coordorigin="1076,10" coordsize="1054,0" path="m1076,10l2129,10e" filled="false" stroked="true" strokeweight=".48pt" strokecolor="#000000">
                <v:path arrowok="t"/>
              </v:shape>
            </v:group>
            <v:group style="position:absolute;left:2139;top:10;width:1055;height:2" coordorigin="2139,10" coordsize="1055,2">
              <v:shape style="position:absolute;left:2139;top:10;width:1055;height:2" coordorigin="2139,10" coordsize="1055,0" path="m2139,10l3193,10e" filled="false" stroked="true" strokeweight=".48pt" strokecolor="#000000">
                <v:path arrowok="t"/>
              </v:shape>
            </v:group>
            <v:group style="position:absolute;left:3203;top:10;width:1054;height:2" coordorigin="3203,10" coordsize="1054,2">
              <v:shape style="position:absolute;left:3203;top:10;width:1054;height:2" coordorigin="3203,10" coordsize="1054,0" path="m3203,10l4256,10e" filled="false" stroked="true" strokeweight=".48pt" strokecolor="#000000">
                <v:path arrowok="t"/>
              </v:shape>
            </v:group>
            <v:group style="position:absolute;left:4266;top:10;width:1052;height:2" coordorigin="4266,10" coordsize="1052,2">
              <v:shape style="position:absolute;left:4266;top:10;width:1052;height:2" coordorigin="4266,10" coordsize="1052,0" path="m4266,10l5317,10e" filled="false" stroked="true" strokeweight=".48pt" strokecolor="#000000">
                <v:path arrowok="t"/>
              </v:shape>
            </v:group>
            <v:group style="position:absolute;left:5327;top:10;width:1054;height:2" coordorigin="5327,10" coordsize="1054,2">
              <v:shape style="position:absolute;left:5327;top:10;width:1054;height:2" coordorigin="5327,10" coordsize="1054,0" path="m5327,10l6381,10e" filled="false" stroked="true" strokeweight=".48pt" strokecolor="#000000">
                <v:path arrowok="t"/>
              </v:shape>
            </v:group>
            <v:group style="position:absolute;left:6390;top:10;width:1054;height:2" coordorigin="6390,10" coordsize="1054,2">
              <v:shape style="position:absolute;left:6390;top:10;width:1054;height:2" coordorigin="6390,10" coordsize="1054,0" path="m6390,10l7444,10e" filled="false" stroked="true" strokeweight=".48pt" strokecolor="#000000">
                <v:path arrowok="t"/>
              </v:shape>
            </v:group>
            <v:group style="position:absolute;left:7453;top:10;width:1055;height:2" coordorigin="7453,10" coordsize="1055,2">
              <v:shape style="position:absolute;left:7453;top:10;width:1055;height:2" coordorigin="7453,10" coordsize="1055,0" path="m7453,10l8507,10e" filled="false" stroked="true" strokeweight=".48pt" strokecolor="#000000">
                <v:path arrowok="t"/>
              </v:shape>
            </v:group>
            <v:group style="position:absolute;left:8517;top:10;width:1054;height:2" coordorigin="8517,10" coordsize="1054,2">
              <v:shape style="position:absolute;left:8517;top:10;width:1054;height:2" coordorigin="8517,10" coordsize="1054,0" path="m8517,10l9571,10e" filled="false" stroked="true" strokeweight=".48pt" strokecolor="#000000">
                <v:path arrowok="t"/>
              </v:shape>
            </v:group>
            <v:group style="position:absolute;left:4266;top:689;width:1055;height:468" coordorigin="4266,689" coordsize="1055,468">
              <v:shape style="position:absolute;left:4266;top:689;width:1055;height:468" coordorigin="4266,689" coordsize="1055,468" path="m4266,1157l5320,1157,5320,689,4266,689,4266,1157xe" filled="true" fillcolor="#ffffff" stroked="false">
                <v:path arrowok="t"/>
                <v:fill type="solid"/>
              </v:shape>
            </v:group>
            <v:group style="position:absolute;left:10;top:684;width:1057;height:2" coordorigin="10,684" coordsize="1057,2">
              <v:shape style="position:absolute;left:10;top:684;width:1057;height:2" coordorigin="10,684" coordsize="1057,0" path="m10,684l1066,684e" filled="false" stroked="true" strokeweight=".48pt" strokecolor="#000000">
                <v:path arrowok="t"/>
              </v:shape>
            </v:group>
            <v:group style="position:absolute;left:1076;top:684;width:1054;height:2" coordorigin="1076,684" coordsize="1054,2">
              <v:shape style="position:absolute;left:1076;top:684;width:1054;height:2" coordorigin="1076,684" coordsize="1054,0" path="m1076,684l2129,684e" filled="false" stroked="true" strokeweight=".48pt" strokecolor="#000000">
                <v:path arrowok="t"/>
              </v:shape>
            </v:group>
            <v:group style="position:absolute;left:2139;top:684;width:1055;height:2" coordorigin="2139,684" coordsize="1055,2">
              <v:shape style="position:absolute;left:2139;top:684;width:1055;height:2" coordorigin="2139,684" coordsize="1055,0" path="m2139,684l3193,684e" filled="false" stroked="true" strokeweight=".48pt" strokecolor="#000000">
                <v:path arrowok="t"/>
              </v:shape>
            </v:group>
            <v:group style="position:absolute;left:3203;top:684;width:1054;height:2" coordorigin="3203,684" coordsize="1054,2">
              <v:shape style="position:absolute;left:3203;top:684;width:1054;height:2" coordorigin="3203,684" coordsize="1054,0" path="m3203,684l4256,684e" filled="false" stroked="true" strokeweight=".48pt" strokecolor="#000000">
                <v:path arrowok="t"/>
              </v:shape>
            </v:group>
            <v:group style="position:absolute;left:4266;top:684;width:1052;height:2" coordorigin="4266,684" coordsize="1052,2">
              <v:shape style="position:absolute;left:4266;top:684;width:1052;height:2" coordorigin="4266,684" coordsize="1052,0" path="m4266,684l5317,684e" filled="false" stroked="true" strokeweight=".48pt" strokecolor="#000000">
                <v:path arrowok="t"/>
              </v:shape>
            </v:group>
            <v:group style="position:absolute;left:5327;top:684;width:1054;height:2" coordorigin="5327,684" coordsize="1054,2">
              <v:shape style="position:absolute;left:5327;top:684;width:1054;height:2" coordorigin="5327,684" coordsize="1054,0" path="m5327,684l6381,684e" filled="false" stroked="true" strokeweight=".48pt" strokecolor="#000000">
                <v:path arrowok="t"/>
              </v:shape>
            </v:group>
            <v:group style="position:absolute;left:6390;top:684;width:1054;height:2" coordorigin="6390,684" coordsize="1054,2">
              <v:shape style="position:absolute;left:6390;top:684;width:1054;height:2" coordorigin="6390,684" coordsize="1054,0" path="m6390,684l7444,684e" filled="false" stroked="true" strokeweight=".48pt" strokecolor="#000000">
                <v:path arrowok="t"/>
              </v:shape>
            </v:group>
            <v:group style="position:absolute;left:7453;top:684;width:1055;height:2" coordorigin="7453,684" coordsize="1055,2">
              <v:shape style="position:absolute;left:7453;top:684;width:1055;height:2" coordorigin="7453,684" coordsize="1055,0" path="m7453,684l8507,684e" filled="false" stroked="true" strokeweight=".48pt" strokecolor="#000000">
                <v:path arrowok="t"/>
              </v:shape>
            </v:group>
            <v:group style="position:absolute;left:8517;top:684;width:1054;height:2" coordorigin="8517,684" coordsize="1054,2">
              <v:shape style="position:absolute;left:8517;top:684;width:1054;height:2" coordorigin="8517,684" coordsize="1054,0" path="m8517,684l9571,684e" filled="false" stroked="true" strokeweight=".48pt" strokecolor="#000000">
                <v:path arrowok="t"/>
              </v:shape>
            </v:group>
            <v:group style="position:absolute;left:4266;top:2026;width:1055;height:468" coordorigin="4266,2026" coordsize="1055,468">
              <v:shape style="position:absolute;left:4266;top:2026;width:1055;height:468" coordorigin="4266,2026" coordsize="1055,468" path="m4266,2494l5320,2494,5320,2026,4266,2026,4266,2494xe" filled="true" fillcolor="#ffffff" stroked="false">
                <v:path arrowok="t"/>
                <v:fill type="solid"/>
              </v:shape>
            </v:group>
            <v:group style="position:absolute;left:10;top:2021;width:1057;height:2" coordorigin="10,2021" coordsize="1057,2">
              <v:shape style="position:absolute;left:10;top:2021;width:1057;height:2" coordorigin="10,2021" coordsize="1057,0" path="m10,2021l1066,2021e" filled="false" stroked="true" strokeweight=".48pt" strokecolor="#000000">
                <v:path arrowok="t"/>
              </v:shape>
            </v:group>
            <v:group style="position:absolute;left:1076;top:2021;width:1054;height:2" coordorigin="1076,2021" coordsize="1054,2">
              <v:shape style="position:absolute;left:1076;top:2021;width:1054;height:2" coordorigin="1076,2021" coordsize="1054,0" path="m1076,2021l2129,2021e" filled="false" stroked="true" strokeweight=".48pt" strokecolor="#000000">
                <v:path arrowok="t"/>
              </v:shape>
            </v:group>
            <v:group style="position:absolute;left:2139;top:2021;width:1055;height:2" coordorigin="2139,2021" coordsize="1055,2">
              <v:shape style="position:absolute;left:2139;top:2021;width:1055;height:2" coordorigin="2139,2021" coordsize="1055,0" path="m2139,2021l3193,2021e" filled="false" stroked="true" strokeweight=".48pt" strokecolor="#000000">
                <v:path arrowok="t"/>
              </v:shape>
            </v:group>
            <v:group style="position:absolute;left:3203;top:2021;width:1054;height:2" coordorigin="3203,2021" coordsize="1054,2">
              <v:shape style="position:absolute;left:3203;top:2021;width:1054;height:2" coordorigin="3203,2021" coordsize="1054,0" path="m3203,2021l4256,2021e" filled="false" stroked="true" strokeweight=".48pt" strokecolor="#000000">
                <v:path arrowok="t"/>
              </v:shape>
            </v:group>
            <v:group style="position:absolute;left:4266;top:2021;width:1052;height:2" coordorigin="4266,2021" coordsize="1052,2">
              <v:shape style="position:absolute;left:4266;top:2021;width:1052;height:2" coordorigin="4266,2021" coordsize="1052,0" path="m4266,2021l5317,2021e" filled="false" stroked="true" strokeweight=".48pt" strokecolor="#000000">
                <v:path arrowok="t"/>
              </v:shape>
            </v:group>
            <v:group style="position:absolute;left:5327;top:2021;width:1054;height:2" coordorigin="5327,2021" coordsize="1054,2">
              <v:shape style="position:absolute;left:5327;top:2021;width:1054;height:2" coordorigin="5327,2021" coordsize="1054,0" path="m5327,2021l6381,2021e" filled="false" stroked="true" strokeweight=".48pt" strokecolor="#000000">
                <v:path arrowok="t"/>
              </v:shape>
            </v:group>
            <v:group style="position:absolute;left:6390;top:2021;width:1054;height:2" coordorigin="6390,2021" coordsize="1054,2">
              <v:shape style="position:absolute;left:6390;top:2021;width:1054;height:2" coordorigin="6390,2021" coordsize="1054,0" path="m6390,2021l7444,2021e" filled="false" stroked="true" strokeweight=".48pt" strokecolor="#000000">
                <v:path arrowok="t"/>
              </v:shape>
            </v:group>
            <v:group style="position:absolute;left:7453;top:2021;width:1055;height:2" coordorigin="7453,2021" coordsize="1055,2">
              <v:shape style="position:absolute;left:7453;top:2021;width:1055;height:2" coordorigin="7453,2021" coordsize="1055,0" path="m7453,2021l8507,2021e" filled="false" stroked="true" strokeweight=".48pt" strokecolor="#000000">
                <v:path arrowok="t"/>
              </v:shape>
            </v:group>
            <v:group style="position:absolute;left:8517;top:2021;width:1054;height:2" coordorigin="8517,2021" coordsize="1054,2">
              <v:shape style="position:absolute;left:8517;top:2021;width:1054;height:2" coordorigin="8517,2021" coordsize="1054,0" path="m8517,2021l9571,2021e" filled="false" stroked="true" strokeweight=".48pt" strokecolor="#000000">
                <v:path arrowok="t"/>
              </v:shape>
            </v:group>
            <v:group style="position:absolute;left:4266;top:3365;width:1055;height:469" coordorigin="4266,3365" coordsize="1055,469">
              <v:shape style="position:absolute;left:4266;top:3365;width:1055;height:469" coordorigin="4266,3365" coordsize="1055,469" path="m4266,3834l5320,3834,5320,3365,4266,3365,4266,3834xe" filled="true" fillcolor="#ffffff" stroked="false">
                <v:path arrowok="t"/>
                <v:fill type="solid"/>
              </v:shape>
            </v:group>
            <v:group style="position:absolute;left:10;top:3360;width:1057;height:2" coordorigin="10,3360" coordsize="1057,2">
              <v:shape style="position:absolute;left:10;top:3360;width:1057;height:2" coordorigin="10,3360" coordsize="1057,0" path="m10,3360l1066,3360e" filled="false" stroked="true" strokeweight=".48pt" strokecolor="#000000">
                <v:path arrowok="t"/>
              </v:shape>
            </v:group>
            <v:group style="position:absolute;left:1076;top:3360;width:1054;height:2" coordorigin="1076,3360" coordsize="1054,2">
              <v:shape style="position:absolute;left:1076;top:3360;width:1054;height:2" coordorigin="1076,3360" coordsize="1054,0" path="m1076,3360l2129,3360e" filled="false" stroked="true" strokeweight=".48pt" strokecolor="#000000">
                <v:path arrowok="t"/>
              </v:shape>
            </v:group>
            <v:group style="position:absolute;left:2139;top:3360;width:1055;height:2" coordorigin="2139,3360" coordsize="1055,2">
              <v:shape style="position:absolute;left:2139;top:3360;width:1055;height:2" coordorigin="2139,3360" coordsize="1055,0" path="m2139,3360l3193,3360e" filled="false" stroked="true" strokeweight=".48pt" strokecolor="#000000">
                <v:path arrowok="t"/>
              </v:shape>
            </v:group>
            <v:group style="position:absolute;left:3203;top:3360;width:1054;height:2" coordorigin="3203,3360" coordsize="1054,2">
              <v:shape style="position:absolute;left:3203;top:3360;width:1054;height:2" coordorigin="3203,3360" coordsize="1054,0" path="m3203,3360l4256,3360e" filled="false" stroked="true" strokeweight=".48pt" strokecolor="#000000">
                <v:path arrowok="t"/>
              </v:shape>
            </v:group>
            <v:group style="position:absolute;left:4266;top:3360;width:1052;height:2" coordorigin="4266,3360" coordsize="1052,2">
              <v:shape style="position:absolute;left:4266;top:3360;width:1052;height:2" coordorigin="4266,3360" coordsize="1052,0" path="m4266,3360l5317,3360e" filled="false" stroked="true" strokeweight=".48pt" strokecolor="#000000">
                <v:path arrowok="t"/>
              </v:shape>
            </v:group>
            <v:group style="position:absolute;left:5327;top:3360;width:1054;height:2" coordorigin="5327,3360" coordsize="1054,2">
              <v:shape style="position:absolute;left:5327;top:3360;width:1054;height:2" coordorigin="5327,3360" coordsize="1054,0" path="m5327,3360l6381,3360e" filled="false" stroked="true" strokeweight=".48pt" strokecolor="#000000">
                <v:path arrowok="t"/>
              </v:shape>
            </v:group>
            <v:group style="position:absolute;left:6390;top:3360;width:1054;height:2" coordorigin="6390,3360" coordsize="1054,2">
              <v:shape style="position:absolute;left:6390;top:3360;width:1054;height:2" coordorigin="6390,3360" coordsize="1054,0" path="m6390,3360l7444,3360e" filled="false" stroked="true" strokeweight=".48pt" strokecolor="#000000">
                <v:path arrowok="t"/>
              </v:shape>
            </v:group>
            <v:group style="position:absolute;left:7453;top:3360;width:1055;height:2" coordorigin="7453,3360" coordsize="1055,2">
              <v:shape style="position:absolute;left:7453;top:3360;width:1055;height:2" coordorigin="7453,3360" coordsize="1055,0" path="m7453,3360l8507,3360e" filled="false" stroked="true" strokeweight=".48pt" strokecolor="#000000">
                <v:path arrowok="t"/>
              </v:shape>
            </v:group>
            <v:group style="position:absolute;left:8517;top:3360;width:1054;height:2" coordorigin="8517,3360" coordsize="1054,2">
              <v:shape style="position:absolute;left:8517;top:3360;width:1054;height:2" coordorigin="8517,3360" coordsize="1054,0" path="m8517,3360l9571,3360e" filled="false" stroked="true" strokeweight=".48pt" strokecolor="#000000">
                <v:path arrowok="t"/>
              </v:shape>
            </v:group>
            <v:group style="position:absolute;left:4266;top:4703;width:1055;height:468" coordorigin="4266,4703" coordsize="1055,468">
              <v:shape style="position:absolute;left:4266;top:4703;width:1055;height:468" coordorigin="4266,4703" coordsize="1055,468" path="m4266,5171l5320,5171,5320,4703,4266,4703,4266,5171xe" filled="true" fillcolor="#ffffff" stroked="false">
                <v:path arrowok="t"/>
                <v:fill type="solid"/>
              </v:shape>
            </v:group>
            <v:group style="position:absolute;left:10;top:4698;width:1057;height:2" coordorigin="10,4698" coordsize="1057,2">
              <v:shape style="position:absolute;left:10;top:4698;width:1057;height:2" coordorigin="10,4698" coordsize="1057,0" path="m10,4698l1066,4698e" filled="false" stroked="true" strokeweight=".48001pt" strokecolor="#000000">
                <v:path arrowok="t"/>
              </v:shape>
            </v:group>
            <v:group style="position:absolute;left:1076;top:4698;width:1054;height:2" coordorigin="1076,4698" coordsize="1054,2">
              <v:shape style="position:absolute;left:1076;top:4698;width:1054;height:2" coordorigin="1076,4698" coordsize="1054,0" path="m1076,4698l2129,4698e" filled="false" stroked="true" strokeweight=".48001pt" strokecolor="#000000">
                <v:path arrowok="t"/>
              </v:shape>
            </v:group>
            <v:group style="position:absolute;left:2139;top:4698;width:1055;height:2" coordorigin="2139,4698" coordsize="1055,2">
              <v:shape style="position:absolute;left:2139;top:4698;width:1055;height:2" coordorigin="2139,4698" coordsize="1055,0" path="m2139,4698l3193,4698e" filled="false" stroked="true" strokeweight=".48001pt" strokecolor="#000000">
                <v:path arrowok="t"/>
              </v:shape>
            </v:group>
            <v:group style="position:absolute;left:3203;top:4698;width:1054;height:2" coordorigin="3203,4698" coordsize="1054,2">
              <v:shape style="position:absolute;left:3203;top:4698;width:1054;height:2" coordorigin="3203,4698" coordsize="1054,0" path="m3203,4698l4256,4698e" filled="false" stroked="true" strokeweight=".48001pt" strokecolor="#000000">
                <v:path arrowok="t"/>
              </v:shape>
            </v:group>
            <v:group style="position:absolute;left:4266;top:4698;width:1052;height:2" coordorigin="4266,4698" coordsize="1052,2">
              <v:shape style="position:absolute;left:4266;top:4698;width:1052;height:2" coordorigin="4266,4698" coordsize="1052,0" path="m4266,4698l5317,4698e" filled="false" stroked="true" strokeweight=".48001pt" strokecolor="#000000">
                <v:path arrowok="t"/>
              </v:shape>
            </v:group>
            <v:group style="position:absolute;left:5327;top:4698;width:1054;height:2" coordorigin="5327,4698" coordsize="1054,2">
              <v:shape style="position:absolute;left:5327;top:4698;width:1054;height:2" coordorigin="5327,4698" coordsize="1054,0" path="m5327,4698l6381,4698e" filled="false" stroked="true" strokeweight=".48001pt" strokecolor="#000000">
                <v:path arrowok="t"/>
              </v:shape>
            </v:group>
            <v:group style="position:absolute;left:6390;top:4698;width:1054;height:2" coordorigin="6390,4698" coordsize="1054,2">
              <v:shape style="position:absolute;left:6390;top:4698;width:1054;height:2" coordorigin="6390,4698" coordsize="1054,0" path="m6390,4698l7444,4698e" filled="false" stroked="true" strokeweight=".48001pt" strokecolor="#000000">
                <v:path arrowok="t"/>
              </v:shape>
            </v:group>
            <v:group style="position:absolute;left:7453;top:4698;width:1055;height:2" coordorigin="7453,4698" coordsize="1055,2">
              <v:shape style="position:absolute;left:7453;top:4698;width:1055;height:2" coordorigin="7453,4698" coordsize="1055,0" path="m7453,4698l8507,4698e" filled="false" stroked="true" strokeweight=".48001pt" strokecolor="#000000">
                <v:path arrowok="t"/>
              </v:shape>
            </v:group>
            <v:group style="position:absolute;left:8517;top:4698;width:1054;height:2" coordorigin="8517,4698" coordsize="1054,2">
              <v:shape style="position:absolute;left:8517;top:4698;width:1054;height:2" coordorigin="8517,4698" coordsize="1054,0" path="m8517,4698l9571,4698e" filled="false" stroked="true" strokeweight=".48001pt" strokecolor="#000000">
                <v:path arrowok="t"/>
              </v:shape>
            </v:group>
            <v:group style="position:absolute;left:4266;top:6042;width:1055;height:468" coordorigin="4266,6042" coordsize="1055,468">
              <v:shape style="position:absolute;left:4266;top:6042;width:1055;height:468" coordorigin="4266,6042" coordsize="1055,468" path="m4266,6510l5320,6510,5320,6042,4266,6042,4266,6510xe" filled="true" fillcolor="#ffffff" stroked="false">
                <v:path arrowok="t"/>
                <v:fill type="solid"/>
              </v:shape>
            </v:group>
            <v:group style="position:absolute;left:10;top:6037;width:1057;height:2" coordorigin="10,6037" coordsize="1057,2">
              <v:shape style="position:absolute;left:10;top:6037;width:1057;height:2" coordorigin="10,6037" coordsize="1057,0" path="m10,6037l1066,6037e" filled="false" stroked="true" strokeweight=".47998pt" strokecolor="#000000">
                <v:path arrowok="t"/>
              </v:shape>
            </v:group>
            <v:group style="position:absolute;left:1076;top:6037;width:1054;height:2" coordorigin="1076,6037" coordsize="1054,2">
              <v:shape style="position:absolute;left:1076;top:6037;width:1054;height:2" coordorigin="1076,6037" coordsize="1054,0" path="m1076,6037l2129,6037e" filled="false" stroked="true" strokeweight=".47998pt" strokecolor="#000000">
                <v:path arrowok="t"/>
              </v:shape>
            </v:group>
            <v:group style="position:absolute;left:2139;top:6037;width:1055;height:2" coordorigin="2139,6037" coordsize="1055,2">
              <v:shape style="position:absolute;left:2139;top:6037;width:1055;height:2" coordorigin="2139,6037" coordsize="1055,0" path="m2139,6037l3193,6037e" filled="false" stroked="true" strokeweight=".47998pt" strokecolor="#000000">
                <v:path arrowok="t"/>
              </v:shape>
            </v:group>
            <v:group style="position:absolute;left:3203;top:6037;width:1054;height:2" coordorigin="3203,6037" coordsize="1054,2">
              <v:shape style="position:absolute;left:3203;top:6037;width:1054;height:2" coordorigin="3203,6037" coordsize="1054,0" path="m3203,6037l4256,6037e" filled="false" stroked="true" strokeweight=".47998pt" strokecolor="#000000">
                <v:path arrowok="t"/>
              </v:shape>
            </v:group>
            <v:group style="position:absolute;left:4266;top:6037;width:1052;height:2" coordorigin="4266,6037" coordsize="1052,2">
              <v:shape style="position:absolute;left:4266;top:6037;width:1052;height:2" coordorigin="4266,6037" coordsize="1052,0" path="m4266,6037l5317,6037e" filled="false" stroked="true" strokeweight=".47998pt" strokecolor="#000000">
                <v:path arrowok="t"/>
              </v:shape>
            </v:group>
            <v:group style="position:absolute;left:5327;top:6037;width:1054;height:2" coordorigin="5327,6037" coordsize="1054,2">
              <v:shape style="position:absolute;left:5327;top:6037;width:1054;height:2" coordorigin="5327,6037" coordsize="1054,0" path="m5327,6037l6381,6037e" filled="false" stroked="true" strokeweight=".47998pt" strokecolor="#000000">
                <v:path arrowok="t"/>
              </v:shape>
            </v:group>
            <v:group style="position:absolute;left:6390;top:6037;width:1054;height:2" coordorigin="6390,6037" coordsize="1054,2">
              <v:shape style="position:absolute;left:6390;top:6037;width:1054;height:2" coordorigin="6390,6037" coordsize="1054,0" path="m6390,6037l7444,6037e" filled="false" stroked="true" strokeweight=".47998pt" strokecolor="#000000">
                <v:path arrowok="t"/>
              </v:shape>
            </v:group>
            <v:group style="position:absolute;left:7453;top:6037;width:1055;height:2" coordorigin="7453,6037" coordsize="1055,2">
              <v:shape style="position:absolute;left:7453;top:6037;width:1055;height:2" coordorigin="7453,6037" coordsize="1055,0" path="m7453,6037l8507,6037e" filled="false" stroked="true" strokeweight=".47998pt" strokecolor="#000000">
                <v:path arrowok="t"/>
              </v:shape>
            </v:group>
            <v:group style="position:absolute;left:8517;top:6037;width:1054;height:2" coordorigin="8517,6037" coordsize="1054,2">
              <v:shape style="position:absolute;left:8517;top:6037;width:1054;height:2" coordorigin="8517,6037" coordsize="1054,0" path="m8517,6037l9571,6037e" filled="false" stroked="true" strokeweight=".47998pt" strokecolor="#000000">
                <v:path arrowok="t"/>
              </v:shape>
            </v:group>
            <v:group style="position:absolute;left:4266;top:7379;width:1055;height:468" coordorigin="4266,7379" coordsize="1055,468">
              <v:shape style="position:absolute;left:4266;top:7379;width:1055;height:468" coordorigin="4266,7379" coordsize="1055,468" path="m4266,7847l5320,7847,5320,7379,4266,7379,4266,7847xe" filled="true" fillcolor="#ffffff" stroked="false">
                <v:path arrowok="t"/>
                <v:fill type="solid"/>
              </v:shape>
            </v:group>
            <v:group style="position:absolute;left:10;top:7374;width:1057;height:2" coordorigin="10,7374" coordsize="1057,2">
              <v:shape style="position:absolute;left:10;top:7374;width:1057;height:2" coordorigin="10,7374" coordsize="1057,0" path="m10,7374l1066,7374e" filled="false" stroked="true" strokeweight=".48001pt" strokecolor="#000000">
                <v:path arrowok="t"/>
              </v:shape>
            </v:group>
            <v:group style="position:absolute;left:1076;top:7374;width:1054;height:2" coordorigin="1076,7374" coordsize="1054,2">
              <v:shape style="position:absolute;left:1076;top:7374;width:1054;height:2" coordorigin="1076,7374" coordsize="1054,0" path="m1076,7374l2129,7374e" filled="false" stroked="true" strokeweight=".48001pt" strokecolor="#000000">
                <v:path arrowok="t"/>
              </v:shape>
            </v:group>
            <v:group style="position:absolute;left:2139;top:7374;width:1055;height:2" coordorigin="2139,7374" coordsize="1055,2">
              <v:shape style="position:absolute;left:2139;top:7374;width:1055;height:2" coordorigin="2139,7374" coordsize="1055,0" path="m2139,7374l3193,7374e" filled="false" stroked="true" strokeweight=".48001pt" strokecolor="#000000">
                <v:path arrowok="t"/>
              </v:shape>
            </v:group>
            <v:group style="position:absolute;left:3203;top:7374;width:1054;height:2" coordorigin="3203,7374" coordsize="1054,2">
              <v:shape style="position:absolute;left:3203;top:7374;width:1054;height:2" coordorigin="3203,7374" coordsize="1054,0" path="m3203,7374l4256,7374e" filled="false" stroked="true" strokeweight=".48001pt" strokecolor="#000000">
                <v:path arrowok="t"/>
              </v:shape>
            </v:group>
            <v:group style="position:absolute;left:4266;top:7374;width:1052;height:2" coordorigin="4266,7374" coordsize="1052,2">
              <v:shape style="position:absolute;left:4266;top:7374;width:1052;height:2" coordorigin="4266,7374" coordsize="1052,0" path="m4266,7374l5317,7374e" filled="false" stroked="true" strokeweight=".48001pt" strokecolor="#000000">
                <v:path arrowok="t"/>
              </v:shape>
            </v:group>
            <v:group style="position:absolute;left:5327;top:7374;width:1054;height:2" coordorigin="5327,7374" coordsize="1054,2">
              <v:shape style="position:absolute;left:5327;top:7374;width:1054;height:2" coordorigin="5327,7374" coordsize="1054,0" path="m5327,7374l6381,7374e" filled="false" stroked="true" strokeweight=".48001pt" strokecolor="#000000">
                <v:path arrowok="t"/>
              </v:shape>
            </v:group>
            <v:group style="position:absolute;left:6390;top:7374;width:1054;height:2" coordorigin="6390,7374" coordsize="1054,2">
              <v:shape style="position:absolute;left:6390;top:7374;width:1054;height:2" coordorigin="6390,7374" coordsize="1054,0" path="m6390,7374l7444,7374e" filled="false" stroked="true" strokeweight=".48001pt" strokecolor="#000000">
                <v:path arrowok="t"/>
              </v:shape>
            </v:group>
            <v:group style="position:absolute;left:7453;top:7374;width:1055;height:2" coordorigin="7453,7374" coordsize="1055,2">
              <v:shape style="position:absolute;left:7453;top:7374;width:1055;height:2" coordorigin="7453,7374" coordsize="1055,0" path="m7453,7374l8507,7374e" filled="false" stroked="true" strokeweight=".48001pt" strokecolor="#000000">
                <v:path arrowok="t"/>
              </v:shape>
            </v:group>
            <v:group style="position:absolute;left:8517;top:7374;width:1054;height:2" coordorigin="8517,7374" coordsize="1054,2">
              <v:shape style="position:absolute;left:8517;top:7374;width:1054;height:2" coordorigin="8517,7374" coordsize="1054,0" path="m8517,7374l9571,7374e" filled="false" stroked="true" strokeweight=".48001pt" strokecolor="#000000">
                <v:path arrowok="t"/>
              </v:shape>
            </v:group>
            <v:group style="position:absolute;left:10;top:8713;width:1057;height:2" coordorigin="10,8713" coordsize="1057,2">
              <v:shape style="position:absolute;left:10;top:8713;width:1057;height:2" coordorigin="10,8713" coordsize="1057,0" path="m10,8713l1066,8713e" filled="false" stroked="true" strokeweight=".47998pt" strokecolor="#000000">
                <v:path arrowok="t"/>
              </v:shape>
            </v:group>
            <v:group style="position:absolute;left:1076;top:8713;width:1054;height:2" coordorigin="1076,8713" coordsize="1054,2">
              <v:shape style="position:absolute;left:1076;top:8713;width:1054;height:2" coordorigin="1076,8713" coordsize="1054,0" path="m1076,8713l2129,8713e" filled="false" stroked="true" strokeweight=".47998pt" strokecolor="#000000">
                <v:path arrowok="t"/>
              </v:shape>
            </v:group>
            <v:group style="position:absolute;left:2139;top:8713;width:1055;height:2" coordorigin="2139,8713" coordsize="1055,2">
              <v:shape style="position:absolute;left:2139;top:8713;width:1055;height:2" coordorigin="2139,8713" coordsize="1055,0" path="m2139,8713l3193,8713e" filled="false" stroked="true" strokeweight=".47998pt" strokecolor="#000000">
                <v:path arrowok="t"/>
              </v:shape>
            </v:group>
            <v:group style="position:absolute;left:3203;top:8713;width:1054;height:2" coordorigin="3203,8713" coordsize="1054,2">
              <v:shape style="position:absolute;left:3203;top:8713;width:1054;height:2" coordorigin="3203,8713" coordsize="1054,0" path="m3203,8713l4256,8713e" filled="false" stroked="true" strokeweight=".47998pt" strokecolor="#000000">
                <v:path arrowok="t"/>
              </v:shape>
            </v:group>
            <v:group style="position:absolute;left:4266;top:8713;width:1052;height:2" coordorigin="4266,8713" coordsize="1052,2">
              <v:shape style="position:absolute;left:4266;top:8713;width:1052;height:2" coordorigin="4266,8713" coordsize="1052,0" path="m4266,8713l5317,8713e" filled="false" stroked="true" strokeweight=".47998pt" strokecolor="#000000">
                <v:path arrowok="t"/>
              </v:shape>
            </v:group>
            <v:group style="position:absolute;left:5327;top:8713;width:1054;height:2" coordorigin="5327,8713" coordsize="1054,2">
              <v:shape style="position:absolute;left:5327;top:8713;width:1054;height:2" coordorigin="5327,8713" coordsize="1054,0" path="m5327,8713l6381,8713e" filled="false" stroked="true" strokeweight=".47998pt" strokecolor="#000000">
                <v:path arrowok="t"/>
              </v:shape>
            </v:group>
            <v:group style="position:absolute;left:6390;top:8713;width:1054;height:2" coordorigin="6390,8713" coordsize="1054,2">
              <v:shape style="position:absolute;left:6390;top:8713;width:1054;height:2" coordorigin="6390,8713" coordsize="1054,0" path="m6390,8713l7444,8713e" filled="false" stroked="true" strokeweight=".47998pt" strokecolor="#000000">
                <v:path arrowok="t"/>
              </v:shape>
            </v:group>
            <v:group style="position:absolute;left:7453;top:8713;width:1055;height:2" coordorigin="7453,8713" coordsize="1055,2">
              <v:shape style="position:absolute;left:7453;top:8713;width:1055;height:2" coordorigin="7453,8713" coordsize="1055,0" path="m7453,8713l8507,8713e" filled="false" stroked="true" strokeweight=".47998pt" strokecolor="#000000">
                <v:path arrowok="t"/>
              </v:shape>
            </v:group>
            <v:group style="position:absolute;left:8517;top:8713;width:1054;height:2" coordorigin="8517,8713" coordsize="1054,2">
              <v:shape style="position:absolute;left:8517;top:8713;width:1054;height:2" coordorigin="8517,8713" coordsize="1054,0" path="m8517,8713l9571,8713e" filled="false" stroked="true" strokeweight=".47998pt" strokecolor="#000000">
                <v:path arrowok="t"/>
              </v:shape>
            </v:group>
            <v:group style="position:absolute;left:23;top:9119;width:2;height:394" coordorigin="23,9119" coordsize="2,394">
              <v:shape style="position:absolute;left:23;top:9119;width:2;height:394" coordorigin="23,9119" coordsize="0,394" path="m23,9119l23,9513e" filled="false" stroked="true" strokeweight="1.08pt" strokecolor="#d2d2d2">
                <v:path arrowok="t"/>
              </v:shape>
            </v:group>
            <v:group style="position:absolute;left:1055;top:9119;width:2;height:394" coordorigin="1055,9119" coordsize="2,394">
              <v:shape style="position:absolute;left:1055;top:9119;width:2;height:394" coordorigin="1055,9119" coordsize="0,394" path="m1055,9119l1055,9513e" filled="false" stroked="true" strokeweight="1.08pt" strokecolor="#d2d2d2">
                <v:path arrowok="t"/>
              </v:shape>
            </v:group>
            <v:group style="position:absolute;left:34;top:9119;width:1011;height:394" coordorigin="34,9119" coordsize="1011,394">
              <v:shape style="position:absolute;left:34;top:9119;width:1011;height:394" coordorigin="34,9119" coordsize="1011,394" path="m34,9513l1044,9513,1044,9119,34,9119,34,9513xe" filled="true" fillcolor="#d2d2d2" stroked="false">
                <v:path arrowok="t"/>
                <v:fill type="solid"/>
              </v:shape>
            </v:group>
            <v:group style="position:absolute;left:1088;top:9119;width:2;height:394" coordorigin="1088,9119" coordsize="2,394">
              <v:shape style="position:absolute;left:1088;top:9119;width:2;height:394" coordorigin="1088,9119" coordsize="0,394" path="m1088,9119l1088,9513e" filled="false" stroked="true" strokeweight="1.2pt" strokecolor="#d2d2d2">
                <v:path arrowok="t"/>
              </v:shape>
            </v:group>
            <v:group style="position:absolute;left:2117;top:9119;width:2;height:394" coordorigin="2117,9119" coordsize="2,394">
              <v:shape style="position:absolute;left:2117;top:9119;width:2;height:394" coordorigin="2117,9119" coordsize="0,394" path="m2117,9119l2117,9513e" filled="false" stroked="true" strokeweight="1.2pt" strokecolor="#d2d2d2">
                <v:path arrowok="t"/>
              </v:shape>
            </v:group>
            <v:group style="position:absolute;left:1100;top:9119;width:1006;height:394" coordorigin="1100,9119" coordsize="1006,394">
              <v:shape style="position:absolute;left:1100;top:9119;width:1006;height:394" coordorigin="1100,9119" coordsize="1006,394" path="m1100,9513l2105,9513,2105,9119,1100,9119,1100,9513xe" filled="true" fillcolor="#d2d2d2" stroked="false">
                <v:path arrowok="t"/>
                <v:fill type="solid"/>
              </v:shape>
            </v:group>
            <v:group style="position:absolute;left:2151;top:9119;width:2;height:394" coordorigin="2151,9119" coordsize="2,394">
              <v:shape style="position:absolute;left:2151;top:9119;width:2;height:394" coordorigin="2151,9119" coordsize="0,394" path="m2151,9119l2151,9513e" filled="false" stroked="true" strokeweight="1.2pt" strokecolor="#d2d2d2">
                <v:path arrowok="t"/>
              </v:shape>
            </v:group>
            <v:group style="position:absolute;left:3181;top:9119;width:2;height:394" coordorigin="3181,9119" coordsize="2,394">
              <v:shape style="position:absolute;left:3181;top:9119;width:2;height:394" coordorigin="3181,9119" coordsize="0,394" path="m3181,9119l3181,9513e" filled="false" stroked="true" strokeweight="1.2pt" strokecolor="#d2d2d2">
                <v:path arrowok="t"/>
              </v:shape>
            </v:group>
            <v:group style="position:absolute;left:2163;top:9119;width:1007;height:394" coordorigin="2163,9119" coordsize="1007,394">
              <v:shape style="position:absolute;left:2163;top:9119;width:1007;height:394" coordorigin="2163,9119" coordsize="1007,394" path="m2163,9513l3169,9513,3169,9119,2163,9119,2163,9513xe" filled="true" fillcolor="#d2d2d2" stroked="false">
                <v:path arrowok="t"/>
                <v:fill type="solid"/>
              </v:shape>
            </v:group>
            <v:group style="position:absolute;left:3215;top:9119;width:2;height:394" coordorigin="3215,9119" coordsize="2,394">
              <v:shape style="position:absolute;left:3215;top:9119;width:2;height:394" coordorigin="3215,9119" coordsize="0,394" path="m3215,9119l3215,9513e" filled="false" stroked="true" strokeweight="1.2pt" strokecolor="#d2d2d2">
                <v:path arrowok="t"/>
              </v:shape>
            </v:group>
            <v:group style="position:absolute;left:4244;top:9119;width:2;height:394" coordorigin="4244,9119" coordsize="2,394">
              <v:shape style="position:absolute;left:4244;top:9119;width:2;height:394" coordorigin="4244,9119" coordsize="0,394" path="m4244,9119l4244,9513e" filled="false" stroked="true" strokeweight="1.2pt" strokecolor="#d2d2d2">
                <v:path arrowok="t"/>
              </v:shape>
            </v:group>
            <v:group style="position:absolute;left:3227;top:9119;width:1006;height:394" coordorigin="3227,9119" coordsize="1006,394">
              <v:shape style="position:absolute;left:3227;top:9119;width:1006;height:394" coordorigin="3227,9119" coordsize="1006,394" path="m3227,9513l4232,9513,4232,9119,3227,9119,3227,9513xe" filled="true" fillcolor="#d2d2d2" stroked="false">
                <v:path arrowok="t"/>
                <v:fill type="solid"/>
              </v:shape>
            </v:group>
            <v:group style="position:absolute;left:4278;top:9119;width:2;height:394" coordorigin="4278,9119" coordsize="2,394">
              <v:shape style="position:absolute;left:4278;top:9119;width:2;height:394" coordorigin="4278,9119" coordsize="0,394" path="m4278,9119l4278,9513e" filled="false" stroked="true" strokeweight="1.2pt" strokecolor="#d2d2d2">
                <v:path arrowok="t"/>
              </v:shape>
            </v:group>
            <v:group style="position:absolute;left:5308;top:9119;width:2;height:394" coordorigin="5308,9119" coordsize="2,394">
              <v:shape style="position:absolute;left:5308;top:9119;width:2;height:394" coordorigin="5308,9119" coordsize="0,394" path="m5308,9119l5308,9513e" filled="false" stroked="true" strokeweight="1.2pt" strokecolor="#d2d2d2">
                <v:path arrowok="t"/>
              </v:shape>
            </v:group>
            <v:group style="position:absolute;left:4290;top:9119;width:1007;height:394" coordorigin="4290,9119" coordsize="1007,394">
              <v:shape style="position:absolute;left:4290;top:9119;width:1007;height:394" coordorigin="4290,9119" coordsize="1007,394" path="m4290,9513l5296,9513,5296,9119,4290,9119,4290,9513xe" filled="true" fillcolor="#d2d2d2" stroked="false">
                <v:path arrowok="t"/>
                <v:fill type="solid"/>
              </v:shape>
            </v:group>
            <v:group style="position:absolute;left:5341;top:9119;width:2;height:394" coordorigin="5341,9119" coordsize="2,394">
              <v:shape style="position:absolute;left:5341;top:9119;width:2;height:394" coordorigin="5341,9119" coordsize="0,394" path="m5341,9119l5341,9513e" filled="false" stroked="true" strokeweight="1.2pt" strokecolor="#d2d2d2">
                <v:path arrowok="t"/>
              </v:shape>
            </v:group>
            <v:group style="position:absolute;left:6371;top:9119;width:2;height:394" coordorigin="6371,9119" coordsize="2,394">
              <v:shape style="position:absolute;left:6371;top:9119;width:2;height:394" coordorigin="6371,9119" coordsize="0,394" path="m6371,9119l6371,9513e" filled="false" stroked="true" strokeweight="1.2pt" strokecolor="#d2d2d2">
                <v:path arrowok="t"/>
              </v:shape>
            </v:group>
            <v:group style="position:absolute;left:5353;top:9119;width:1006;height:394" coordorigin="5353,9119" coordsize="1006,394">
              <v:shape style="position:absolute;left:5353;top:9119;width:1006;height:394" coordorigin="5353,9119" coordsize="1006,394" path="m5353,9513l6359,9513,6359,9119,5353,9119,5353,9513xe" filled="true" fillcolor="#d2d2d2" stroked="false">
                <v:path arrowok="t"/>
                <v:fill type="solid"/>
              </v:shape>
            </v:group>
            <v:group style="position:absolute;left:10;top:9114;width:1057;height:2" coordorigin="10,9114" coordsize="1057,2">
              <v:shape style="position:absolute;left:10;top:9114;width:1057;height:2" coordorigin="10,9114" coordsize="1057,0" path="m10,9114l1066,9114e" filled="false" stroked="true" strokeweight=".47998pt" strokecolor="#000000">
                <v:path arrowok="t"/>
              </v:shape>
            </v:group>
            <v:group style="position:absolute;left:1076;top:9114;width:1054;height:2" coordorigin="1076,9114" coordsize="1054,2">
              <v:shape style="position:absolute;left:1076;top:9114;width:1054;height:2" coordorigin="1076,9114" coordsize="1054,0" path="m1076,9114l2129,9114e" filled="false" stroked="true" strokeweight=".47998pt" strokecolor="#000000">
                <v:path arrowok="t"/>
              </v:shape>
            </v:group>
            <v:group style="position:absolute;left:2139;top:9114;width:1055;height:2" coordorigin="2139,9114" coordsize="1055,2">
              <v:shape style="position:absolute;left:2139;top:9114;width:1055;height:2" coordorigin="2139,9114" coordsize="1055,0" path="m2139,9114l3193,9114e" filled="false" stroked="true" strokeweight=".47998pt" strokecolor="#000000">
                <v:path arrowok="t"/>
              </v:shape>
            </v:group>
            <v:group style="position:absolute;left:3203;top:9114;width:1054;height:2" coordorigin="3203,9114" coordsize="1054,2">
              <v:shape style="position:absolute;left:3203;top:9114;width:1054;height:2" coordorigin="3203,9114" coordsize="1054,0" path="m3203,9114l4256,9114e" filled="false" stroked="true" strokeweight=".47998pt" strokecolor="#000000">
                <v:path arrowok="t"/>
              </v:shape>
            </v:group>
            <v:group style="position:absolute;left:4266;top:9114;width:1052;height:2" coordorigin="4266,9114" coordsize="1052,2">
              <v:shape style="position:absolute;left:4266;top:9114;width:1052;height:2" coordorigin="4266,9114" coordsize="1052,0" path="m4266,9114l5317,9114e" filled="false" stroked="true" strokeweight=".47998pt" strokecolor="#000000">
                <v:path arrowok="t"/>
              </v:shape>
            </v:group>
            <v:group style="position:absolute;left:5327;top:9114;width:1054;height:2" coordorigin="5327,9114" coordsize="1054,2">
              <v:shape style="position:absolute;left:5327;top:9114;width:1054;height:2" coordorigin="5327,9114" coordsize="1054,0" path="m5327,9114l6381,9114e" filled="false" stroked="true" strokeweight=".47998pt" strokecolor="#000000">
                <v:path arrowok="t"/>
              </v:shape>
            </v:group>
            <v:group style="position:absolute;left:6390;top:9114;width:1054;height:2" coordorigin="6390,9114" coordsize="1054,2">
              <v:shape style="position:absolute;left:6390;top:9114;width:1054;height:2" coordorigin="6390,9114" coordsize="1054,0" path="m6390,9114l7444,9114e" filled="false" stroked="true" strokeweight=".47998pt" strokecolor="#000000">
                <v:path arrowok="t"/>
              </v:shape>
            </v:group>
            <v:group style="position:absolute;left:8530;top:9119;width:2;height:394" coordorigin="8530,9119" coordsize="2,394">
              <v:shape style="position:absolute;left:8530;top:9119;width:2;height:394" coordorigin="8530,9119" coordsize="0,394" path="m8530,9119l8530,9513e" filled="false" stroked="true" strokeweight="1.08pt" strokecolor="#d2d2d2">
                <v:path arrowok="t"/>
              </v:shape>
            </v:group>
            <v:group style="position:absolute;left:9560;top:9119;width:2;height:394" coordorigin="9560,9119" coordsize="2,394">
              <v:shape style="position:absolute;left:9560;top:9119;width:2;height:394" coordorigin="9560,9119" coordsize="0,394" path="m9560,9119l9560,9513e" filled="false" stroked="true" strokeweight="1.08pt" strokecolor="#d2d2d2">
                <v:path arrowok="t"/>
              </v:shape>
            </v:group>
            <v:group style="position:absolute;left:8541;top:9119;width:1008;height:394" coordorigin="8541,9119" coordsize="1008,394">
              <v:shape style="position:absolute;left:8541;top:9119;width:1008;height:394" coordorigin="8541,9119" coordsize="1008,394" path="m8541,9513l9549,9513,9549,9119,8541,9119,8541,9513xe" filled="true" fillcolor="#d2d2d2" stroked="false">
                <v:path arrowok="t"/>
                <v:fill type="solid"/>
              </v:shape>
            </v:group>
            <v:group style="position:absolute;left:7453;top:9114;width:1055;height:2" coordorigin="7453,9114" coordsize="1055,2">
              <v:shape style="position:absolute;left:7453;top:9114;width:1055;height:2" coordorigin="7453,9114" coordsize="1055,0" path="m7453,9114l8507,9114e" filled="false" stroked="true" strokeweight=".47998pt" strokecolor="#000000">
                <v:path arrowok="t"/>
              </v:shape>
            </v:group>
            <v:group style="position:absolute;left:8517;top:9114;width:1054;height:2" coordorigin="8517,9114" coordsize="1054,2">
              <v:shape style="position:absolute;left:8517;top:9114;width:1054;height:2" coordorigin="8517,9114" coordsize="1054,0" path="m8517,9114l9571,9114e" filled="false" stroked="true" strokeweight=".47998pt" strokecolor="#000000">
                <v:path arrowok="t"/>
              </v:shape>
            </v:group>
            <v:group style="position:absolute;left:5;top:5;width:2;height:9518" coordorigin="5,5" coordsize="2,9518">
              <v:shape style="position:absolute;left:5;top:5;width:2;height:9518" coordorigin="5,5" coordsize="0,9518" path="m5,5l5,9522e" filled="false" stroked="true" strokeweight=".48pt" strokecolor="#000000">
                <v:path arrowok="t"/>
              </v:shape>
            </v:group>
            <v:group style="position:absolute;left:10;top:9517;width:1057;height:2" coordorigin="10,9517" coordsize="1057,2">
              <v:shape style="position:absolute;left:10;top:9517;width:1057;height:2" coordorigin="10,9517" coordsize="1057,0" path="m10,9517l1066,9517e" filled="false" stroked="true" strokeweight=".47998pt" strokecolor="#000000">
                <v:path arrowok="t"/>
              </v:shape>
            </v:group>
            <v:group style="position:absolute;left:1071;top:5;width:2;height:9518" coordorigin="1071,5" coordsize="2,9518">
              <v:shape style="position:absolute;left:1071;top:5;width:2;height:9518" coordorigin="1071,5" coordsize="0,9518" path="m1071,5l1071,9522e" filled="false" stroked="true" strokeweight=".48pt" strokecolor="#000000">
                <v:path arrowok="t"/>
              </v:shape>
            </v:group>
            <v:group style="position:absolute;left:1076;top:9517;width:1054;height:2" coordorigin="1076,9517" coordsize="1054,2">
              <v:shape style="position:absolute;left:1076;top:9517;width:1054;height:2" coordorigin="1076,9517" coordsize="1054,0" path="m1076,9517l2129,9517e" filled="false" stroked="true" strokeweight=".47998pt" strokecolor="#000000">
                <v:path arrowok="t"/>
              </v:shape>
            </v:group>
            <v:group style="position:absolute;left:2134;top:5;width:2;height:9518" coordorigin="2134,5" coordsize="2,9518">
              <v:shape style="position:absolute;left:2134;top:5;width:2;height:9518" coordorigin="2134,5" coordsize="0,9518" path="m2134,5l2134,9522e" filled="false" stroked="true" strokeweight=".48pt" strokecolor="#000000">
                <v:path arrowok="t"/>
              </v:shape>
            </v:group>
            <v:group style="position:absolute;left:2139;top:9517;width:1055;height:2" coordorigin="2139,9517" coordsize="1055,2">
              <v:shape style="position:absolute;left:2139;top:9517;width:1055;height:2" coordorigin="2139,9517" coordsize="1055,0" path="m2139,9517l3193,9517e" filled="false" stroked="true" strokeweight=".47998pt" strokecolor="#000000">
                <v:path arrowok="t"/>
              </v:shape>
            </v:group>
            <v:group style="position:absolute;left:3198;top:5;width:2;height:9518" coordorigin="3198,5" coordsize="2,9518">
              <v:shape style="position:absolute;left:3198;top:5;width:2;height:9518" coordorigin="3198,5" coordsize="0,9518" path="m3198,5l3198,9522e" filled="false" stroked="true" strokeweight=".48pt" strokecolor="#000000">
                <v:path arrowok="t"/>
              </v:shape>
            </v:group>
            <v:group style="position:absolute;left:3203;top:9517;width:1054;height:2" coordorigin="3203,9517" coordsize="1054,2">
              <v:shape style="position:absolute;left:3203;top:9517;width:1054;height:2" coordorigin="3203,9517" coordsize="1054,0" path="m3203,9517l4256,9517e" filled="false" stroked="true" strokeweight=".47998pt" strokecolor="#000000">
                <v:path arrowok="t"/>
              </v:shape>
            </v:group>
            <v:group style="position:absolute;left:4261;top:5;width:2;height:9518" coordorigin="4261,5" coordsize="2,9518">
              <v:shape style="position:absolute;left:4261;top:5;width:2;height:9518" coordorigin="4261,5" coordsize="0,9518" path="m4261,5l4261,9522e" filled="false" stroked="true" strokeweight=".47998pt" strokecolor="#000000">
                <v:path arrowok="t"/>
              </v:shape>
            </v:group>
            <v:group style="position:absolute;left:4266;top:9517;width:1052;height:2" coordorigin="4266,9517" coordsize="1052,2">
              <v:shape style="position:absolute;left:4266;top:9517;width:1052;height:2" coordorigin="4266,9517" coordsize="1052,0" path="m4266,9517l5317,9517e" filled="false" stroked="true" strokeweight=".47998pt" strokecolor="#000000">
                <v:path arrowok="t"/>
              </v:shape>
            </v:group>
            <v:group style="position:absolute;left:5322;top:5;width:2;height:9518" coordorigin="5322,5" coordsize="2,9518">
              <v:shape style="position:absolute;left:5322;top:5;width:2;height:9518" coordorigin="5322,5" coordsize="0,9518" path="m5322,5l5322,9522e" filled="false" stroked="true" strokeweight=".48001pt" strokecolor="#000000">
                <v:path arrowok="t"/>
              </v:shape>
            </v:group>
            <v:group style="position:absolute;left:5327;top:9517;width:1054;height:2" coordorigin="5327,9517" coordsize="1054,2">
              <v:shape style="position:absolute;left:5327;top:9517;width:1054;height:2" coordorigin="5327,9517" coordsize="1054,0" path="m5327,9517l6381,9517e" filled="false" stroked="true" strokeweight=".47998pt" strokecolor="#000000">
                <v:path arrowok="t"/>
              </v:shape>
            </v:group>
            <v:group style="position:absolute;left:6385;top:5;width:2;height:9518" coordorigin="6385,5" coordsize="2,9518">
              <v:shape style="position:absolute;left:6385;top:5;width:2;height:9518" coordorigin="6385,5" coordsize="0,9518" path="m6385,5l6385,9522e" filled="false" stroked="true" strokeweight=".48001pt" strokecolor="#000000">
                <v:path arrowok="t"/>
              </v:shape>
            </v:group>
            <v:group style="position:absolute;left:6390;top:9517;width:1054;height:2" coordorigin="6390,9517" coordsize="1054,2">
              <v:shape style="position:absolute;left:6390;top:9517;width:1054;height:2" coordorigin="6390,9517" coordsize="1054,0" path="m6390,9517l7444,9517e" filled="false" stroked="true" strokeweight=".47998pt" strokecolor="#000000">
                <v:path arrowok="t"/>
              </v:shape>
            </v:group>
            <v:group style="position:absolute;left:7449;top:5;width:2;height:9518" coordorigin="7449,5" coordsize="2,9518">
              <v:shape style="position:absolute;left:7449;top:5;width:2;height:9518" coordorigin="7449,5" coordsize="0,9518" path="m7449,5l7449,9522e" filled="false" stroked="true" strokeweight=".47998pt" strokecolor="#000000">
                <v:path arrowok="t"/>
              </v:shape>
            </v:group>
            <v:group style="position:absolute;left:7453;top:9517;width:1055;height:2" coordorigin="7453,9517" coordsize="1055,2">
              <v:shape style="position:absolute;left:7453;top:9517;width:1055;height:2" coordorigin="7453,9517" coordsize="1055,0" path="m7453,9517l8507,9517e" filled="false" stroked="true" strokeweight=".47998pt" strokecolor="#000000">
                <v:path arrowok="t"/>
              </v:shape>
            </v:group>
            <v:group style="position:absolute;left:8512;top:5;width:2;height:9518" coordorigin="8512,5" coordsize="2,9518">
              <v:shape style="position:absolute;left:8512;top:5;width:2;height:9518" coordorigin="8512,5" coordsize="0,9518" path="m8512,5l8512,9522e" filled="false" stroked="true" strokeweight=".48001pt" strokecolor="#000000">
                <v:path arrowok="t"/>
              </v:shape>
            </v:group>
            <v:group style="position:absolute;left:8517;top:9517;width:1054;height:2" coordorigin="8517,9517" coordsize="1054,2">
              <v:shape style="position:absolute;left:8517;top:9517;width:1054;height:2" coordorigin="8517,9517" coordsize="1054,0" path="m8517,9517l9571,9517e" filled="false" stroked="true" strokeweight=".47998pt" strokecolor="#000000">
                <v:path arrowok="t"/>
              </v:shape>
            </v:group>
            <v:group style="position:absolute;left:9576;top:5;width:2;height:9518" coordorigin="9576,5" coordsize="2,9518">
              <v:shape style="position:absolute;left:9576;top:5;width:2;height:9518" coordorigin="9576,5" coordsize="0,9518" path="m9576,5l9576,9522e" filled="false" stroked="true" strokeweight=".47998pt" strokecolor="#000000">
                <v:path arrowok="t"/>
              </v:shape>
              <v:shape style="position:absolute;left:34;top:79;width:900;height:492"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研制与示范</w:t>
                      </w:r>
                    </w:p>
                    <w:p>
                      <w:pPr>
                        <w:spacing w:before="76"/>
                        <w:ind w:left="0" w:right="0" w:firstLine="0"/>
                        <w:jc w:val="left"/>
                        <w:rPr>
                          <w:rFonts w:ascii="宋体" w:hAnsi="宋体" w:cs="宋体" w:eastAsia="宋体" w:hint="default"/>
                          <w:sz w:val="18"/>
                          <w:szCs w:val="18"/>
                        </w:rPr>
                      </w:pPr>
                      <w:r>
                        <w:rPr>
                          <w:rFonts w:ascii="宋体" w:hAnsi="宋体" w:cs="宋体" w:eastAsia="宋体" w:hint="default"/>
                          <w:sz w:val="18"/>
                          <w:szCs w:val="18"/>
                        </w:rPr>
                        <w:t>应用</w:t>
                      </w:r>
                    </w:p>
                  </w:txbxContent>
                </v:textbox>
                <w10:wrap type="none"/>
              </v:shape>
              <v:shape style="position:absolute;left:3227;top:79;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的补助</w:t>
                      </w:r>
                    </w:p>
                  </w:txbxContent>
                </v:textbox>
                <w10:wrap type="none"/>
              </v:shape>
              <v:shape style="position:absolute;left:34;top:950;width:900;height:804"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大数据技术</w:t>
                      </w:r>
                    </w:p>
                    <w:p>
                      <w:pPr>
                        <w:spacing w:line="310" w:lineRule="atLeast" w:before="2"/>
                        <w:ind w:left="0" w:right="0" w:firstLine="0"/>
                        <w:jc w:val="left"/>
                        <w:rPr>
                          <w:rFonts w:ascii="宋体" w:hAnsi="宋体" w:cs="宋体" w:eastAsia="宋体" w:hint="default"/>
                          <w:sz w:val="18"/>
                          <w:szCs w:val="18"/>
                        </w:rPr>
                      </w:pPr>
                      <w:r>
                        <w:rPr>
                          <w:rFonts w:ascii="宋体" w:hAnsi="宋体" w:cs="宋体" w:eastAsia="宋体" w:hint="default"/>
                          <w:sz w:val="18"/>
                          <w:szCs w:val="18"/>
                        </w:rPr>
                        <w:t>研发中心项 目补助</w:t>
                      </w:r>
                    </w:p>
                  </w:txbxContent>
                </v:textbox>
                <w10:wrap type="none"/>
              </v:shape>
              <v:shape style="position:absolute;left:1100;top:1106;width:900;height:492"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青浦区科学</w:t>
                      </w:r>
                    </w:p>
                    <w:p>
                      <w:pPr>
                        <w:spacing w:before="76"/>
                        <w:ind w:left="0" w:right="0" w:firstLine="0"/>
                        <w:jc w:val="left"/>
                        <w:rPr>
                          <w:rFonts w:ascii="宋体" w:hAnsi="宋体" w:cs="宋体" w:eastAsia="宋体" w:hint="default"/>
                          <w:sz w:val="18"/>
                          <w:szCs w:val="18"/>
                        </w:rPr>
                      </w:pPr>
                      <w:r>
                        <w:rPr>
                          <w:rFonts w:ascii="宋体" w:hAnsi="宋体" w:cs="宋体" w:eastAsia="宋体" w:hint="default"/>
                          <w:sz w:val="18"/>
                          <w:szCs w:val="18"/>
                        </w:rPr>
                        <w:t>技术委员会</w:t>
                      </w:r>
                    </w:p>
                  </w:txbxContent>
                </v:textbox>
                <w10:wrap type="none"/>
              </v:shape>
              <v:shape style="position:absolute;left:3227;top:794;width:1080;height:492"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因研究开发、</w:t>
                      </w:r>
                    </w:p>
                    <w:p>
                      <w:pPr>
                        <w:spacing w:before="76"/>
                        <w:ind w:left="0" w:right="0" w:firstLine="0"/>
                        <w:jc w:val="left"/>
                        <w:rPr>
                          <w:rFonts w:ascii="宋体" w:hAnsi="宋体" w:cs="宋体" w:eastAsia="宋体" w:hint="default"/>
                          <w:sz w:val="18"/>
                          <w:szCs w:val="18"/>
                        </w:rPr>
                      </w:pPr>
                      <w:r>
                        <w:rPr>
                          <w:rFonts w:ascii="宋体" w:hAnsi="宋体" w:cs="宋体" w:eastAsia="宋体" w:hint="default"/>
                          <w:sz w:val="18"/>
                          <w:szCs w:val="18"/>
                        </w:rPr>
                        <w:t>技术更新及</w:t>
                      </w:r>
                    </w:p>
                  </w:txbxContent>
                </v:textbox>
                <w10:wrap type="none"/>
              </v:shape>
              <v:shape style="position:absolute;left:2163;top:1262;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补助</w:t>
                      </w:r>
                    </w:p>
                  </w:txbxContent>
                </v:textbox>
                <w10:wrap type="none"/>
              </v:shape>
              <v:shape style="position:absolute;left:4290;top:1262;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是</w:t>
                      </w:r>
                    </w:p>
                  </w:txbxContent>
                </v:textbox>
                <w10:wrap type="none"/>
              </v:shape>
              <v:shape style="position:absolute;left:5353;top:1262;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否</w:t>
                      </w:r>
                    </w:p>
                  </w:txbxContent>
                </v:textbox>
                <w10:wrap type="none"/>
              </v:shape>
              <v:shape style="position:absolute;left:6611;top:1272;width:812;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120,000.00</w:t>
                      </w:r>
                    </w:p>
                  </w:txbxContent>
                </v:textbox>
                <w10:wrap type="none"/>
              </v:shape>
              <v:shape style="position:absolute;left:8541;top:1262;width:90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与收益相关</w:t>
                      </w:r>
                    </w:p>
                  </w:txbxContent>
                </v:textbox>
                <w10:wrap type="none"/>
              </v:shape>
              <v:shape style="position:absolute;left:3227;top:1418;width:900;height:492"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改造等获得</w:t>
                      </w:r>
                    </w:p>
                    <w:p>
                      <w:pPr>
                        <w:spacing w:before="76"/>
                        <w:ind w:left="0" w:right="0" w:firstLine="0"/>
                        <w:jc w:val="left"/>
                        <w:rPr>
                          <w:rFonts w:ascii="宋体" w:hAnsi="宋体" w:cs="宋体" w:eastAsia="宋体" w:hint="default"/>
                          <w:sz w:val="18"/>
                          <w:szCs w:val="18"/>
                        </w:rPr>
                      </w:pPr>
                      <w:r>
                        <w:rPr>
                          <w:rFonts w:ascii="宋体" w:hAnsi="宋体" w:cs="宋体" w:eastAsia="宋体" w:hint="default"/>
                          <w:sz w:val="18"/>
                          <w:szCs w:val="18"/>
                        </w:rPr>
                        <w:t>的补助</w:t>
                      </w:r>
                    </w:p>
                  </w:txbxContent>
                </v:textbox>
                <w10:wrap type="none"/>
              </v:shape>
              <v:shape style="position:absolute;left:34;top:2443;width:900;height:492"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安全资质项</w:t>
                      </w:r>
                    </w:p>
                    <w:p>
                      <w:pPr>
                        <w:spacing w:before="76"/>
                        <w:ind w:left="0" w:right="0" w:firstLine="0"/>
                        <w:jc w:val="left"/>
                        <w:rPr>
                          <w:rFonts w:ascii="宋体" w:hAnsi="宋体" w:cs="宋体" w:eastAsia="宋体" w:hint="default"/>
                          <w:sz w:val="18"/>
                          <w:szCs w:val="18"/>
                        </w:rPr>
                      </w:pPr>
                      <w:r>
                        <w:rPr>
                          <w:rFonts w:ascii="宋体" w:hAnsi="宋体" w:cs="宋体" w:eastAsia="宋体" w:hint="default"/>
                          <w:sz w:val="18"/>
                          <w:szCs w:val="18"/>
                        </w:rPr>
                        <w:t>目补贴</w:t>
                      </w:r>
                    </w:p>
                  </w:txbxContent>
                </v:textbox>
                <w10:wrap type="none"/>
              </v:shape>
              <v:shape style="position:absolute;left:1100;top:2443;width:900;height:492"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青浦区市场</w:t>
                      </w:r>
                    </w:p>
                    <w:p>
                      <w:pPr>
                        <w:spacing w:before="76"/>
                        <w:ind w:left="0" w:right="0" w:firstLine="0"/>
                        <w:jc w:val="left"/>
                        <w:rPr>
                          <w:rFonts w:ascii="宋体" w:hAnsi="宋体" w:cs="宋体" w:eastAsia="宋体" w:hint="default"/>
                          <w:sz w:val="18"/>
                          <w:szCs w:val="18"/>
                        </w:rPr>
                      </w:pPr>
                      <w:r>
                        <w:rPr>
                          <w:rFonts w:ascii="宋体" w:hAnsi="宋体" w:cs="宋体" w:eastAsia="宋体" w:hint="default"/>
                          <w:sz w:val="18"/>
                          <w:szCs w:val="18"/>
                        </w:rPr>
                        <w:t>监督管理局</w:t>
                      </w:r>
                    </w:p>
                  </w:txbxContent>
                </v:textbox>
                <w10:wrap type="none"/>
              </v:shape>
              <v:shape style="position:absolute;left:3227;top:2131;width:1080;height:492"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因研究开发、</w:t>
                      </w:r>
                    </w:p>
                    <w:p>
                      <w:pPr>
                        <w:spacing w:before="76"/>
                        <w:ind w:left="0" w:right="0" w:firstLine="0"/>
                        <w:jc w:val="left"/>
                        <w:rPr>
                          <w:rFonts w:ascii="宋体" w:hAnsi="宋体" w:cs="宋体" w:eastAsia="宋体" w:hint="default"/>
                          <w:sz w:val="18"/>
                          <w:szCs w:val="18"/>
                        </w:rPr>
                      </w:pPr>
                      <w:r>
                        <w:rPr>
                          <w:rFonts w:ascii="宋体" w:hAnsi="宋体" w:cs="宋体" w:eastAsia="宋体" w:hint="default"/>
                          <w:sz w:val="18"/>
                          <w:szCs w:val="18"/>
                        </w:rPr>
                        <w:t>技术更新及</w:t>
                      </w:r>
                    </w:p>
                  </w:txbxContent>
                </v:textbox>
                <w10:wrap type="none"/>
              </v:shape>
              <v:shape style="position:absolute;left:2163;top:2599;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补助</w:t>
                      </w:r>
                    </w:p>
                  </w:txbxContent>
                </v:textbox>
                <w10:wrap type="none"/>
              </v:shape>
              <v:shape style="position:absolute;left:4290;top:2599;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是</w:t>
                      </w:r>
                    </w:p>
                  </w:txbxContent>
                </v:textbox>
                <w10:wrap type="none"/>
              </v:shape>
              <v:shape style="position:absolute;left:5353;top:2599;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否</w:t>
                      </w:r>
                    </w:p>
                  </w:txbxContent>
                </v:textbox>
                <w10:wrap type="none"/>
              </v:shape>
              <v:shape style="position:absolute;left:6611;top:2608;width:812;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100,000.00</w:t>
                      </w:r>
                    </w:p>
                  </w:txbxContent>
                </v:textbox>
                <w10:wrap type="none"/>
              </v:shape>
              <v:shape style="position:absolute;left:8541;top:2599;width:90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与收益相关</w:t>
                      </w:r>
                    </w:p>
                  </w:txbxContent>
                </v:textbox>
                <w10:wrap type="none"/>
              </v:shape>
              <v:shape style="position:absolute;left:3227;top:2755;width:900;height:492"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改造等获得</w:t>
                      </w:r>
                    </w:p>
                    <w:p>
                      <w:pPr>
                        <w:spacing w:before="76"/>
                        <w:ind w:left="0" w:right="0" w:firstLine="0"/>
                        <w:jc w:val="left"/>
                        <w:rPr>
                          <w:rFonts w:ascii="宋体" w:hAnsi="宋体" w:cs="宋体" w:eastAsia="宋体" w:hint="default"/>
                          <w:sz w:val="18"/>
                          <w:szCs w:val="18"/>
                        </w:rPr>
                      </w:pPr>
                      <w:r>
                        <w:rPr>
                          <w:rFonts w:ascii="宋体" w:hAnsi="宋体" w:cs="宋体" w:eastAsia="宋体" w:hint="default"/>
                          <w:sz w:val="18"/>
                          <w:szCs w:val="18"/>
                        </w:rPr>
                        <w:t>的补助</w:t>
                      </w:r>
                    </w:p>
                  </w:txbxContent>
                </v:textbox>
                <w10:wrap type="none"/>
              </v:shape>
              <v:shape style="position:absolute;left:34;top:3782;width:900;height:492"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企业稳定岗</w:t>
                      </w:r>
                    </w:p>
                    <w:p>
                      <w:pPr>
                        <w:spacing w:before="76"/>
                        <w:ind w:left="0" w:right="0" w:firstLine="0"/>
                        <w:jc w:val="left"/>
                        <w:rPr>
                          <w:rFonts w:ascii="宋体" w:hAnsi="宋体" w:cs="宋体" w:eastAsia="宋体" w:hint="default"/>
                          <w:sz w:val="18"/>
                          <w:szCs w:val="18"/>
                        </w:rPr>
                      </w:pPr>
                      <w:r>
                        <w:rPr>
                          <w:rFonts w:ascii="宋体" w:hAnsi="宋体" w:cs="宋体" w:eastAsia="宋体" w:hint="default"/>
                          <w:sz w:val="18"/>
                          <w:szCs w:val="18"/>
                        </w:rPr>
                        <w:t>位补贴</w:t>
                      </w:r>
                    </w:p>
                  </w:txbxContent>
                </v:textbox>
                <w10:wrap type="none"/>
              </v:shape>
              <v:shape style="position:absolute;left:1100;top:3782;width:888;height:502"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杭人社发</w:t>
                      </w:r>
                    </w:p>
                    <w:p>
                      <w:pPr>
                        <w:spacing w:line="245" w:lineRule="exact" w:before="76"/>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[2015]07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xbxContent>
                </v:textbox>
                <w10:wrap type="none"/>
              </v:shape>
              <v:shape style="position:absolute;left:3227;top:3470;width:1080;height:492"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因研究开发、</w:t>
                      </w:r>
                    </w:p>
                    <w:p>
                      <w:pPr>
                        <w:spacing w:before="76"/>
                        <w:ind w:left="0" w:right="0" w:firstLine="0"/>
                        <w:jc w:val="left"/>
                        <w:rPr>
                          <w:rFonts w:ascii="宋体" w:hAnsi="宋体" w:cs="宋体" w:eastAsia="宋体" w:hint="default"/>
                          <w:sz w:val="18"/>
                          <w:szCs w:val="18"/>
                        </w:rPr>
                      </w:pPr>
                      <w:r>
                        <w:rPr>
                          <w:rFonts w:ascii="宋体" w:hAnsi="宋体" w:cs="宋体" w:eastAsia="宋体" w:hint="default"/>
                          <w:sz w:val="18"/>
                          <w:szCs w:val="18"/>
                        </w:rPr>
                        <w:t>技术更新及</w:t>
                      </w:r>
                    </w:p>
                  </w:txbxContent>
                </v:textbox>
                <w10:wrap type="none"/>
              </v:shape>
              <v:shape style="position:absolute;left:2163;top:3938;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补助</w:t>
                      </w:r>
                    </w:p>
                  </w:txbxContent>
                </v:textbox>
                <w10:wrap type="none"/>
              </v:shape>
              <v:shape style="position:absolute;left:4290;top:3938;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是</w:t>
                      </w:r>
                    </w:p>
                  </w:txbxContent>
                </v:textbox>
                <w10:wrap type="none"/>
              </v:shape>
              <v:shape style="position:absolute;left:5353;top:3938;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否</w:t>
                      </w:r>
                    </w:p>
                  </w:txbxContent>
                </v:textbox>
                <w10:wrap type="none"/>
              </v:shape>
              <v:shape style="position:absolute;left:6702;top:3938;width:2739;height:190" type="#_x0000_t202" filled="false" stroked="false">
                <v:textbox inset="0,0,0,0">
                  <w:txbxContent>
                    <w:p>
                      <w:pPr>
                        <w:tabs>
                          <w:tab w:pos="971" w:val="left" w:leader="none"/>
                        </w:tabs>
                        <w:spacing w:line="190"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92,456.45</w:t>
                        <w:tab/>
                        <w:t>146,345.60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与收益相关</w:t>
                      </w:r>
                    </w:p>
                  </w:txbxContent>
                </v:textbox>
                <w10:wrap type="none"/>
              </v:shape>
              <v:shape style="position:absolute;left:3227;top:4094;width:900;height:492"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改造等获得</w:t>
                      </w:r>
                    </w:p>
                    <w:p>
                      <w:pPr>
                        <w:spacing w:before="76"/>
                        <w:ind w:left="0" w:right="0" w:firstLine="0"/>
                        <w:jc w:val="left"/>
                        <w:rPr>
                          <w:rFonts w:ascii="宋体" w:hAnsi="宋体" w:cs="宋体" w:eastAsia="宋体" w:hint="default"/>
                          <w:sz w:val="18"/>
                          <w:szCs w:val="18"/>
                        </w:rPr>
                      </w:pPr>
                      <w:r>
                        <w:rPr>
                          <w:rFonts w:ascii="宋体" w:hAnsi="宋体" w:cs="宋体" w:eastAsia="宋体" w:hint="default"/>
                          <w:sz w:val="18"/>
                          <w:szCs w:val="18"/>
                        </w:rPr>
                        <w:t>的补助</w:t>
                      </w:r>
                    </w:p>
                  </w:txbxContent>
                </v:textbox>
                <w10:wrap type="none"/>
              </v:shape>
              <v:shape style="position:absolute;left:34;top:5119;width:900;height:492"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小巨人项目</w:t>
                      </w:r>
                    </w:p>
                    <w:p>
                      <w:pPr>
                        <w:spacing w:before="76"/>
                        <w:ind w:left="0" w:right="0" w:firstLine="0"/>
                        <w:jc w:val="left"/>
                        <w:rPr>
                          <w:rFonts w:ascii="宋体" w:hAnsi="宋体" w:cs="宋体" w:eastAsia="宋体" w:hint="default"/>
                          <w:sz w:val="18"/>
                          <w:szCs w:val="18"/>
                        </w:rPr>
                      </w:pPr>
                      <w:r>
                        <w:rPr>
                          <w:rFonts w:ascii="宋体" w:hAnsi="宋体" w:cs="宋体" w:eastAsia="宋体" w:hint="default"/>
                          <w:sz w:val="18"/>
                          <w:szCs w:val="18"/>
                        </w:rPr>
                        <w:t>补贴</w:t>
                      </w:r>
                    </w:p>
                  </w:txbxContent>
                </v:textbox>
                <w10:wrap type="none"/>
              </v:shape>
              <v:shape style="position:absolute;left:1100;top:5119;width:900;height:492"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上海市科学</w:t>
                      </w:r>
                    </w:p>
                    <w:p>
                      <w:pPr>
                        <w:spacing w:before="76"/>
                        <w:ind w:left="0" w:right="0" w:firstLine="0"/>
                        <w:jc w:val="left"/>
                        <w:rPr>
                          <w:rFonts w:ascii="宋体" w:hAnsi="宋体" w:cs="宋体" w:eastAsia="宋体" w:hint="default"/>
                          <w:sz w:val="18"/>
                          <w:szCs w:val="18"/>
                        </w:rPr>
                      </w:pPr>
                      <w:r>
                        <w:rPr>
                          <w:rFonts w:ascii="宋体" w:hAnsi="宋体" w:cs="宋体" w:eastAsia="宋体" w:hint="default"/>
                          <w:sz w:val="18"/>
                          <w:szCs w:val="18"/>
                        </w:rPr>
                        <w:t>技术委员会</w:t>
                      </w:r>
                    </w:p>
                  </w:txbxContent>
                </v:textbox>
                <w10:wrap type="none"/>
              </v:shape>
              <v:shape style="position:absolute;left:3227;top:4807;width:1080;height:492"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因研究开发、</w:t>
                      </w:r>
                    </w:p>
                    <w:p>
                      <w:pPr>
                        <w:spacing w:before="76"/>
                        <w:ind w:left="0" w:right="0" w:firstLine="0"/>
                        <w:jc w:val="left"/>
                        <w:rPr>
                          <w:rFonts w:ascii="宋体" w:hAnsi="宋体" w:cs="宋体" w:eastAsia="宋体" w:hint="default"/>
                          <w:sz w:val="18"/>
                          <w:szCs w:val="18"/>
                        </w:rPr>
                      </w:pPr>
                      <w:r>
                        <w:rPr>
                          <w:rFonts w:ascii="宋体" w:hAnsi="宋体" w:cs="宋体" w:eastAsia="宋体" w:hint="default"/>
                          <w:sz w:val="18"/>
                          <w:szCs w:val="18"/>
                        </w:rPr>
                        <w:t>技术更新及</w:t>
                      </w:r>
                    </w:p>
                  </w:txbxContent>
                </v:textbox>
                <w10:wrap type="none"/>
              </v:shape>
              <v:shape style="position:absolute;left:2163;top:5275;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补助</w:t>
                      </w:r>
                    </w:p>
                  </w:txbxContent>
                </v:textbox>
                <w10:wrap type="none"/>
              </v:shape>
              <v:shape style="position:absolute;left:4290;top:5275;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是</w:t>
                      </w:r>
                    </w:p>
                  </w:txbxContent>
                </v:textbox>
                <w10:wrap type="none"/>
              </v:shape>
              <v:shape style="position:absolute;left:5353;top:5275;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否</w:t>
                      </w:r>
                    </w:p>
                  </w:txbxContent>
                </v:textbox>
                <w10:wrap type="none"/>
              </v:shape>
              <v:shape style="position:absolute;left:7674;top:5275;width:1767;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300,000.00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与收益相关</w:t>
                      </w:r>
                    </w:p>
                  </w:txbxContent>
                </v:textbox>
                <w10:wrap type="none"/>
              </v:shape>
              <v:shape style="position:absolute;left:3227;top:5431;width:900;height:492"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改造等获得</w:t>
                      </w:r>
                    </w:p>
                    <w:p>
                      <w:pPr>
                        <w:spacing w:before="76"/>
                        <w:ind w:left="0" w:right="0" w:firstLine="0"/>
                        <w:jc w:val="left"/>
                        <w:rPr>
                          <w:rFonts w:ascii="宋体" w:hAnsi="宋体" w:cs="宋体" w:eastAsia="宋体" w:hint="default"/>
                          <w:sz w:val="18"/>
                          <w:szCs w:val="18"/>
                        </w:rPr>
                      </w:pPr>
                      <w:r>
                        <w:rPr>
                          <w:rFonts w:ascii="宋体" w:hAnsi="宋体" w:cs="宋体" w:eastAsia="宋体" w:hint="default"/>
                          <w:sz w:val="18"/>
                          <w:szCs w:val="18"/>
                        </w:rPr>
                        <w:t>的补助</w:t>
                      </w:r>
                    </w:p>
                  </w:txbxContent>
                </v:textbox>
                <w10:wrap type="none"/>
              </v:shape>
              <v:shape style="position:absolute;left:34;top:6146;width:949;height:1117"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青浦区总部</w:t>
                      </w:r>
                    </w:p>
                    <w:p>
                      <w:pPr>
                        <w:spacing w:line="312" w:lineRule="exact" w:before="37"/>
                        <w:ind w:left="0" w:right="0" w:firstLine="0"/>
                        <w:jc w:val="left"/>
                        <w:rPr>
                          <w:rFonts w:ascii="宋体" w:hAnsi="宋体" w:cs="宋体" w:eastAsia="宋体" w:hint="default"/>
                          <w:sz w:val="18"/>
                          <w:szCs w:val="18"/>
                        </w:rPr>
                      </w:pPr>
                      <w:r>
                        <w:rPr>
                          <w:rFonts w:ascii="宋体" w:hAnsi="宋体" w:cs="宋体" w:eastAsia="宋体" w:hint="default"/>
                          <w:sz w:val="18"/>
                          <w:szCs w:val="18"/>
                        </w:rPr>
                        <w:t>经济项目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年度运 营奖励</w:t>
                      </w:r>
                    </w:p>
                  </w:txbxContent>
                </v:textbox>
                <w10:wrap type="none"/>
              </v:shape>
              <v:shape style="position:absolute;left:1100;top:6458;width:900;height:503"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青经发</w:t>
                      </w:r>
                    </w:p>
                    <w:p>
                      <w:pPr>
                        <w:spacing w:line="245" w:lineRule="exact" w:before="77"/>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[2015&gt;]2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xbxContent>
                </v:textbox>
                <w10:wrap type="none"/>
              </v:shape>
              <v:shape style="position:absolute;left:3227;top:6146;width:1080;height:492"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因研究开发、</w:t>
                      </w:r>
                    </w:p>
                    <w:p>
                      <w:pPr>
                        <w:spacing w:before="76"/>
                        <w:ind w:left="0" w:right="0" w:firstLine="0"/>
                        <w:jc w:val="left"/>
                        <w:rPr>
                          <w:rFonts w:ascii="宋体" w:hAnsi="宋体" w:cs="宋体" w:eastAsia="宋体" w:hint="default"/>
                          <w:sz w:val="18"/>
                          <w:szCs w:val="18"/>
                        </w:rPr>
                      </w:pPr>
                      <w:r>
                        <w:rPr>
                          <w:rFonts w:ascii="宋体" w:hAnsi="宋体" w:cs="宋体" w:eastAsia="宋体" w:hint="default"/>
                          <w:sz w:val="18"/>
                          <w:szCs w:val="18"/>
                        </w:rPr>
                        <w:t>技术更新及</w:t>
                      </w:r>
                    </w:p>
                  </w:txbxContent>
                </v:textbox>
                <w10:wrap type="none"/>
              </v:shape>
              <v:shape style="position:absolute;left:2163;top:6615;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补助</w:t>
                      </w:r>
                    </w:p>
                  </w:txbxContent>
                </v:textbox>
                <w10:wrap type="none"/>
              </v:shape>
              <v:shape style="position:absolute;left:4290;top:6615;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是</w:t>
                      </w:r>
                    </w:p>
                  </w:txbxContent>
                </v:textbox>
                <w10:wrap type="none"/>
              </v:shape>
              <v:shape style="position:absolute;left:5353;top:6615;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否</w:t>
                      </w:r>
                    </w:p>
                  </w:txbxContent>
                </v:textbox>
                <w10:wrap type="none"/>
              </v:shape>
              <v:shape style="position:absolute;left:7674;top:6615;width:1767;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200,000.00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与收益相关</w:t>
                      </w:r>
                    </w:p>
                  </w:txbxContent>
                </v:textbox>
                <w10:wrap type="none"/>
              </v:shape>
              <v:shape style="position:absolute;left:3227;top:6771;width:900;height:492"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改造等获得</w:t>
                      </w:r>
                    </w:p>
                    <w:p>
                      <w:pPr>
                        <w:spacing w:before="76"/>
                        <w:ind w:left="0" w:right="0" w:firstLine="0"/>
                        <w:jc w:val="left"/>
                        <w:rPr>
                          <w:rFonts w:ascii="宋体" w:hAnsi="宋体" w:cs="宋体" w:eastAsia="宋体" w:hint="default"/>
                          <w:sz w:val="18"/>
                          <w:szCs w:val="18"/>
                        </w:rPr>
                      </w:pPr>
                      <w:r>
                        <w:rPr>
                          <w:rFonts w:ascii="宋体" w:hAnsi="宋体" w:cs="宋体" w:eastAsia="宋体" w:hint="default"/>
                          <w:sz w:val="18"/>
                          <w:szCs w:val="18"/>
                        </w:rPr>
                        <w:t>的补助</w:t>
                      </w:r>
                    </w:p>
                  </w:txbxContent>
                </v:textbox>
                <w10:wrap type="none"/>
              </v:shape>
              <v:shape style="position:absolute;left:34;top:7640;width:900;height:804"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科技型中小</w:t>
                      </w:r>
                    </w:p>
                    <w:p>
                      <w:pPr>
                        <w:spacing w:line="310" w:lineRule="atLeast" w:before="2"/>
                        <w:ind w:left="0" w:right="0" w:firstLine="0"/>
                        <w:jc w:val="left"/>
                        <w:rPr>
                          <w:rFonts w:ascii="宋体" w:hAnsi="宋体" w:cs="宋体" w:eastAsia="宋体" w:hint="default"/>
                          <w:sz w:val="18"/>
                          <w:szCs w:val="18"/>
                        </w:rPr>
                      </w:pPr>
                      <w:r>
                        <w:rPr>
                          <w:rFonts w:ascii="宋体" w:hAnsi="宋体" w:cs="宋体" w:eastAsia="宋体" w:hint="default"/>
                          <w:sz w:val="18"/>
                          <w:szCs w:val="18"/>
                        </w:rPr>
                        <w:t>企业技术创 新资金</w:t>
                      </w:r>
                    </w:p>
                  </w:txbxContent>
                </v:textbox>
                <w10:wrap type="none"/>
              </v:shape>
              <v:shape style="position:absolute;left:1100;top:7796;width:900;height:492"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上海市科学</w:t>
                      </w:r>
                    </w:p>
                    <w:p>
                      <w:pPr>
                        <w:spacing w:before="76"/>
                        <w:ind w:left="0" w:right="0" w:firstLine="0"/>
                        <w:jc w:val="left"/>
                        <w:rPr>
                          <w:rFonts w:ascii="宋体" w:hAnsi="宋体" w:cs="宋体" w:eastAsia="宋体" w:hint="default"/>
                          <w:sz w:val="18"/>
                          <w:szCs w:val="18"/>
                        </w:rPr>
                      </w:pPr>
                      <w:r>
                        <w:rPr>
                          <w:rFonts w:ascii="宋体" w:hAnsi="宋体" w:cs="宋体" w:eastAsia="宋体" w:hint="default"/>
                          <w:sz w:val="18"/>
                          <w:szCs w:val="18"/>
                        </w:rPr>
                        <w:t>技术委员会</w:t>
                      </w:r>
                    </w:p>
                  </w:txbxContent>
                </v:textbox>
                <w10:wrap type="none"/>
              </v:shape>
              <v:shape style="position:absolute;left:3227;top:7484;width:1080;height:492"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因研究开发、</w:t>
                      </w:r>
                    </w:p>
                    <w:p>
                      <w:pPr>
                        <w:spacing w:before="76"/>
                        <w:ind w:left="0" w:right="0" w:firstLine="0"/>
                        <w:jc w:val="left"/>
                        <w:rPr>
                          <w:rFonts w:ascii="宋体" w:hAnsi="宋体" w:cs="宋体" w:eastAsia="宋体" w:hint="default"/>
                          <w:sz w:val="18"/>
                          <w:szCs w:val="18"/>
                        </w:rPr>
                      </w:pPr>
                      <w:r>
                        <w:rPr>
                          <w:rFonts w:ascii="宋体" w:hAnsi="宋体" w:cs="宋体" w:eastAsia="宋体" w:hint="default"/>
                          <w:sz w:val="18"/>
                          <w:szCs w:val="18"/>
                        </w:rPr>
                        <w:t>技术更新及</w:t>
                      </w:r>
                    </w:p>
                  </w:txbxContent>
                </v:textbox>
                <w10:wrap type="none"/>
              </v:shape>
              <v:shape style="position:absolute;left:2163;top:7952;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补助</w:t>
                      </w:r>
                    </w:p>
                  </w:txbxContent>
                </v:textbox>
                <w10:wrap type="none"/>
              </v:shape>
              <v:shape style="position:absolute;left:4290;top:7952;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是</w:t>
                      </w:r>
                    </w:p>
                  </w:txbxContent>
                </v:textbox>
                <w10:wrap type="none"/>
              </v:shape>
              <v:shape style="position:absolute;left:5353;top:7952;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否</w:t>
                      </w:r>
                    </w:p>
                  </w:txbxContent>
                </v:textbox>
                <w10:wrap type="none"/>
              </v:shape>
              <v:shape style="position:absolute;left:7674;top:7952;width:1767;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160,000.00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与收益相关</w:t>
                      </w:r>
                    </w:p>
                  </w:txbxContent>
                </v:textbox>
                <w10:wrap type="none"/>
              </v:shape>
              <v:shape style="position:absolute;left:3227;top:8108;width:900;height:492"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改造等获得</w:t>
                      </w:r>
                    </w:p>
                    <w:p>
                      <w:pPr>
                        <w:spacing w:before="76"/>
                        <w:ind w:left="0" w:right="0" w:firstLine="0"/>
                        <w:jc w:val="left"/>
                        <w:rPr>
                          <w:rFonts w:ascii="宋体" w:hAnsi="宋体" w:cs="宋体" w:eastAsia="宋体" w:hint="default"/>
                          <w:sz w:val="18"/>
                          <w:szCs w:val="18"/>
                        </w:rPr>
                      </w:pPr>
                      <w:r>
                        <w:rPr>
                          <w:rFonts w:ascii="宋体" w:hAnsi="宋体" w:cs="宋体" w:eastAsia="宋体" w:hint="default"/>
                          <w:sz w:val="18"/>
                          <w:szCs w:val="18"/>
                        </w:rPr>
                        <w:t>的补助</w:t>
                      </w:r>
                    </w:p>
                  </w:txbxContent>
                </v:textbox>
                <w10:wrap type="none"/>
              </v:shape>
              <v:shape style="position:absolute;left:8541;top:8823;width:90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与收益相关</w:t>
                      </w:r>
                    </w:p>
                  </w:txbxContent>
                </v:textbox>
                <w10:wrap type="none"/>
              </v:shape>
              <v:shape style="position:absolute;left:34;top:9224;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合计</w:t>
                      </w:r>
                    </w:p>
                  </w:txbxContent>
                </v:textbox>
                <w10:wrap type="none"/>
              </v:shape>
              <v:shape style="position:absolute;left:1544;top:9233;width:12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w:t>
                      </w:r>
                    </w:p>
                  </w:txbxContent>
                </v:textbox>
                <w10:wrap type="none"/>
              </v:shape>
              <v:shape style="position:absolute;left:2607;top:9233;width:12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w:t>
                      </w:r>
                    </w:p>
                  </w:txbxContent>
                </v:textbox>
                <w10:wrap type="none"/>
              </v:shape>
              <v:shape style="position:absolute;left:3671;top:9233;width:12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w:t>
                      </w:r>
                    </w:p>
                  </w:txbxContent>
                </v:textbox>
                <w10:wrap type="none"/>
              </v:shape>
              <v:shape style="position:absolute;left:4734;top:9233;width:12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w:t>
                      </w:r>
                    </w:p>
                  </w:txbxContent>
                </v:textbox>
                <w10:wrap type="none"/>
              </v:shape>
              <v:shape style="position:absolute;left:5797;top:9233;width:12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w:t>
                      </w:r>
                    </w:p>
                  </w:txbxContent>
                </v:textbox>
                <w10:wrap type="none"/>
              </v:shape>
              <v:shape style="position:absolute;left:6611;top:9233;width:1875;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812,456.45 </w:t>
                      </w:r>
                      <w:r>
                        <w:rPr>
                          <w:rFonts w:ascii="Times New Roman"/>
                          <w:spacing w:val="24"/>
                          <w:sz w:val="18"/>
                        </w:rPr>
                        <w:t> </w:t>
                      </w:r>
                      <w:r>
                        <w:rPr>
                          <w:rFonts w:ascii="Times New Roman"/>
                          <w:sz w:val="18"/>
                        </w:rPr>
                        <w:t>2,806,345.60</w:t>
                      </w:r>
                    </w:p>
                  </w:txbxContent>
                </v:textbox>
                <w10:wrap type="none"/>
              </v:shape>
              <v:shape style="position:absolute;left:8985;top:9233;width:12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w:t>
                      </w:r>
                    </w:p>
                  </w:txbxContent>
                </v:textbox>
                <w10:wrap type="none"/>
              </v:shape>
            </v:group>
          </v:group>
        </w:pict>
      </w:r>
      <w:r>
        <w:rPr>
          <w:rFonts w:ascii="宋体" w:hAnsi="宋体" w:cs="宋体" w:eastAsia="宋体" w:hint="default"/>
          <w:position w:val="-190"/>
          <w:sz w:val="20"/>
          <w:szCs w:val="20"/>
        </w:rPr>
      </w:r>
    </w:p>
    <w:p>
      <w:pPr>
        <w:pStyle w:val="BodyText"/>
        <w:spacing w:line="391" w:lineRule="auto" w:before="44"/>
        <w:ind w:right="94"/>
        <w:jc w:val="left"/>
      </w:pPr>
      <w:r>
        <w:rPr>
          <w:sz w:val="18"/>
          <w:szCs w:val="18"/>
        </w:rPr>
        <w:t>其他说明： </w:t>
      </w:r>
      <w:r>
        <w:rPr>
          <w:spacing w:val="-2"/>
        </w:rPr>
        <w:t>注</w:t>
      </w:r>
      <w:r>
        <w:rPr>
          <w:rFonts w:ascii="Times New Roman" w:hAnsi="Times New Roman" w:cs="Times New Roman" w:eastAsia="Times New Roman" w:hint="default"/>
          <w:spacing w:val="-2"/>
        </w:rPr>
        <w:t>1</w:t>
      </w:r>
      <w:r>
        <w:rPr>
          <w:spacing w:val="-2"/>
        </w:rPr>
        <w:t>：本年度，公司获得上海青浦工业园区发展（集团）有限公司协议拨付的扶持资金人民币</w:t>
      </w:r>
      <w:r>
        <w:rPr>
          <w:rFonts w:ascii="Times New Roman" w:hAnsi="Times New Roman" w:cs="Times New Roman" w:eastAsia="Times New Roman" w:hint="default"/>
          <w:spacing w:val="-2"/>
        </w:rPr>
        <w:t>691.10</w:t>
      </w:r>
      <w:r>
        <w:rPr>
          <w:spacing w:val="-2"/>
        </w:rPr>
        <w:t>万元、</w:t>
      </w:r>
      <w:r>
        <w:rPr>
          <w:spacing w:val="-14"/>
        </w:rPr>
        <w:t> </w:t>
      </w:r>
      <w:r>
        <w:rPr>
          <w:spacing w:val="-14"/>
        </w:rPr>
      </w:r>
      <w:r>
        <w:rPr/>
        <w:t>上海市青浦区市场监督管理局拨付的扶持资金</w:t>
      </w:r>
      <w:r>
        <w:rPr>
          <w:rFonts w:ascii="Times New Roman" w:hAnsi="Times New Roman" w:cs="Times New Roman" w:eastAsia="Times New Roman" w:hint="default"/>
        </w:rPr>
        <w:t>3.00</w:t>
      </w:r>
      <w:r>
        <w:rPr/>
        <w:t>万元、上海市知识产权局专利资助</w:t>
      </w:r>
      <w:r>
        <w:rPr>
          <w:rFonts w:ascii="Times New Roman" w:hAnsi="Times New Roman" w:cs="Times New Roman" w:eastAsia="Times New Roman" w:hint="default"/>
        </w:rPr>
        <w:t>0.48</w:t>
      </w:r>
      <w:r>
        <w:rPr/>
        <w:t>万元、上海市青</w:t>
      </w:r>
      <w:r>
        <w:rPr>
          <w:w w:val="100"/>
        </w:rPr>
        <w:t> </w:t>
      </w:r>
      <w:r>
        <w:rPr>
          <w:spacing w:val="-2"/>
        </w:rPr>
        <w:t>浦区经济委员会扶持资金</w:t>
      </w:r>
      <w:r>
        <w:rPr>
          <w:rFonts w:ascii="Times New Roman" w:hAnsi="Times New Roman" w:cs="Times New Roman" w:eastAsia="Times New Roman" w:hint="default"/>
          <w:spacing w:val="-2"/>
        </w:rPr>
        <w:t>15.00</w:t>
      </w:r>
      <w:r>
        <w:rPr>
          <w:spacing w:val="-2"/>
        </w:rPr>
        <w:t>万元、上海市地方税务局青浦区分局个税返还</w:t>
      </w:r>
      <w:r>
        <w:rPr>
          <w:rFonts w:ascii="Times New Roman" w:hAnsi="Times New Roman" w:cs="Times New Roman" w:eastAsia="Times New Roman" w:hint="default"/>
          <w:spacing w:val="-2"/>
        </w:rPr>
        <w:t>7.70</w:t>
      </w:r>
      <w:r>
        <w:rPr>
          <w:spacing w:val="-2"/>
        </w:rPr>
        <w:t>万元，以及杭州分公司获</w:t>
      </w:r>
      <w:r>
        <w:rPr>
          <w:spacing w:val="-41"/>
        </w:rPr>
        <w:t> </w:t>
      </w:r>
      <w:r>
        <w:rPr>
          <w:spacing w:val="-41"/>
        </w:rPr>
      </w:r>
      <w:r>
        <w:rPr/>
        <w:t>得杭州市西湖区古荡街道民生保障奖励</w:t>
      </w:r>
      <w:r>
        <w:rPr>
          <w:rFonts w:ascii="Times New Roman" w:hAnsi="Times New Roman" w:cs="Times New Roman" w:eastAsia="Times New Roman" w:hint="default"/>
        </w:rPr>
        <w:t>0.30</w:t>
      </w:r>
      <w:r>
        <w:rPr/>
        <w:t>万元。公司子公司上海力克数码科技有限公司收到上海漕河泾</w:t>
      </w:r>
      <w:r>
        <w:rPr>
          <w:w w:val="100"/>
        </w:rPr>
        <w:t> </w:t>
      </w:r>
      <w:r>
        <w:rPr>
          <w:spacing w:val="-3"/>
        </w:rPr>
        <w:t>开发区松江高科技园拨付的扶持资金</w:t>
      </w:r>
      <w:r>
        <w:rPr>
          <w:rFonts w:ascii="Times New Roman" w:hAnsi="Times New Roman" w:cs="Times New Roman" w:eastAsia="Times New Roman" w:hint="default"/>
          <w:spacing w:val="-3"/>
        </w:rPr>
        <w:t>18.00</w:t>
      </w:r>
      <w:r>
        <w:rPr>
          <w:spacing w:val="-3"/>
        </w:rPr>
        <w:t>万元；公司子公司上海领卓企业管理咨询有限公司收到上海市青</w:t>
      </w:r>
      <w:r>
        <w:rPr>
          <w:spacing w:val="-41"/>
        </w:rPr>
        <w:t> </w:t>
      </w:r>
      <w:r>
        <w:rPr>
          <w:spacing w:val="-41"/>
        </w:rPr>
      </w:r>
      <w:r>
        <w:rPr/>
        <w:t>浦区金泽镇人民政府和上海淀山湖经济城拨付的扶持资金</w:t>
      </w:r>
      <w:r>
        <w:rPr>
          <w:rFonts w:ascii="Times New Roman" w:hAnsi="Times New Roman" w:cs="Times New Roman" w:eastAsia="Times New Roman" w:hint="default"/>
        </w:rPr>
        <w:t>4.90</w:t>
      </w:r>
      <w:r>
        <w:rPr/>
        <w:t>万元；公司子公司上海天玑数据技术有限公</w:t>
      </w:r>
    </w:p>
    <w:p>
      <w:pPr>
        <w:pStyle w:val="BodyText"/>
        <w:spacing w:line="240" w:lineRule="auto" w:before="30"/>
        <w:ind w:right="94"/>
        <w:jc w:val="left"/>
      </w:pPr>
      <w:r>
        <w:rPr/>
        <w:t>司收到上海市浦东新区财政局拨付的科技发展扶持资金</w:t>
      </w:r>
      <w:r>
        <w:rPr>
          <w:rFonts w:ascii="Times New Roman" w:hAnsi="Times New Roman" w:cs="Times New Roman" w:eastAsia="Times New Roman" w:hint="default"/>
        </w:rPr>
        <w:t>10.00</w:t>
      </w:r>
      <w:r>
        <w:rPr/>
        <w:t>万元。</w:t>
      </w:r>
    </w:p>
    <w:p>
      <w:pPr>
        <w:spacing w:after="0" w:line="240" w:lineRule="auto"/>
        <w:jc w:val="left"/>
        <w:sectPr>
          <w:pgSz w:w="11910" w:h="16840"/>
          <w:pgMar w:header="745" w:footer="979" w:top="1060" w:bottom="1160" w:left="980" w:right="94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72</w:t>
      </w:r>
      <w:r>
        <w:rPr/>
        <w:t>、营业外支出</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715"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16,002,197.40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54,438.62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16,002,197.40</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其中：固定资产报废损失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56,183.74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54,438.62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56,183.74</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15,946,013.66</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15,946,013.66</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罚款、赔偿和违约支出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990,697.18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268,413.25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990,697.18</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滞纳金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354.57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1,247.14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354.57</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16,993,249.15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324,099.01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16,993,249.15</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73</w:t>
      </w:r>
      <w:r>
        <w:rPr/>
        <w:t>、所得税费用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7,845,647.75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9,576,429.33</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-385,135.50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-910,638.51</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7,460,512.25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8,665,790.82</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57"/>
        <w:gridCol w:w="4802"/>
      </w:tblGrid>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4"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39,515,021.63</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5,927,253.24</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7,630.51</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1,268,083.10</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-83,248.10</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305,505.00</w:t>
            </w:r>
          </w:p>
        </w:tc>
      </w:tr>
      <w:tr>
        <w:trPr>
          <w:trHeight w:val="715"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3"/>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2,160,453.55</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加计扣除费用的影响</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-2,125,165.05</w:t>
            </w:r>
          </w:p>
        </w:tc>
      </w:tr>
      <w:tr>
        <w:trPr>
          <w:trHeight w:val="404"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7,460,512.25</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74</w:t>
      </w:r>
      <w:r>
        <w:rPr/>
        <w:t>、其他综合收益</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详见附注。</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75</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3,560,643.43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7,299,309.73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补贴收入及其他营业外收入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5,134,218.78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8,622,850.24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收回押金、保证金及备用金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6,146,156.08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9,921,062.95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14,841,018.29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25,843,222.92</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收到的其他与经营活动有关的现金说明：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销售费用支出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3,427,869.67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4,167,816.41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管理费用支出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20,982,250.75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29,267,652.43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保证金、押金及备用金支付等</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2,005,034.49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1,459,150.99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手续费支出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84,448.67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144,085.67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其他营业外支出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842,095.93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269,660.39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27,341,699.51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35,308,365.89</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支付的其他与经营活动有关的现金说明：</w:t>
      </w:r>
    </w:p>
    <w:p>
      <w:pPr>
        <w:spacing w:line="240" w:lineRule="auto" w:before="0"/>
        <w:rPr>
          <w:rFonts w:ascii="宋体" w:hAnsi="宋体" w:cs="宋体" w:eastAsia="宋体" w:hint="default"/>
          <w:sz w:val="18"/>
          <w:szCs w:val="18"/>
        </w:rPr>
      </w:pPr>
    </w:p>
    <w:p>
      <w:pPr>
        <w:pStyle w:val="Heading3"/>
        <w:spacing w:line="240" w:lineRule="auto" w:before="121"/>
        <w:ind w:right="0"/>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收到的其他与投资活动有关的现金说明：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0"/>
        <w:ind w:left="152" w:right="0" w:firstLine="0"/>
        <w:jc w:val="left"/>
        <w:rPr>
          <w:rFonts w:ascii="宋体" w:hAnsi="宋体" w:cs="宋体" w:eastAsia="宋体" w:hint="default"/>
          <w:sz w:val="18"/>
          <w:szCs w:val="18"/>
        </w:rPr>
      </w:pPr>
      <w:r>
        <w:rPr>
          <w:rFonts w:ascii="宋体" w:hAnsi="宋体" w:cs="宋体" w:eastAsia="宋体" w:hint="default"/>
          <w:sz w:val="18"/>
          <w:szCs w:val="18"/>
        </w:rPr>
        <w:t>支付的其他与投资活动有关的现金说明：</w:t>
      </w:r>
    </w:p>
    <w:p>
      <w:pPr>
        <w:spacing w:after="0"/>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r>
        <w:rPr/>
        <w:pict>
          <v:group style="position:absolute;margin-left:223.369995pt;margin-top:666.519958pt;width:151.25pt;height:20.65pt;mso-position-horizontal-relative:page;mso-position-vertical-relative:page;z-index:-1014712" coordorigin="4467,13330" coordsize="3025,413">
            <v:group style="position:absolute;left:4478;top:13341;width:2;height:392" coordorigin="4478,13341" coordsize="2,392">
              <v:shape style="position:absolute;left:4478;top:13341;width:2;height:392" coordorigin="4478,13341" coordsize="0,392" path="m4478,13341l4478,13732e" filled="false" stroked="true" strokeweight="1.08pt" strokecolor="#ffffff">
                <v:path arrowok="t"/>
              </v:shape>
            </v:group>
            <v:group style="position:absolute;left:4489;top:13341;width:3003;height:392" coordorigin="4489,13341" coordsize="3003,392">
              <v:shape style="position:absolute;left:4489;top:13341;width:3003;height:392" coordorigin="4489,13341" coordsize="3003,392" path="m4489,13732l7492,13732,7492,13341,4489,13341,4489,13732xe" filled="true" fillcolor="#ffffff" stroked="false">
                <v:path arrowok="t"/>
                <v:fill type="solid"/>
              </v:shape>
            </v:group>
            <w10:wrap type="none"/>
          </v:group>
        </w:pict>
      </w:r>
    </w:p>
    <w:p>
      <w:pPr>
        <w:pStyle w:val="Heading3"/>
        <w:spacing w:line="240" w:lineRule="auto" w:before="36"/>
        <w:ind w:right="0"/>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收到的其他与筹资活动有关的现金说明：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员工股权激励退股回购款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45,706,376.30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14,567,288.59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非公开发行中介机构费用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462,276.51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46,168,652.81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14,567,288.59</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支付的其他与筹资活动有关的现金说明：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76</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1151"/>
        <w:gridCol w:w="1918"/>
        <w:gridCol w:w="3185"/>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93" w:right="0"/>
              <w:jc w:val="left"/>
              <w:rPr>
                <w:rFonts w:ascii="Times New Roman" w:hAnsi="Times New Roman" w:cs="Times New Roman" w:eastAsia="Times New Roman" w:hint="default"/>
                <w:sz w:val="18"/>
                <w:szCs w:val="18"/>
              </w:rPr>
            </w:pPr>
            <w:r>
              <w:rPr>
                <w:rFonts w:ascii="Times New Roman"/>
                <w:sz w:val="18"/>
              </w:rPr>
              <w:t>32,054,509.38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50,278,791.03</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4,604,400.47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4,506,074.04</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93" w:right="0"/>
              <w:jc w:val="left"/>
              <w:rPr>
                <w:rFonts w:ascii="Times New Roman" w:hAnsi="Times New Roman" w:cs="Times New Roman" w:eastAsia="Times New Roman" w:hint="default"/>
                <w:sz w:val="18"/>
                <w:szCs w:val="18"/>
              </w:rPr>
            </w:pPr>
            <w:r>
              <w:rPr>
                <w:rFonts w:ascii="Times New Roman"/>
                <w:sz w:val="18"/>
              </w:rPr>
              <w:t>14,264,883.28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7,278,761.28</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8,855,894.75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7,954,066.66</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2,346,542.65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1,084,464.60</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-7,844.37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-150,073.95</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93" w:right="0"/>
              <w:jc w:val="left"/>
              <w:rPr>
                <w:rFonts w:ascii="Times New Roman" w:hAnsi="Times New Roman" w:cs="Times New Roman" w:eastAsia="Times New Roman" w:hint="default"/>
                <w:sz w:val="18"/>
                <w:szCs w:val="18"/>
              </w:rPr>
            </w:pPr>
            <w:r>
              <w:rPr>
                <w:rFonts w:ascii="Times New Roman"/>
                <w:sz w:val="18"/>
              </w:rPr>
              <w:t>16,002,197.40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45,916.67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161,708.07</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33" w:right="0"/>
              <w:jc w:val="left"/>
              <w:rPr>
                <w:rFonts w:ascii="Times New Roman" w:hAnsi="Times New Roman" w:cs="Times New Roman" w:eastAsia="Times New Roman" w:hint="default"/>
                <w:sz w:val="18"/>
                <w:szCs w:val="18"/>
              </w:rPr>
            </w:pPr>
            <w:r>
              <w:rPr>
                <w:rFonts w:ascii="Times New Roman"/>
                <w:sz w:val="18"/>
              </w:rPr>
              <w:t>-26,299,967.62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-6,050,572.88</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151"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49"/>
              <w:ind w:left="-120" w:right="0"/>
              <w:jc w:val="left"/>
              <w:rPr>
                <w:rFonts w:ascii="宋体" w:hAnsi="宋体" w:cs="宋体" w:eastAsia="宋体" w:hint="default"/>
                <w:sz w:val="18"/>
                <w:szCs w:val="18"/>
              </w:rPr>
            </w:pPr>
            <w:r>
              <w:rPr>
                <w:rFonts w:ascii="宋体" w:hAnsi="宋体" w:cs="宋体" w:eastAsia="宋体" w:hint="default"/>
                <w:sz w:val="18"/>
                <w:szCs w:val="18"/>
              </w:rPr>
              <w:t>）</w:t>
            </w:r>
          </w:p>
        </w:tc>
        <w:tc>
          <w:tcPr>
            <w:tcW w:w="19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078" w:right="0"/>
              <w:jc w:val="left"/>
              <w:rPr>
                <w:rFonts w:ascii="Times New Roman" w:hAnsi="Times New Roman" w:cs="Times New Roman" w:eastAsia="Times New Roman" w:hint="default"/>
                <w:sz w:val="18"/>
                <w:szCs w:val="18"/>
              </w:rPr>
            </w:pPr>
            <w:r>
              <w:rPr>
                <w:rFonts w:ascii="Times New Roman"/>
                <w:sz w:val="18"/>
              </w:rPr>
              <w:t>865,430.71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-1,808,847.51</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93" w:right="0"/>
              <w:jc w:val="left"/>
              <w:rPr>
                <w:rFonts w:ascii="Times New Roman" w:hAnsi="Times New Roman" w:cs="Times New Roman" w:eastAsia="Times New Roman" w:hint="default"/>
                <w:sz w:val="18"/>
                <w:szCs w:val="18"/>
              </w:rPr>
            </w:pPr>
            <w:r>
              <w:rPr>
                <w:rFonts w:ascii="Times New Roman"/>
                <w:sz w:val="18"/>
              </w:rPr>
              <w:t>10,500,295.62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-14,317,265.63</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93" w:right="0"/>
              <w:jc w:val="left"/>
              <w:rPr>
                <w:rFonts w:ascii="Times New Roman" w:hAnsi="Times New Roman" w:cs="Times New Roman" w:eastAsia="Times New Roman" w:hint="default"/>
                <w:sz w:val="18"/>
                <w:szCs w:val="18"/>
              </w:rPr>
            </w:pPr>
            <w:r>
              <w:rPr>
                <w:rFonts w:ascii="Times New Roman"/>
                <w:sz w:val="18"/>
              </w:rPr>
              <w:t>23,509,133.25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-6,210,132.43</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33" w:right="0"/>
              <w:jc w:val="left"/>
              <w:rPr>
                <w:rFonts w:ascii="Times New Roman" w:hAnsi="Times New Roman" w:cs="Times New Roman" w:eastAsia="Times New Roman" w:hint="default"/>
                <w:sz w:val="18"/>
                <w:szCs w:val="18"/>
              </w:rPr>
            </w:pPr>
            <w:r>
              <w:rPr>
                <w:rFonts w:ascii="Times New Roman"/>
                <w:sz w:val="18"/>
              </w:rPr>
              <w:t>-40,519,183.08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10,675,002.59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36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069" w:type="dxa"/>
            <w:tcBorders>
              <w:top w:val="single" w:sz="4" w:space="0" w:color="000000"/>
              <w:left w:val="single" w:sz="10"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-210,864.19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2,111,833.43</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46,011,344.92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55,513,809.30</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12" w:right="12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305" w:type="dxa"/>
            <w:vMerge/>
            <w:tcBorders>
              <w:left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474" w:right="0"/>
              <w:jc w:val="left"/>
              <w:rPr>
                <w:rFonts w:ascii="Times New Roman" w:hAnsi="Times New Roman" w:cs="Times New Roman" w:eastAsia="Times New Roman" w:hint="default"/>
                <w:sz w:val="18"/>
                <w:szCs w:val="18"/>
              </w:rPr>
            </w:pPr>
            <w:r>
              <w:rPr>
                <w:rFonts w:ascii="Times New Roman"/>
                <w:sz w:val="18"/>
              </w:rPr>
              <w:t>--</w:t>
            </w:r>
          </w:p>
        </w:tc>
        <w:tc>
          <w:tcPr>
            <w:tcW w:w="31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8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74" w:right="0"/>
              <w:jc w:val="left"/>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917,226,545.44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319,717,529.36</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319,717,529.36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394,329,362.17</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597,509,016.08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-74,611,832.81</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7"/>
        <w:gridCol w:w="4583"/>
      </w:tblGrid>
      <w:tr>
        <w:trPr>
          <w:trHeight w:val="401"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3"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976"/>
        <w:gridCol w:w="4583"/>
      </w:tblGrid>
      <w:tr>
        <w:trPr>
          <w:trHeight w:val="401" w:hRule="exact"/>
        </w:trPr>
        <w:tc>
          <w:tcPr>
            <w:tcW w:w="49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3" w:hRule="exact"/>
        </w:trPr>
        <w:tc>
          <w:tcPr>
            <w:tcW w:w="4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本期处置子公司于本期收到的现金或现金等价物</w:t>
            </w:r>
          </w:p>
        </w:tc>
        <w:tc>
          <w:tcPr>
            <w:tcW w:w="45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17,065,360.06</w:t>
            </w:r>
          </w:p>
        </w:tc>
      </w:tr>
      <w:tr>
        <w:trPr>
          <w:trHeight w:val="401" w:hRule="exact"/>
        </w:trPr>
        <w:tc>
          <w:tcPr>
            <w:tcW w:w="4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上海缔塔科技有限公司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w:t>
            </w:r>
          </w:p>
        </w:tc>
      </w:tr>
      <w:tr>
        <w:trPr>
          <w:trHeight w:val="401" w:hRule="exact"/>
        </w:trPr>
        <w:tc>
          <w:tcPr>
            <w:tcW w:w="4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上海卓之联信息科技有限公司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17,065,359.06</w:t>
            </w:r>
          </w:p>
        </w:tc>
      </w:tr>
      <w:tr>
        <w:trPr>
          <w:trHeight w:val="403" w:hRule="exact"/>
        </w:trPr>
        <w:tc>
          <w:tcPr>
            <w:tcW w:w="4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减：丧失控制权日子公司持有的现金及现金等价物</w:t>
            </w:r>
          </w:p>
        </w:tc>
        <w:tc>
          <w:tcPr>
            <w:tcW w:w="45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2"/>
                <w:sz w:val="18"/>
              </w:rPr>
              <w:t>17,811,115.37</w:t>
            </w:r>
          </w:p>
        </w:tc>
      </w:tr>
      <w:tr>
        <w:trPr>
          <w:trHeight w:val="401" w:hRule="exact"/>
        </w:trPr>
        <w:tc>
          <w:tcPr>
            <w:tcW w:w="4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上海缔塔科技有限公司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745,756.31</w:t>
            </w:r>
          </w:p>
        </w:tc>
      </w:tr>
      <w:tr>
        <w:trPr>
          <w:trHeight w:val="401" w:hRule="exact"/>
        </w:trPr>
        <w:tc>
          <w:tcPr>
            <w:tcW w:w="4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上海卓之联信息科技有限公司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17,065,359.06</w:t>
            </w:r>
          </w:p>
        </w:tc>
      </w:tr>
      <w:tr>
        <w:trPr>
          <w:trHeight w:val="403" w:hRule="exact"/>
        </w:trPr>
        <w:tc>
          <w:tcPr>
            <w:tcW w:w="4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处置子公司收到的现金净额</w:t>
            </w:r>
          </w:p>
        </w:tc>
        <w:tc>
          <w:tcPr>
            <w:tcW w:w="45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-745,755.31</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917,226,545.44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319,717,529.36</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11,415.42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12,749.72</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可随时用于支付的银行存款</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917,215,130.02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319,704,779.64</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917,226,545.44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319,717,529.36</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line="547" w:lineRule="auto" w:before="118"/>
        <w:ind w:left="152" w:right="439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77</w:t>
      </w:r>
      <w:r>
        <w:rPr>
          <w:rFonts w:ascii="宋体" w:hAnsi="宋体" w:cs="宋体" w:eastAsia="宋体" w:hint="default"/>
          <w:b/>
          <w:bCs/>
          <w:sz w:val="21"/>
          <w:szCs w:val="21"/>
        </w:rPr>
        <w:t>、所有者权益变动表项目注释</w:t>
      </w:r>
      <w:r>
        <w:rPr>
          <w:rFonts w:ascii="宋体" w:hAnsi="宋体" w:cs="宋体" w:eastAsia="宋体" w:hint="default"/>
          <w:b/>
          <w:bCs/>
          <w:w w:val="100"/>
          <w:sz w:val="21"/>
          <w:szCs w:val="21"/>
        </w:rPr>
        <w:t> </w:t>
      </w: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 </w:t>
      </w:r>
      <w:r>
        <w:rPr>
          <w:rFonts w:ascii="Times New Roman" w:hAnsi="Times New Roman" w:cs="Times New Roman" w:eastAsia="Times New Roman" w:hint="default"/>
          <w:b/>
          <w:bCs/>
          <w:sz w:val="21"/>
          <w:szCs w:val="21"/>
        </w:rPr>
        <w:t>78</w:t>
      </w:r>
      <w:r>
        <w:rPr>
          <w:rFonts w:ascii="宋体" w:hAnsi="宋体" w:cs="宋体" w:eastAsia="宋体" w:hint="default"/>
          <w:b/>
          <w:bCs/>
          <w:sz w:val="21"/>
          <w:szCs w:val="21"/>
        </w:rPr>
        <w:t>、所有权或使用权受到限制的资产</w:t>
      </w:r>
      <w:r>
        <w:rPr>
          <w:rFonts w:ascii="宋体" w:hAnsi="宋体" w:cs="宋体" w:eastAsia="宋体" w:hint="default"/>
          <w:sz w:val="21"/>
          <w:szCs w:val="21"/>
        </w:rPr>
      </w:r>
    </w:p>
    <w:p>
      <w:pPr>
        <w:spacing w:before="46"/>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94"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456,180.73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履约保函（保证金）</w:t>
            </w:r>
          </w:p>
        </w:tc>
      </w:tr>
      <w:tr>
        <w:trPr>
          <w:trHeight w:val="40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9"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456,180.73</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79</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83"/>
        <w:gridCol w:w="2305"/>
        <w:gridCol w:w="2391"/>
        <w:gridCol w:w="2391"/>
      </w:tblGrid>
      <w:tr>
        <w:trPr>
          <w:trHeight w:val="402"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15"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397,725.19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6.5342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2,598,815.94</w:t>
            </w: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港币</w:t>
            </w:r>
          </w:p>
        </w:tc>
        <w:tc>
          <w:tcPr>
            <w:tcW w:w="23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34,580.15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0.8359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28905.53</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59" w:lineRule="auto" w:before="118"/>
        <w:ind w:right="0"/>
        <w:jc w:val="left"/>
        <w:rPr>
          <w:b w:val="0"/>
          <w:bCs w:val="0"/>
        </w:rPr>
      </w:pP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65"/>
        </w:rPr>
        <w:t> </w:t>
      </w:r>
      <w:r>
        <w:rPr>
          <w:spacing w:val="-65"/>
        </w:rPr>
      </w:r>
      <w:r>
        <w:rPr/>
        <w:t>依据，记账本位币发生变化的还应披露原因。</w:t>
      </w:r>
      <w:r>
        <w:rPr>
          <w:b w:val="0"/>
          <w:bCs w:val="0"/>
        </w:rPr>
      </w:r>
    </w:p>
    <w:p>
      <w:pPr>
        <w:spacing w:line="240" w:lineRule="auto" w:before="3"/>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80</w:t>
      </w:r>
      <w:r>
        <w:rPr/>
        <w:t>、套期</w:t>
      </w:r>
      <w:r>
        <w:rPr>
          <w:b w:val="0"/>
          <w:bCs w:val="0"/>
        </w:rPr>
      </w:r>
    </w:p>
    <w:p>
      <w:pPr>
        <w:spacing w:line="240" w:lineRule="auto" w:before="5"/>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按照套期类别披露套期项目及相关套期工具、被套期风险的定性和定量信息：</w:t>
      </w:r>
    </w:p>
    <w:p>
      <w:pPr>
        <w:spacing w:after="0"/>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spacing w:line="487" w:lineRule="auto" w:before="36"/>
        <w:ind w:left="152" w:right="735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81</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3"/>
        <w:spacing w:line="240" w:lineRule="auto" w:before="84"/>
        <w:ind w:right="0"/>
        <w:jc w:val="left"/>
        <w:rPr>
          <w:b w:val="0"/>
          <w:bCs w:val="0"/>
        </w:rPr>
      </w:pP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2"/>
        <w:gridCol w:w="1063"/>
        <w:gridCol w:w="1066"/>
        <w:gridCol w:w="1063"/>
        <w:gridCol w:w="1064"/>
        <w:gridCol w:w="1066"/>
        <w:gridCol w:w="1061"/>
        <w:gridCol w:w="1064"/>
        <w:gridCol w:w="1061"/>
      </w:tblGrid>
      <w:tr>
        <w:trPr>
          <w:trHeight w:val="102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436" w:right="75" w:hanging="361"/>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436" w:right="75"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56" w:right="72"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76" w:right="75"/>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76" w:right="72"/>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Times New Roman" w:hAnsi="Times New Roman" w:cs="Times New Roman" w:eastAsia="Times New Roman" w:hint="default"/>
        </w:rPr>
        <w:t>2</w:t>
      </w:r>
      <w:r>
        <w:rPr/>
        <w:t>）合并成本及商誉</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p>
      <w:pPr>
        <w:spacing w:line="42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15pt;mso-position-horizontal-relative:char;mso-position-vertical-relative:line" coordorigin="0,0" coordsize="9581,423">
            <v:group style="position:absolute;left:23;top:17;width:2;height:392" coordorigin="23,17" coordsize="2,392">
              <v:shape style="position:absolute;left:23;top:17;width:2;height:392" coordorigin="23,17" coordsize="0,392" path="m23,17l23,408e" filled="false" stroked="true" strokeweight="1.08pt" strokecolor="#d2d2d2">
                <v:path arrowok="t"/>
              </v:shape>
            </v:group>
            <v:group style="position:absolute;left:4775;top:17;width:2;height:392" coordorigin="4775,17" coordsize="2,392">
              <v:shape style="position:absolute;left:4775;top:17;width:2;height:392" coordorigin="4775,17" coordsize="0,392" path="m4775,17l4775,408e" filled="false" stroked="true" strokeweight="1.2pt" strokecolor="#d2d2d2">
                <v:path arrowok="t"/>
              </v:shape>
            </v:group>
            <v:group style="position:absolute;left:34;top:17;width:4729;height:392" coordorigin="34,17" coordsize="4729,392">
              <v:shape style="position:absolute;left:34;top:17;width:4729;height:392" coordorigin="34,17" coordsize="4729,392" path="m34,408l4763,408,4763,17,34,17,34,408xe" filled="true" fillcolor="#d2d2d2" stroked="false">
                <v:path arrowok="t"/>
                <v:fill type="solid"/>
              </v:shape>
            </v:group>
            <v:group style="position:absolute;left:4807;top:17;width:2;height:392" coordorigin="4807,17" coordsize="2,392">
              <v:shape style="position:absolute;left:4807;top:17;width:2;height:392" coordorigin="4807,17" coordsize="0,392" path="m4807,17l4807,408e" filled="false" stroked="true" strokeweight="1.08pt" strokecolor="#e0ffff">
                <v:path arrowok="t"/>
              </v:shape>
            </v:group>
            <v:group style="position:absolute;left:9559;top:17;width:2;height:392" coordorigin="9559,17" coordsize="2,392">
              <v:shape style="position:absolute;left:9559;top:17;width:2;height:392" coordorigin="9559,17" coordsize="0,392" path="m9559,17l9559,408e" filled="false" stroked="true" strokeweight="1.2pt" strokecolor="#e0ffff">
                <v:path arrowok="t"/>
              </v:shape>
            </v:group>
            <v:group style="position:absolute;left:4818;top:17;width:4729;height:392" coordorigin="4818,17" coordsize="4729,392">
              <v:shape style="position:absolute;left:4818;top:17;width:4729;height:392" coordorigin="4818,17" coordsize="4729,392" path="m4818,408l9547,408,9547,17,4818,17,4818,408xe" filled="true" fillcolor="#e0ffff" stroked="false">
                <v:path arrowok="t"/>
                <v:fill type="solid"/>
              </v:shape>
            </v:group>
            <v:group style="position:absolute;left:10;top:10;width:4775;height:2" coordorigin="10,10" coordsize="4775,2">
              <v:shape style="position:absolute;left:10;top:10;width:4775;height:2" coordorigin="10,10" coordsize="4775,0" path="m10,10l4784,10e" filled="false" stroked="true" strokeweight=".47998pt" strokecolor="#000000">
                <v:path arrowok="t"/>
              </v:shape>
            </v:group>
            <v:group style="position:absolute;left:4794;top:10;width:4777;height:2" coordorigin="4794,10" coordsize="4777,2">
              <v:shape style="position:absolute;left:4794;top:10;width:4777;height:2" coordorigin="4794,10" coordsize="4777,0" path="m4794,10l9571,10e" filled="false" stroked="true" strokeweight=".4799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75;height:2" coordorigin="10,413" coordsize="4775,2">
              <v:shape style="position:absolute;left:10;top:413;width:4775;height:2" coordorigin="10,413" coordsize="4775,0" path="m10,413l4784,413e" filled="false" stroked="true" strokeweight=".47998pt" strokecolor="#000000">
                <v:path arrowok="t"/>
              </v:shape>
            </v:group>
            <v:group style="position:absolute;left:4789;top:5;width:2;height:413" coordorigin="4789,5" coordsize="2,413">
              <v:shape style="position:absolute;left:4789;top:5;width:2;height:413" coordorigin="4789,5" coordsize="0,413" path="m4789,5l4789,418e" filled="false" stroked="true" strokeweight=".48001pt" strokecolor="#000000">
                <v:path arrowok="t"/>
              </v:shape>
            </v:group>
            <v:group style="position:absolute;left:4794;top:413;width:4777;height:2" coordorigin="4794,413" coordsize="4777,2">
              <v:shape style="position:absolute;left:4794;top:413;width:4777;height:2" coordorigin="4794,413" coordsize="4777,0" path="m4794,413l9571,413e" filled="false" stroked="true" strokeweight=".47998pt" strokecolor="#000000">
                <v:path arrowok="t"/>
              </v:shape>
            </v:group>
            <v:group style="position:absolute;left:9576;top:5;width:2;height:413" coordorigin="9576,5" coordsize="2,413">
              <v:shape style="position:absolute;left:9576;top:5;width:2;height:413" coordorigin="9576,5" coordsize="0,413" path="m9576,5l9576,418e" filled="false" stroked="true" strokeweight=".47998pt" strokecolor="#000000">
                <v:path arrowok="t"/>
              </v:shape>
              <v:shape style="position:absolute;left:6;top:10;width:4795;height:404" type="#_x0000_t202" filled="false" stroked="false">
                <v:textbox inset="0,0,0,0">
                  <w:txbxContent>
                    <w:p>
                      <w:pPr>
                        <w:spacing w:before="56"/>
                        <w:ind w:left="0" w:right="1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spacing w:line="357" w:lineRule="auto" w:before="44"/>
        <w:ind w:left="152" w:right="5094" w:firstLine="0"/>
        <w:jc w:val="left"/>
        <w:rPr>
          <w:rFonts w:ascii="宋体" w:hAnsi="宋体" w:cs="宋体" w:eastAsia="宋体" w:hint="default"/>
          <w:sz w:val="18"/>
          <w:szCs w:val="18"/>
        </w:rPr>
      </w:pPr>
      <w:r>
        <w:rPr>
          <w:rFonts w:ascii="宋体" w:hAnsi="宋体" w:cs="宋体" w:eastAsia="宋体" w:hint="default"/>
          <w:sz w:val="18"/>
          <w:szCs w:val="18"/>
        </w:rPr>
        <w:t>合并成本公允价值的确定方法、或有对价及其变动的说明： 大额商誉形成的主要原因：</w:t>
      </w:r>
    </w:p>
    <w:p>
      <w:pPr>
        <w:spacing w:before="2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2"/>
        <w:gridCol w:w="3179"/>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1" w:type="dxa"/>
            <w:gridSpan w:val="2"/>
            <w:tcBorders>
              <w:top w:val="single" w:sz="4" w:space="0" w:color="000000"/>
              <w:left w:val="single" w:sz="10" w:space="0" w:color="D2D2D2"/>
              <w:bottom w:val="single" w:sz="4" w:space="0" w:color="000000"/>
              <w:right w:val="single" w:sz="4" w:space="0" w:color="000000"/>
            </w:tcBorders>
            <w:shd w:val="clear" w:color="auto" w:fill="E0FFFF"/>
          </w:tcPr>
          <w:p>
            <w:pP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70"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58"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bl>
    <w:p>
      <w:pPr>
        <w:spacing w:line="357" w:lineRule="auto" w:before="49"/>
        <w:ind w:left="152" w:right="6551" w:firstLine="0"/>
        <w:jc w:val="both"/>
        <w:rPr>
          <w:rFonts w:ascii="宋体" w:hAnsi="宋体" w:cs="宋体" w:eastAsia="宋体" w:hint="default"/>
          <w:sz w:val="18"/>
          <w:szCs w:val="18"/>
        </w:rPr>
      </w:pPr>
      <w:r>
        <w:rPr>
          <w:rFonts w:ascii="宋体" w:hAnsi="宋体" w:cs="宋体" w:eastAsia="宋体" w:hint="default"/>
          <w:sz w:val="18"/>
          <w:szCs w:val="18"/>
        </w:rPr>
        <w:t>可辨认资产、负债公允价值的确定方法： 企业合并中承担的被购买方的或有负债： 其他说明：</w:t>
      </w:r>
    </w:p>
    <w:p>
      <w:pPr>
        <w:spacing w:line="240" w:lineRule="auto" w:before="6"/>
        <w:rPr>
          <w:rFonts w:ascii="宋体" w:hAnsi="宋体" w:cs="宋体" w:eastAsia="宋体" w:hint="default"/>
          <w:sz w:val="20"/>
          <w:szCs w:val="20"/>
        </w:rPr>
      </w:pPr>
    </w:p>
    <w:p>
      <w:pPr>
        <w:pStyle w:val="Heading3"/>
        <w:spacing w:line="240" w:lineRule="auto"/>
        <w:ind w:right="0"/>
        <w:jc w:val="both"/>
        <w:rPr>
          <w:b w:val="0"/>
          <w:bCs w:val="0"/>
        </w:rPr>
      </w:pP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是否存在通过多次交易分步实现企业合并且在报告期内取得控制权的交易</w:t>
      </w:r>
    </w:p>
    <w:p>
      <w:pPr>
        <w:spacing w:before="117"/>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after="0"/>
        <w:jc w:val="both"/>
        <w:rPr>
          <w:rFonts w:ascii="宋体" w:hAnsi="宋体" w:cs="宋体" w:eastAsia="宋体"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）其他说明</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2</w:t>
      </w:r>
      <w:r>
        <w:rPr/>
        <w:t>、同一控制下企业合并</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2"/>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0"/>
        <w:gridCol w:w="1061"/>
        <w:gridCol w:w="1064"/>
        <w:gridCol w:w="1063"/>
        <w:gridCol w:w="1066"/>
        <w:gridCol w:w="1063"/>
        <w:gridCol w:w="1063"/>
        <w:gridCol w:w="1066"/>
        <w:gridCol w:w="1063"/>
      </w:tblGrid>
      <w:tr>
        <w:trPr>
          <w:trHeight w:val="1337" w:hRule="exact"/>
        </w:trPr>
        <w:tc>
          <w:tcPr>
            <w:tcW w:w="1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436" w:right="72" w:hanging="361"/>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76" w:right="72"/>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76" w:right="75"/>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59" w:right="75"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79" w:right="75"/>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76" w:right="74"/>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Times New Roman" w:hAnsi="Times New Roman" w:cs="Times New Roman" w:eastAsia="Times New Roman" w:hint="default"/>
        </w:rPr>
        <w:t>2</w:t>
      </w:r>
      <w:r>
        <w:rPr/>
        <w:t>）合并成本</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p>
      <w:pPr>
        <w:spacing w:line="42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15pt;mso-position-horizontal-relative:char;mso-position-vertical-relative:line" coordorigin="0,0" coordsize="9581,423">
            <v:group style="position:absolute;left:23;top:17;width:2;height:392" coordorigin="23,17" coordsize="2,392">
              <v:shape style="position:absolute;left:23;top:17;width:2;height:392" coordorigin="23,17" coordsize="0,392" path="m23,17l23,408e" filled="false" stroked="true" strokeweight="1.08pt" strokecolor="#d2d2d2">
                <v:path arrowok="t"/>
              </v:shape>
            </v:group>
            <v:group style="position:absolute;left:4775;top:17;width:2;height:392" coordorigin="4775,17" coordsize="2,392">
              <v:shape style="position:absolute;left:4775;top:17;width:2;height:392" coordorigin="4775,17" coordsize="0,392" path="m4775,17l4775,408e" filled="false" stroked="true" strokeweight="1.2pt" strokecolor="#d2d2d2">
                <v:path arrowok="t"/>
              </v:shape>
            </v:group>
            <v:group style="position:absolute;left:34;top:17;width:4729;height:392" coordorigin="34,17" coordsize="4729,392">
              <v:shape style="position:absolute;left:34;top:17;width:4729;height:392" coordorigin="34,17" coordsize="4729,392" path="m34,408l4763,408,4763,17,34,17,34,408xe" filled="true" fillcolor="#d2d2d2" stroked="false">
                <v:path arrowok="t"/>
                <v:fill type="solid"/>
              </v:shape>
            </v:group>
            <v:group style="position:absolute;left:4807;top:17;width:2;height:392" coordorigin="4807,17" coordsize="2,392">
              <v:shape style="position:absolute;left:4807;top:17;width:2;height:392" coordorigin="4807,17" coordsize="0,392" path="m4807,17l4807,408e" filled="false" stroked="true" strokeweight="1.08pt" strokecolor="#e0ffff">
                <v:path arrowok="t"/>
              </v:shape>
            </v:group>
            <v:group style="position:absolute;left:9559;top:17;width:2;height:392" coordorigin="9559,17" coordsize="2,392">
              <v:shape style="position:absolute;left:9559;top:17;width:2;height:392" coordorigin="9559,17" coordsize="0,392" path="m9559,17l9559,408e" filled="false" stroked="true" strokeweight="1.2pt" strokecolor="#e0ffff">
                <v:path arrowok="t"/>
              </v:shape>
            </v:group>
            <v:group style="position:absolute;left:4818;top:17;width:4729;height:392" coordorigin="4818,17" coordsize="4729,392">
              <v:shape style="position:absolute;left:4818;top:17;width:4729;height:392" coordorigin="4818,17" coordsize="4729,392" path="m4818,408l9547,408,9547,17,4818,17,4818,408xe" filled="true" fillcolor="#e0ffff" stroked="false">
                <v:path arrowok="t"/>
                <v:fill type="solid"/>
              </v:shape>
            </v:group>
            <v:group style="position:absolute;left:10;top:10;width:4775;height:2" coordorigin="10,10" coordsize="4775,2">
              <v:shape style="position:absolute;left:10;top:10;width:4775;height:2" coordorigin="10,10" coordsize="4775,0" path="m10,10l4784,10e" filled="false" stroked="true" strokeweight=".47998pt" strokecolor="#000000">
                <v:path arrowok="t"/>
              </v:shape>
            </v:group>
            <v:group style="position:absolute;left:4794;top:10;width:4777;height:2" coordorigin="4794,10" coordsize="4777,2">
              <v:shape style="position:absolute;left:4794;top:10;width:4777;height:2" coordorigin="4794,10" coordsize="4777,0" path="m4794,10l9571,10e" filled="false" stroked="true" strokeweight=".4799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75;height:2" coordorigin="10,413" coordsize="4775,2">
              <v:shape style="position:absolute;left:10;top:413;width:4775;height:2" coordorigin="10,413" coordsize="4775,0" path="m10,413l4784,413e" filled="false" stroked="true" strokeweight=".48001pt" strokecolor="#000000">
                <v:path arrowok="t"/>
              </v:shape>
            </v:group>
            <v:group style="position:absolute;left:4789;top:5;width:2;height:413" coordorigin="4789,5" coordsize="2,413">
              <v:shape style="position:absolute;left:4789;top:5;width:2;height:413" coordorigin="4789,5" coordsize="0,413" path="m4789,5l4789,418e" filled="false" stroked="true" strokeweight=".48001pt" strokecolor="#000000">
                <v:path arrowok="t"/>
              </v:shape>
            </v:group>
            <v:group style="position:absolute;left:4794;top:413;width:4777;height:2" coordorigin="4794,413" coordsize="4777,2">
              <v:shape style="position:absolute;left:4794;top:413;width:4777;height:2" coordorigin="4794,413" coordsize="4777,0" path="m4794,413l9571,413e" filled="false" stroked="true" strokeweight=".48001pt" strokecolor="#000000">
                <v:path arrowok="t"/>
              </v:shape>
            </v:group>
            <v:group style="position:absolute;left:9576;top:5;width:2;height:413" coordorigin="9576,5" coordsize="2,413">
              <v:shape style="position:absolute;left:9576;top:5;width:2;height:413" coordorigin="9576,5" coordsize="0,413" path="m9576,5l9576,418e" filled="false" stroked="true" strokeweight=".47998pt" strokecolor="#000000">
                <v:path arrowok="t"/>
              </v:shape>
              <v:shape style="position:absolute;left:6;top:10;width:4795;height:404" type="#_x0000_t202" filled="false" stroked="false">
                <v:textbox inset="0,0,0,0">
                  <w:txbxContent>
                    <w:p>
                      <w:pPr>
                        <w:spacing w:before="56"/>
                        <w:ind w:left="0" w:right="1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spacing w:line="357" w:lineRule="auto" w:before="44"/>
        <w:ind w:left="152" w:right="7614" w:firstLine="0"/>
        <w:jc w:val="left"/>
        <w:rPr>
          <w:rFonts w:ascii="宋体" w:hAnsi="宋体" w:cs="宋体" w:eastAsia="宋体" w:hint="default"/>
          <w:sz w:val="18"/>
          <w:szCs w:val="18"/>
        </w:rPr>
      </w:pPr>
      <w:r>
        <w:rPr>
          <w:rFonts w:ascii="宋体" w:hAnsi="宋体" w:cs="宋体" w:eastAsia="宋体" w:hint="default"/>
          <w:sz w:val="18"/>
          <w:szCs w:val="18"/>
        </w:rPr>
        <w:t>或有对价及其变动的说明： 其他说明：</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p>
      <w:pPr>
        <w:spacing w:line="823" w:lineRule="exact"/>
        <w:ind w:left="148"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79.15pt;height:41.2pt;mso-position-horizontal-relative:char;mso-position-vertical-relative:line" coordorigin="0,0" coordsize="9583,824">
            <v:group style="position:absolute;left:23;top:14;width:2;height:392" coordorigin="23,14" coordsize="2,392">
              <v:shape style="position:absolute;left:23;top:14;width:2;height:392" coordorigin="23,14" coordsize="0,392" path="m23,14l23,406e" filled="false" stroked="true" strokeweight="1.08pt" strokecolor="#d2d2d2">
                <v:path arrowok="t"/>
              </v:shape>
            </v:group>
            <v:group style="position:absolute;left:3181;top:14;width:2;height:392" coordorigin="3181,14" coordsize="2,392">
              <v:shape style="position:absolute;left:3181;top:14;width:2;height:392" coordorigin="3181,14" coordsize="0,392" path="m3181,14l3181,406e" filled="false" stroked="true" strokeweight="1.2pt" strokecolor="#d2d2d2">
                <v:path arrowok="t"/>
              </v:shape>
            </v:group>
            <v:group style="position:absolute;left:34;top:14;width:3136;height:392" coordorigin="34,14" coordsize="3136,392">
              <v:shape style="position:absolute;left:34;top:14;width:3136;height:392" coordorigin="34,14" coordsize="3136,392" path="m34,406l3169,406,3169,14,34,14,34,406xe" filled="true" fillcolor="#d2d2d2" stroked="false">
                <v:path arrowok="t"/>
                <v:fill type="solid"/>
              </v:shape>
            </v:group>
            <v:group style="position:absolute;left:3213;top:14;width:2;height:392" coordorigin="3213,14" coordsize="2,392">
              <v:shape style="position:absolute;left:3213;top:14;width:2;height:392" coordorigin="3213,14" coordsize="0,392" path="m3213,14l3213,406e" filled="false" stroked="true" strokeweight="1.08pt" strokecolor="#e0ffff">
                <v:path arrowok="t"/>
              </v:shape>
            </v:group>
            <v:group style="position:absolute;left:9561;top:14;width:2;height:392" coordorigin="9561,14" coordsize="2,392">
              <v:shape style="position:absolute;left:9561;top:14;width:2;height:392" coordorigin="9561,14" coordsize="0,392" path="m9561,14l9561,406e" filled="false" stroked="true" strokeweight="1.2pt" strokecolor="#e0ffff">
                <v:path arrowok="t"/>
              </v:shape>
            </v:group>
            <v:group style="position:absolute;left:3224;top:14;width:6325;height:392" coordorigin="3224,14" coordsize="6325,392">
              <v:shape style="position:absolute;left:3224;top:14;width:6325;height:392" coordorigin="3224,14" coordsize="6325,392" path="m3224,406l9549,406,9549,14,3224,14,3224,406xe" filled="true" fillcolor="#e0ffff" stroked="false">
                <v:path arrowok="t"/>
                <v:fill type="solid"/>
              </v:shape>
            </v:group>
            <v:group style="position:absolute;left:10;top:10;width:3181;height:2" coordorigin="10,10" coordsize="3181,2">
              <v:shape style="position:absolute;left:10;top:10;width:3181;height:2" coordorigin="10,10" coordsize="3181,0" path="m10,10l3191,10e" filled="false" stroked="true" strokeweight=".48001pt" strokecolor="#000000">
                <v:path arrowok="t"/>
              </v:shape>
            </v:group>
            <v:group style="position:absolute;left:3200;top:10;width:6373;height:2" coordorigin="3200,10" coordsize="6373,2">
              <v:shape style="position:absolute;left:3200;top:10;width:6373;height:2" coordorigin="3200,10" coordsize="6373,0" path="m3200,10l9573,10e" filled="false" stroked="true" strokeweight=".48001pt" strokecolor="#000000">
                <v:path arrowok="t"/>
              </v:shape>
            </v:group>
            <v:group style="position:absolute;left:23;top:415;width:2;height:394" coordorigin="23,415" coordsize="2,394">
              <v:shape style="position:absolute;left:23;top:415;width:2;height:394" coordorigin="23,415" coordsize="0,394" path="m23,415l23,809e" filled="false" stroked="true" strokeweight="1.08pt" strokecolor="#d2d2d2">
                <v:path arrowok="t"/>
              </v:shape>
            </v:group>
            <v:group style="position:absolute;left:3181;top:415;width:2;height:394" coordorigin="3181,415" coordsize="2,394">
              <v:shape style="position:absolute;left:3181;top:415;width:2;height:394" coordorigin="3181,415" coordsize="0,394" path="m3181,415l3181,809e" filled="false" stroked="true" strokeweight="1.2pt" strokecolor="#d2d2d2">
                <v:path arrowok="t"/>
              </v:shape>
            </v:group>
            <v:group style="position:absolute;left:34;top:415;width:3136;height:394" coordorigin="34,415" coordsize="3136,394">
              <v:shape style="position:absolute;left:34;top:415;width:3136;height:394" coordorigin="34,415" coordsize="3136,394" path="m34,809l3169,809,3169,415,34,415,34,809xe" filled="true" fillcolor="#d2d2d2" stroked="false">
                <v:path arrowok="t"/>
                <v:fill type="solid"/>
              </v:shape>
            </v:group>
            <v:group style="position:absolute;left:3213;top:415;width:2;height:394" coordorigin="3213,415" coordsize="2,394">
              <v:shape style="position:absolute;left:3213;top:415;width:2;height:394" coordorigin="3213,415" coordsize="0,394" path="m3213,415l3213,809e" filled="false" stroked="true" strokeweight="1.08pt" strokecolor="#d2d2d2">
                <v:path arrowok="t"/>
              </v:shape>
            </v:group>
            <v:group style="position:absolute;left:6371;top:415;width:2;height:394" coordorigin="6371,415" coordsize="2,394">
              <v:shape style="position:absolute;left:6371;top:415;width:2;height:394" coordorigin="6371,415" coordsize="0,394" path="m6371,415l6371,809e" filled="false" stroked="true" strokeweight="1.2pt" strokecolor="#d2d2d2">
                <v:path arrowok="t"/>
              </v:shape>
            </v:group>
            <v:group style="position:absolute;left:3224;top:415;width:3135;height:394" coordorigin="3224,415" coordsize="3135,394">
              <v:shape style="position:absolute;left:3224;top:415;width:3135;height:394" coordorigin="3224,415" coordsize="3135,394" path="m3224,809l6359,809,6359,415,3224,415,3224,809xe" filled="true" fillcolor="#d2d2d2" stroked="false">
                <v:path arrowok="t"/>
                <v:fill type="solid"/>
              </v:shape>
            </v:group>
            <v:group style="position:absolute;left:6403;top:415;width:2;height:394" coordorigin="6403,415" coordsize="2,394">
              <v:shape style="position:absolute;left:6403;top:415;width:2;height:394" coordorigin="6403,415" coordsize="0,394" path="m6403,415l6403,809e" filled="false" stroked="true" strokeweight="1.08pt" strokecolor="#d2d2d2">
                <v:path arrowok="t"/>
              </v:shape>
            </v:group>
            <v:group style="position:absolute;left:9561;top:415;width:2;height:394" coordorigin="9561,415" coordsize="2,394">
              <v:shape style="position:absolute;left:9561;top:415;width:2;height:394" coordorigin="9561,415" coordsize="0,394" path="m9561,415l9561,809e" filled="false" stroked="true" strokeweight="1.2pt" strokecolor="#d2d2d2">
                <v:path arrowok="t"/>
              </v:shape>
            </v:group>
            <v:group style="position:absolute;left:6414;top:415;width:3135;height:394" coordorigin="6414,415" coordsize="3135,394">
              <v:shape style="position:absolute;left:6414;top:415;width:3135;height:394" coordorigin="6414,415" coordsize="3135,394" path="m6414,809l9549,809,9549,415,6414,415,6414,809xe" filled="true" fillcolor="#d2d2d2" stroked="false">
                <v:path arrowok="t"/>
                <v:fill type="solid"/>
              </v:shape>
            </v:group>
            <v:group style="position:absolute;left:10;top:410;width:3181;height:2" coordorigin="10,410" coordsize="3181,2">
              <v:shape style="position:absolute;left:10;top:410;width:3181;height:2" coordorigin="10,410" coordsize="3181,0" path="m10,410l3191,410e" filled="false" stroked="true" strokeweight=".47998pt" strokecolor="#000000">
                <v:path arrowok="t"/>
              </v:shape>
            </v:group>
            <v:group style="position:absolute;left:3200;top:410;width:3181;height:2" coordorigin="3200,410" coordsize="3181,2">
              <v:shape style="position:absolute;left:3200;top:410;width:3181;height:2" coordorigin="3200,410" coordsize="3181,0" path="m3200,410l6381,410e" filled="false" stroked="true" strokeweight=".47998pt" strokecolor="#000000">
                <v:path arrowok="t"/>
              </v:shape>
            </v:group>
            <v:group style="position:absolute;left:6390;top:410;width:3183;height:2" coordorigin="6390,410" coordsize="3183,2">
              <v:shape style="position:absolute;left:6390;top:410;width:3183;height:2" coordorigin="6390,410" coordsize="3183,0" path="m6390,410l9573,410e" filled="false" stroked="true" strokeweight=".47998pt" strokecolor="#000000">
                <v:path arrowok="t"/>
              </v:shape>
            </v:group>
            <v:group style="position:absolute;left:5;top:5;width:2;height:814" coordorigin="5,5" coordsize="2,814">
              <v:shape style="position:absolute;left:5;top:5;width:2;height:814" coordorigin="5,5" coordsize="0,814" path="m5,5l5,818e" filled="false" stroked="true" strokeweight=".48pt" strokecolor="#000000">
                <v:path arrowok="t"/>
              </v:shape>
            </v:group>
            <v:group style="position:absolute;left:10;top:814;width:3181;height:2" coordorigin="10,814" coordsize="3181,2">
              <v:shape style="position:absolute;left:10;top:814;width:3181;height:2" coordorigin="10,814" coordsize="3181,0" path="m10,814l3191,814e" filled="false" stroked="true" strokeweight=".48004pt" strokecolor="#000000">
                <v:path arrowok="t"/>
              </v:shape>
            </v:group>
            <v:group style="position:absolute;left:3195;top:5;width:2;height:814" coordorigin="3195,5" coordsize="2,814">
              <v:shape style="position:absolute;left:3195;top:5;width:2;height:814" coordorigin="3195,5" coordsize="0,814" path="m3195,5l3195,818e" filled="false" stroked="true" strokeweight=".48pt" strokecolor="#000000">
                <v:path arrowok="t"/>
              </v:shape>
            </v:group>
            <v:group style="position:absolute;left:3200;top:814;width:3181;height:2" coordorigin="3200,814" coordsize="3181,2">
              <v:shape style="position:absolute;left:3200;top:814;width:3181;height:2" coordorigin="3200,814" coordsize="3181,0" path="m3200,814l6381,814e" filled="false" stroked="true" strokeweight=".48004pt" strokecolor="#000000">
                <v:path arrowok="t"/>
              </v:shape>
            </v:group>
            <v:group style="position:absolute;left:6385;top:406;width:2;height:413" coordorigin="6385,406" coordsize="2,413">
              <v:shape style="position:absolute;left:6385;top:406;width:2;height:413" coordorigin="6385,406" coordsize="0,413" path="m6385,406l6385,818e" filled="false" stroked="true" strokeweight=".48001pt" strokecolor="#000000">
                <v:path arrowok="t"/>
              </v:shape>
            </v:group>
            <v:group style="position:absolute;left:6390;top:814;width:3183;height:2" coordorigin="6390,814" coordsize="3183,2">
              <v:shape style="position:absolute;left:6390;top:814;width:3183;height:2" coordorigin="6390,814" coordsize="3183,0" path="m6390,814l9573,814e" filled="false" stroked="true" strokeweight=".48004pt" strokecolor="#000000">
                <v:path arrowok="t"/>
              </v:shape>
            </v:group>
            <v:group style="position:absolute;left:9578;top:5;width:2;height:814" coordorigin="9578,5" coordsize="2,814">
              <v:shape style="position:absolute;left:9578;top:5;width:2;height:814" coordorigin="9578,5" coordsize="0,814" path="m9578,5l9578,818e" filled="false" stroked="true" strokeweight=".47998pt" strokecolor="#000000">
                <v:path arrowok="t"/>
              </v:shape>
              <v:shape style="position:absolute;left:3185;top:410;width:3202;height:404" type="#_x0000_t202" filled="false" stroked="false">
                <v:textbox inset="0,0,0,0">
                  <w:txbxContent>
                    <w:p>
                      <w:pPr>
                        <w:spacing w:before="53"/>
                        <w:ind w:left="9" w:right="0" w:firstLine="0"/>
                        <w:jc w:val="center"/>
                        <w:rPr>
                          <w:rFonts w:ascii="宋体" w:hAnsi="宋体" w:cs="宋体" w:eastAsia="宋体" w:hint="default"/>
                          <w:sz w:val="18"/>
                          <w:szCs w:val="18"/>
                        </w:rPr>
                      </w:pPr>
                      <w:r>
                        <w:rPr>
                          <w:rFonts w:ascii="宋体" w:hAnsi="宋体" w:cs="宋体" w:eastAsia="宋体" w:hint="default"/>
                          <w:sz w:val="18"/>
                          <w:szCs w:val="18"/>
                        </w:rPr>
                        <w:t>合并日</w:t>
                      </w:r>
                    </w:p>
                  </w:txbxContent>
                </v:textbox>
                <w10:wrap type="none"/>
              </v:shape>
              <v:shape style="position:absolute;left:6387;top:410;width:3180;height:404" type="#_x0000_t202" filled="false" stroked="false">
                <v:textbox inset="0,0,0,0">
                  <w:txbxContent>
                    <w:p>
                      <w:pPr>
                        <w:spacing w:before="53"/>
                        <w:ind w:left="10" w:right="0" w:firstLine="0"/>
                        <w:jc w:val="center"/>
                        <w:rPr>
                          <w:rFonts w:ascii="宋体" w:hAnsi="宋体" w:cs="宋体" w:eastAsia="宋体" w:hint="default"/>
                          <w:sz w:val="18"/>
                          <w:szCs w:val="18"/>
                        </w:rPr>
                      </w:pPr>
                      <w:r>
                        <w:rPr>
                          <w:rFonts w:ascii="宋体" w:hAnsi="宋体" w:cs="宋体" w:eastAsia="宋体" w:hint="default"/>
                          <w:sz w:val="18"/>
                          <w:szCs w:val="18"/>
                        </w:rPr>
                        <w:t>上期期末</w:t>
                      </w:r>
                    </w:p>
                  </w:txbxContent>
                </v:textbox>
                <w10:wrap type="none"/>
              </v:shape>
            </v:group>
          </v:group>
        </w:pict>
      </w:r>
      <w:r>
        <w:rPr>
          <w:rFonts w:ascii="宋体" w:hAnsi="宋体" w:cs="宋体" w:eastAsia="宋体" w:hint="default"/>
          <w:position w:val="-15"/>
          <w:sz w:val="20"/>
          <w:szCs w:val="20"/>
        </w:rPr>
      </w:r>
    </w:p>
    <w:p>
      <w:pPr>
        <w:spacing w:line="357" w:lineRule="auto" w:before="44"/>
        <w:ind w:left="152" w:right="6534" w:firstLine="0"/>
        <w:jc w:val="left"/>
        <w:rPr>
          <w:rFonts w:ascii="宋体" w:hAnsi="宋体" w:cs="宋体" w:eastAsia="宋体" w:hint="default"/>
          <w:sz w:val="18"/>
          <w:szCs w:val="18"/>
        </w:rPr>
      </w:pPr>
      <w:r>
        <w:rPr>
          <w:rFonts w:ascii="宋体" w:hAnsi="宋体" w:cs="宋体" w:eastAsia="宋体" w:hint="default"/>
          <w:sz w:val="18"/>
          <w:szCs w:val="18"/>
        </w:rPr>
        <w:t>企业合并中承担的被合并方的或有负债： 其他说明：</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3</w:t>
      </w:r>
      <w:r>
        <w:rPr/>
        <w:t>、反向购买</w:t>
      </w:r>
      <w:r>
        <w:rPr>
          <w:b w:val="0"/>
          <w:bCs w:val="0"/>
        </w:rPr>
      </w:r>
    </w:p>
    <w:p>
      <w:pPr>
        <w:spacing w:line="240" w:lineRule="auto" w:before="4"/>
        <w:rPr>
          <w:rFonts w:ascii="宋体" w:hAnsi="宋体" w:cs="宋体" w:eastAsia="宋体" w:hint="default"/>
          <w:b/>
          <w:bCs/>
          <w:sz w:val="26"/>
          <w:szCs w:val="26"/>
        </w:rPr>
      </w:pPr>
    </w:p>
    <w:p>
      <w:pPr>
        <w:spacing w:line="316" w:lineRule="auto" w:before="0"/>
        <w:ind w:left="152" w:right="0" w:firstLine="0"/>
        <w:jc w:val="left"/>
        <w:rPr>
          <w:rFonts w:ascii="宋体" w:hAnsi="宋体" w:cs="宋体" w:eastAsia="宋体" w:hint="default"/>
          <w:sz w:val="18"/>
          <w:szCs w:val="18"/>
        </w:rPr>
      </w:pPr>
      <w:r>
        <w:rPr>
          <w:rFonts w:ascii="宋体" w:hAnsi="宋体" w:cs="宋体" w:eastAsia="宋体" w:hint="default"/>
          <w:spacing w:val="-2"/>
          <w:sz w:val="18"/>
          <w:szCs w:val="18"/>
        </w:rPr>
        <w:t>交易基本信息、交易构成反向购买的依据、上市公司保留的资产、负债是否构成业务及其依据、合并成本的确定、按照权益</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性交易处理时调整权益的金额及其计算：</w:t>
      </w:r>
    </w:p>
    <w:p>
      <w:pPr>
        <w:spacing w:line="240" w:lineRule="auto" w:before="8"/>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4</w:t>
      </w:r>
      <w:r>
        <w:rPr/>
        <w:t>、处置子公司</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79" w:top="1060" w:bottom="1160" w:left="980" w:right="980"/>
        </w:sectPr>
      </w:pPr>
    </w:p>
    <w:p>
      <w:pPr>
        <w:spacing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是否存在单次处置对子公司投资即丧失控制权的情形</w:t>
      </w:r>
    </w:p>
    <w:p>
      <w:pPr>
        <w:spacing w:before="117"/>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4293" w:space="4536"/>
            <w:col w:w="1121"/>
          </w:cols>
        </w:sectPr>
      </w:pPr>
    </w:p>
    <w:p>
      <w:pPr>
        <w:spacing w:line="240" w:lineRule="auto" w:before="2"/>
        <w:rPr>
          <w:rFonts w:ascii="宋体" w:hAnsi="宋体" w:cs="宋体" w:eastAsia="宋体" w:hint="default"/>
          <w:sz w:val="9"/>
          <w:szCs w:val="9"/>
        </w:rPr>
      </w:pPr>
    </w:p>
    <w:tbl>
      <w:tblPr>
        <w:tblW w:w="0" w:type="auto"/>
        <w:jc w:val="left"/>
        <w:tblInd w:w="160" w:type="dxa"/>
        <w:tblLayout w:type="fixed"/>
        <w:tblCellMar>
          <w:top w:w="0" w:type="dxa"/>
          <w:left w:w="0" w:type="dxa"/>
          <w:bottom w:w="0" w:type="dxa"/>
          <w:right w:w="0" w:type="dxa"/>
        </w:tblCellMar>
        <w:tblLook w:val="01E0"/>
      </w:tblPr>
      <w:tblGrid>
        <w:gridCol w:w="725"/>
        <w:gridCol w:w="736"/>
        <w:gridCol w:w="737"/>
        <w:gridCol w:w="735"/>
        <w:gridCol w:w="736"/>
        <w:gridCol w:w="736"/>
        <w:gridCol w:w="734"/>
        <w:gridCol w:w="735"/>
        <w:gridCol w:w="737"/>
        <w:gridCol w:w="737"/>
        <w:gridCol w:w="736"/>
        <w:gridCol w:w="734"/>
        <w:gridCol w:w="726"/>
      </w:tblGrid>
      <w:tr>
        <w:trPr>
          <w:trHeight w:val="694" w:hRule="exact"/>
        </w:trPr>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38"/>
              <w:ind w:left="170" w:right="92"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38"/>
              <w:ind w:left="93" w:right="90"/>
              <w:jc w:val="left"/>
              <w:rPr>
                <w:rFonts w:ascii="宋体" w:hAnsi="宋体" w:cs="宋体" w:eastAsia="宋体" w:hint="default"/>
                <w:sz w:val="18"/>
                <w:szCs w:val="18"/>
              </w:rPr>
            </w:pPr>
            <w:r>
              <w:rPr>
                <w:rFonts w:ascii="宋体" w:hAnsi="宋体" w:cs="宋体" w:eastAsia="宋体" w:hint="default"/>
                <w:sz w:val="18"/>
                <w:szCs w:val="18"/>
              </w:rPr>
              <w:t>股权处 置价款</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38"/>
              <w:ind w:left="92" w:right="92"/>
              <w:jc w:val="left"/>
              <w:rPr>
                <w:rFonts w:ascii="宋体" w:hAnsi="宋体" w:cs="宋体" w:eastAsia="宋体" w:hint="default"/>
                <w:sz w:val="18"/>
                <w:szCs w:val="18"/>
              </w:rPr>
            </w:pPr>
            <w:r>
              <w:rPr>
                <w:rFonts w:ascii="宋体" w:hAnsi="宋体" w:cs="宋体" w:eastAsia="宋体" w:hint="default"/>
                <w:sz w:val="18"/>
                <w:szCs w:val="18"/>
              </w:rPr>
              <w:t>股权处 置比例</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38"/>
              <w:ind w:left="92" w:right="90"/>
              <w:jc w:val="left"/>
              <w:rPr>
                <w:rFonts w:ascii="宋体" w:hAnsi="宋体" w:cs="宋体" w:eastAsia="宋体" w:hint="default"/>
                <w:sz w:val="18"/>
                <w:szCs w:val="18"/>
              </w:rPr>
            </w:pPr>
            <w:r>
              <w:rPr>
                <w:rFonts w:ascii="宋体" w:hAnsi="宋体" w:cs="宋体" w:eastAsia="宋体" w:hint="default"/>
                <w:sz w:val="18"/>
                <w:szCs w:val="18"/>
              </w:rPr>
              <w:t>股权处 置方式</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60"/>
              <w:ind w:left="92" w:right="91"/>
              <w:jc w:val="left"/>
              <w:rPr>
                <w:rFonts w:ascii="宋体" w:hAnsi="宋体" w:cs="宋体" w:eastAsia="宋体" w:hint="default"/>
                <w:sz w:val="18"/>
                <w:szCs w:val="18"/>
              </w:rPr>
            </w:pPr>
            <w:r>
              <w:rPr>
                <w:rFonts w:ascii="宋体" w:hAnsi="宋体" w:cs="宋体" w:eastAsia="宋体" w:hint="default"/>
                <w:sz w:val="18"/>
                <w:szCs w:val="18"/>
              </w:rPr>
              <w:t>丧失控 制权的</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60"/>
              <w:ind w:left="93" w:right="90"/>
              <w:jc w:val="left"/>
              <w:rPr>
                <w:rFonts w:ascii="宋体" w:hAnsi="宋体" w:cs="宋体" w:eastAsia="宋体" w:hint="default"/>
                <w:sz w:val="18"/>
                <w:szCs w:val="18"/>
              </w:rPr>
            </w:pPr>
            <w:r>
              <w:rPr>
                <w:rFonts w:ascii="宋体" w:hAnsi="宋体" w:cs="宋体" w:eastAsia="宋体" w:hint="default"/>
                <w:sz w:val="18"/>
                <w:szCs w:val="18"/>
              </w:rPr>
              <w:t>丧失控 制权时</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60"/>
              <w:ind w:left="92" w:right="90"/>
              <w:jc w:val="left"/>
              <w:rPr>
                <w:rFonts w:ascii="宋体" w:hAnsi="宋体" w:cs="宋体" w:eastAsia="宋体" w:hint="default"/>
                <w:sz w:val="18"/>
                <w:szCs w:val="18"/>
              </w:rPr>
            </w:pPr>
            <w:r>
              <w:rPr>
                <w:rFonts w:ascii="宋体" w:hAnsi="宋体" w:cs="宋体" w:eastAsia="宋体" w:hint="default"/>
                <w:sz w:val="18"/>
                <w:szCs w:val="18"/>
              </w:rPr>
              <w:t>处置价 款与处</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60"/>
              <w:ind w:left="92" w:right="90"/>
              <w:jc w:val="left"/>
              <w:rPr>
                <w:rFonts w:ascii="宋体" w:hAnsi="宋体" w:cs="宋体" w:eastAsia="宋体" w:hint="default"/>
                <w:sz w:val="18"/>
                <w:szCs w:val="18"/>
              </w:rPr>
            </w:pPr>
            <w:r>
              <w:rPr>
                <w:rFonts w:ascii="宋体" w:hAnsi="宋体" w:cs="宋体" w:eastAsia="宋体" w:hint="default"/>
                <w:sz w:val="18"/>
                <w:szCs w:val="18"/>
              </w:rPr>
              <w:t>丧失控 制权之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60"/>
              <w:ind w:left="92" w:right="92"/>
              <w:jc w:val="left"/>
              <w:rPr>
                <w:rFonts w:ascii="宋体" w:hAnsi="宋体" w:cs="宋体" w:eastAsia="宋体" w:hint="default"/>
                <w:sz w:val="18"/>
                <w:szCs w:val="18"/>
              </w:rPr>
            </w:pPr>
            <w:r>
              <w:rPr>
                <w:rFonts w:ascii="宋体" w:hAnsi="宋体" w:cs="宋体" w:eastAsia="宋体" w:hint="default"/>
                <w:sz w:val="18"/>
                <w:szCs w:val="18"/>
              </w:rPr>
              <w:t>丧失控 制权之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60"/>
              <w:ind w:left="92" w:right="92"/>
              <w:jc w:val="left"/>
              <w:rPr>
                <w:rFonts w:ascii="宋体" w:hAnsi="宋体" w:cs="宋体" w:eastAsia="宋体" w:hint="default"/>
                <w:sz w:val="18"/>
                <w:szCs w:val="18"/>
              </w:rPr>
            </w:pPr>
            <w:r>
              <w:rPr>
                <w:rFonts w:ascii="宋体" w:hAnsi="宋体" w:cs="宋体" w:eastAsia="宋体" w:hint="default"/>
                <w:sz w:val="18"/>
                <w:szCs w:val="18"/>
              </w:rPr>
              <w:t>丧失控 制权之</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60"/>
              <w:ind w:left="92" w:right="92"/>
              <w:jc w:val="left"/>
              <w:rPr>
                <w:rFonts w:ascii="宋体" w:hAnsi="宋体" w:cs="宋体" w:eastAsia="宋体" w:hint="default"/>
                <w:sz w:val="18"/>
                <w:szCs w:val="18"/>
              </w:rPr>
            </w:pPr>
            <w:r>
              <w:rPr>
                <w:rFonts w:ascii="宋体" w:hAnsi="宋体" w:cs="宋体" w:eastAsia="宋体" w:hint="default"/>
                <w:sz w:val="18"/>
                <w:szCs w:val="18"/>
              </w:rPr>
              <w:t>按照公 允价值</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60"/>
              <w:ind w:left="93" w:right="89"/>
              <w:jc w:val="left"/>
              <w:rPr>
                <w:rFonts w:ascii="宋体" w:hAnsi="宋体" w:cs="宋体" w:eastAsia="宋体" w:hint="default"/>
                <w:sz w:val="18"/>
                <w:szCs w:val="18"/>
              </w:rPr>
            </w:pPr>
            <w:r>
              <w:rPr>
                <w:rFonts w:ascii="宋体" w:hAnsi="宋体" w:cs="宋体" w:eastAsia="宋体" w:hint="default"/>
                <w:sz w:val="18"/>
                <w:szCs w:val="18"/>
              </w:rPr>
              <w:t>丧失控 制权之</w:t>
            </w:r>
          </w:p>
        </w:tc>
        <w:tc>
          <w:tcPr>
            <w:tcW w:w="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60"/>
              <w:ind w:left="93" w:right="80"/>
              <w:jc w:val="left"/>
              <w:rPr>
                <w:rFonts w:ascii="宋体" w:hAnsi="宋体" w:cs="宋体" w:eastAsia="宋体" w:hint="default"/>
                <w:sz w:val="18"/>
                <w:szCs w:val="18"/>
              </w:rPr>
            </w:pPr>
            <w:r>
              <w:rPr>
                <w:rFonts w:ascii="宋体" w:hAnsi="宋体" w:cs="宋体" w:eastAsia="宋体" w:hint="default"/>
                <w:sz w:val="18"/>
                <w:szCs w:val="18"/>
              </w:rPr>
              <w:t>与原子 公司股</w:t>
            </w:r>
          </w:p>
        </w:tc>
      </w:tr>
    </w:tbl>
    <w:p>
      <w:pPr>
        <w:spacing w:after="0" w:line="314" w:lineRule="auto"/>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37"/>
        <w:gridCol w:w="734"/>
        <w:gridCol w:w="737"/>
        <w:gridCol w:w="735"/>
        <w:gridCol w:w="737"/>
        <w:gridCol w:w="734"/>
        <w:gridCol w:w="734"/>
        <w:gridCol w:w="735"/>
        <w:gridCol w:w="737"/>
        <w:gridCol w:w="737"/>
        <w:gridCol w:w="737"/>
        <w:gridCol w:w="734"/>
        <w:gridCol w:w="737"/>
      </w:tblGrid>
      <w:tr>
        <w:trPr>
          <w:trHeight w:val="3171" w:hRule="exact"/>
        </w:trPr>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82" w:right="0"/>
              <w:jc w:val="left"/>
              <w:rPr>
                <w:rFonts w:ascii="宋体" w:hAnsi="宋体" w:cs="宋体" w:eastAsia="宋体" w:hint="default"/>
                <w:sz w:val="18"/>
                <w:szCs w:val="18"/>
              </w:rPr>
            </w:pPr>
            <w:r>
              <w:rPr>
                <w:rFonts w:ascii="宋体" w:hAnsi="宋体" w:cs="宋体" w:eastAsia="宋体" w:hint="default"/>
                <w:sz w:val="18"/>
                <w:szCs w:val="18"/>
              </w:rPr>
              <w:t>时点</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93" w:right="89"/>
              <w:jc w:val="left"/>
              <w:rPr>
                <w:rFonts w:ascii="宋体" w:hAnsi="宋体" w:cs="宋体" w:eastAsia="宋体" w:hint="default"/>
                <w:sz w:val="18"/>
                <w:szCs w:val="18"/>
              </w:rPr>
            </w:pPr>
            <w:r>
              <w:rPr>
                <w:rFonts w:ascii="宋体" w:hAnsi="宋体" w:cs="宋体" w:eastAsia="宋体" w:hint="default"/>
                <w:sz w:val="18"/>
                <w:szCs w:val="18"/>
              </w:rPr>
              <w:t>点的确 定依据</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93" w:right="89"/>
              <w:jc w:val="center"/>
              <w:rPr>
                <w:rFonts w:ascii="宋体" w:hAnsi="宋体" w:cs="宋体" w:eastAsia="宋体" w:hint="default"/>
                <w:sz w:val="18"/>
                <w:szCs w:val="18"/>
              </w:rPr>
            </w:pPr>
            <w:r>
              <w:rPr>
                <w:rFonts w:ascii="宋体" w:hAnsi="宋体" w:cs="宋体" w:eastAsia="宋体" w:hint="default"/>
                <w:sz w:val="18"/>
                <w:szCs w:val="18"/>
              </w:rPr>
              <w:t>置投资 对应的 合并财 务报表 层面享 有该子 公司净 资产份 额的差 额</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93" w:right="89"/>
              <w:jc w:val="both"/>
              <w:rPr>
                <w:rFonts w:ascii="宋体" w:hAnsi="宋体" w:cs="宋体" w:eastAsia="宋体" w:hint="default"/>
                <w:sz w:val="18"/>
                <w:szCs w:val="18"/>
              </w:rPr>
            </w:pPr>
            <w:r>
              <w:rPr>
                <w:rFonts w:ascii="宋体" w:hAnsi="宋体" w:cs="宋体" w:eastAsia="宋体" w:hint="default"/>
                <w:sz w:val="18"/>
                <w:szCs w:val="18"/>
              </w:rPr>
              <w:t>日剩余 股权的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93" w:right="91"/>
              <w:jc w:val="center"/>
              <w:rPr>
                <w:rFonts w:ascii="宋体" w:hAnsi="宋体" w:cs="宋体" w:eastAsia="宋体" w:hint="default"/>
                <w:sz w:val="18"/>
                <w:szCs w:val="18"/>
              </w:rPr>
            </w:pPr>
            <w:r>
              <w:rPr>
                <w:rFonts w:ascii="宋体" w:hAnsi="宋体" w:cs="宋体" w:eastAsia="宋体" w:hint="default"/>
                <w:sz w:val="18"/>
                <w:szCs w:val="18"/>
              </w:rPr>
              <w:t>日剩余 股权的 账面价 值</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93" w:right="91"/>
              <w:jc w:val="center"/>
              <w:rPr>
                <w:rFonts w:ascii="宋体" w:hAnsi="宋体" w:cs="宋体" w:eastAsia="宋体" w:hint="default"/>
                <w:sz w:val="18"/>
                <w:szCs w:val="18"/>
              </w:rPr>
            </w:pPr>
            <w:r>
              <w:rPr>
                <w:rFonts w:ascii="宋体" w:hAnsi="宋体" w:cs="宋体" w:eastAsia="宋体" w:hint="default"/>
                <w:sz w:val="18"/>
                <w:szCs w:val="18"/>
              </w:rPr>
              <w:t>日剩余 股权的 公允价 值</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93" w:right="92"/>
              <w:jc w:val="center"/>
              <w:rPr>
                <w:rFonts w:ascii="宋体" w:hAnsi="宋体" w:cs="宋体" w:eastAsia="宋体" w:hint="default"/>
                <w:sz w:val="18"/>
                <w:szCs w:val="18"/>
              </w:rPr>
            </w:pPr>
            <w:r>
              <w:rPr>
                <w:rFonts w:ascii="宋体" w:hAnsi="宋体" w:cs="宋体" w:eastAsia="宋体" w:hint="default"/>
                <w:sz w:val="18"/>
                <w:szCs w:val="18"/>
              </w:rPr>
              <w:t>重新计 量剩余 股权产 生的利 得或损 失</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93" w:right="89"/>
              <w:jc w:val="center"/>
              <w:rPr>
                <w:rFonts w:ascii="宋体" w:hAnsi="宋体" w:cs="宋体" w:eastAsia="宋体" w:hint="default"/>
                <w:sz w:val="18"/>
                <w:szCs w:val="18"/>
              </w:rPr>
            </w:pPr>
            <w:r>
              <w:rPr>
                <w:rFonts w:ascii="宋体" w:hAnsi="宋体" w:cs="宋体" w:eastAsia="宋体" w:hint="default"/>
                <w:sz w:val="18"/>
                <w:szCs w:val="18"/>
              </w:rPr>
              <w:t>日剩余 股权公 允价值 的确定 方法及 主要假 设</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93" w:right="91"/>
              <w:jc w:val="both"/>
              <w:rPr>
                <w:rFonts w:ascii="宋体" w:hAnsi="宋体" w:cs="宋体" w:eastAsia="宋体" w:hint="default"/>
                <w:sz w:val="18"/>
                <w:szCs w:val="18"/>
              </w:rPr>
            </w:pPr>
            <w:r>
              <w:rPr>
                <w:rFonts w:ascii="宋体" w:hAnsi="宋体" w:cs="宋体" w:eastAsia="宋体" w:hint="default"/>
                <w:sz w:val="18"/>
                <w:szCs w:val="18"/>
              </w:rPr>
              <w:t>权投资 相关的 其他综 合收益 转入投 资损益 的金额</w:t>
            </w:r>
          </w:p>
        </w:tc>
      </w:tr>
      <w:tr>
        <w:trPr>
          <w:trHeight w:val="1337"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上海缔 塔科技 有限公 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1.00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27" w:right="0"/>
              <w:jc w:val="center"/>
              <w:rPr>
                <w:rFonts w:ascii="Times New Roman" w:hAnsi="Times New Roman" w:cs="Times New Roman" w:eastAsia="Times New Roman" w:hint="default"/>
                <w:sz w:val="18"/>
                <w:szCs w:val="18"/>
              </w:rPr>
            </w:pPr>
            <w:r>
              <w:rPr>
                <w:rFonts w:ascii="Times New Roman"/>
                <w:sz w:val="18"/>
              </w:rPr>
              <w:t>88.00%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3" w:right="159"/>
              <w:jc w:val="left"/>
              <w:rPr>
                <w:rFonts w:ascii="宋体" w:hAnsi="宋体" w:cs="宋体" w:eastAsia="宋体" w:hint="default"/>
                <w:sz w:val="18"/>
                <w:szCs w:val="18"/>
              </w:rPr>
            </w:pPr>
            <w:r>
              <w:rPr>
                <w:rFonts w:ascii="宋体" w:hAnsi="宋体" w:cs="宋体" w:eastAsia="宋体" w:hint="default"/>
                <w:sz w:val="18"/>
                <w:szCs w:val="18"/>
              </w:rPr>
              <w:t>股权转 让</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58"/>
              <w:jc w:val="both"/>
              <w:rPr>
                <w:rFonts w:ascii="宋体" w:hAnsi="宋体" w:cs="宋体" w:eastAsia="宋体" w:hint="default"/>
                <w:sz w:val="18"/>
                <w:szCs w:val="18"/>
              </w:rPr>
            </w:pPr>
            <w:r>
              <w:rPr>
                <w:rFonts w:ascii="宋体" w:hAnsi="宋体" w:cs="宋体" w:eastAsia="宋体" w:hint="default"/>
                <w:sz w:val="18"/>
                <w:szCs w:val="18"/>
              </w:rPr>
              <w:t>股权转 让交割 凭证</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-155,223</w:t>
            </w:r>
          </w:p>
          <w:p>
            <w:pPr>
              <w:pStyle w:val="TableParagraph"/>
              <w:spacing w:line="240" w:lineRule="auto" w:before="105"/>
              <w:ind w:left="477" w:right="0"/>
              <w:jc w:val="left"/>
              <w:rPr>
                <w:rFonts w:ascii="Times New Roman" w:hAnsi="Times New Roman" w:cs="Times New Roman" w:eastAsia="Times New Roman" w:hint="default"/>
                <w:sz w:val="18"/>
                <w:szCs w:val="18"/>
              </w:rPr>
            </w:pPr>
            <w:r>
              <w:rPr>
                <w:rFonts w:ascii="Times New Roman"/>
                <w:sz w:val="18"/>
              </w:rPr>
              <w:t>.76</w:t>
            </w: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1651"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上海卓 之联信 息科技 有限公 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17,065,3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59.06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27" w:right="0"/>
              <w:jc w:val="center"/>
              <w:rPr>
                <w:rFonts w:ascii="Times New Roman" w:hAnsi="Times New Roman" w:cs="Times New Roman" w:eastAsia="Times New Roman" w:hint="default"/>
                <w:sz w:val="18"/>
                <w:szCs w:val="18"/>
              </w:rPr>
            </w:pPr>
            <w:r>
              <w:rPr>
                <w:rFonts w:ascii="Times New Roman"/>
                <w:sz w:val="18"/>
              </w:rPr>
              <w:t>50.00%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4"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0.00</w:t>
            </w: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bl>
    <w:p>
      <w:pPr>
        <w:spacing w:line="357" w:lineRule="auto" w:before="49"/>
        <w:ind w:left="152" w:right="4014" w:firstLine="0"/>
        <w:jc w:val="left"/>
        <w:rPr>
          <w:rFonts w:ascii="宋体" w:hAnsi="宋体" w:cs="宋体" w:eastAsia="宋体" w:hint="default"/>
          <w:sz w:val="18"/>
          <w:szCs w:val="18"/>
        </w:rPr>
      </w:pPr>
      <w:r>
        <w:rPr>
          <w:rFonts w:ascii="宋体" w:hAnsi="宋体" w:cs="宋体" w:eastAsia="宋体" w:hint="default"/>
          <w:sz w:val="18"/>
          <w:szCs w:val="18"/>
        </w:rPr>
        <w:t>其他说明： 是否存在通过多次交易分步处置对子公司投资且在本期丧失控制权的情形</w:t>
      </w:r>
    </w:p>
    <w:p>
      <w:pPr>
        <w:spacing w:before="29"/>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5</w:t>
      </w:r>
      <w:r>
        <w:rPr/>
        <w:t>、其他原因的合并范围变动</w:t>
      </w:r>
      <w:r>
        <w:rPr>
          <w:b w:val="0"/>
          <w:bCs w:val="0"/>
        </w:rPr>
      </w:r>
    </w:p>
    <w:p>
      <w:pPr>
        <w:spacing w:line="240" w:lineRule="auto" w:before="4"/>
        <w:rPr>
          <w:rFonts w:ascii="宋体" w:hAnsi="宋体" w:cs="宋体" w:eastAsia="宋体" w:hint="default"/>
          <w:b/>
          <w:bCs/>
          <w:sz w:val="26"/>
          <w:szCs w:val="26"/>
        </w:rPr>
      </w:pPr>
    </w:p>
    <w:p>
      <w:pPr>
        <w:spacing w:line="396" w:lineRule="auto" w:before="0"/>
        <w:ind w:left="152" w:right="0" w:firstLine="0"/>
        <w:jc w:val="left"/>
        <w:rPr>
          <w:rFonts w:ascii="宋体" w:hAnsi="宋体" w:cs="宋体" w:eastAsia="宋体" w:hint="default"/>
          <w:sz w:val="21"/>
          <w:szCs w:val="21"/>
        </w:rPr>
      </w:pPr>
      <w:r>
        <w:rPr>
          <w:rFonts w:ascii="宋体" w:hAnsi="宋体" w:cs="宋体" w:eastAsia="宋体" w:hint="default"/>
          <w:sz w:val="18"/>
          <w:szCs w:val="18"/>
        </w:rPr>
        <w:t>说明其他原因导致的合并范围变动（如，新设子公司、清算子公司等）及其相关情况： </w:t>
      </w:r>
      <w:r>
        <w:rPr>
          <w:rFonts w:ascii="宋体" w:hAnsi="宋体" w:cs="宋体" w:eastAsia="宋体" w:hint="default"/>
          <w:spacing w:val="-2"/>
          <w:sz w:val="21"/>
          <w:szCs w:val="21"/>
        </w:rPr>
        <w:t>根据公司</w:t>
      </w:r>
      <w:r>
        <w:rPr>
          <w:rFonts w:ascii="Times New Roman" w:hAnsi="Times New Roman" w:cs="Times New Roman" w:eastAsia="Times New Roman" w:hint="default"/>
          <w:spacing w:val="-2"/>
          <w:sz w:val="21"/>
          <w:szCs w:val="21"/>
        </w:rPr>
        <w:t>2017</w:t>
      </w:r>
      <w:r>
        <w:rPr>
          <w:rFonts w:ascii="宋体" w:hAnsi="宋体" w:cs="宋体" w:eastAsia="宋体" w:hint="default"/>
          <w:spacing w:val="-2"/>
          <w:sz w:val="21"/>
          <w:szCs w:val="21"/>
        </w:rPr>
        <w:t>年第三次总经理会议决议，同意投资设立控股子公司西安天玑力拓信息技术有限公司（以下</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pacing w:val="-3"/>
          <w:sz w:val="21"/>
          <w:szCs w:val="21"/>
        </w:rPr>
        <w:t>简称</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西安力拓</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）。西安力拓注册资本为</w:t>
      </w:r>
      <w:r>
        <w:rPr>
          <w:rFonts w:ascii="Times New Roman" w:hAnsi="Times New Roman" w:cs="Times New Roman" w:eastAsia="Times New Roman" w:hint="default"/>
          <w:spacing w:val="-3"/>
          <w:sz w:val="21"/>
          <w:szCs w:val="21"/>
        </w:rPr>
        <w:t>100</w:t>
      </w:r>
      <w:r>
        <w:rPr>
          <w:rFonts w:ascii="宋体" w:hAnsi="宋体" w:cs="宋体" w:eastAsia="宋体" w:hint="default"/>
          <w:spacing w:val="-3"/>
          <w:sz w:val="21"/>
          <w:szCs w:val="21"/>
        </w:rPr>
        <w:t>万元，公司使用自有资金出资</w:t>
      </w:r>
      <w:r>
        <w:rPr>
          <w:rFonts w:ascii="Times New Roman" w:hAnsi="Times New Roman" w:cs="Times New Roman" w:eastAsia="Times New Roman" w:hint="default"/>
          <w:spacing w:val="-3"/>
          <w:sz w:val="21"/>
          <w:szCs w:val="21"/>
        </w:rPr>
        <w:t>60</w:t>
      </w:r>
      <w:r>
        <w:rPr>
          <w:rFonts w:ascii="宋体" w:hAnsi="宋体" w:cs="宋体" w:eastAsia="宋体" w:hint="default"/>
          <w:spacing w:val="-3"/>
          <w:sz w:val="21"/>
          <w:szCs w:val="21"/>
        </w:rPr>
        <w:t>万元，占出资比例</w:t>
      </w:r>
      <w:r>
        <w:rPr>
          <w:rFonts w:ascii="Times New Roman" w:hAnsi="Times New Roman" w:cs="Times New Roman" w:eastAsia="Times New Roman" w:hint="default"/>
          <w:spacing w:val="-3"/>
          <w:sz w:val="21"/>
          <w:szCs w:val="21"/>
        </w:rPr>
        <w:t>60%</w:t>
      </w:r>
      <w:r>
        <w:rPr>
          <w:rFonts w:ascii="宋体" w:hAnsi="宋体" w:cs="宋体" w:eastAsia="宋体" w:hint="default"/>
          <w:spacing w:val="-3"/>
          <w:sz w:val="21"/>
          <w:szCs w:val="21"/>
        </w:rPr>
        <w:t>。西安</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z w:val="21"/>
          <w:szCs w:val="21"/>
        </w:rPr>
        <w:t>力拓于</w:t>
      </w: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9</w:t>
      </w:r>
      <w:r>
        <w:rPr>
          <w:rFonts w:ascii="宋体" w:hAnsi="宋体" w:cs="宋体" w:eastAsia="宋体" w:hint="default"/>
          <w:sz w:val="21"/>
          <w:szCs w:val="21"/>
        </w:rPr>
        <w:t>月成立并纳入合并范围。</w:t>
      </w: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20"/>
          <w:szCs w:val="20"/>
        </w:rPr>
      </w:pPr>
    </w:p>
    <w:p>
      <w:pPr>
        <w:spacing w:line="487" w:lineRule="auto" w:before="0"/>
        <w:ind w:left="152" w:right="712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九、在其他主体中的权益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3"/>
        <w:spacing w:line="240" w:lineRule="auto" w:before="84"/>
        <w:ind w:right="0"/>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0"/>
        <w:gridCol w:w="1369"/>
        <w:gridCol w:w="1366"/>
        <w:gridCol w:w="1368"/>
        <w:gridCol w:w="1368"/>
        <w:gridCol w:w="1366"/>
        <w:gridCol w:w="1366"/>
      </w:tblGrid>
      <w:tr>
        <w:trPr>
          <w:trHeight w:val="404"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29"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133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极品数据系统公 司</w:t>
            </w:r>
          </w:p>
          <w:p>
            <w:pPr>
              <w:pStyle w:val="TableParagraph"/>
              <w:spacing w:line="300" w:lineRule="auto" w:before="19"/>
              <w:ind w:left="24" w:right="148"/>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TopDataSyste</w:t>
            </w:r>
            <w:r>
              <w:rPr>
                <w:rFonts w:ascii="Times New Roman" w:hAnsi="Times New Roman" w:cs="Times New Roman" w:eastAsia="Times New Roman" w:hint="default"/>
                <w:spacing w:val="-35"/>
                <w:sz w:val="18"/>
                <w:szCs w:val="18"/>
              </w:rPr>
              <w:t> </w:t>
            </w:r>
            <w:r>
              <w:rPr>
                <w:rFonts w:ascii="Times New Roman" w:hAnsi="Times New Roman" w:cs="Times New Roman" w:eastAsia="Times New Roman" w:hint="default"/>
                <w:spacing w:val="-35"/>
                <w:sz w:val="18"/>
                <w:szCs w:val="18"/>
              </w:rPr>
            </w:r>
            <w:r>
              <w:rPr>
                <w:rFonts w:ascii="Times New Roman" w:hAnsi="Times New Roman" w:cs="Times New Roman" w:eastAsia="Times New Roman" w:hint="default"/>
                <w:sz w:val="18"/>
                <w:szCs w:val="18"/>
              </w:rPr>
              <w:t>msInc.</w:t>
            </w:r>
            <w:r>
              <w:rPr>
                <w:rFonts w:ascii="宋体" w:hAnsi="宋体" w:cs="宋体" w:eastAsia="宋体" w:hint="default"/>
                <w:sz w:val="18"/>
                <w:szCs w:val="18"/>
              </w:rPr>
              <w:t>）</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硬件服务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上海力克数码科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硬件服务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极品数据系统</w:t>
            </w:r>
          </w:p>
          <w:p>
            <w:pPr>
              <w:pStyle w:val="TableParagraph"/>
              <w:spacing w:line="316" w:lineRule="auto" w:before="76"/>
              <w:ind w:left="24" w:right="75"/>
              <w:jc w:val="left"/>
              <w:rPr>
                <w:rFonts w:ascii="宋体" w:hAnsi="宋体" w:cs="宋体" w:eastAsia="宋体" w:hint="default"/>
                <w:sz w:val="18"/>
                <w:szCs w:val="18"/>
              </w:rPr>
            </w:pPr>
            <w:r>
              <w:rPr>
                <w:rFonts w:ascii="宋体" w:hAnsi="宋体" w:cs="宋体" w:eastAsia="宋体" w:hint="default"/>
                <w:sz w:val="18"/>
                <w:szCs w:val="18"/>
              </w:rPr>
              <w:t>（香港）有限公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硬件服务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西安天玑力拓信 息技术有限公司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硬件服务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上海领卓企业管 理咨询有限公司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咨询服务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上海天玑数据技 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硬件服务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58.50%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北京天玑力拓信 息技术有限公司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维护服务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杭州平民软件有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维护服务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55.00%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杭州广捷科技有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维护服务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杭州鸿昇科技有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维护服务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line="357" w:lineRule="auto" w:before="49"/>
        <w:ind w:left="152" w:right="1854" w:firstLine="0"/>
        <w:jc w:val="left"/>
        <w:rPr>
          <w:rFonts w:ascii="宋体" w:hAnsi="宋体" w:cs="宋体" w:eastAsia="宋体" w:hint="default"/>
          <w:sz w:val="18"/>
          <w:szCs w:val="18"/>
        </w:rPr>
      </w:pPr>
      <w:r>
        <w:rPr>
          <w:rFonts w:ascii="宋体" w:hAnsi="宋体" w:cs="宋体" w:eastAsia="宋体" w:hint="default"/>
          <w:sz w:val="18"/>
          <w:szCs w:val="18"/>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spacing w:line="357" w:lineRule="auto" w:before="29"/>
        <w:ind w:left="152" w:right="6714" w:firstLine="0"/>
        <w:jc w:val="left"/>
        <w:rPr>
          <w:rFonts w:ascii="宋体" w:hAnsi="宋体" w:cs="宋体" w:eastAsia="宋体" w:hint="default"/>
          <w:sz w:val="18"/>
          <w:szCs w:val="18"/>
        </w:rPr>
      </w:pPr>
      <w:r>
        <w:rPr>
          <w:rFonts w:ascii="宋体" w:hAnsi="宋体" w:cs="宋体" w:eastAsia="宋体" w:hint="default"/>
          <w:sz w:val="18"/>
          <w:szCs w:val="18"/>
        </w:rPr>
        <w:t>确定公司是代理人还是委托人的依据： 其他说明：</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9"/>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3"/>
        <w:gridCol w:w="1913"/>
        <w:gridCol w:w="1916"/>
      </w:tblGrid>
      <w:tr>
        <w:trPr>
          <w:trHeight w:val="75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8"/>
              <w:ind w:left="772" w:right="48"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8"/>
              <w:ind w:left="592" w:right="48"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50"/>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20"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81"/>
              <w:jc w:val="left"/>
              <w:rPr>
                <w:rFonts w:ascii="宋体" w:hAnsi="宋体" w:cs="宋体" w:eastAsia="宋体" w:hint="default"/>
                <w:sz w:val="18"/>
                <w:szCs w:val="18"/>
              </w:rPr>
            </w:pPr>
            <w:r>
              <w:rPr>
                <w:rFonts w:ascii="宋体" w:hAnsi="宋体" w:cs="宋体" w:eastAsia="宋体" w:hint="default"/>
                <w:sz w:val="18"/>
                <w:szCs w:val="18"/>
              </w:rPr>
              <w:t>西安天玑力拓信息技术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40.00%</w:t>
            </w:r>
          </w:p>
        </w:tc>
        <w:tc>
          <w:tcPr>
            <w:tcW w:w="1913" w:type="dxa"/>
            <w:tcBorders>
              <w:top w:val="single" w:sz="13" w:space="0" w:color="D2D2D2"/>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-42,716.36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157,283.64</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上海天玑数据技术有限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41.50%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-2,957,563.54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-974,530.25</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7"/>
              <w:jc w:val="center"/>
              <w:rPr>
                <w:rFonts w:ascii="宋体" w:hAnsi="宋体" w:cs="宋体" w:eastAsia="宋体" w:hint="default"/>
                <w:sz w:val="18"/>
                <w:szCs w:val="18"/>
              </w:rPr>
            </w:pPr>
            <w:r>
              <w:rPr>
                <w:rFonts w:ascii="宋体" w:hAnsi="宋体" w:cs="宋体" w:eastAsia="宋体" w:hint="default"/>
                <w:sz w:val="18"/>
                <w:szCs w:val="18"/>
              </w:rPr>
              <w:t>杭州平民软件有限公司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-218,822.34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3,141,879.93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5"/>
          <w:szCs w:val="25"/>
        </w:rPr>
      </w:pPr>
    </w:p>
    <w:p>
      <w:pPr>
        <w:spacing w:line="360" w:lineRule="auto" w:before="44"/>
        <w:ind w:left="152" w:right="5454" w:firstLine="0"/>
        <w:jc w:val="left"/>
        <w:rPr>
          <w:rFonts w:ascii="宋体" w:hAnsi="宋体" w:cs="宋体" w:eastAsia="宋体" w:hint="default"/>
          <w:sz w:val="18"/>
          <w:szCs w:val="18"/>
        </w:rPr>
      </w:pPr>
      <w:r>
        <w:rPr>
          <w:rFonts w:ascii="宋体" w:hAnsi="宋体" w:cs="宋体" w:eastAsia="宋体" w:hint="default"/>
          <w:sz w:val="18"/>
          <w:szCs w:val="18"/>
        </w:rPr>
        <w:t>子公司少数股东的持股比例不同于表决权比例的说明： 其他说明：</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7"/>
        <w:gridCol w:w="734"/>
        <w:gridCol w:w="737"/>
        <w:gridCol w:w="737"/>
        <w:gridCol w:w="734"/>
        <w:gridCol w:w="737"/>
        <w:gridCol w:w="734"/>
        <w:gridCol w:w="735"/>
        <w:gridCol w:w="734"/>
        <w:gridCol w:w="737"/>
        <w:gridCol w:w="737"/>
        <w:gridCol w:w="734"/>
        <w:gridCol w:w="737"/>
      </w:tblGrid>
      <w:tr>
        <w:trPr>
          <w:trHeight w:val="401" w:hRule="exact"/>
        </w:trPr>
        <w:tc>
          <w:tcPr>
            <w:tcW w:w="7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182" w:right="92"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5" w:hRule="exact"/>
        </w:trPr>
        <w:tc>
          <w:tcPr>
            <w:tcW w:w="737" w:type="dxa"/>
            <w:vMerge/>
            <w:tcBorders>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73" w:right="92"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73" w:right="89"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74"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73" w:right="92"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649"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西安天 玑力拓 信息技 术有限 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421,134.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28</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421,134.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27,925.1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27,925.1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735"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61"/>
              <w:jc w:val="both"/>
              <w:rPr>
                <w:rFonts w:ascii="宋体" w:hAnsi="宋体" w:cs="宋体" w:eastAsia="宋体" w:hint="default"/>
                <w:sz w:val="18"/>
                <w:szCs w:val="18"/>
              </w:rPr>
            </w:pPr>
            <w:r>
              <w:rPr>
                <w:rFonts w:ascii="宋体" w:hAnsi="宋体" w:cs="宋体" w:eastAsia="宋体" w:hint="default"/>
                <w:sz w:val="18"/>
                <w:szCs w:val="18"/>
              </w:rPr>
              <w:t>上海天 玑数据 技术有 限公司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20,762,7</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48.52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12,200,7</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71.39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32,963,5</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19.91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27,527,2</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41.56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1,300,20</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6.67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28,827,4</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48.23</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39,187,2</w:t>
            </w:r>
          </w:p>
          <w:p>
            <w:pPr>
              <w:pStyle w:val="TableParagraph"/>
              <w:spacing w:line="240" w:lineRule="auto" w:before="102"/>
              <w:ind w:left="298" w:right="0"/>
              <w:jc w:val="left"/>
              <w:rPr>
                <w:rFonts w:ascii="Times New Roman" w:hAnsi="Times New Roman" w:cs="Times New Roman" w:eastAsia="Times New Roman" w:hint="default"/>
                <w:sz w:val="18"/>
                <w:szCs w:val="18"/>
              </w:rPr>
            </w:pPr>
            <w:r>
              <w:rPr>
                <w:rFonts w:ascii="Times New Roman"/>
                <w:sz w:val="18"/>
              </w:rPr>
              <w:t>30.83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12,796,0</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98.47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51,983,3</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29.30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40,663,3</w:t>
            </w:r>
          </w:p>
          <w:p>
            <w:pPr>
              <w:pStyle w:val="TableParagraph"/>
              <w:spacing w:line="240" w:lineRule="auto" w:before="102"/>
              <w:ind w:left="299" w:right="0"/>
              <w:jc w:val="left"/>
              <w:rPr>
                <w:rFonts w:ascii="Times New Roman" w:hAnsi="Times New Roman" w:cs="Times New Roman" w:eastAsia="Times New Roman" w:hint="default"/>
                <w:sz w:val="18"/>
                <w:szCs w:val="18"/>
              </w:rPr>
            </w:pPr>
            <w:r>
              <w:rPr>
                <w:rFonts w:ascii="Times New Roman"/>
                <w:sz w:val="18"/>
              </w:rPr>
              <w:t>79.07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57,219.4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40,720,5</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98.47</w:t>
            </w:r>
          </w:p>
        </w:tc>
      </w:tr>
      <w:tr>
        <w:trPr>
          <w:trHeight w:val="1340"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杭州平 民软件 有限公 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7,355,56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1.36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36,110.2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7,391,67</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1.57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409,716.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409,716.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7,447,88</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5.72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79,649.2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7,527,53</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4.93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59,307.6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59,307.6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r>
    </w:tbl>
    <w:p>
      <w:pPr>
        <w:spacing w:before="49"/>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1"/>
        <w:gridCol w:w="1061"/>
        <w:gridCol w:w="1064"/>
        <w:gridCol w:w="1063"/>
        <w:gridCol w:w="1066"/>
        <w:gridCol w:w="1063"/>
        <w:gridCol w:w="1063"/>
        <w:gridCol w:w="1064"/>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36"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59" w:right="75"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37" w:right="75" w:hanging="361"/>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59" w:right="7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02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西安天玑力 拓信息技术 有限公司</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-106,790.90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39" w:right="0"/>
              <w:jc w:val="center"/>
              <w:rPr>
                <w:rFonts w:ascii="Times New Roman" w:hAnsi="Times New Roman" w:cs="Times New Roman" w:eastAsia="Times New Roman" w:hint="default"/>
                <w:sz w:val="18"/>
                <w:szCs w:val="18"/>
              </w:rPr>
            </w:pPr>
            <w:r>
              <w:rPr>
                <w:rFonts w:ascii="Times New Roman"/>
                <w:sz w:val="18"/>
              </w:rPr>
              <w:t>-106,790.90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-78,865.72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125"/>
              <w:jc w:val="both"/>
              <w:rPr>
                <w:rFonts w:ascii="宋体" w:hAnsi="宋体" w:cs="宋体" w:eastAsia="宋体" w:hint="default"/>
                <w:sz w:val="18"/>
                <w:szCs w:val="18"/>
              </w:rPr>
            </w:pPr>
            <w:r>
              <w:rPr>
                <w:rFonts w:ascii="宋体" w:hAnsi="宋体" w:cs="宋体" w:eastAsia="宋体" w:hint="default"/>
                <w:sz w:val="18"/>
                <w:szCs w:val="18"/>
              </w:rPr>
              <w:t>上海天玑数 据技术有限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40,210,285.5</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-7,102,691.76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-7,102,691.76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212,361.26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30,166,165.4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-5,245,131.12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-5,245,131.12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-11,891,800.6</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9</w:t>
            </w:r>
          </w:p>
        </w:tc>
      </w:tr>
      <w:tr>
        <w:trPr>
          <w:trHeight w:val="71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5"/>
              <w:jc w:val="left"/>
              <w:rPr>
                <w:rFonts w:ascii="宋体" w:hAnsi="宋体" w:cs="宋体" w:eastAsia="宋体" w:hint="default"/>
                <w:sz w:val="18"/>
                <w:szCs w:val="18"/>
              </w:rPr>
            </w:pPr>
            <w:r>
              <w:rPr>
                <w:rFonts w:ascii="宋体" w:hAnsi="宋体" w:cs="宋体" w:eastAsia="宋体" w:hint="default"/>
                <w:sz w:val="18"/>
                <w:szCs w:val="18"/>
              </w:rPr>
              <w:t>杭州平民软 件有限公司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1,280,448.84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-486,271.87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9" w:right="0"/>
              <w:jc w:val="center"/>
              <w:rPr>
                <w:rFonts w:ascii="Times New Roman" w:hAnsi="Times New Roman" w:cs="Times New Roman" w:eastAsia="Times New Roman" w:hint="default"/>
                <w:sz w:val="18"/>
                <w:szCs w:val="18"/>
              </w:rPr>
            </w:pPr>
            <w:r>
              <w:rPr>
                <w:rFonts w:ascii="Times New Roman"/>
                <w:sz w:val="18"/>
              </w:rPr>
              <w:t>-486,271.87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-276,777.97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366,412.62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-1,032,821.73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-1,032,821.73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-1,032,821.73</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p>
      <w:pPr>
        <w:spacing w:line="42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15pt;mso-position-horizontal-relative:char;mso-position-vertical-relative:line" coordorigin="0,0" coordsize="9581,423">
            <v:group style="position:absolute;left:23;top:14;width:2;height:394" coordorigin="23,14" coordsize="2,394">
              <v:shape style="position:absolute;left:23;top:14;width:2;height:394" coordorigin="23,14" coordsize="0,394" path="m23,14l23,408e" filled="false" stroked="true" strokeweight="1.08pt" strokecolor="#d2d2d2">
                <v:path arrowok="t"/>
              </v:shape>
            </v:group>
            <v:group style="position:absolute;left:4775;top:14;width:2;height:394" coordorigin="4775,14" coordsize="2,394">
              <v:shape style="position:absolute;left:4775;top:14;width:2;height:394" coordorigin="4775,14" coordsize="0,394" path="m4775,14l4775,408e" filled="false" stroked="true" strokeweight="1.2pt" strokecolor="#d2d2d2">
                <v:path arrowok="t"/>
              </v:shape>
            </v:group>
            <v:group style="position:absolute;left:34;top:14;width:4729;height:394" coordorigin="34,14" coordsize="4729,394">
              <v:shape style="position:absolute;left:34;top:14;width:4729;height:394" coordorigin="34,14" coordsize="4729,394" path="m34,408l4763,408,4763,14,34,14,34,408xe" filled="true" fillcolor="#d2d2d2" stroked="false">
                <v:path arrowok="t"/>
                <v:fill type="solid"/>
              </v:shape>
            </v:group>
            <v:group style="position:absolute;left:4807;top:14;width:2;height:394" coordorigin="4807,14" coordsize="2,394">
              <v:shape style="position:absolute;left:4807;top:14;width:2;height:394" coordorigin="4807,14" coordsize="0,394" path="m4807,14l4807,408e" filled="false" stroked="true" strokeweight="1.08pt" strokecolor="#e0ffff">
                <v:path arrowok="t"/>
              </v:shape>
            </v:group>
            <v:group style="position:absolute;left:9559;top:14;width:2;height:394" coordorigin="9559,14" coordsize="2,394">
              <v:shape style="position:absolute;left:9559;top:14;width:2;height:394" coordorigin="9559,14" coordsize="0,394" path="m9559,14l9559,408e" filled="false" stroked="true" strokeweight="1.2pt" strokecolor="#e0ffff">
                <v:path arrowok="t"/>
              </v:shape>
            </v:group>
            <v:group style="position:absolute;left:4818;top:14;width:4729;height:394" coordorigin="4818,14" coordsize="4729,394">
              <v:shape style="position:absolute;left:4818;top:14;width:4729;height:394" coordorigin="4818,14" coordsize="4729,394" path="m4818,408l9547,408,9547,14,4818,14,4818,408xe" filled="true" fillcolor="#e0ffff" stroked="false">
                <v:path arrowok="t"/>
                <v:fill type="solid"/>
              </v:shape>
            </v:group>
            <v:group style="position:absolute;left:10;top:10;width:4775;height:2" coordorigin="10,10" coordsize="4775,2">
              <v:shape style="position:absolute;left:10;top:10;width:4775;height:2" coordorigin="10,10" coordsize="4775,0" path="m10,10l4784,10e" filled="false" stroked="true" strokeweight=".48pt" strokecolor="#000000">
                <v:path arrowok="t"/>
              </v:shape>
            </v:group>
            <v:group style="position:absolute;left:4794;top:10;width:4777;height:2" coordorigin="4794,10" coordsize="4777,2">
              <v:shape style="position:absolute;left:4794;top:10;width:4777;height:2" coordorigin="4794,10" coordsize="4777,0" path="m4794,10l9571,10e" filled="false" stroked="true" strokeweight=".4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75;height:2" coordorigin="10,413" coordsize="4775,2">
              <v:shape style="position:absolute;left:10;top:413;width:4775;height:2" coordorigin="10,413" coordsize="4775,0" path="m10,413l4784,413e" filled="false" stroked="true" strokeweight=".48pt" strokecolor="#000000">
                <v:path arrowok="t"/>
              </v:shape>
            </v:group>
            <v:group style="position:absolute;left:4789;top:5;width:2;height:413" coordorigin="4789,5" coordsize="2,413">
              <v:shape style="position:absolute;left:4789;top:5;width:2;height:413" coordorigin="4789,5" coordsize="0,413" path="m4789,5l4789,418e" filled="false" stroked="true" strokeweight=".48001pt" strokecolor="#000000">
                <v:path arrowok="t"/>
              </v:shape>
            </v:group>
            <v:group style="position:absolute;left:4794;top:413;width:4777;height:2" coordorigin="4794,413" coordsize="4777,2">
              <v:shape style="position:absolute;left:4794;top:413;width:4777;height:2" coordorigin="4794,413" coordsize="4777,0" path="m4794,413l9571,413e" filled="false" stroked="true" strokeweight=".48pt" strokecolor="#000000">
                <v:path arrowok="t"/>
              </v:shape>
            </v:group>
            <v:group style="position:absolute;left:9576;top:5;width:2;height:413" coordorigin="9576,5" coordsize="2,413">
              <v:shape style="position:absolute;left:9576;top:5;width:2;height:413" coordorigin="9576,5" coordsize="0,413" path="m9576,5l9576,418e" filled="false" stroked="true" strokeweight=".47998pt" strokecolor="#000000">
                <v:path arrowok="t"/>
              </v:shape>
            </v:group>
          </v:group>
        </w:pict>
      </w:r>
      <w:r>
        <w:rPr>
          <w:rFonts w:ascii="宋体" w:hAnsi="宋体" w:cs="宋体" w:eastAsia="宋体" w:hint="default"/>
          <w:position w:val="-7"/>
          <w:sz w:val="20"/>
          <w:szCs w:val="20"/>
        </w:rPr>
      </w: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3</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401"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22" w:right="48" w:hanging="272"/>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深圳市杉岩数据 技术有限公司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15.00%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上海复深蓝软件 股份有限公司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8.30%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在合营企业或联营企业的持股比例不同于表决权比例的说明：</w:t>
      </w:r>
    </w:p>
    <w:p>
      <w:pPr>
        <w:spacing w:before="117"/>
        <w:ind w:left="152" w:right="0" w:firstLine="0"/>
        <w:jc w:val="left"/>
        <w:rPr>
          <w:rFonts w:ascii="宋体" w:hAnsi="宋体" w:cs="宋体" w:eastAsia="宋体" w:hint="default"/>
          <w:sz w:val="18"/>
          <w:szCs w:val="18"/>
        </w:rPr>
      </w:pPr>
      <w:r>
        <w:rPr>
          <w:rFonts w:ascii="宋体" w:hAnsi="宋体" w:cs="宋体" w:eastAsia="宋体" w:hint="default"/>
          <w:sz w:val="18"/>
          <w:szCs w:val="18"/>
        </w:rPr>
        <w:t>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以下表决权但具有重大影响，或者持有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或以上表决权但不具有重大影响的依据：</w:t>
      </w:r>
    </w:p>
    <w:p>
      <w:pPr>
        <w:pStyle w:val="BodyText"/>
        <w:spacing w:line="256" w:lineRule="auto" w:before="80"/>
        <w:ind w:left="227" w:right="0"/>
        <w:jc w:val="left"/>
      </w:pPr>
      <w:r>
        <w:rPr>
          <w:spacing w:val="-2"/>
        </w:rPr>
        <w:t>注：持有</w:t>
      </w:r>
      <w:r>
        <w:rPr>
          <w:rFonts w:ascii="Times New Roman" w:hAnsi="Times New Roman" w:cs="Times New Roman" w:eastAsia="Times New Roman" w:hint="default"/>
          <w:spacing w:val="-2"/>
        </w:rPr>
        <w:t>20%</w:t>
      </w:r>
      <w:r>
        <w:rPr>
          <w:spacing w:val="-2"/>
        </w:rPr>
        <w:t>以下表决权但具有重大影响，或者持有</w:t>
      </w:r>
      <w:r>
        <w:rPr>
          <w:rFonts w:ascii="Times New Roman" w:hAnsi="Times New Roman" w:cs="Times New Roman" w:eastAsia="Times New Roman" w:hint="default"/>
          <w:spacing w:val="-2"/>
        </w:rPr>
        <w:t>20%</w:t>
      </w:r>
      <w:r>
        <w:rPr>
          <w:spacing w:val="-2"/>
        </w:rPr>
        <w:t>或以上表决权但不具有重大影响的依据：董事会</w:t>
      </w:r>
      <w:r>
        <w:rPr>
          <w:spacing w:val="-46"/>
        </w:rPr>
        <w:t> </w:t>
      </w:r>
      <w:r>
        <w:rPr>
          <w:spacing w:val="-46"/>
        </w:rPr>
      </w:r>
      <w:r>
        <w:rPr/>
        <w:t>中占有席位，具有重大影响。</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4"/>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92"/>
        <w:gridCol w:w="1925"/>
        <w:gridCol w:w="1916"/>
        <w:gridCol w:w="1914"/>
        <w:gridCol w:w="1903"/>
      </w:tblGrid>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84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87"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8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7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3" w:hRule="exact"/>
        </w:trPr>
        <w:tc>
          <w:tcPr>
            <w:tcW w:w="1892" w:type="dxa"/>
            <w:tcBorders>
              <w:top w:val="single" w:sz="4" w:space="0" w:color="000000"/>
              <w:left w:val="single" w:sz="4" w:space="0" w:color="000000"/>
              <w:bottom w:val="single" w:sz="4" w:space="0" w:color="000000"/>
              <w:right w:val="single" w:sz="10" w:space="0" w:color="E0FFFF"/>
            </w:tcBorders>
            <w:shd w:val="clear" w:color="auto" w:fill="D2D2D2"/>
          </w:tcPr>
          <w:p>
            <w:pPr/>
          </w:p>
        </w:tc>
        <w:tc>
          <w:tcPr>
            <w:tcW w:w="1925" w:type="dxa"/>
            <w:tcBorders>
              <w:top w:val="single" w:sz="4" w:space="0" w:color="000000"/>
              <w:left w:val="single" w:sz="13" w:space="0" w:color="D2D2D2"/>
              <w:bottom w:val="single" w:sz="4" w:space="0" w:color="000000"/>
              <w:right w:val="single" w:sz="4" w:space="0" w:color="000000"/>
            </w:tcBorders>
            <w:shd w:val="clear" w:color="auto" w:fill="E0FFFF"/>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03" w:type="dxa"/>
            <w:tcBorders>
              <w:top w:val="single" w:sz="4" w:space="0" w:color="000000"/>
              <w:left w:val="single" w:sz="4" w:space="0" w:color="000000"/>
              <w:bottom w:val="single" w:sz="4" w:space="0" w:color="000000"/>
              <w:right w:val="single" w:sz="4" w:space="0" w:color="000000"/>
            </w:tcBorders>
            <w:shd w:val="clear" w:color="auto" w:fill="E0FFFF"/>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16"/>
        <w:gridCol w:w="1901"/>
        <w:gridCol w:w="1916"/>
        <w:gridCol w:w="1914"/>
        <w:gridCol w:w="1903"/>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8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63"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8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7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161" w:hRule="exact"/>
        </w:trPr>
        <w:tc>
          <w:tcPr>
            <w:tcW w:w="1916" w:type="dxa"/>
            <w:tcBorders>
              <w:top w:val="single" w:sz="4" w:space="0" w:color="000000"/>
              <w:left w:val="single" w:sz="4" w:space="0" w:color="000000"/>
              <w:bottom w:val="nil" w:sz="6" w:space="0" w:color="auto"/>
              <w:right w:val="single" w:sz="10" w:space="0" w:color="E0FFFF"/>
            </w:tcBorders>
            <w:shd w:val="clear" w:color="auto" w:fill="D2D2D2"/>
          </w:tcPr>
          <w:p>
            <w:pPr/>
          </w:p>
        </w:tc>
        <w:tc>
          <w:tcPr>
            <w:tcW w:w="1901" w:type="dxa"/>
            <w:vMerge w:val="restart"/>
            <w:tcBorders>
              <w:top w:val="single" w:sz="4" w:space="0" w:color="000000"/>
              <w:left w:val="single" w:sz="10" w:space="0" w:color="D2D2D2"/>
              <w:right w:val="single" w:sz="4" w:space="0" w:color="000000"/>
            </w:tcBorders>
            <w:shd w:val="clear" w:color="auto" w:fill="E0FFFF"/>
          </w:tcPr>
          <w:p>
            <w:pPr>
              <w:pStyle w:val="TableParagraph"/>
              <w:spacing w:line="319" w:lineRule="auto" w:before="49"/>
              <w:ind w:left="662" w:right="50" w:hanging="629"/>
              <w:jc w:val="left"/>
              <w:rPr>
                <w:rFonts w:ascii="宋体" w:hAnsi="宋体" w:cs="宋体" w:eastAsia="宋体" w:hint="default"/>
                <w:sz w:val="18"/>
                <w:szCs w:val="18"/>
              </w:rPr>
            </w:pPr>
            <w:r>
              <w:rPr>
                <w:rFonts w:ascii="宋体" w:hAnsi="宋体" w:cs="宋体" w:eastAsia="宋体" w:hint="default"/>
                <w:sz w:val="18"/>
                <w:szCs w:val="18"/>
              </w:rPr>
              <w:t>深圳市杉岩数据技术有 限公司</w:t>
            </w:r>
          </w:p>
        </w:tc>
        <w:tc>
          <w:tcPr>
            <w:tcW w:w="1916" w:type="dxa"/>
            <w:vMerge w:val="restart"/>
            <w:tcBorders>
              <w:top w:val="single" w:sz="4" w:space="0" w:color="000000"/>
              <w:left w:val="single" w:sz="4" w:space="0" w:color="000000"/>
              <w:right w:val="single" w:sz="4" w:space="0" w:color="000000"/>
            </w:tcBorders>
            <w:shd w:val="clear" w:color="auto" w:fill="E0FFFF"/>
          </w:tcPr>
          <w:p>
            <w:pPr>
              <w:pStyle w:val="TableParagraph"/>
              <w:spacing w:line="319" w:lineRule="auto" w:before="49"/>
              <w:ind w:left="681" w:right="51" w:hanging="629"/>
              <w:jc w:val="left"/>
              <w:rPr>
                <w:rFonts w:ascii="宋体" w:hAnsi="宋体" w:cs="宋体" w:eastAsia="宋体" w:hint="default"/>
                <w:sz w:val="18"/>
                <w:szCs w:val="18"/>
              </w:rPr>
            </w:pPr>
            <w:r>
              <w:rPr>
                <w:rFonts w:ascii="宋体" w:hAnsi="宋体" w:cs="宋体" w:eastAsia="宋体" w:hint="default"/>
                <w:sz w:val="18"/>
                <w:szCs w:val="18"/>
              </w:rPr>
              <w:t>上海复深蓝软件股份有 限公司</w:t>
            </w:r>
          </w:p>
        </w:tc>
        <w:tc>
          <w:tcPr>
            <w:tcW w:w="1914" w:type="dxa"/>
            <w:vMerge w:val="restart"/>
            <w:tcBorders>
              <w:top w:val="single" w:sz="4" w:space="0" w:color="000000"/>
              <w:left w:val="single" w:sz="4" w:space="0" w:color="000000"/>
              <w:right w:val="single" w:sz="4" w:space="0" w:color="000000"/>
            </w:tcBorders>
            <w:shd w:val="clear" w:color="auto" w:fill="E0FFFF"/>
          </w:tcPr>
          <w:p>
            <w:pPr>
              <w:pStyle w:val="TableParagraph"/>
              <w:spacing w:line="319" w:lineRule="auto" w:before="49"/>
              <w:ind w:left="681" w:right="49" w:hanging="629"/>
              <w:jc w:val="left"/>
              <w:rPr>
                <w:rFonts w:ascii="宋体" w:hAnsi="宋体" w:cs="宋体" w:eastAsia="宋体" w:hint="default"/>
                <w:sz w:val="18"/>
                <w:szCs w:val="18"/>
              </w:rPr>
            </w:pPr>
            <w:r>
              <w:rPr>
                <w:rFonts w:ascii="宋体" w:hAnsi="宋体" w:cs="宋体" w:eastAsia="宋体" w:hint="default"/>
                <w:sz w:val="18"/>
                <w:szCs w:val="18"/>
              </w:rPr>
              <w:t>深圳市杉岩数据技术有 限公司</w:t>
            </w:r>
          </w:p>
        </w:tc>
        <w:tc>
          <w:tcPr>
            <w:tcW w:w="1903" w:type="dxa"/>
            <w:vMerge w:val="restart"/>
            <w:tcBorders>
              <w:top w:val="single" w:sz="4" w:space="0" w:color="000000"/>
              <w:left w:val="single" w:sz="4" w:space="0" w:color="000000"/>
              <w:right w:val="single" w:sz="4" w:space="0" w:color="000000"/>
            </w:tcBorders>
            <w:shd w:val="clear" w:color="auto" w:fill="E0FFFF"/>
          </w:tcPr>
          <w:p>
            <w:pPr>
              <w:pStyle w:val="TableParagraph"/>
              <w:spacing w:line="319" w:lineRule="auto" w:before="49"/>
              <w:ind w:left="680" w:right="39" w:hanging="630"/>
              <w:jc w:val="left"/>
              <w:rPr>
                <w:rFonts w:ascii="宋体" w:hAnsi="宋体" w:cs="宋体" w:eastAsia="宋体" w:hint="default"/>
                <w:sz w:val="18"/>
                <w:szCs w:val="18"/>
              </w:rPr>
            </w:pPr>
            <w:r>
              <w:rPr>
                <w:rFonts w:ascii="宋体" w:hAnsi="宋体" w:cs="宋体" w:eastAsia="宋体" w:hint="default"/>
                <w:sz w:val="18"/>
                <w:szCs w:val="18"/>
              </w:rPr>
              <w:t>上海复深蓝软件股份有 限公司</w:t>
            </w:r>
          </w:p>
        </w:tc>
      </w:tr>
      <w:tr>
        <w:trPr>
          <w:trHeight w:val="394" w:hRule="exact"/>
        </w:trPr>
        <w:tc>
          <w:tcPr>
            <w:tcW w:w="1916" w:type="dxa"/>
            <w:tcBorders>
              <w:top w:val="nil" w:sz="6" w:space="0" w:color="auto"/>
              <w:left w:val="single" w:sz="4" w:space="0" w:color="000000"/>
              <w:bottom w:val="nil" w:sz="6" w:space="0" w:color="auto"/>
              <w:right w:val="single" w:sz="10" w:space="0" w:color="E0FFFF"/>
            </w:tcBorders>
            <w:shd w:val="clear" w:color="auto" w:fill="D2D2D2"/>
          </w:tcPr>
          <w:p>
            <w:pPr/>
          </w:p>
        </w:tc>
        <w:tc>
          <w:tcPr>
            <w:tcW w:w="1901" w:type="dxa"/>
            <w:vMerge/>
            <w:tcBorders>
              <w:left w:val="single" w:sz="10" w:space="0" w:color="D2D2D2"/>
              <w:right w:val="single" w:sz="4" w:space="0" w:color="000000"/>
            </w:tcBorders>
            <w:shd w:val="clear" w:color="auto" w:fill="E0FFFF"/>
          </w:tcPr>
          <w:p>
            <w:pPr/>
          </w:p>
        </w:tc>
        <w:tc>
          <w:tcPr>
            <w:tcW w:w="1916" w:type="dxa"/>
            <w:vMerge/>
            <w:tcBorders>
              <w:left w:val="single" w:sz="4" w:space="0" w:color="000000"/>
              <w:right w:val="single" w:sz="4" w:space="0" w:color="000000"/>
            </w:tcBorders>
            <w:shd w:val="clear" w:color="auto" w:fill="E0FFFF"/>
          </w:tcPr>
          <w:p>
            <w:pPr/>
          </w:p>
        </w:tc>
        <w:tc>
          <w:tcPr>
            <w:tcW w:w="1914" w:type="dxa"/>
            <w:vMerge/>
            <w:tcBorders>
              <w:left w:val="single" w:sz="4" w:space="0" w:color="000000"/>
              <w:right w:val="single" w:sz="4" w:space="0" w:color="000000"/>
            </w:tcBorders>
            <w:shd w:val="clear" w:color="auto" w:fill="E0FFFF"/>
          </w:tcPr>
          <w:p>
            <w:pPr/>
          </w:p>
        </w:tc>
        <w:tc>
          <w:tcPr>
            <w:tcW w:w="1903" w:type="dxa"/>
            <w:vMerge/>
            <w:tcBorders>
              <w:left w:val="single" w:sz="4" w:space="0" w:color="000000"/>
              <w:right w:val="single" w:sz="4" w:space="0" w:color="000000"/>
            </w:tcBorders>
            <w:shd w:val="clear" w:color="auto" w:fill="E0FFFF"/>
          </w:tcPr>
          <w:p>
            <w:pPr/>
          </w:p>
        </w:tc>
      </w:tr>
      <w:tr>
        <w:trPr>
          <w:trHeight w:val="161" w:hRule="exact"/>
        </w:trPr>
        <w:tc>
          <w:tcPr>
            <w:tcW w:w="1916" w:type="dxa"/>
            <w:tcBorders>
              <w:top w:val="nil" w:sz="6" w:space="0" w:color="auto"/>
              <w:left w:val="single" w:sz="4" w:space="0" w:color="000000"/>
              <w:bottom w:val="single" w:sz="4" w:space="0" w:color="000000"/>
              <w:right w:val="single" w:sz="10" w:space="0" w:color="E0FFFF"/>
            </w:tcBorders>
            <w:shd w:val="clear" w:color="auto" w:fill="D2D2D2"/>
          </w:tcPr>
          <w:p>
            <w:pPr/>
          </w:p>
        </w:tc>
        <w:tc>
          <w:tcPr>
            <w:tcW w:w="1901" w:type="dxa"/>
            <w:vMerge/>
            <w:tcBorders>
              <w:left w:val="single" w:sz="10" w:space="0" w:color="D2D2D2"/>
              <w:bottom w:val="single" w:sz="4" w:space="0" w:color="000000"/>
              <w:right w:val="single" w:sz="4" w:space="0" w:color="000000"/>
            </w:tcBorders>
            <w:shd w:val="clear" w:color="auto" w:fill="E0FFFF"/>
          </w:tcPr>
          <w:p>
            <w:pPr/>
          </w:p>
        </w:tc>
        <w:tc>
          <w:tcPr>
            <w:tcW w:w="1916" w:type="dxa"/>
            <w:vMerge/>
            <w:tcBorders>
              <w:left w:val="single" w:sz="4" w:space="0" w:color="000000"/>
              <w:bottom w:val="single" w:sz="4" w:space="0" w:color="000000"/>
              <w:right w:val="single" w:sz="4" w:space="0" w:color="000000"/>
            </w:tcBorders>
            <w:shd w:val="clear" w:color="auto" w:fill="E0FFFF"/>
          </w:tcPr>
          <w:p>
            <w:pPr/>
          </w:p>
        </w:tc>
        <w:tc>
          <w:tcPr>
            <w:tcW w:w="1914" w:type="dxa"/>
            <w:vMerge/>
            <w:tcBorders>
              <w:left w:val="single" w:sz="4" w:space="0" w:color="000000"/>
              <w:bottom w:val="single" w:sz="4" w:space="0" w:color="000000"/>
              <w:right w:val="single" w:sz="4" w:space="0" w:color="000000"/>
            </w:tcBorders>
            <w:shd w:val="clear" w:color="auto" w:fill="E0FFFF"/>
          </w:tcPr>
          <w:p>
            <w:pPr/>
          </w:p>
        </w:tc>
        <w:tc>
          <w:tcPr>
            <w:tcW w:w="1903" w:type="dxa"/>
            <w:vMerge/>
            <w:tcBorders>
              <w:left w:val="single" w:sz="4" w:space="0" w:color="000000"/>
              <w:bottom w:val="single" w:sz="4" w:space="0" w:color="000000"/>
              <w:right w:val="single" w:sz="4" w:space="0" w:color="000000"/>
            </w:tcBorders>
            <w:shd w:val="clear" w:color="auto" w:fill="E0FFFF"/>
          </w:tcPr>
          <w:p>
            <w:pP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9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823" w:right="0"/>
              <w:jc w:val="left"/>
              <w:rPr>
                <w:rFonts w:ascii="Times New Roman" w:hAnsi="Times New Roman" w:cs="Times New Roman" w:eastAsia="Times New Roman" w:hint="default"/>
                <w:sz w:val="18"/>
                <w:szCs w:val="18"/>
              </w:rPr>
            </w:pPr>
            <w:r>
              <w:rPr>
                <w:rFonts w:ascii="Times New Roman"/>
                <w:sz w:val="18"/>
              </w:rPr>
              <w:t>24,262,761.14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141,144,796.25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43" w:right="0"/>
              <w:jc w:val="left"/>
              <w:rPr>
                <w:rFonts w:ascii="Times New Roman" w:hAnsi="Times New Roman" w:cs="Times New Roman" w:eastAsia="Times New Roman" w:hint="default"/>
                <w:sz w:val="18"/>
                <w:szCs w:val="18"/>
              </w:rPr>
            </w:pPr>
            <w:r>
              <w:rPr>
                <w:rFonts w:ascii="Times New Roman"/>
                <w:sz w:val="18"/>
              </w:rPr>
              <w:t>5,199,114.66</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6" w:right="0"/>
              <w:jc w:val="left"/>
              <w:rPr>
                <w:rFonts w:ascii="Times New Roman" w:hAnsi="Times New Roman" w:cs="Times New Roman" w:eastAsia="Times New Roman" w:hint="default"/>
                <w:sz w:val="18"/>
                <w:szCs w:val="18"/>
              </w:rPr>
            </w:pPr>
            <w:r>
              <w:rPr>
                <w:rFonts w:ascii="Times New Roman"/>
                <w:sz w:val="18"/>
              </w:rPr>
              <w:t>94,420,686.72</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780,160.97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7,172,339.96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510,187.16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2,219,202.47</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25,042,922.11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148,317,136.21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5,709,301.82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96,639,889.19</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21,474,309.07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41,836,911.23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360,757.08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54,599,438.20</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2,477,083.33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1,350,000.00</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21,474,309.07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44,313,994.56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360,757.08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55,949,438.20</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1,337,848.19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3,568,613.04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102,665,293.46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5,348,544.74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40,690,450.99</w:t>
            </w:r>
          </w:p>
        </w:tc>
      </w:tr>
      <w:tr>
        <w:trPr>
          <w:trHeight w:val="716"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按持股比例计算的净资 产份额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535,291.96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8,521,219.32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802,281.71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11,800,230.79</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调整事项</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8,369,820.83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432,195.83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8,369,820.83</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商誉</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8,369,820.83</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8,369,820.83</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432,195.83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对联营企业权益投资的 账面价值</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8,905,112.78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8,953,415.15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9,172,102.54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11,800,230.79</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10,110,003.05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160,705,521.24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1,956,996.57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128,855,623.14</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-1,779,931.70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16,559,680.46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-5,519,316.39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11,165,692.60</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-1,779,931.70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16,559,680.46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-5,519,316.39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11,165,692.60</w:t>
            </w:r>
          </w:p>
        </w:tc>
      </w:tr>
      <w:tr>
        <w:trPr>
          <w:trHeight w:val="716"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本年度收到的来自联营 企业的股利</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9,179,645.78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2,327,348.64</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4"/>
        <w:gridCol w:w="3060"/>
        <w:gridCol w:w="3174"/>
      </w:tblGrid>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r>
      <w:tr>
        <w:trPr>
          <w:trHeight w:val="40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9"/>
          <w:szCs w:val="9"/>
        </w:rPr>
      </w:pPr>
    </w:p>
    <w:tbl>
      <w:tblPr>
        <w:tblW w:w="0" w:type="auto"/>
        <w:jc w:val="left"/>
        <w:tblInd w:w="160" w:type="dxa"/>
        <w:tblLayout w:type="fixed"/>
        <w:tblCellMar>
          <w:top w:w="0" w:type="dxa"/>
          <w:left w:w="0" w:type="dxa"/>
          <w:bottom w:w="0" w:type="dxa"/>
          <w:right w:w="0" w:type="dxa"/>
        </w:tblCellMar>
        <w:tblLook w:val="01E0"/>
      </w:tblPr>
      <w:tblGrid>
        <w:gridCol w:w="2380"/>
        <w:gridCol w:w="2392"/>
        <w:gridCol w:w="2392"/>
        <w:gridCol w:w="2382"/>
      </w:tblGrid>
      <w:tr>
        <w:trPr>
          <w:trHeight w:val="38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left="187"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109" w:right="0"/>
              <w:jc w:val="left"/>
              <w:rPr>
                <w:rFonts w:ascii="宋体" w:hAnsi="宋体" w:cs="宋体" w:eastAsia="宋体" w:hint="default"/>
                <w:sz w:val="18"/>
                <w:szCs w:val="18"/>
              </w:rPr>
            </w:pPr>
            <w:r>
              <w:rPr>
                <w:rFonts w:ascii="宋体" w:hAnsi="宋体" w:cs="宋体" w:eastAsia="宋体" w:hint="default"/>
                <w:sz w:val="18"/>
                <w:szCs w:val="18"/>
              </w:rPr>
              <w:t>累积未确认前期累计认的损</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本期未确认的损失（或本期分</w:t>
            </w:r>
          </w:p>
        </w:tc>
        <w:tc>
          <w:tcPr>
            <w:tcW w:w="23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left="200"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0"/>
        <w:gridCol w:w="2393"/>
        <w:gridCol w:w="2391"/>
        <w:gridCol w:w="2396"/>
      </w:tblGrid>
      <w:tr>
        <w:trPr>
          <w:trHeight w:val="36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失</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650" w:right="0"/>
              <w:jc w:val="left"/>
              <w:rPr>
                <w:rFonts w:ascii="宋体" w:hAnsi="宋体" w:cs="宋体" w:eastAsia="宋体" w:hint="default"/>
                <w:sz w:val="18"/>
                <w:szCs w:val="18"/>
              </w:rPr>
            </w:pPr>
            <w:r>
              <w:rPr>
                <w:rFonts w:ascii="宋体" w:hAnsi="宋体" w:cs="宋体" w:eastAsia="宋体" w:hint="default"/>
                <w:sz w:val="18"/>
                <w:szCs w:val="18"/>
              </w:rPr>
              <w:t>享的净利润）</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4</w:t>
      </w:r>
      <w:r>
        <w:rPr/>
        <w:t>、重要的共同经营</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7"/>
        <w:gridCol w:w="1594"/>
        <w:gridCol w:w="1594"/>
        <w:gridCol w:w="1594"/>
        <w:gridCol w:w="1594"/>
      </w:tblGrid>
      <w:tr>
        <w:trPr>
          <w:trHeight w:val="403"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3"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1"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spacing w:line="360" w:lineRule="auto" w:before="49"/>
        <w:ind w:left="152" w:right="4554" w:firstLine="0"/>
        <w:jc w:val="left"/>
        <w:rPr>
          <w:rFonts w:ascii="宋体" w:hAnsi="宋体" w:cs="宋体" w:eastAsia="宋体" w:hint="default"/>
          <w:sz w:val="18"/>
          <w:szCs w:val="18"/>
        </w:rPr>
      </w:pPr>
      <w:r>
        <w:rPr>
          <w:rFonts w:ascii="宋体" w:hAnsi="宋体" w:cs="宋体" w:eastAsia="宋体" w:hint="default"/>
          <w:sz w:val="18"/>
          <w:szCs w:val="18"/>
        </w:rPr>
        <w:t>在共同经营中的持股比例或享有的份额不同于表决权比例的说明： 共同经营为单独主体的，分类为共同经营的依据：</w:t>
      </w:r>
    </w:p>
    <w:p>
      <w:pPr>
        <w:spacing w:before="25"/>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未纳入合并财务报表范围的结构化主体的相关说明：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11"/>
        <w:rPr>
          <w:rFonts w:ascii="宋体" w:hAnsi="宋体" w:cs="宋体" w:eastAsia="宋体" w:hint="default"/>
          <w:b/>
          <w:bCs/>
          <w:sz w:val="22"/>
          <w:szCs w:val="22"/>
        </w:rPr>
      </w:pPr>
    </w:p>
    <w:p>
      <w:pPr>
        <w:pStyle w:val="Heading2"/>
        <w:spacing w:line="240" w:lineRule="auto"/>
        <w:ind w:right="0"/>
        <w:jc w:val="left"/>
        <w:rPr>
          <w:b w:val="0"/>
          <w:bCs w:val="0"/>
        </w:rPr>
      </w:pPr>
      <w:r>
        <w:rPr/>
        <w:t>十、与金融工具相关的风险</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right="0"/>
        <w:jc w:val="left"/>
      </w:pPr>
      <w:r>
        <w:rPr>
          <w:spacing w:val="-2"/>
        </w:rPr>
        <w:t>本公司主要的金融工具包括应收账款、应收票据、预付账款、应付账款等。公司在经营过程中面临各种金</w:t>
      </w:r>
      <w:r>
        <w:rPr>
          <w:spacing w:val="-44"/>
        </w:rPr>
        <w:t> </w:t>
      </w:r>
      <w:r>
        <w:rPr>
          <w:spacing w:val="-44"/>
        </w:rPr>
      </w:r>
      <w:r>
        <w:rPr>
          <w:spacing w:val="-2"/>
        </w:rPr>
        <w:t>融风险：信用风险、市场风险和流动性风险。公司董事会全面负责风险管理目标和政策的确定，并对风险</w:t>
      </w:r>
      <w:r>
        <w:rPr>
          <w:spacing w:val="-47"/>
        </w:rPr>
        <w:t> </w:t>
      </w:r>
      <w:r>
        <w:rPr>
          <w:spacing w:val="-47"/>
        </w:rPr>
      </w:r>
      <w:r>
        <w:rPr>
          <w:spacing w:val="-2"/>
        </w:rPr>
        <w:t>管理目标和政策承担最终责任，但是董事会已授权本公司财务部门设计和实施能确保风险管理目标和政策</w:t>
      </w:r>
      <w:r>
        <w:rPr>
          <w:spacing w:val="-43"/>
        </w:rPr>
        <w:t> </w:t>
      </w:r>
      <w:r>
        <w:rPr>
          <w:spacing w:val="-43"/>
        </w:rPr>
      </w:r>
      <w:r>
        <w:rPr>
          <w:spacing w:val="-2"/>
        </w:rPr>
        <w:t>得以有效执行的程序。董事会通过财务负责人递交的月度报告来审查已执行程序的有效性以及风险管理目</w:t>
      </w:r>
      <w:r>
        <w:rPr>
          <w:spacing w:val="-43"/>
        </w:rPr>
        <w:t> </w:t>
      </w:r>
      <w:r>
        <w:rPr>
          <w:spacing w:val="-43"/>
        </w:rPr>
      </w:r>
      <w:r>
        <w:rPr>
          <w:spacing w:val="-2"/>
        </w:rPr>
        <w:t>标和政策的合理性。本公司的内部审计师也会审计风险管理的政策和程序，并且将有关发现汇报给审计委</w:t>
      </w:r>
      <w:r>
        <w:rPr>
          <w:spacing w:val="-42"/>
        </w:rPr>
        <w:t> </w:t>
      </w:r>
      <w:r>
        <w:rPr>
          <w:spacing w:val="-42"/>
        </w:rPr>
      </w:r>
      <w:r>
        <w:rPr/>
        <w:t>员会。</w:t>
      </w:r>
      <w:r>
        <w:rPr>
          <w:spacing w:val="-102"/>
        </w:rPr>
        <w:t> </w:t>
      </w:r>
      <w:r>
        <w:rPr>
          <w:spacing w:val="-2"/>
        </w:rPr>
        <w:t>本公司风险管理的总体目标是在不过度影响公司竞争力和应变力的情况下，制定尽可能降低风险的风险管</w:t>
      </w:r>
      <w:r>
        <w:rPr>
          <w:spacing w:val="-43"/>
        </w:rPr>
        <w:t> </w:t>
      </w:r>
      <w:r>
        <w:rPr>
          <w:spacing w:val="-43"/>
        </w:rPr>
      </w:r>
      <w:r>
        <w:rPr/>
        <w:t>理政策。</w:t>
      </w:r>
    </w:p>
    <w:p>
      <w:pPr>
        <w:spacing w:line="240" w:lineRule="auto" w:before="7"/>
        <w:rPr>
          <w:rFonts w:ascii="宋体" w:hAnsi="宋体" w:cs="宋体" w:eastAsia="宋体" w:hint="default"/>
          <w:sz w:val="21"/>
          <w:szCs w:val="21"/>
        </w:rPr>
      </w:pPr>
    </w:p>
    <w:p>
      <w:pPr>
        <w:pStyle w:val="BodyText"/>
        <w:spacing w:line="338" w:lineRule="auto"/>
        <w:ind w:right="0"/>
        <w:jc w:val="left"/>
      </w:pPr>
      <w:r>
        <w:rPr>
          <w:rFonts w:ascii="宋体" w:hAnsi="宋体" w:cs="宋体" w:eastAsia="宋体" w:hint="default"/>
          <w:b/>
          <w:bCs/>
        </w:rPr>
        <w:t>1</w:t>
      </w:r>
      <w:r>
        <w:rPr>
          <w:rFonts w:ascii="宋体" w:hAnsi="宋体" w:cs="宋体" w:eastAsia="宋体" w:hint="default"/>
          <w:b/>
          <w:bCs/>
        </w:rPr>
        <w:t>、</w:t>
      </w:r>
      <w:r>
        <w:rPr>
          <w:rFonts w:ascii="宋体" w:hAnsi="宋体" w:cs="宋体" w:eastAsia="宋体" w:hint="default"/>
          <w:b/>
          <w:bCs/>
          <w:spacing w:val="-63"/>
        </w:rPr>
        <w:t> </w:t>
      </w:r>
      <w:r>
        <w:rPr>
          <w:rFonts w:ascii="宋体" w:hAnsi="宋体" w:cs="宋体" w:eastAsia="宋体" w:hint="default"/>
          <w:b/>
          <w:bCs/>
        </w:rPr>
        <w:t>信用风险</w:t>
      </w:r>
      <w:r>
        <w:rPr>
          <w:rFonts w:ascii="宋体" w:hAnsi="宋体" w:cs="宋体" w:eastAsia="宋体" w:hint="default"/>
          <w:b/>
          <w:bCs/>
          <w:w w:val="100"/>
        </w:rPr>
        <w:t> </w:t>
      </w:r>
      <w:r>
        <w:rPr>
          <w:spacing w:val="-2"/>
        </w:rPr>
        <w:t>信用风险是指金融工具的一方不履行义务，造成另一方发生财务损失的风险。本公司主要面临赊销导致的</w:t>
      </w:r>
    </w:p>
    <w:p>
      <w:pPr>
        <w:pStyle w:val="BodyText"/>
        <w:spacing w:line="408" w:lineRule="auto" w:before="107"/>
        <w:ind w:right="146"/>
        <w:jc w:val="both"/>
        <w:rPr>
          <w:rFonts w:ascii="宋体" w:hAnsi="宋体" w:cs="宋体" w:eastAsia="宋体" w:hint="default"/>
        </w:rPr>
      </w:pPr>
      <w:r>
        <w:rPr>
          <w:spacing w:val="-2"/>
        </w:rPr>
        <w:t>客户信用风险。在签订新合同之前，本公司会对新客户的信用风险进行评估，包括外部信用评级和在某些</w:t>
      </w:r>
      <w:r>
        <w:rPr>
          <w:spacing w:val="-45"/>
        </w:rPr>
        <w:t> </w:t>
      </w:r>
      <w:r>
        <w:rPr>
          <w:spacing w:val="-45"/>
        </w:rPr>
      </w:r>
      <w:r>
        <w:rPr>
          <w:spacing w:val="-2"/>
        </w:rPr>
        <w:t>情况下的银行资信证明（当此信息可获取时）。公司对每一客户均设置了赊销限额，该限额为无需获得额</w:t>
      </w:r>
      <w:r>
        <w:rPr>
          <w:spacing w:val="-47"/>
        </w:rPr>
        <w:t> </w:t>
      </w:r>
      <w:r>
        <w:rPr>
          <w:spacing w:val="-47"/>
        </w:rPr>
      </w:r>
      <w:r>
        <w:rPr/>
        <w:t>外批准的最大额度。</w:t>
      </w:r>
      <w:r>
        <w:rPr>
          <w:rFonts w:ascii="宋体" w:hAnsi="宋体" w:cs="宋体" w:eastAsia="宋体" w:hint="default"/>
        </w:rPr>
        <w:t> </w:t>
      </w:r>
    </w:p>
    <w:p>
      <w:pPr>
        <w:spacing w:after="0" w:line="408" w:lineRule="auto"/>
        <w:jc w:val="both"/>
        <w:rPr>
          <w:rFonts w:ascii="宋体" w:hAnsi="宋体" w:cs="宋体" w:eastAsia="宋体" w:hint="default"/>
        </w:rPr>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pStyle w:val="BodyText"/>
        <w:spacing w:line="408" w:lineRule="auto" w:before="176"/>
        <w:ind w:right="0"/>
        <w:jc w:val="left"/>
        <w:rPr>
          <w:rFonts w:ascii="宋体" w:hAnsi="宋体" w:cs="宋体" w:eastAsia="宋体" w:hint="default"/>
        </w:rPr>
      </w:pPr>
      <w:r>
        <w:rPr/>
        <w:t>公司通过对已有客户信用评级的定期监控以及应收账款账龄分析的月度审核来确保公司的整体信用风险</w:t>
      </w:r>
      <w:r>
        <w:rPr>
          <w:w w:val="100"/>
        </w:rPr>
        <w:t> </w:t>
      </w:r>
      <w:r>
        <w:rPr>
          <w:spacing w:val="-2"/>
        </w:rPr>
        <w:t>在可控的范围内。在监控客户的信用风险时，按照客户的信用特征对其分组。被评为“高风险”级别的客</w:t>
      </w:r>
      <w:r>
        <w:rPr>
          <w:spacing w:val="-43"/>
        </w:rPr>
        <w:t> </w:t>
      </w:r>
      <w:r>
        <w:rPr>
          <w:spacing w:val="-43"/>
        </w:rPr>
      </w:r>
      <w:r>
        <w:rPr>
          <w:spacing w:val="-2"/>
        </w:rPr>
        <w:t>户会放在受限制客户名单里，并且只有在额外批准的前提下，公司才可在未来期间内对其赊销，否则必须</w:t>
      </w:r>
      <w:r>
        <w:rPr>
          <w:spacing w:val="-43"/>
        </w:rPr>
        <w:t> </w:t>
      </w:r>
      <w:r>
        <w:rPr>
          <w:spacing w:val="-43"/>
        </w:rPr>
      </w:r>
      <w:r>
        <w:rPr/>
        <w:t>要求其提前支付相应款项</w:t>
      </w:r>
      <w:r>
        <w:rPr>
          <w:rFonts w:ascii="宋体" w:hAnsi="宋体" w:cs="宋体" w:eastAsia="宋体" w:hint="default"/>
        </w:rPr>
        <w:t> </w:t>
      </w:r>
    </w:p>
    <w:p>
      <w:pPr>
        <w:spacing w:line="240" w:lineRule="auto" w:before="7"/>
        <w:rPr>
          <w:rFonts w:ascii="宋体" w:hAnsi="宋体" w:cs="宋体" w:eastAsia="宋体" w:hint="default"/>
          <w:sz w:val="21"/>
          <w:szCs w:val="21"/>
        </w:rPr>
      </w:pPr>
    </w:p>
    <w:p>
      <w:pPr>
        <w:pStyle w:val="BodyText"/>
        <w:spacing w:line="338" w:lineRule="auto"/>
        <w:ind w:right="0"/>
        <w:jc w:val="left"/>
      </w:pPr>
      <w:r>
        <w:rPr>
          <w:rFonts w:ascii="宋体" w:hAnsi="宋体" w:cs="宋体" w:eastAsia="宋体" w:hint="default"/>
          <w:b/>
          <w:bCs/>
        </w:rPr>
        <w:t>2</w:t>
      </w:r>
      <w:r>
        <w:rPr>
          <w:rFonts w:ascii="宋体" w:hAnsi="宋体" w:cs="宋体" w:eastAsia="宋体" w:hint="default"/>
          <w:b/>
          <w:bCs/>
        </w:rPr>
        <w:t>、</w:t>
      </w:r>
      <w:r>
        <w:rPr>
          <w:rFonts w:ascii="宋体" w:hAnsi="宋体" w:cs="宋体" w:eastAsia="宋体" w:hint="default"/>
          <w:b/>
          <w:bCs/>
          <w:spacing w:val="-63"/>
        </w:rPr>
        <w:t> </w:t>
      </w:r>
      <w:r>
        <w:rPr>
          <w:rFonts w:ascii="宋体" w:hAnsi="宋体" w:cs="宋体" w:eastAsia="宋体" w:hint="default"/>
          <w:b/>
          <w:bCs/>
        </w:rPr>
        <w:t>市场风险</w:t>
      </w:r>
      <w:r>
        <w:rPr>
          <w:rFonts w:ascii="宋体" w:hAnsi="宋体" w:cs="宋体" w:eastAsia="宋体" w:hint="default"/>
          <w:b/>
          <w:bCs/>
          <w:w w:val="100"/>
        </w:rPr>
        <w:t> </w:t>
      </w:r>
      <w:r>
        <w:rPr>
          <w:spacing w:val="-2"/>
        </w:rPr>
        <w:t>金融工具的市场风险，是指金融工具的公允价值或未来现金流量因市场价格变动而发生波动的风险，包括</w:t>
      </w:r>
    </w:p>
    <w:p>
      <w:pPr>
        <w:pStyle w:val="BodyText"/>
        <w:spacing w:line="240" w:lineRule="auto" w:before="107"/>
        <w:ind w:right="0"/>
        <w:jc w:val="left"/>
        <w:rPr>
          <w:rFonts w:ascii="宋体" w:hAnsi="宋体" w:cs="宋体" w:eastAsia="宋体" w:hint="default"/>
        </w:rPr>
      </w:pPr>
      <w:r>
        <w:rPr/>
        <w:t>汇率风险和利率风险。</w:t>
      </w:r>
      <w:r>
        <w:rPr>
          <w:rFonts w:ascii="宋体" w:hAnsi="宋体" w:cs="宋体" w:eastAsia="宋体" w:hint="default"/>
        </w:rPr>
        <w:t> </w:t>
      </w:r>
    </w:p>
    <w:p>
      <w:pPr>
        <w:spacing w:line="240" w:lineRule="auto" w:before="11"/>
        <w:rPr>
          <w:rFonts w:ascii="宋体" w:hAnsi="宋体" w:cs="宋体" w:eastAsia="宋体" w:hint="default"/>
          <w:sz w:val="14"/>
          <w:szCs w:val="14"/>
        </w:rPr>
      </w:pPr>
    </w:p>
    <w:p>
      <w:pPr>
        <w:pStyle w:val="BodyText"/>
        <w:spacing w:line="408" w:lineRule="auto"/>
        <w:ind w:right="0"/>
        <w:jc w:val="left"/>
        <w:rPr>
          <w:rFonts w:ascii="宋体" w:hAnsi="宋体" w:cs="宋体" w:eastAsia="宋体" w:hint="default"/>
        </w:rPr>
      </w:pPr>
      <w:r>
        <w:rPr/>
        <w:t>（</w:t>
      </w:r>
      <w:r>
        <w:rPr>
          <w:rFonts w:ascii="宋体" w:hAnsi="宋体" w:cs="宋体" w:eastAsia="宋体" w:hint="default"/>
        </w:rPr>
        <w:t>1</w:t>
      </w:r>
      <w:r>
        <w:rPr/>
        <w:t>）利率风险</w:t>
      </w:r>
      <w:r>
        <w:rPr>
          <w:rFonts w:ascii="宋体" w:hAnsi="宋体" w:cs="宋体" w:eastAsia="宋体" w:hint="default"/>
          <w:w w:val="100"/>
        </w:rPr>
        <w:t> </w:t>
      </w:r>
      <w:r>
        <w:rPr>
          <w:spacing w:val="-2"/>
        </w:rPr>
        <w:t>利率风险，是指金融工具的公允价值或未来现金流量因市场利率变动而发生波动的风险。本公司目前不存</w:t>
      </w:r>
      <w:r>
        <w:rPr>
          <w:spacing w:val="-43"/>
        </w:rPr>
        <w:t> </w:t>
      </w:r>
      <w:r>
        <w:rPr>
          <w:spacing w:val="-43"/>
        </w:rPr>
      </w:r>
      <w:r>
        <w:rPr/>
        <w:t>在短期和长期带息负债。</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pStyle w:val="BodyText"/>
        <w:spacing w:line="408" w:lineRule="auto" w:before="36"/>
        <w:ind w:right="0"/>
        <w:jc w:val="left"/>
        <w:rPr>
          <w:rFonts w:ascii="宋体" w:hAnsi="宋体" w:cs="宋体" w:eastAsia="宋体" w:hint="default"/>
        </w:rPr>
      </w:pPr>
      <w:r>
        <w:rPr/>
        <w:t>（</w:t>
      </w:r>
      <w:r>
        <w:rPr>
          <w:rFonts w:ascii="宋体" w:hAnsi="宋体" w:cs="宋体" w:eastAsia="宋体" w:hint="default"/>
        </w:rPr>
        <w:t>2</w:t>
      </w:r>
      <w:r>
        <w:rPr/>
        <w:t>）汇率风险</w:t>
      </w:r>
      <w:r>
        <w:rPr>
          <w:rFonts w:ascii="宋体" w:hAnsi="宋体" w:cs="宋体" w:eastAsia="宋体" w:hint="default"/>
          <w:w w:val="100"/>
        </w:rPr>
        <w:t> </w:t>
      </w:r>
      <w:r>
        <w:rPr>
          <w:spacing w:val="-2"/>
        </w:rPr>
        <w:t>汇率风险，是指金融工具的公允价值或未来现金流量因外汇汇率变动而发生波动的风险。本公司尽可能将</w:t>
      </w:r>
      <w:r>
        <w:rPr>
          <w:spacing w:val="-43"/>
        </w:rPr>
        <w:t> </w:t>
      </w:r>
      <w:r>
        <w:rPr>
          <w:spacing w:val="-43"/>
        </w:rPr>
      </w:r>
      <w:r>
        <w:rPr/>
        <w:t>外币收入与外币支出相匹配以降低汇率风险。</w:t>
      </w:r>
      <w:r>
        <w:rPr>
          <w:rFonts w:ascii="宋体" w:hAnsi="宋体" w:cs="宋体" w:eastAsia="宋体" w:hint="default"/>
          <w:w w:val="100"/>
        </w:rPr>
        <w:t> </w:t>
      </w:r>
      <w:r>
        <w:rPr>
          <w:spacing w:val="-2"/>
        </w:rPr>
        <w:t>本公司面临的汇率风险主要来源于以美元计价的金融资产和金融负债，外币金融资产和外币金融负债折算</w:t>
      </w:r>
      <w:r>
        <w:rPr>
          <w:spacing w:val="-43"/>
        </w:rPr>
        <w:t> </w:t>
      </w:r>
      <w:r>
        <w:rPr>
          <w:spacing w:val="-43"/>
        </w:rPr>
      </w:r>
      <w:r>
        <w:rPr/>
        <w:t>成人民币的金额列示如下：</w:t>
      </w:r>
      <w:r>
        <w:rPr>
          <w:rFonts w:ascii="宋体" w:hAnsi="宋体" w:cs="宋体" w:eastAsia="宋体" w:hint="default"/>
        </w:rPr>
        <w:t> </w:t>
      </w:r>
    </w:p>
    <w:tbl>
      <w:tblPr>
        <w:tblW w:w="0" w:type="auto"/>
        <w:jc w:val="left"/>
        <w:tblInd w:w="573" w:type="dxa"/>
        <w:tblLayout w:type="fixed"/>
        <w:tblCellMar>
          <w:top w:w="0" w:type="dxa"/>
          <w:left w:w="0" w:type="dxa"/>
          <w:bottom w:w="0" w:type="dxa"/>
          <w:right w:w="0" w:type="dxa"/>
        </w:tblCellMar>
        <w:tblLook w:val="01E0"/>
      </w:tblPr>
      <w:tblGrid>
        <w:gridCol w:w="991"/>
        <w:gridCol w:w="1417"/>
        <w:gridCol w:w="1068"/>
        <w:gridCol w:w="1342"/>
        <w:gridCol w:w="1418"/>
        <w:gridCol w:w="994"/>
        <w:gridCol w:w="1417"/>
      </w:tblGrid>
      <w:tr>
        <w:trPr>
          <w:trHeight w:val="504" w:hRule="exact"/>
        </w:trPr>
        <w:tc>
          <w:tcPr>
            <w:tcW w:w="991" w:type="dxa"/>
            <w:vMerge w:val="restart"/>
            <w:tcBorders>
              <w:top w:val="single" w:sz="6" w:space="0" w:color="000000"/>
              <w:left w:val="single" w:sz="6" w:space="0" w:color="000000"/>
              <w:right w:val="single" w:sz="6" w:space="0" w:color="000000"/>
            </w:tcBorders>
          </w:tcPr>
          <w:p>
            <w:pPr>
              <w:pStyle w:val="TableParagraph"/>
              <w:spacing w:line="240" w:lineRule="auto" w:before="55"/>
              <w:ind w:left="2"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827"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left="2" w:right="0"/>
              <w:jc w:val="left"/>
              <w:rPr>
                <w:rFonts w:ascii="宋体" w:hAnsi="宋体" w:cs="宋体" w:eastAsia="宋体" w:hint="default"/>
                <w:sz w:val="21"/>
                <w:szCs w:val="21"/>
              </w:rPr>
            </w:pPr>
            <w:r>
              <w:rPr>
                <w:rFonts w:ascii="宋体" w:hAnsi="宋体" w:cs="宋体" w:eastAsia="宋体" w:hint="default"/>
                <w:sz w:val="21"/>
                <w:szCs w:val="21"/>
              </w:rPr>
              <w:t>年末余额</w:t>
            </w:r>
            <w:r>
              <w:rPr>
                <w:rFonts w:ascii="宋体" w:hAnsi="宋体" w:cs="宋体" w:eastAsia="宋体" w:hint="default"/>
                <w:sz w:val="21"/>
                <w:szCs w:val="21"/>
              </w:rPr>
              <w:t> </w:t>
            </w:r>
          </w:p>
        </w:tc>
        <w:tc>
          <w:tcPr>
            <w:tcW w:w="382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left="4" w:right="0"/>
              <w:jc w:val="left"/>
              <w:rPr>
                <w:rFonts w:ascii="宋体" w:hAnsi="宋体" w:cs="宋体" w:eastAsia="宋体" w:hint="default"/>
                <w:sz w:val="21"/>
                <w:szCs w:val="21"/>
              </w:rPr>
            </w:pPr>
            <w:r>
              <w:rPr>
                <w:rFonts w:ascii="宋体" w:hAnsi="宋体" w:cs="宋体" w:eastAsia="宋体" w:hint="default"/>
                <w:sz w:val="21"/>
                <w:szCs w:val="21"/>
              </w:rPr>
              <w:t>年初余额</w:t>
            </w:r>
            <w:r>
              <w:rPr>
                <w:rFonts w:ascii="宋体" w:hAnsi="宋体" w:cs="宋体" w:eastAsia="宋体" w:hint="default"/>
                <w:sz w:val="21"/>
                <w:szCs w:val="21"/>
              </w:rPr>
              <w:t> </w:t>
            </w:r>
          </w:p>
        </w:tc>
      </w:tr>
      <w:tr>
        <w:trPr>
          <w:trHeight w:val="502" w:hRule="exact"/>
        </w:trPr>
        <w:tc>
          <w:tcPr>
            <w:tcW w:w="991" w:type="dxa"/>
            <w:vMerge/>
            <w:tcBorders>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left="2" w:right="0"/>
              <w:jc w:val="left"/>
              <w:rPr>
                <w:rFonts w:ascii="宋体" w:hAnsi="宋体" w:cs="宋体" w:eastAsia="宋体" w:hint="default"/>
                <w:sz w:val="21"/>
                <w:szCs w:val="21"/>
              </w:rPr>
            </w:pPr>
            <w:r>
              <w:rPr>
                <w:rFonts w:ascii="宋体" w:hAnsi="宋体" w:cs="宋体" w:eastAsia="宋体" w:hint="default"/>
                <w:sz w:val="21"/>
                <w:szCs w:val="21"/>
              </w:rPr>
              <w:t>美元</w:t>
            </w:r>
            <w:r>
              <w:rPr>
                <w:rFonts w:ascii="宋体" w:hAnsi="宋体" w:cs="宋体" w:eastAsia="宋体" w:hint="default"/>
                <w:sz w:val="21"/>
                <w:szCs w:val="21"/>
              </w:rPr>
              <w:t> </w:t>
            </w:r>
          </w:p>
        </w:tc>
        <w:tc>
          <w:tcPr>
            <w:tcW w:w="10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left="4" w:right="0"/>
              <w:jc w:val="left"/>
              <w:rPr>
                <w:rFonts w:ascii="宋体" w:hAnsi="宋体" w:cs="宋体" w:eastAsia="宋体" w:hint="default"/>
                <w:sz w:val="21"/>
                <w:szCs w:val="21"/>
              </w:rPr>
            </w:pPr>
            <w:r>
              <w:rPr>
                <w:rFonts w:ascii="宋体" w:hAnsi="宋体" w:cs="宋体" w:eastAsia="宋体" w:hint="default"/>
                <w:sz w:val="21"/>
                <w:szCs w:val="21"/>
              </w:rPr>
              <w:t>港币</w:t>
            </w:r>
            <w:r>
              <w:rPr>
                <w:rFonts w:ascii="宋体" w:hAnsi="宋体" w:cs="宋体" w:eastAsia="宋体" w:hint="default"/>
                <w:sz w:val="21"/>
                <w:szCs w:val="21"/>
              </w:rPr>
              <w:t> </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left="4"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left="4" w:right="0"/>
              <w:jc w:val="left"/>
              <w:rPr>
                <w:rFonts w:ascii="宋体" w:hAnsi="宋体" w:cs="宋体" w:eastAsia="宋体" w:hint="default"/>
                <w:sz w:val="21"/>
                <w:szCs w:val="21"/>
              </w:rPr>
            </w:pPr>
            <w:r>
              <w:rPr>
                <w:rFonts w:ascii="宋体" w:hAnsi="宋体" w:cs="宋体" w:eastAsia="宋体" w:hint="default"/>
                <w:sz w:val="21"/>
                <w:szCs w:val="21"/>
              </w:rPr>
              <w:t>美元</w:t>
            </w:r>
            <w:r>
              <w:rPr>
                <w:rFonts w:ascii="宋体" w:hAnsi="宋体" w:cs="宋体" w:eastAsia="宋体" w:hint="default"/>
                <w:sz w:val="21"/>
                <w:szCs w:val="21"/>
              </w:rPr>
              <w:t> </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left="4" w:right="0"/>
              <w:jc w:val="left"/>
              <w:rPr>
                <w:rFonts w:ascii="宋体" w:hAnsi="宋体" w:cs="宋体" w:eastAsia="宋体" w:hint="default"/>
                <w:sz w:val="21"/>
                <w:szCs w:val="21"/>
              </w:rPr>
            </w:pPr>
            <w:r>
              <w:rPr>
                <w:rFonts w:ascii="宋体" w:hAnsi="宋体" w:cs="宋体" w:eastAsia="宋体" w:hint="default"/>
                <w:sz w:val="21"/>
                <w:szCs w:val="21"/>
              </w:rPr>
              <w:t>港币</w:t>
            </w:r>
            <w:r>
              <w:rPr>
                <w:rFonts w:ascii="宋体" w:hAnsi="宋体" w:cs="宋体" w:eastAsia="宋体" w:hint="default"/>
                <w:sz w:val="21"/>
                <w:szCs w:val="21"/>
              </w:rPr>
              <w:t> </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left="2"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504" w:hRule="exact"/>
        </w:trPr>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21"/>
                <w:szCs w:val="21"/>
              </w:rPr>
            </w:pPr>
            <w:r>
              <w:rPr>
                <w:rFonts w:ascii="宋体"/>
                <w:sz w:val="21"/>
              </w:rPr>
              <w:t>2,598,815.94 </w:t>
            </w:r>
          </w:p>
        </w:tc>
        <w:tc>
          <w:tcPr>
            <w:tcW w:w="10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3"/>
              <w:jc w:val="left"/>
              <w:rPr>
                <w:rFonts w:ascii="宋体" w:hAnsi="宋体" w:cs="宋体" w:eastAsia="宋体" w:hint="default"/>
                <w:sz w:val="21"/>
                <w:szCs w:val="21"/>
              </w:rPr>
            </w:pPr>
            <w:r>
              <w:rPr>
                <w:rFonts w:ascii="宋体"/>
                <w:sz w:val="21"/>
              </w:rPr>
              <w:t>28,905.53 </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20"/>
              <w:jc w:val="left"/>
              <w:rPr>
                <w:rFonts w:ascii="宋体" w:hAnsi="宋体" w:cs="宋体" w:eastAsia="宋体" w:hint="default"/>
                <w:sz w:val="21"/>
                <w:szCs w:val="21"/>
              </w:rPr>
            </w:pPr>
            <w:r>
              <w:rPr>
                <w:rFonts w:ascii="宋体"/>
                <w:sz w:val="21"/>
              </w:rPr>
              <w:t>2,627,721.47</w:t>
            </w:r>
            <w:r>
              <w:rPr>
                <w:rFonts w:ascii="宋体"/>
                <w:spacing w:val="-24"/>
                <w:sz w:val="21"/>
              </w:rPr>
              <w:t> </w:t>
            </w:r>
            <w:r>
              <w:rPr>
                <w:rFonts w:ascii="宋体"/>
                <w:sz w:val="21"/>
              </w:rPr>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21"/>
                <w:szCs w:val="21"/>
              </w:rPr>
            </w:pPr>
            <w:r>
              <w:rPr>
                <w:rFonts w:ascii="宋体"/>
                <w:sz w:val="21"/>
              </w:rPr>
              <w:t>2,762,847.34 </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21"/>
                <w:szCs w:val="21"/>
              </w:rPr>
            </w:pPr>
            <w:r>
              <w:rPr>
                <w:rFonts w:ascii="宋体"/>
                <w:sz w:val="21"/>
              </w:rPr>
              <w:t>39,107.68</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21"/>
                <w:szCs w:val="21"/>
              </w:rPr>
            </w:pPr>
            <w:r>
              <w:rPr>
                <w:rFonts w:ascii="宋体"/>
                <w:sz w:val="21"/>
              </w:rPr>
              <w:t>2,801,955.02 </w:t>
            </w:r>
          </w:p>
        </w:tc>
      </w:tr>
    </w:tbl>
    <w:p>
      <w:pPr>
        <w:pStyle w:val="BodyText"/>
        <w:spacing w:line="408" w:lineRule="auto" w:before="46"/>
        <w:ind w:right="146"/>
        <w:jc w:val="both"/>
        <w:rPr>
          <w:rFonts w:ascii="宋体" w:hAnsi="宋体" w:cs="宋体" w:eastAsia="宋体" w:hint="default"/>
        </w:rPr>
      </w:pPr>
      <w:r>
        <w:rPr>
          <w:spacing w:val="-2"/>
        </w:rPr>
        <w:t>于</w:t>
      </w: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日，在所有其他变量保持不变的情况下，如果人民币对美元升值或贬值</w:t>
      </w:r>
      <w:r>
        <w:rPr>
          <w:rFonts w:ascii="宋体" w:hAnsi="宋体" w:cs="宋体" w:eastAsia="宋体" w:hint="default"/>
          <w:spacing w:val="-2"/>
        </w:rPr>
        <w:t>5%</w:t>
      </w:r>
      <w:r>
        <w:rPr>
          <w:spacing w:val="-2"/>
        </w:rPr>
        <w:t>，则公司将减少</w:t>
      </w:r>
      <w:r>
        <w:rPr>
          <w:spacing w:val="-33"/>
        </w:rPr>
        <w:t> </w:t>
      </w:r>
      <w:r>
        <w:rPr>
          <w:spacing w:val="-33"/>
        </w:rPr>
      </w:r>
      <w:r>
        <w:rPr>
          <w:spacing w:val="-2"/>
        </w:rPr>
        <w:t>或增加净利润</w:t>
      </w:r>
      <w:r>
        <w:rPr>
          <w:rFonts w:ascii="宋体" w:hAnsi="宋体" w:cs="宋体" w:eastAsia="宋体" w:hint="default"/>
          <w:spacing w:val="-2"/>
        </w:rPr>
        <w:t>13.14</w:t>
      </w:r>
      <w:r>
        <w:rPr>
          <w:spacing w:val="-2"/>
        </w:rPr>
        <w:t>万元（</w:t>
      </w:r>
      <w:r>
        <w:rPr>
          <w:rFonts w:ascii="宋体" w:hAnsi="宋体" w:cs="宋体" w:eastAsia="宋体" w:hint="default"/>
          <w:spacing w:val="-2"/>
        </w:rPr>
        <w:t>2016</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w:t>
      </w:r>
      <w:r>
        <w:rPr>
          <w:rFonts w:ascii="宋体" w:hAnsi="宋体" w:cs="宋体" w:eastAsia="宋体" w:hint="default"/>
          <w:spacing w:val="-2"/>
        </w:rPr>
        <w:t>14.01</w:t>
      </w:r>
      <w:r>
        <w:rPr>
          <w:spacing w:val="-2"/>
        </w:rPr>
        <w:t>万元）。管理层认为</w:t>
      </w:r>
      <w:r>
        <w:rPr>
          <w:rFonts w:ascii="宋体" w:hAnsi="宋体" w:cs="宋体" w:eastAsia="宋体" w:hint="default"/>
          <w:spacing w:val="-2"/>
        </w:rPr>
        <w:t>5%</w:t>
      </w:r>
      <w:r>
        <w:rPr>
          <w:spacing w:val="-2"/>
        </w:rPr>
        <w:t>合理反映了下一年度人民币对美</w:t>
      </w:r>
      <w:r>
        <w:rPr>
          <w:spacing w:val="-27"/>
        </w:rPr>
        <w:t> </w:t>
      </w:r>
      <w:r>
        <w:rPr>
          <w:spacing w:val="-27"/>
        </w:rPr>
      </w:r>
      <w:r>
        <w:rPr/>
        <w:t>元可能发生变动的合理范围。</w:t>
      </w:r>
      <w:r>
        <w:rPr>
          <w:rFonts w:ascii="宋体" w:hAnsi="宋体" w:cs="宋体" w:eastAsia="宋体" w:hint="default"/>
        </w:rPr>
        <w:t> </w:t>
      </w:r>
    </w:p>
    <w:p>
      <w:pPr>
        <w:spacing w:line="240" w:lineRule="auto" w:before="7"/>
        <w:rPr>
          <w:rFonts w:ascii="宋体" w:hAnsi="宋体" w:cs="宋体" w:eastAsia="宋体" w:hint="default"/>
          <w:sz w:val="21"/>
          <w:szCs w:val="21"/>
        </w:rPr>
      </w:pPr>
    </w:p>
    <w:p>
      <w:pPr>
        <w:pStyle w:val="BodyText"/>
        <w:spacing w:line="338" w:lineRule="auto"/>
        <w:ind w:right="146"/>
        <w:jc w:val="both"/>
      </w:pPr>
      <w:r>
        <w:rPr>
          <w:rFonts w:ascii="宋体" w:hAnsi="宋体" w:cs="宋体" w:eastAsia="宋体" w:hint="default"/>
          <w:b/>
          <w:bCs/>
        </w:rPr>
        <w:t>3</w:t>
      </w:r>
      <w:r>
        <w:rPr>
          <w:rFonts w:ascii="宋体" w:hAnsi="宋体" w:cs="宋体" w:eastAsia="宋体" w:hint="default"/>
          <w:b/>
          <w:bCs/>
        </w:rPr>
        <w:t>、</w:t>
      </w:r>
      <w:r>
        <w:rPr>
          <w:rFonts w:ascii="宋体" w:hAnsi="宋体" w:cs="宋体" w:eastAsia="宋体" w:hint="default"/>
          <w:b/>
          <w:bCs/>
          <w:spacing w:val="-63"/>
        </w:rPr>
        <w:t> </w:t>
      </w:r>
      <w:r>
        <w:rPr>
          <w:rFonts w:ascii="宋体" w:hAnsi="宋体" w:cs="宋体" w:eastAsia="宋体" w:hint="default"/>
          <w:b/>
          <w:bCs/>
        </w:rPr>
        <w:t>流动性风险</w:t>
      </w:r>
      <w:r>
        <w:rPr>
          <w:rFonts w:ascii="宋体" w:hAnsi="宋体" w:cs="宋体" w:eastAsia="宋体" w:hint="default"/>
          <w:b/>
          <w:bCs/>
          <w:spacing w:val="-104"/>
        </w:rPr>
        <w:t> </w:t>
      </w:r>
      <w:r>
        <w:rPr>
          <w:rFonts w:ascii="宋体" w:hAnsi="宋体" w:cs="宋体" w:eastAsia="宋体" w:hint="default"/>
          <w:b/>
          <w:bCs/>
          <w:spacing w:val="-104"/>
        </w:rPr>
      </w:r>
      <w:r>
        <w:rPr>
          <w:spacing w:val="-2"/>
        </w:rPr>
        <w:t>流动性风险，是指企业在履行以交付现金或其他金融资产的方式结算的义务时发生资金短缺的风险。本公</w:t>
      </w:r>
    </w:p>
    <w:p>
      <w:pPr>
        <w:pStyle w:val="BodyText"/>
        <w:spacing w:line="408" w:lineRule="auto" w:before="107"/>
        <w:ind w:right="146"/>
        <w:jc w:val="both"/>
        <w:rPr>
          <w:rFonts w:ascii="宋体" w:hAnsi="宋体" w:cs="宋体" w:eastAsia="宋体" w:hint="default"/>
        </w:rPr>
      </w:pPr>
      <w:r>
        <w:rPr>
          <w:spacing w:val="-2"/>
        </w:rPr>
        <w:t>司的政策是确保拥有充足的现金以偿还到期债务。流动性风险由本公司的财务部门集中控制。财务部门通</w:t>
      </w:r>
      <w:r>
        <w:rPr>
          <w:spacing w:val="-43"/>
        </w:rPr>
        <w:t> </w:t>
      </w:r>
      <w:r>
        <w:rPr>
          <w:spacing w:val="-43"/>
        </w:rPr>
      </w:r>
      <w:r>
        <w:rPr>
          <w:spacing w:val="-2"/>
        </w:rPr>
        <w:t>过监控现金及现金等价物余额以及对未来</w:t>
      </w:r>
      <w:r>
        <w:rPr>
          <w:rFonts w:ascii="宋体" w:hAnsi="宋体" w:cs="宋体" w:eastAsia="宋体" w:hint="default"/>
          <w:spacing w:val="-2"/>
        </w:rPr>
        <w:t>12</w:t>
      </w:r>
      <w:r>
        <w:rPr>
          <w:spacing w:val="-2"/>
        </w:rPr>
        <w:t>个月现金流量的滚动预测，确保公司在所有合理预测的情况下</w:t>
      </w:r>
      <w:r>
        <w:rPr>
          <w:spacing w:val="-40"/>
        </w:rPr>
        <w:t> </w:t>
      </w:r>
      <w:r>
        <w:rPr>
          <w:spacing w:val="-40"/>
        </w:rPr>
      </w:r>
      <w:r>
        <w:rPr/>
        <w:t>拥有充足的资金偿还债务。</w:t>
      </w:r>
      <w:r>
        <w:rPr>
          <w:rFonts w:ascii="宋体" w:hAnsi="宋体" w:cs="宋体" w:eastAsia="宋体" w:hint="default"/>
        </w:rPr>
        <w:t> </w:t>
      </w:r>
    </w:p>
    <w:p>
      <w:pPr>
        <w:pStyle w:val="BodyText"/>
        <w:spacing w:line="240" w:lineRule="auto" w:before="46"/>
        <w:ind w:right="0"/>
        <w:jc w:val="both"/>
        <w:rPr>
          <w:rFonts w:ascii="宋体" w:hAnsi="宋体" w:cs="宋体" w:eastAsia="宋体" w:hint="default"/>
        </w:rPr>
      </w:pPr>
      <w:r>
        <w:rPr/>
        <w:t>本公司各项主要的金融负债预计</w:t>
      </w:r>
      <w:r>
        <w:rPr>
          <w:rFonts w:ascii="宋体" w:hAnsi="宋体" w:cs="宋体" w:eastAsia="宋体" w:hint="default"/>
        </w:rPr>
        <w:t>1</w:t>
      </w:r>
      <w:r>
        <w:rPr/>
        <w:t>年内到期。</w:t>
      </w:r>
      <w:r>
        <w:rPr>
          <w:rFonts w:ascii="宋体" w:hAnsi="宋体" w:cs="宋体" w:eastAsia="宋体" w:hint="default"/>
        </w:rPr>
        <w:t> </w:t>
      </w:r>
    </w:p>
    <w:p>
      <w:pPr>
        <w:spacing w:after="0" w:line="240" w:lineRule="auto"/>
        <w:jc w:val="both"/>
        <w:rPr>
          <w:rFonts w:ascii="宋体" w:hAnsi="宋体" w:cs="宋体" w:eastAsia="宋体" w:hint="default"/>
        </w:rPr>
        <w:sectPr>
          <w:pgSz w:w="11910" w:h="16840"/>
          <w:pgMar w:header="745" w:footer="979"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十一、公允价值的披露</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4"/>
        <w:gridCol w:w="1837"/>
        <w:gridCol w:w="1913"/>
        <w:gridCol w:w="1913"/>
        <w:gridCol w:w="1916"/>
      </w:tblGrid>
      <w:tr>
        <w:trPr>
          <w:trHeight w:val="401" w:hRule="exact"/>
        </w:trPr>
        <w:tc>
          <w:tcPr>
            <w:tcW w:w="1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57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5" w:hRule="exact"/>
        </w:trPr>
        <w:tc>
          <w:tcPr>
            <w:tcW w:w="1994"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23" w:right="101" w:hanging="721"/>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w:t>
            </w:r>
          </w:p>
        </w:tc>
      </w:tr>
      <w:tr>
        <w:trPr>
          <w:trHeight w:val="716"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22"/>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z w:val="18"/>
                <w:szCs w:val="18"/>
              </w:rPr>
              <w:t> 量</w:t>
            </w: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10"/>
        <w:rPr>
          <w:rFonts w:ascii="宋体" w:hAnsi="宋体" w:cs="宋体" w:eastAsia="宋体" w:hint="default"/>
          <w:b/>
          <w:bCs/>
          <w:sz w:val="24"/>
          <w:szCs w:val="24"/>
        </w:rPr>
      </w:pPr>
    </w:p>
    <w:p>
      <w:pPr>
        <w:spacing w:line="487" w:lineRule="auto" w:before="0"/>
        <w:ind w:left="152" w:right="712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十二、关联方及关联交易</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3"/>
        <w:rPr>
          <w:rFonts w:ascii="宋体" w:hAnsi="宋体" w:cs="宋体" w:eastAsia="宋体" w:hint="default"/>
          <w:b/>
          <w:bCs/>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4"/>
        <w:gridCol w:w="1595"/>
        <w:gridCol w:w="1595"/>
      </w:tblGrid>
      <w:tr>
        <w:trPr>
          <w:trHeight w:val="715"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42" w:right="72" w:hanging="272"/>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bl>
    <w:p>
      <w:pPr>
        <w:spacing w:line="357" w:lineRule="auto" w:before="49"/>
        <w:ind w:left="152" w:right="6894" w:firstLine="0"/>
        <w:jc w:val="left"/>
        <w:rPr>
          <w:rFonts w:ascii="宋体" w:hAnsi="宋体" w:cs="宋体" w:eastAsia="宋体" w:hint="default"/>
          <w:sz w:val="18"/>
          <w:szCs w:val="18"/>
        </w:rPr>
      </w:pPr>
      <w:r>
        <w:rPr>
          <w:rFonts w:ascii="宋体" w:hAnsi="宋体" w:cs="宋体" w:eastAsia="宋体" w:hint="default"/>
          <w:sz w:val="18"/>
          <w:szCs w:val="18"/>
        </w:rPr>
        <w:t>本企业的母公司情况的说明 本企业最终控制方是自然人陆文雄。 其他说明：</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2</w:t>
      </w:r>
      <w:r>
        <w:rPr/>
        <w:t>、本企业的子公司情况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本企业子公司的情况详见附注九、在其他主体中的权益。</w:t>
      </w:r>
    </w:p>
    <w:p>
      <w:pPr>
        <w:spacing w:after="0"/>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3</w:t>
      </w:r>
      <w:r>
        <w:rPr/>
        <w:t>、本企业合营和联营企业情况</w:t>
      </w:r>
      <w:r>
        <w:rPr>
          <w:b w:val="0"/>
          <w:bCs w:val="0"/>
        </w:rPr>
      </w:r>
    </w:p>
    <w:p>
      <w:pPr>
        <w:spacing w:line="240" w:lineRule="auto" w:before="4"/>
        <w:rPr>
          <w:rFonts w:ascii="宋体" w:hAnsi="宋体" w:cs="宋体" w:eastAsia="宋体" w:hint="default"/>
          <w:b/>
          <w:bCs/>
          <w:sz w:val="26"/>
          <w:szCs w:val="26"/>
        </w:rPr>
      </w:pPr>
    </w:p>
    <w:p>
      <w:pPr>
        <w:spacing w:line="357" w:lineRule="auto" w:before="0"/>
        <w:ind w:left="152" w:right="1314" w:firstLine="0"/>
        <w:jc w:val="left"/>
        <w:rPr>
          <w:rFonts w:ascii="宋体" w:hAnsi="宋体" w:cs="宋体" w:eastAsia="宋体" w:hint="default"/>
          <w:sz w:val="18"/>
          <w:szCs w:val="18"/>
        </w:rPr>
      </w:pPr>
      <w:r>
        <w:rPr>
          <w:rFonts w:ascii="宋体" w:hAnsi="宋体" w:cs="宋体" w:eastAsia="宋体" w:hint="default"/>
          <w:sz w:val="18"/>
          <w:szCs w:val="18"/>
        </w:rPr>
        <w:t>本企业重要的合营或联营企业详见附注九、在其他主体中的权益。 本期与本公司发生关联方交易，或前期与本公司发生关联方交易形成余额的其他合营或联营企业情况如下：</w:t>
      </w: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bl>
    <w:p>
      <w:pPr>
        <w:spacing w:before="71"/>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4</w:t>
      </w:r>
      <w:r>
        <w:rPr/>
        <w:t>、其他关联方情况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上海嗣承投资管理中心（有限合伙）</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子公司股东</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上海伊赐诺网络科技有限公司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股东控制的企业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上海炽蓝企业管理合伙企业（有限合伙）</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原监事担任执行事务合伙人企业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上海缔塔科技有限公司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个月内本公司控制的企业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杭州星数科技有限公司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股东投资的企业</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采购商品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接受劳务情况表</w:t>
      </w:r>
    </w:p>
    <w:p>
      <w:pPr>
        <w:spacing w:before="101"/>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41"/>
        <w:gridCol w:w="1455"/>
        <w:gridCol w:w="1452"/>
        <w:gridCol w:w="1709"/>
        <w:gridCol w:w="1707"/>
        <w:gridCol w:w="1706"/>
      </w:tblGrid>
      <w:tr>
        <w:trPr>
          <w:trHeight w:val="401" w:hRule="exact"/>
        </w:trPr>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9"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65"/>
              <w:jc w:val="left"/>
              <w:rPr>
                <w:rFonts w:ascii="宋体" w:hAnsi="宋体" w:cs="宋体" w:eastAsia="宋体" w:hint="default"/>
                <w:sz w:val="18"/>
                <w:szCs w:val="18"/>
              </w:rPr>
            </w:pPr>
            <w:r>
              <w:rPr>
                <w:rFonts w:ascii="宋体" w:hAnsi="宋体" w:cs="宋体" w:eastAsia="宋体" w:hint="default"/>
                <w:sz w:val="18"/>
                <w:szCs w:val="18"/>
              </w:rPr>
              <w:t>上海复深蓝软件股 份有限公司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劳务成本</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17,530,930.03</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40" w:right="0"/>
              <w:jc w:val="left"/>
              <w:rPr>
                <w:rFonts w:ascii="Times New Roman" w:hAnsi="Times New Roman" w:cs="Times New Roman" w:eastAsia="Times New Roman" w:hint="default"/>
                <w:sz w:val="18"/>
                <w:szCs w:val="18"/>
              </w:rPr>
            </w:pPr>
            <w:r>
              <w:rPr>
                <w:rFonts w:ascii="Times New Roman"/>
                <w:sz w:val="18"/>
              </w:rPr>
              <w:t>24,239,019.74</w:t>
            </w:r>
          </w:p>
        </w:tc>
      </w:tr>
      <w:tr>
        <w:trPr>
          <w:trHeight w:val="71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深圳市杉岩数据技 术有限公司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劳务成本</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1,626,479.25</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4" w:right="65"/>
              <w:jc w:val="left"/>
              <w:rPr>
                <w:rFonts w:ascii="宋体" w:hAnsi="宋体" w:cs="宋体" w:eastAsia="宋体" w:hint="default"/>
                <w:sz w:val="18"/>
                <w:szCs w:val="18"/>
              </w:rPr>
            </w:pPr>
            <w:r>
              <w:rPr>
                <w:rFonts w:ascii="宋体" w:hAnsi="宋体" w:cs="宋体" w:eastAsia="宋体" w:hint="default"/>
                <w:sz w:val="18"/>
                <w:szCs w:val="18"/>
              </w:rPr>
              <w:t>杭州星数科技有限 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劳务成本</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1,769,879.54</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上海缔塔科技有限 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劳务成本</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6,386,012.19</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出售商品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提供劳务情况表</w:t>
      </w:r>
    </w:p>
    <w:p>
      <w:pPr>
        <w:spacing w:before="101"/>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7"/>
        <w:gridCol w:w="2260"/>
        <w:gridCol w:w="2258"/>
        <w:gridCol w:w="2643"/>
      </w:tblGrid>
      <w:tr>
        <w:trPr>
          <w:trHeight w:val="401" w:hRule="exact"/>
        </w:trPr>
        <w:tc>
          <w:tcPr>
            <w:tcW w:w="2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6"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购销商品、提供和接受劳务的关联交易说明</w:t>
      </w:r>
    </w:p>
    <w:p>
      <w:pPr>
        <w:spacing w:after="0"/>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本公司受托管理</w:t>
      </w:r>
      <w:r>
        <w:rPr>
          <w:rFonts w:ascii="Times New Roman" w:hAnsi="Times New Roman" w:cs="Times New Roman" w:eastAsia="Times New Roman" w:hint="default"/>
          <w:sz w:val="18"/>
          <w:szCs w:val="18"/>
        </w:rPr>
        <w:t>/</w:t>
      </w:r>
      <w:r>
        <w:rPr>
          <w:rFonts w:ascii="宋体" w:hAnsi="宋体" w:cs="宋体" w:eastAsia="宋体" w:hint="default"/>
          <w:sz w:val="18"/>
          <w:szCs w:val="18"/>
        </w:rPr>
        <w:t>承包情况表：</w:t>
      </w:r>
    </w:p>
    <w:p>
      <w:pPr>
        <w:spacing w:before="101"/>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7"/>
        <w:gridCol w:w="1367"/>
      </w:tblGrid>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89" w:right="21" w:hanging="567"/>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87" w:right="22"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90" w:right="23" w:hanging="567"/>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7" w:right="21" w:hanging="204"/>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1" w:right="48" w:hanging="6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spacing w:after="0" w:line="316" w:lineRule="auto"/>
        <w:jc w:val="left"/>
        <w:rPr>
          <w:rFonts w:ascii="宋体" w:hAnsi="宋体" w:cs="宋体" w:eastAsia="宋体" w:hint="default"/>
          <w:sz w:val="18"/>
          <w:szCs w:val="18"/>
        </w:rPr>
        <w:sectPr>
          <w:footerReference w:type="default" r:id="rId28"/>
          <w:pgSz w:w="11910" w:h="16840"/>
          <w:pgMar w:footer="979" w:header="745" w:top="1060" w:bottom="1160" w:left="980" w:right="980"/>
        </w:sectPr>
      </w:pPr>
    </w:p>
    <w:p>
      <w:pPr>
        <w:spacing w:line="338" w:lineRule="auto" w:before="49"/>
        <w:ind w:left="152" w:right="-19" w:firstLine="0"/>
        <w:jc w:val="left"/>
        <w:rPr>
          <w:rFonts w:ascii="宋体" w:hAnsi="宋体" w:cs="宋体" w:eastAsia="宋体" w:hint="default"/>
          <w:sz w:val="18"/>
          <w:szCs w:val="18"/>
        </w:rPr>
      </w:pPr>
      <w:r>
        <w:rPr>
          <w:rFonts w:ascii="宋体" w:hAnsi="宋体" w:cs="宋体" w:eastAsia="宋体" w:hint="default"/>
          <w:sz w:val="18"/>
          <w:szCs w:val="18"/>
        </w:rPr>
        <w:t>关联托管</w:t>
      </w:r>
      <w:r>
        <w:rPr>
          <w:rFonts w:ascii="Times New Roman" w:hAnsi="Times New Roman" w:cs="Times New Roman" w:eastAsia="Times New Roman" w:hint="default"/>
          <w:sz w:val="18"/>
          <w:szCs w:val="18"/>
        </w:rPr>
        <w:t>/</w:t>
      </w:r>
      <w:r>
        <w:rPr>
          <w:rFonts w:ascii="宋体" w:hAnsi="宋体" w:cs="宋体" w:eastAsia="宋体" w:hint="default"/>
          <w:sz w:val="18"/>
          <w:szCs w:val="18"/>
        </w:rPr>
        <w:t>承包情况说明 本公司委托管理</w:t>
      </w:r>
      <w:r>
        <w:rPr>
          <w:rFonts w:ascii="Times New Roman" w:hAnsi="Times New Roman" w:cs="Times New Roman" w:eastAsia="Times New Roman" w:hint="default"/>
          <w:sz w:val="18"/>
          <w:szCs w:val="18"/>
        </w:rPr>
        <w:t>/</w:t>
      </w:r>
      <w:r>
        <w:rPr>
          <w:rFonts w:ascii="宋体" w:hAnsi="宋体" w:cs="宋体" w:eastAsia="宋体" w:hint="default"/>
          <w:sz w:val="18"/>
          <w:szCs w:val="18"/>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2544" w:space="6285"/>
            <w:col w:w="1121"/>
          </w:cols>
        </w:sectPr>
      </w:pP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7"/>
        <w:gridCol w:w="1367"/>
      </w:tblGrid>
      <w:tr>
        <w:trPr>
          <w:trHeight w:val="71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89" w:right="21" w:hanging="567"/>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87" w:right="22"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90" w:right="23" w:hanging="567"/>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407" w:right="21" w:hanging="384"/>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91" w:right="48"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关联管理</w:t>
      </w:r>
      <w:r>
        <w:rPr>
          <w:rFonts w:ascii="Times New Roman" w:hAnsi="Times New Roman" w:cs="Times New Roman" w:eastAsia="Times New Roman" w:hint="default"/>
          <w:sz w:val="18"/>
          <w:szCs w:val="18"/>
        </w:rPr>
        <w:t>/</w:t>
      </w:r>
      <w:r>
        <w:rPr>
          <w:rFonts w:ascii="宋体" w:hAnsi="宋体" w:cs="宋体" w:eastAsia="宋体" w:hint="default"/>
          <w:sz w:val="18"/>
          <w:szCs w:val="18"/>
        </w:rPr>
        <w:t>出包情况说明</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）关联租赁情况</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本公司作为出租方：</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9"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3"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r>
        <w:trPr>
          <w:trHeight w:val="716"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92"/>
              <w:jc w:val="left"/>
              <w:rPr>
                <w:rFonts w:ascii="宋体" w:hAnsi="宋体" w:cs="宋体" w:eastAsia="宋体" w:hint="default"/>
                <w:sz w:val="18"/>
                <w:szCs w:val="18"/>
              </w:rPr>
            </w:pPr>
            <w:r>
              <w:rPr>
                <w:rFonts w:ascii="宋体" w:hAnsi="宋体" w:cs="宋体" w:eastAsia="宋体" w:hint="default"/>
                <w:sz w:val="18"/>
                <w:szCs w:val="18"/>
              </w:rPr>
              <w:t>上海伊赐诺网络科技有限公 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68,527.73</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本公司作为承租方：</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5"/>
        <w:gridCol w:w="2392"/>
        <w:gridCol w:w="2381"/>
      </w:tblGrid>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3"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9"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关联租赁情况说明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Times New Roman" w:hAnsi="Times New Roman" w:cs="Times New Roman" w:eastAsia="Times New Roman" w:hint="default"/>
        </w:rPr>
        <w:t>4</w:t>
      </w:r>
      <w:r>
        <w:rPr/>
        <w:t>）关联担保情况</w:t>
      </w:r>
      <w:r>
        <w:rPr>
          <w:b w:val="0"/>
          <w:bCs w:val="0"/>
        </w:rPr>
      </w:r>
    </w:p>
    <w:p>
      <w:pPr>
        <w:spacing w:line="240" w:lineRule="auto" w:before="10"/>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本公司作为担保方</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03"/>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本公司作为被担保方</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关联担保情况说明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5</w:t>
      </w:r>
      <w:r>
        <w:rPr/>
        <w:t>）关联方资金拆借</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说明</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9572"/>
      </w:tblGrid>
      <w:tr>
        <w:trPr>
          <w:trHeight w:val="401" w:hRule="exact"/>
        </w:trPr>
        <w:tc>
          <w:tcPr>
            <w:tcW w:w="9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3" w:hRule="exact"/>
        </w:trPr>
        <w:tc>
          <w:tcPr>
            <w:tcW w:w="9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3"/>
        <w:rPr>
          <w:rFonts w:ascii="宋体" w:hAnsi="宋体" w:cs="宋体" w:eastAsia="宋体" w:hint="default"/>
          <w:sz w:val="19"/>
          <w:szCs w:val="19"/>
        </w:rPr>
      </w:pPr>
    </w:p>
    <w:p>
      <w:pPr>
        <w:pStyle w:val="Heading3"/>
        <w:spacing w:line="240" w:lineRule="auto" w:before="36"/>
        <w:ind w:right="101"/>
        <w:jc w:val="left"/>
        <w:rPr>
          <w:b w:val="0"/>
          <w:bCs w:val="0"/>
        </w:rPr>
      </w:pP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12"/>
        <w:rPr>
          <w:rFonts w:ascii="宋体" w:hAnsi="宋体" w:cs="宋体" w:eastAsia="宋体" w:hint="default"/>
          <w:b/>
          <w:bCs/>
          <w:sz w:val="22"/>
          <w:szCs w:val="22"/>
        </w:rPr>
      </w:pPr>
    </w:p>
    <w:p>
      <w:pPr>
        <w:spacing w:before="44"/>
        <w:ind w:left="0" w:right="2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4"/>
        <w:gridCol w:w="2392"/>
        <w:gridCol w:w="2381"/>
      </w:tblGrid>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3"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3"/>
        <w:rPr>
          <w:rFonts w:ascii="宋体" w:hAnsi="宋体" w:cs="宋体" w:eastAsia="宋体" w:hint="default"/>
          <w:sz w:val="19"/>
          <w:szCs w:val="19"/>
        </w:rPr>
      </w:pPr>
    </w:p>
    <w:p>
      <w:pPr>
        <w:pStyle w:val="Heading3"/>
        <w:spacing w:line="240" w:lineRule="auto" w:before="36"/>
        <w:ind w:right="101"/>
        <w:jc w:val="left"/>
        <w:rPr>
          <w:b w:val="0"/>
          <w:bCs w:val="0"/>
        </w:rPr>
      </w:pPr>
      <w:r>
        <w:rPr/>
        <w:t>（</w:t>
      </w:r>
      <w:r>
        <w:rPr>
          <w:rFonts w:ascii="Times New Roman" w:hAnsi="Times New Roman" w:cs="Times New Roman" w:eastAsia="Times New Roman" w:hint="default"/>
        </w:rPr>
        <w:t>7</w:t>
      </w:r>
      <w:r>
        <w:rPr/>
        <w:t>）关键管理人员报酬</w:t>
      </w:r>
      <w:r>
        <w:rPr>
          <w:b w:val="0"/>
          <w:bCs w:val="0"/>
        </w:rPr>
      </w:r>
    </w:p>
    <w:p>
      <w:pPr>
        <w:spacing w:line="240" w:lineRule="auto" w:before="13"/>
        <w:rPr>
          <w:rFonts w:ascii="宋体" w:hAnsi="宋体" w:cs="宋体" w:eastAsia="宋体" w:hint="default"/>
          <w:b/>
          <w:bCs/>
          <w:sz w:val="22"/>
          <w:szCs w:val="22"/>
        </w:rPr>
      </w:pPr>
    </w:p>
    <w:p>
      <w:pPr>
        <w:spacing w:before="44"/>
        <w:ind w:left="0" w:right="2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4,260,323.56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6,612,042.25</w:t>
            </w:r>
          </w:p>
        </w:tc>
      </w:tr>
    </w:tbl>
    <w:p>
      <w:pPr>
        <w:spacing w:line="240" w:lineRule="auto" w:before="3"/>
        <w:rPr>
          <w:rFonts w:ascii="宋体" w:hAnsi="宋体" w:cs="宋体" w:eastAsia="宋体" w:hint="default"/>
          <w:sz w:val="19"/>
          <w:szCs w:val="19"/>
        </w:rPr>
      </w:pPr>
    </w:p>
    <w:p>
      <w:pPr>
        <w:pStyle w:val="Heading3"/>
        <w:spacing w:line="240" w:lineRule="auto" w:before="36"/>
        <w:ind w:right="101"/>
        <w:jc w:val="left"/>
        <w:rPr>
          <w:b w:val="0"/>
          <w:bCs w:val="0"/>
        </w:rPr>
      </w:pPr>
      <w:r>
        <w:rPr/>
        <w:t>（</w:t>
      </w:r>
      <w:r>
        <w:rPr>
          <w:rFonts w:ascii="Times New Roman" w:hAnsi="Times New Roman" w:cs="Times New Roman" w:eastAsia="Times New Roman" w:hint="default"/>
        </w:rPr>
        <w:t>8</w:t>
      </w:r>
      <w:r>
        <w:rPr/>
        <w:t>）其他关联交易</w:t>
      </w:r>
      <w:r>
        <w:rPr>
          <w:b w:val="0"/>
          <w:bCs w:val="0"/>
        </w:rPr>
      </w:r>
    </w:p>
    <w:p>
      <w:pPr>
        <w:spacing w:line="240" w:lineRule="auto" w:before="8"/>
        <w:rPr>
          <w:rFonts w:ascii="宋体" w:hAnsi="宋体" w:cs="宋体" w:eastAsia="宋体" w:hint="default"/>
          <w:b/>
          <w:bCs/>
          <w:sz w:val="30"/>
          <w:szCs w:val="30"/>
        </w:rPr>
      </w:pPr>
    </w:p>
    <w:p>
      <w:pPr>
        <w:pStyle w:val="BodyText"/>
        <w:spacing w:line="386" w:lineRule="auto"/>
        <w:ind w:right="101"/>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）处置缔塔科技股权情况</w:t>
      </w:r>
      <w:r>
        <w:rPr>
          <w:rFonts w:ascii="宋体" w:hAnsi="宋体" w:cs="宋体" w:eastAsia="宋体" w:hint="default"/>
          <w:b/>
          <w:bCs/>
          <w:w w:val="100"/>
        </w:rPr>
        <w:t> </w:t>
      </w: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3</w:t>
      </w:r>
      <w:r>
        <w:rPr>
          <w:spacing w:val="-4"/>
        </w:rPr>
        <w:t>月，根据上海缔塔科技有限公司（以下简称</w:t>
      </w:r>
      <w:r>
        <w:rPr>
          <w:rFonts w:ascii="Times New Roman" w:hAnsi="Times New Roman" w:cs="Times New Roman" w:eastAsia="Times New Roman" w:hint="default"/>
          <w:spacing w:val="-4"/>
        </w:rPr>
        <w:t>“</w:t>
      </w:r>
      <w:r>
        <w:rPr>
          <w:spacing w:val="-4"/>
        </w:rPr>
        <w:t>缔塔科技</w:t>
      </w:r>
      <w:r>
        <w:rPr>
          <w:rFonts w:ascii="Times New Roman" w:hAnsi="Times New Roman" w:cs="Times New Roman" w:eastAsia="Times New Roman" w:hint="default"/>
          <w:spacing w:val="-4"/>
        </w:rPr>
        <w:t>”</w:t>
      </w:r>
      <w:r>
        <w:rPr>
          <w:spacing w:val="-4"/>
        </w:rPr>
        <w:t>）双方股东签署的《关于上海缔塔科技有限</w:t>
      </w:r>
      <w:r>
        <w:rPr>
          <w:spacing w:val="-20"/>
        </w:rPr>
        <w:t> </w:t>
      </w:r>
      <w:r>
        <w:rPr>
          <w:spacing w:val="-20"/>
        </w:rPr>
      </w:r>
      <w:r>
        <w:rPr>
          <w:spacing w:val="-2"/>
        </w:rPr>
        <w:t>公司减资及出售部分股权之意向协议书》约定，本公司将持有缔塔科技的</w:t>
      </w:r>
      <w:r>
        <w:rPr>
          <w:rFonts w:ascii="Times New Roman" w:hAnsi="Times New Roman" w:cs="Times New Roman" w:eastAsia="Times New Roman" w:hint="default"/>
          <w:spacing w:val="-2"/>
        </w:rPr>
        <w:t>60%</w:t>
      </w:r>
      <w:r>
        <w:rPr>
          <w:spacing w:val="-2"/>
        </w:rPr>
        <w:t>的股权转让给其另一股东上</w:t>
      </w:r>
      <w:r>
        <w:rPr>
          <w:spacing w:val="-17"/>
        </w:rPr>
        <w:t> </w:t>
      </w:r>
      <w:r>
        <w:rPr>
          <w:spacing w:val="-17"/>
        </w:rPr>
      </w:r>
      <w:r>
        <w:rPr/>
        <w:t>海嗣承投资管理中心（有限合伙）。</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月，各方签署《股权转让交割凭证》，确认股权转让事项于</w:t>
      </w:r>
      <w:r>
        <w:rPr>
          <w:w w:val="100"/>
        </w:rPr>
        <w:t>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31</w:t>
      </w:r>
      <w:r>
        <w:rPr/>
        <w:t>日交割完毕。</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月，相关股权转让工商手续完成。</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16"/>
          <w:szCs w:val="16"/>
        </w:rPr>
      </w:pPr>
    </w:p>
    <w:p>
      <w:pPr>
        <w:pStyle w:val="BodyText"/>
        <w:spacing w:line="386" w:lineRule="auto"/>
        <w:ind w:right="101"/>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）亿富金融注销情况</w:t>
      </w:r>
      <w:r>
        <w:rPr>
          <w:rFonts w:ascii="宋体" w:hAnsi="宋体" w:cs="宋体" w:eastAsia="宋体" w:hint="default"/>
          <w:b/>
          <w:bCs/>
          <w:w w:val="100"/>
        </w:rPr>
        <w:t> </w:t>
      </w:r>
      <w:r>
        <w:rPr>
          <w:rFonts w:ascii="Times New Roman" w:hAnsi="Times New Roman" w:cs="Times New Roman" w:eastAsia="Times New Roman" w:hint="default"/>
          <w:spacing w:val="-6"/>
        </w:rPr>
        <w:t>2016</w:t>
      </w:r>
      <w:r>
        <w:rPr>
          <w:spacing w:val="-6"/>
        </w:rPr>
        <w:t>年</w:t>
      </w:r>
      <w:r>
        <w:rPr>
          <w:rFonts w:ascii="Times New Roman" w:hAnsi="Times New Roman" w:cs="Times New Roman" w:eastAsia="Times New Roman" w:hint="default"/>
          <w:spacing w:val="-6"/>
        </w:rPr>
        <w:t>8</w:t>
      </w:r>
      <w:r>
        <w:rPr>
          <w:spacing w:val="-6"/>
        </w:rPr>
        <w:t>月，经上海亿富金融信息服务有限公司（以下简称</w:t>
      </w:r>
      <w:r>
        <w:rPr>
          <w:rFonts w:ascii="Times New Roman" w:hAnsi="Times New Roman" w:cs="Times New Roman" w:eastAsia="Times New Roman" w:hint="default"/>
          <w:spacing w:val="-6"/>
        </w:rPr>
        <w:t>“</w:t>
      </w:r>
      <w:r>
        <w:rPr>
          <w:spacing w:val="-6"/>
        </w:rPr>
        <w:t>亿富金融</w:t>
      </w:r>
      <w:r>
        <w:rPr>
          <w:rFonts w:ascii="Times New Roman" w:hAnsi="Times New Roman" w:cs="Times New Roman" w:eastAsia="Times New Roman" w:hint="default"/>
          <w:spacing w:val="-6"/>
        </w:rPr>
        <w:t>”</w:t>
      </w:r>
      <w:r>
        <w:rPr>
          <w:spacing w:val="-6"/>
        </w:rPr>
        <w:t>）股东会同意，基于经营策略的原因，</w:t>
      </w:r>
      <w:r>
        <w:rPr>
          <w:spacing w:val="-17"/>
        </w:rPr>
        <w:t> </w:t>
      </w:r>
      <w:r>
        <w:rPr>
          <w:spacing w:val="-17"/>
        </w:rPr>
      </w:r>
      <w:r>
        <w:rPr/>
        <w:t>同意注销亿富金融。</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16</w:t>
      </w:r>
      <w:r>
        <w:rPr/>
        <w:t>日，亿富金融取得上海市黄浦区市场监督管理局出具的准予注销登记通</w:t>
      </w:r>
      <w:r>
        <w:rPr>
          <w:w w:val="100"/>
        </w:rPr>
        <w:t> </w:t>
      </w:r>
      <w:r>
        <w:rPr/>
        <w:t>知书。</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BodyText"/>
        <w:spacing w:line="391" w:lineRule="auto"/>
        <w:ind w:right="101"/>
        <w:jc w:val="left"/>
      </w:pPr>
      <w:r>
        <w:rPr>
          <w:rFonts w:ascii="宋体" w:hAnsi="宋体" w:cs="宋体" w:eastAsia="宋体" w:hint="default"/>
          <w:b/>
          <w:bCs/>
        </w:rPr>
        <w:t>（</w:t>
      </w:r>
      <w:r>
        <w:rPr>
          <w:rFonts w:ascii="Times New Roman" w:hAnsi="Times New Roman" w:cs="Times New Roman" w:eastAsia="Times New Roman" w:hint="default"/>
          <w:b/>
          <w:bCs/>
        </w:rPr>
        <w:t>3</w:t>
      </w:r>
      <w:r>
        <w:rPr>
          <w:rFonts w:ascii="宋体" w:hAnsi="宋体" w:cs="宋体" w:eastAsia="宋体" w:hint="default"/>
          <w:b/>
          <w:bCs/>
        </w:rPr>
        <w:t>）处置复深蓝部分股权情况</w:t>
      </w:r>
      <w:r>
        <w:rPr>
          <w:rFonts w:ascii="宋体" w:hAnsi="宋体" w:cs="宋体" w:eastAsia="宋体" w:hint="default"/>
          <w:b/>
          <w:bCs/>
          <w:w w:val="100"/>
        </w:rPr>
        <w:t>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月，公司召开第三届董事会第十九临时会议，审议通过《关于出售参股公司部分股权暨关联交易</w:t>
      </w:r>
      <w:r>
        <w:rPr>
          <w:w w:val="100"/>
        </w:rPr>
        <w:t> </w:t>
      </w:r>
      <w:r>
        <w:rPr>
          <w:spacing w:val="-6"/>
        </w:rPr>
        <w:t>的议案》，公司以人民币</w:t>
      </w:r>
      <w:r>
        <w:rPr>
          <w:rFonts w:ascii="Times New Roman" w:hAnsi="Times New Roman" w:cs="Times New Roman" w:eastAsia="Times New Roman" w:hint="default"/>
          <w:spacing w:val="-6"/>
        </w:rPr>
        <w:t>3,420</w:t>
      </w:r>
      <w:r>
        <w:rPr>
          <w:spacing w:val="-6"/>
        </w:rPr>
        <w:t>万元转让公司持有的上海复深蓝软件股份有限公司（以下简称</w:t>
      </w:r>
      <w:r>
        <w:rPr>
          <w:rFonts w:ascii="Times New Roman" w:hAnsi="Times New Roman" w:cs="Times New Roman" w:eastAsia="Times New Roman" w:hint="default"/>
          <w:spacing w:val="-6"/>
        </w:rPr>
        <w:t>“</w:t>
      </w:r>
      <w:r>
        <w:rPr>
          <w:spacing w:val="-6"/>
        </w:rPr>
        <w:t>复深蓝</w:t>
      </w:r>
      <w:r>
        <w:rPr>
          <w:rFonts w:ascii="Times New Roman" w:hAnsi="Times New Roman" w:cs="Times New Roman" w:eastAsia="Times New Roman" w:hint="default"/>
          <w:spacing w:val="-6"/>
        </w:rPr>
        <w:t>”</w:t>
      </w:r>
      <w:r>
        <w:rPr>
          <w:spacing w:val="-6"/>
        </w:rPr>
        <w:t>）</w:t>
      </w:r>
      <w:r>
        <w:rPr>
          <w:rFonts w:ascii="Times New Roman" w:hAnsi="Times New Roman" w:cs="Times New Roman" w:eastAsia="Times New Roman" w:hint="default"/>
          <w:spacing w:val="-6"/>
        </w:rPr>
        <w:t>19%</w:t>
      </w:r>
      <w:r>
        <w:rPr>
          <w:rFonts w:ascii="Times New Roman" w:hAnsi="Times New Roman" w:cs="Times New Roman" w:eastAsia="Times New Roman" w:hint="default"/>
          <w:spacing w:val="19"/>
        </w:rPr>
        <w:t> </w:t>
      </w:r>
      <w:r>
        <w:rPr>
          <w:rFonts w:ascii="Times New Roman" w:hAnsi="Times New Roman" w:cs="Times New Roman" w:eastAsia="Times New Roman" w:hint="default"/>
          <w:spacing w:val="19"/>
        </w:rPr>
      </w:r>
      <w:r>
        <w:rPr>
          <w:spacing w:val="-3"/>
        </w:rPr>
        <w:t>的股权。其中以人民币</w:t>
      </w:r>
      <w:r>
        <w:rPr>
          <w:rFonts w:ascii="Times New Roman" w:hAnsi="Times New Roman" w:cs="Times New Roman" w:eastAsia="Times New Roman" w:hint="default"/>
          <w:spacing w:val="-3"/>
        </w:rPr>
        <w:t>2,520</w:t>
      </w:r>
      <w:r>
        <w:rPr>
          <w:spacing w:val="-3"/>
        </w:rPr>
        <w:t>万元的价格向上海炽蓝企业管理合伙企业（有限合伙）及其指定的第三方转让</w:t>
      </w:r>
      <w:r>
        <w:rPr>
          <w:spacing w:val="-48"/>
        </w:rPr>
        <w:t> </w:t>
      </w:r>
      <w:r>
        <w:rPr>
          <w:spacing w:val="-48"/>
        </w:rPr>
      </w:r>
      <w:r>
        <w:rPr>
          <w:spacing w:val="-2"/>
        </w:rPr>
        <w:t>本公司持有的复深蓝</w:t>
      </w:r>
      <w:r>
        <w:rPr>
          <w:rFonts w:ascii="Times New Roman" w:hAnsi="Times New Roman" w:cs="Times New Roman" w:eastAsia="Times New Roman" w:hint="default"/>
          <w:spacing w:val="-2"/>
        </w:rPr>
        <w:t>280</w:t>
      </w:r>
      <w:r>
        <w:rPr>
          <w:spacing w:val="-2"/>
        </w:rPr>
        <w:t>万股股份，即复深蓝</w:t>
      </w:r>
      <w:r>
        <w:rPr>
          <w:rFonts w:ascii="Times New Roman" w:hAnsi="Times New Roman" w:cs="Times New Roman" w:eastAsia="Times New Roman" w:hint="default"/>
          <w:spacing w:val="-2"/>
        </w:rPr>
        <w:t>14%</w:t>
      </w:r>
      <w:r>
        <w:rPr>
          <w:spacing w:val="-2"/>
        </w:rPr>
        <w:t>的股权；其中</w:t>
      </w:r>
      <w:r>
        <w:rPr>
          <w:rFonts w:ascii="Times New Roman" w:hAnsi="Times New Roman" w:cs="Times New Roman" w:eastAsia="Times New Roman" w:hint="default"/>
          <w:spacing w:val="-2"/>
        </w:rPr>
        <w:t>220</w:t>
      </w:r>
      <w:r>
        <w:rPr>
          <w:spacing w:val="-2"/>
        </w:rPr>
        <w:t>万股股份由炽蓝受让，另</w:t>
      </w:r>
      <w:r>
        <w:rPr>
          <w:rFonts w:ascii="Times New Roman" w:hAnsi="Times New Roman" w:cs="Times New Roman" w:eastAsia="Times New Roman" w:hint="default"/>
          <w:spacing w:val="-2"/>
        </w:rPr>
        <w:t>60</w:t>
      </w:r>
      <w:r>
        <w:rPr>
          <w:spacing w:val="-2"/>
        </w:rPr>
        <w:t>万股股份由</w:t>
      </w:r>
      <w:r>
        <w:rPr>
          <w:spacing w:val="-15"/>
        </w:rPr>
        <w:t> </w:t>
      </w:r>
      <w:r>
        <w:rPr>
          <w:spacing w:val="-15"/>
        </w:rPr>
      </w:r>
      <w:r>
        <w:rPr>
          <w:spacing w:val="-2"/>
        </w:rPr>
        <w:t>炽蓝指定的合格第三方受让（补充协议中炽蓝指定第三方上海瑞力骄阳投资管理合伙企业（有限合伙）受</w:t>
      </w:r>
      <w:r>
        <w:rPr>
          <w:spacing w:val="-43"/>
        </w:rPr>
        <w:t> </w:t>
      </w:r>
      <w:r>
        <w:rPr>
          <w:spacing w:val="-43"/>
        </w:rPr>
      </w:r>
      <w:r>
        <w:rPr>
          <w:spacing w:val="-2"/>
        </w:rPr>
        <w:t>让公司持有的复深蓝</w:t>
      </w:r>
      <w:r>
        <w:rPr>
          <w:rFonts w:ascii="Times New Roman" w:hAnsi="Times New Roman" w:cs="Times New Roman" w:eastAsia="Times New Roman" w:hint="default"/>
          <w:spacing w:val="-2"/>
        </w:rPr>
        <w:t>60</w:t>
      </w:r>
      <w:r>
        <w:rPr>
          <w:spacing w:val="-2"/>
        </w:rPr>
        <w:t>万股股份，股份转让款为人民币</w:t>
      </w:r>
      <w:r>
        <w:rPr>
          <w:rFonts w:ascii="Times New Roman" w:hAnsi="Times New Roman" w:cs="Times New Roman" w:eastAsia="Times New Roman" w:hint="default"/>
          <w:spacing w:val="-2"/>
        </w:rPr>
        <w:t>540</w:t>
      </w:r>
      <w:r>
        <w:rPr>
          <w:spacing w:val="-2"/>
        </w:rPr>
        <w:t>万元）。以人民币</w:t>
      </w:r>
      <w:r>
        <w:rPr>
          <w:rFonts w:ascii="Times New Roman" w:hAnsi="Times New Roman" w:cs="Times New Roman" w:eastAsia="Times New Roman" w:hint="default"/>
          <w:spacing w:val="-2"/>
        </w:rPr>
        <w:t>900</w:t>
      </w:r>
      <w:r>
        <w:rPr>
          <w:spacing w:val="-2"/>
        </w:rPr>
        <w:t>万元的价格向南京元谷股</w:t>
      </w:r>
    </w:p>
    <w:p>
      <w:pPr>
        <w:spacing w:after="0" w:line="391" w:lineRule="auto"/>
        <w:jc w:val="left"/>
        <w:sectPr>
          <w:footerReference w:type="default" r:id="rId29"/>
          <w:pgSz w:w="11910" w:h="16840"/>
          <w:pgMar w:footer="979" w:header="745" w:top="1060" w:bottom="1160" w:left="980" w:right="920"/>
          <w:pgNumType w:start="201"/>
        </w:sectPr>
      </w:pPr>
    </w:p>
    <w:p>
      <w:pPr>
        <w:spacing w:line="240" w:lineRule="auto" w:before="0"/>
        <w:rPr>
          <w:rFonts w:ascii="宋体" w:hAnsi="宋体" w:cs="宋体" w:eastAsia="宋体" w:hint="default"/>
          <w:sz w:val="20"/>
          <w:szCs w:val="20"/>
        </w:rPr>
      </w:pPr>
    </w:p>
    <w:p>
      <w:pPr>
        <w:pStyle w:val="BodyText"/>
        <w:spacing w:line="386" w:lineRule="auto" w:before="176"/>
        <w:ind w:right="0"/>
        <w:jc w:val="left"/>
      </w:pPr>
      <w:r>
        <w:rPr>
          <w:spacing w:val="-4"/>
        </w:rPr>
        <w:t>权投资合伙企业（有限合伙）转让本公司持有的复深蓝</w:t>
      </w:r>
      <w:r>
        <w:rPr>
          <w:rFonts w:ascii="Times New Roman" w:hAnsi="Times New Roman" w:cs="Times New Roman" w:eastAsia="Times New Roman" w:hint="default"/>
          <w:spacing w:val="-4"/>
        </w:rPr>
        <w:t>100</w:t>
      </w:r>
      <w:r>
        <w:rPr>
          <w:spacing w:val="-4"/>
        </w:rPr>
        <w:t>万股股份，即复深蓝</w:t>
      </w:r>
      <w:r>
        <w:rPr>
          <w:rFonts w:ascii="Times New Roman" w:hAnsi="Times New Roman" w:cs="Times New Roman" w:eastAsia="Times New Roman" w:hint="default"/>
          <w:spacing w:val="-4"/>
        </w:rPr>
        <w:t>5%</w:t>
      </w:r>
      <w:r>
        <w:rPr>
          <w:spacing w:val="-4"/>
        </w:rPr>
        <w:t>的股权。</w:t>
      </w: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8</w:t>
      </w:r>
      <w:r>
        <w:rPr>
          <w:spacing w:val="-4"/>
        </w:rPr>
        <w:t>月，公</w:t>
      </w:r>
      <w:r>
        <w:rPr>
          <w:spacing w:val="-5"/>
        </w:rPr>
        <w:t> </w:t>
      </w:r>
      <w:r>
        <w:rPr>
          <w:spacing w:val="-5"/>
        </w:rPr>
      </w:r>
      <w:r>
        <w:rPr/>
        <w:t>司收到全部股权转让款，相关股权转让工商手续完成。</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p>
      <w:pPr>
        <w:pStyle w:val="Heading3"/>
        <w:spacing w:line="240" w:lineRule="auto"/>
        <w:ind w:right="0"/>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2"/>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上海复深蓝软件股 份有限公司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9,179,645.78</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上海复深蓝软件股 份有限公司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2,012,482.53</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3,846,544.94</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上海缔塔科技有限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35,094.35</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上海伊赐诺网络科 技有限公司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68,527.73</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）应付项目</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上海复深蓝软件股份有限公 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13,554,233.26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25" w:right="0"/>
              <w:jc w:val="left"/>
              <w:rPr>
                <w:rFonts w:ascii="Times New Roman" w:hAnsi="Times New Roman" w:cs="Times New Roman" w:eastAsia="Times New Roman" w:hint="default"/>
                <w:sz w:val="18"/>
                <w:szCs w:val="18"/>
              </w:rPr>
            </w:pPr>
            <w:r>
              <w:rPr>
                <w:rFonts w:ascii="Times New Roman"/>
                <w:sz w:val="18"/>
              </w:rPr>
              <w:t>13,537,168.05</w:t>
            </w:r>
          </w:p>
        </w:tc>
      </w:tr>
      <w:tr>
        <w:trPr>
          <w:trHeight w:val="716"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深圳市杉岩数据技术有限公 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879,395.00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上海缔塔科技有限公司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3,209,438.76</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7</w:t>
      </w:r>
      <w:r>
        <w:rPr/>
        <w:t>、关联方承诺</w:t>
      </w:r>
      <w:r>
        <w:rPr>
          <w:b w:val="0"/>
          <w:bCs w:val="0"/>
        </w:rPr>
      </w:r>
    </w:p>
    <w:p>
      <w:pPr>
        <w:spacing w:line="240" w:lineRule="auto" w:before="10"/>
        <w:rPr>
          <w:rFonts w:ascii="宋体" w:hAnsi="宋体" w:cs="宋体" w:eastAsia="宋体" w:hint="default"/>
          <w:b/>
          <w:bCs/>
          <w:sz w:val="24"/>
          <w:szCs w:val="24"/>
        </w:rPr>
      </w:pPr>
    </w:p>
    <w:p>
      <w:pPr>
        <w:spacing w:line="487" w:lineRule="auto" w:before="0"/>
        <w:ind w:left="152" w:right="777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spacing w:before="10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3"/>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5455"/>
        <w:gridCol w:w="4114"/>
      </w:tblGrid>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3,681,600.00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公司期末发行在外的其他权益工具行权价格的范围和合同剩余期限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公司年末所有权益工具全部失效</w:t>
            </w:r>
          </w:p>
        </w:tc>
      </w:tr>
    </w:tbl>
    <w:p>
      <w:pPr>
        <w:spacing w:before="49"/>
        <w:ind w:left="152" w:right="101"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101"/>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13"/>
        <w:rPr>
          <w:rFonts w:ascii="宋体" w:hAnsi="宋体" w:cs="宋体" w:eastAsia="宋体" w:hint="default"/>
          <w:b/>
          <w:bCs/>
          <w:sz w:val="22"/>
          <w:szCs w:val="22"/>
        </w:rPr>
      </w:pPr>
    </w:p>
    <w:p>
      <w:pPr>
        <w:spacing w:before="44"/>
        <w:ind w:left="152" w:right="10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3"/>
        <w:ind w:left="0" w:right="2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Black-Scholes</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模型</w:t>
            </w:r>
          </w:p>
        </w:tc>
      </w:tr>
      <w:tr>
        <w:trPr>
          <w:trHeight w:val="71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1"/>
              <w:jc w:val="left"/>
              <w:rPr>
                <w:rFonts w:ascii="宋体" w:hAnsi="宋体" w:cs="宋体" w:eastAsia="宋体" w:hint="default"/>
                <w:sz w:val="18"/>
                <w:szCs w:val="18"/>
              </w:rPr>
            </w:pPr>
            <w:r>
              <w:rPr>
                <w:rFonts w:ascii="宋体" w:hAnsi="宋体" w:cs="宋体" w:eastAsia="宋体" w:hint="default"/>
                <w:sz w:val="18"/>
                <w:szCs w:val="18"/>
              </w:rPr>
              <w:t>根据最新取得的可行权职工人数变动等后续信息作出最佳 估计</w:t>
            </w:r>
          </w:p>
        </w:tc>
      </w:tr>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1,903,978.39</w:t>
            </w:r>
          </w:p>
        </w:tc>
      </w:tr>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-210,864.19</w:t>
            </w:r>
          </w:p>
        </w:tc>
      </w:tr>
    </w:tbl>
    <w:p>
      <w:pPr>
        <w:spacing w:before="49"/>
        <w:ind w:left="152" w:right="101"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13"/>
          <w:szCs w:val="13"/>
        </w:rPr>
      </w:pPr>
    </w:p>
    <w:p>
      <w:pPr>
        <w:pStyle w:val="BodyText"/>
        <w:spacing w:line="398" w:lineRule="auto"/>
        <w:ind w:right="101" w:firstLine="420"/>
        <w:jc w:val="left"/>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31</w:t>
      </w:r>
      <w:r>
        <w:rPr/>
        <w:t>日，公司召开</w:t>
      </w:r>
      <w:r>
        <w:rPr>
          <w:rFonts w:ascii="Times New Roman" w:hAnsi="Times New Roman" w:cs="Times New Roman" w:eastAsia="Times New Roman" w:hint="default"/>
        </w:rPr>
        <w:t>2015</w:t>
      </w:r>
      <w:r>
        <w:rPr/>
        <w:t>年年度股东大会审议通过了《上海天玑科技股份有限公司</w:t>
      </w:r>
      <w:r>
        <w:rPr>
          <w:rFonts w:ascii="Times New Roman" w:hAnsi="Times New Roman" w:cs="Times New Roman" w:eastAsia="Times New Roman" w:hint="default"/>
        </w:rPr>
        <w:t>2016</w:t>
      </w:r>
      <w:r>
        <w:rPr/>
        <w:t>年限制</w:t>
      </w:r>
      <w:r>
        <w:rPr>
          <w:w w:val="100"/>
        </w:rPr>
        <w:t> </w:t>
      </w:r>
      <w:r>
        <w:rPr>
          <w:spacing w:val="-2"/>
        </w:rPr>
        <w:t>性股票激励计划（草案）及其摘要》、《上海天玑科技股份有限公司</w:t>
      </w:r>
      <w:r>
        <w:rPr>
          <w:rFonts w:ascii="Times New Roman" w:hAnsi="Times New Roman" w:cs="Times New Roman" w:eastAsia="Times New Roman" w:hint="default"/>
          <w:spacing w:val="-2"/>
        </w:rPr>
        <w:t>2016</w:t>
      </w:r>
      <w:r>
        <w:rPr>
          <w:spacing w:val="-2"/>
        </w:rPr>
        <w:t>年限制性股票激励计划考核管理</w:t>
      </w:r>
      <w:r>
        <w:rPr>
          <w:spacing w:val="-40"/>
        </w:rPr>
        <w:t> </w:t>
      </w:r>
      <w:r>
        <w:rPr>
          <w:spacing w:val="-40"/>
        </w:rPr>
      </w:r>
      <w:r>
        <w:rPr>
          <w:spacing w:val="-2"/>
        </w:rPr>
        <w:t>办法》以及《关于提请上海天玑科技股份有限公司股东大会授权董事会办理公司限制性股票激励计划相关</w:t>
      </w:r>
      <w:r>
        <w:rPr>
          <w:spacing w:val="-43"/>
        </w:rPr>
        <w:t> </w:t>
      </w:r>
      <w:r>
        <w:rPr>
          <w:spacing w:val="-43"/>
        </w:rPr>
      </w:r>
      <w:r>
        <w:rPr>
          <w:spacing w:val="-2"/>
        </w:rPr>
        <w:t>事宜》等议案，董事会被授权确定限制性股票授予日、在激励对象符合条件时向激励对象授予限制性股票</w:t>
      </w:r>
      <w:r>
        <w:rPr>
          <w:spacing w:val="-44"/>
        </w:rPr>
        <w:t> </w:t>
      </w:r>
      <w:r>
        <w:rPr>
          <w:spacing w:val="-44"/>
        </w:rPr>
      </w:r>
      <w:r>
        <w:rPr/>
        <w:t>并办理授予限制性股票所必须的全部事宜。</w:t>
      </w:r>
    </w:p>
    <w:p>
      <w:pPr>
        <w:pStyle w:val="BodyText"/>
        <w:spacing w:line="391" w:lineRule="auto" w:before="54"/>
        <w:ind w:right="101" w:firstLine="420"/>
        <w:jc w:val="left"/>
      </w:pPr>
      <w:r>
        <w:rPr/>
        <w:t>公司于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22</w:t>
      </w:r>
      <w:r>
        <w:rPr/>
        <w:t>日召开第三届董事会第七次（临时）会议审议通过了《关于对公司</w:t>
      </w:r>
      <w:r>
        <w:rPr>
          <w:rFonts w:ascii="Times New Roman" w:hAnsi="Times New Roman" w:cs="Times New Roman" w:eastAsia="Times New Roman" w:hint="default"/>
        </w:rPr>
        <w:t>2016</w:t>
      </w:r>
      <w:r>
        <w:rPr/>
        <w:t>年限制性</w:t>
      </w:r>
      <w:r>
        <w:rPr>
          <w:w w:val="100"/>
        </w:rPr>
        <w:t> </w:t>
      </w:r>
      <w:r>
        <w:rPr>
          <w:spacing w:val="-2"/>
        </w:rPr>
        <w:t>股票激励计划进行调整的议案》，对授予限制性股票的激励对象、获授限制性股票数量进行了调整。《上</w:t>
      </w:r>
      <w:r>
        <w:rPr>
          <w:spacing w:val="-43"/>
        </w:rPr>
        <w:t> </w:t>
      </w:r>
      <w:r>
        <w:rPr>
          <w:spacing w:val="-43"/>
        </w:rPr>
      </w:r>
      <w:r>
        <w:rPr>
          <w:spacing w:val="-5"/>
          <w:w w:val="100"/>
        </w:rPr>
        <w:t>海天玑科技股份有限公司</w:t>
      </w:r>
      <w:r>
        <w:rPr>
          <w:rFonts w:ascii="Times New Roman" w:hAnsi="Times New Roman" w:cs="Times New Roman" w:eastAsia="Times New Roman" w:hint="default"/>
          <w:spacing w:val="-5"/>
          <w:w w:val="100"/>
        </w:rPr>
        <w:t>2016</w:t>
      </w:r>
      <w:r>
        <w:rPr>
          <w:spacing w:val="-5"/>
          <w:w w:val="100"/>
        </w:rPr>
        <w:t>年限制性股票激励计划（草案</w:t>
      </w:r>
      <w:r>
        <w:rPr>
          <w:w w:val="100"/>
        </w:rPr>
        <w:t> </w:t>
      </w:r>
      <w:r>
        <w:rPr>
          <w:spacing w:val="-24"/>
          <w:w w:val="100"/>
        </w:rPr>
        <w:t>》（以下简称</w:t>
      </w:r>
      <w:r>
        <w:rPr>
          <w:rFonts w:ascii="Times New Roman" w:hAnsi="Times New Roman" w:cs="Times New Roman" w:eastAsia="Times New Roman" w:hint="default"/>
          <w:spacing w:val="-24"/>
          <w:w w:val="100"/>
        </w:rPr>
        <w:t>“</w:t>
      </w:r>
      <w:r>
        <w:rPr>
          <w:spacing w:val="-24"/>
          <w:w w:val="100"/>
        </w:rPr>
        <w:t>《限制性股票激励计划（草案）》</w:t>
      </w:r>
      <w:r>
        <w:rPr>
          <w:rFonts w:ascii="Times New Roman" w:hAnsi="Times New Roman" w:cs="Times New Roman" w:eastAsia="Times New Roman" w:hint="default"/>
          <w:spacing w:val="-24"/>
          <w:w w:val="100"/>
        </w:rPr>
        <w:t>”</w:t>
      </w:r>
      <w:r>
        <w:rPr>
          <w:spacing w:val="-24"/>
          <w:w w:val="100"/>
        </w:rPr>
        <w:t>）</w:t>
      </w:r>
      <w:r>
        <w:rPr>
          <w:spacing w:val="-95"/>
          <w:w w:val="100"/>
        </w:rPr>
        <w:t> </w:t>
      </w:r>
      <w:r>
        <w:rPr/>
        <w:t>确定的激励对象为</w:t>
      </w:r>
      <w:r>
        <w:rPr>
          <w:rFonts w:ascii="Times New Roman" w:hAnsi="Times New Roman" w:cs="Times New Roman" w:eastAsia="Times New Roman" w:hint="default"/>
        </w:rPr>
        <w:t>170</w:t>
      </w:r>
      <w:r>
        <w:rPr/>
        <w:t>名，激励对象中欧英俊因个人原因自愿放弃拟授予的部分限制性股票，公司董事会</w:t>
      </w:r>
      <w:r>
        <w:rPr>
          <w:w w:val="100"/>
        </w:rPr>
        <w:t> </w:t>
      </w:r>
      <w:r>
        <w:rPr>
          <w:spacing w:val="-2"/>
        </w:rPr>
        <w:t>同意其放弃该部分限制性股票；有陈凯、黄捷、李鹏、祝佳文、陈超、李喻平、胡柄华、杨毅、罗兴市等</w:t>
      </w:r>
      <w:r>
        <w:rPr>
          <w:spacing w:val="-44"/>
        </w:rPr>
        <w:t> </w:t>
      </w:r>
      <w:r>
        <w:rPr>
          <w:spacing w:val="-44"/>
        </w:rPr>
      </w:r>
      <w:r>
        <w:rPr>
          <w:rFonts w:ascii="Times New Roman" w:hAnsi="Times New Roman" w:cs="Times New Roman" w:eastAsia="Times New Roman" w:hint="default"/>
        </w:rPr>
        <w:t>9</w:t>
      </w:r>
      <w:r>
        <w:rPr/>
        <w:t>人因个人原因自愿放弃认购拟授予的全部限制性股票，公司董事会同意取消授予上述</w:t>
      </w:r>
      <w:r>
        <w:rPr>
          <w:rFonts w:ascii="Times New Roman" w:hAnsi="Times New Roman" w:cs="Times New Roman" w:eastAsia="Times New Roman" w:hint="default"/>
        </w:rPr>
        <w:t>9</w:t>
      </w:r>
      <w:r>
        <w:rPr/>
        <w:t>人的激励对象资</w:t>
      </w:r>
      <w:r>
        <w:rPr>
          <w:w w:val="100"/>
        </w:rPr>
        <w:t> </w:t>
      </w:r>
      <w:r>
        <w:rPr/>
        <w:t>格；邢文明、李荣祥、孙峰、焦长军、方胜等</w:t>
      </w:r>
      <w:r>
        <w:rPr>
          <w:rFonts w:ascii="Times New Roman" w:hAnsi="Times New Roman" w:cs="Times New Roman" w:eastAsia="Times New Roman" w:hint="default"/>
        </w:rPr>
        <w:t>5</w:t>
      </w:r>
      <w:r>
        <w:rPr/>
        <w:t>人因个人原因已离职，其已不具备激励对象资格，公司董</w:t>
      </w:r>
      <w:r>
        <w:rPr>
          <w:w w:val="100"/>
        </w:rPr>
        <w:t> </w:t>
      </w:r>
      <w:r>
        <w:rPr/>
        <w:t>事会同意取消授予上述</w:t>
      </w:r>
      <w:r>
        <w:rPr>
          <w:rFonts w:ascii="Times New Roman" w:hAnsi="Times New Roman" w:cs="Times New Roman" w:eastAsia="Times New Roman" w:hint="default"/>
        </w:rPr>
        <w:t>5</w:t>
      </w:r>
      <w:r>
        <w:rPr/>
        <w:t>人的限制性股票。公司调整前的《限制性股票激励计划》授予激励对象为</w:t>
      </w:r>
      <w:r>
        <w:rPr>
          <w:rFonts w:ascii="Times New Roman" w:hAnsi="Times New Roman" w:cs="Times New Roman" w:eastAsia="Times New Roman" w:hint="default"/>
        </w:rPr>
        <w:t>170</w:t>
      </w:r>
      <w:r>
        <w:rPr/>
        <w:t>人，</w:t>
      </w:r>
      <w:r>
        <w:rPr>
          <w:spacing w:val="-3"/>
          <w:w w:val="100"/>
        </w:rPr>
        <w:t> </w:t>
      </w:r>
      <w:r>
        <w:rPr/>
        <w:t>授予的限制性股票数量为</w:t>
      </w:r>
      <w:r>
        <w:rPr>
          <w:rFonts w:ascii="Times New Roman" w:hAnsi="Times New Roman" w:cs="Times New Roman" w:eastAsia="Times New Roman" w:hint="default"/>
        </w:rPr>
        <w:t>746.5</w:t>
      </w:r>
      <w:r>
        <w:rPr/>
        <w:t>万股；调整后的《限制性股票激励计划》授予激励对象共</w:t>
      </w:r>
      <w:r>
        <w:rPr>
          <w:rFonts w:ascii="Times New Roman" w:hAnsi="Times New Roman" w:cs="Times New Roman" w:eastAsia="Times New Roman" w:hint="default"/>
        </w:rPr>
        <w:t>156</w:t>
      </w:r>
      <w:r>
        <w:rPr/>
        <w:t>人，涉及限制</w:t>
      </w:r>
      <w:r>
        <w:rPr>
          <w:w w:val="100"/>
        </w:rPr>
        <w:t> </w:t>
      </w:r>
      <w:r>
        <w:rPr/>
        <w:t>性股票共</w:t>
      </w:r>
      <w:r>
        <w:rPr>
          <w:rFonts w:ascii="Times New Roman" w:hAnsi="Times New Roman" w:cs="Times New Roman" w:eastAsia="Times New Roman" w:hint="default"/>
        </w:rPr>
        <w:t>731.5</w:t>
      </w:r>
      <w:r>
        <w:rPr/>
        <w:t>万股。因参与本次激励计划的激励对象杨凯先生系公司董事，其曾于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26</w:t>
      </w:r>
      <w:r>
        <w:rPr/>
        <w:t>日在二级</w:t>
      </w:r>
    </w:p>
    <w:p>
      <w:pPr>
        <w:spacing w:after="0" w:line="391" w:lineRule="auto"/>
        <w:jc w:val="left"/>
        <w:sectPr>
          <w:pgSz w:w="11910" w:h="16840"/>
          <w:pgMar w:header="745" w:footer="979" w:top="1060" w:bottom="1160" w:left="980" w:right="920"/>
        </w:sectPr>
      </w:pPr>
    </w:p>
    <w:p>
      <w:pPr>
        <w:spacing w:line="240" w:lineRule="auto" w:before="0"/>
        <w:rPr>
          <w:rFonts w:ascii="宋体" w:hAnsi="宋体" w:cs="宋体" w:eastAsia="宋体" w:hint="default"/>
          <w:sz w:val="20"/>
          <w:szCs w:val="20"/>
        </w:rPr>
      </w:pPr>
    </w:p>
    <w:p>
      <w:pPr>
        <w:pStyle w:val="BodyText"/>
        <w:spacing w:line="393" w:lineRule="auto" w:before="176"/>
        <w:ind w:right="101"/>
        <w:jc w:val="left"/>
      </w:pPr>
      <w:r>
        <w:rPr/>
        <w:t>市场卖出所持的天玑科技股票</w:t>
      </w:r>
      <w:r>
        <w:rPr>
          <w:rFonts w:ascii="Times New Roman" w:hAnsi="Times New Roman" w:cs="Times New Roman" w:eastAsia="Times New Roman" w:hint="default"/>
        </w:rPr>
        <w:t>122,850</w:t>
      </w:r>
      <w:r>
        <w:rPr/>
        <w:t>股，故鉴于其在授予日</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spacing w:val="-28"/>
        </w:rPr>
        <w:t> </w:t>
      </w:r>
      <w:r>
        <w:rPr>
          <w:rFonts w:ascii="Times New Roman" w:hAnsi="Times New Roman" w:cs="Times New Roman" w:eastAsia="Times New Roman" w:hint="default"/>
        </w:rPr>
        <w:t>22</w:t>
      </w:r>
      <w:r>
        <w:rPr/>
        <w:t>日前</w:t>
      </w:r>
      <w:r>
        <w:rPr>
          <w:rFonts w:ascii="Times New Roman" w:hAnsi="Times New Roman" w:cs="Times New Roman" w:eastAsia="Times New Roman" w:hint="default"/>
        </w:rPr>
        <w:t>6</w:t>
      </w:r>
      <w:r>
        <w:rPr/>
        <w:t>个月存在卖出公司股票情</w:t>
      </w:r>
      <w:r>
        <w:rPr>
          <w:w w:val="100"/>
        </w:rPr>
        <w:t> </w:t>
      </w:r>
      <w:r>
        <w:rPr>
          <w:spacing w:val="-4"/>
        </w:rPr>
        <w:t>况，公司董事会依据《证券法》、《创业板信息披露业务备忘录第</w:t>
      </w:r>
      <w:r>
        <w:rPr>
          <w:rFonts w:ascii="Times New Roman" w:hAnsi="Times New Roman" w:cs="Times New Roman" w:eastAsia="Times New Roman" w:hint="default"/>
          <w:spacing w:val="-4"/>
        </w:rPr>
        <w:t>9 </w:t>
      </w:r>
      <w:r>
        <w:rPr/>
        <w:t>号</w:t>
      </w:r>
      <w:r>
        <w:rPr>
          <w:rFonts w:ascii="Times New Roman" w:hAnsi="Times New Roman" w:cs="Times New Roman" w:eastAsia="Times New Roman" w:hint="default"/>
        </w:rPr>
        <w:t>--</w:t>
      </w:r>
      <w:r>
        <w:rPr/>
        <w:t>股权激励</w:t>
      </w:r>
      <w:r>
        <w:rPr>
          <w:rFonts w:ascii="Times New Roman" w:hAnsi="Times New Roman" w:cs="Times New Roman" w:eastAsia="Times New Roman" w:hint="default"/>
        </w:rPr>
        <w:t>(</w:t>
      </w:r>
      <w:r>
        <w:rPr/>
        <w:t>限制性股票</w:t>
      </w:r>
      <w:r>
        <w:rPr>
          <w:rFonts w:ascii="Times New Roman" w:hAnsi="Times New Roman" w:cs="Times New Roman" w:eastAsia="Times New Roman" w:hint="default"/>
        </w:rPr>
        <w:t>)</w:t>
      </w:r>
      <w:r>
        <w:rPr/>
        <w:t>实施、授予</w:t>
      </w:r>
      <w:r>
        <w:rPr>
          <w:spacing w:val="-81"/>
        </w:rPr>
        <w:t> </w:t>
      </w:r>
      <w:r>
        <w:rPr>
          <w:spacing w:val="-81"/>
        </w:rPr>
      </w:r>
      <w:r>
        <w:rPr>
          <w:spacing w:val="-2"/>
        </w:rPr>
        <w:t>与调整》、《天玑科技：董事、监事和高级管理人员所持本公司股份及其变动管理制度》等相关法律规章</w:t>
      </w:r>
      <w:r>
        <w:rPr>
          <w:spacing w:val="-45"/>
        </w:rPr>
        <w:t> </w:t>
      </w:r>
      <w:r>
        <w:rPr>
          <w:spacing w:val="-45"/>
        </w:rPr>
      </w:r>
      <w:r>
        <w:rPr>
          <w:spacing w:val="-2"/>
        </w:rPr>
        <w:t>制度的规定，决议暂缓授予杨凯先生的限制性股票，在相关条件满足后公司董事会将再次召开会议审议杨</w:t>
      </w:r>
      <w:r>
        <w:rPr>
          <w:spacing w:val="-44"/>
        </w:rPr>
        <w:t> </w:t>
      </w:r>
      <w:r>
        <w:rPr>
          <w:spacing w:val="-44"/>
        </w:rPr>
      </w:r>
      <w:r>
        <w:rPr/>
        <w:t>凯先生限制性股票的授予事宜。除杨凯先生暂缓授予以外，本次实际授予激励对象共</w:t>
      </w:r>
      <w:r>
        <w:rPr>
          <w:rFonts w:ascii="Times New Roman" w:hAnsi="Times New Roman" w:cs="Times New Roman" w:eastAsia="Times New Roman" w:hint="default"/>
        </w:rPr>
        <w:t>155</w:t>
      </w:r>
      <w:r>
        <w:rPr/>
        <w:t>人，涉及限制性</w:t>
      </w:r>
      <w:r>
        <w:rPr>
          <w:w w:val="100"/>
        </w:rPr>
        <w:t> </w:t>
      </w:r>
      <w:r>
        <w:rPr>
          <w:spacing w:val="-3"/>
        </w:rPr>
        <w:t>股票共</w:t>
      </w:r>
      <w:r>
        <w:rPr>
          <w:rFonts w:ascii="Times New Roman" w:hAnsi="Times New Roman" w:cs="Times New Roman" w:eastAsia="Times New Roman" w:hint="default"/>
          <w:spacing w:val="-3"/>
        </w:rPr>
        <w:t>714.5</w:t>
      </w:r>
      <w:r>
        <w:rPr>
          <w:spacing w:val="-3"/>
        </w:rPr>
        <w:t>万股。第三届监事会第七次（临时）会议对此事项进行了审议，公司独立董事对此发表了独立</w:t>
      </w:r>
      <w:r>
        <w:rPr>
          <w:spacing w:val="-41"/>
        </w:rPr>
        <w:t> </w:t>
      </w:r>
      <w:r>
        <w:rPr>
          <w:spacing w:val="-41"/>
        </w:rPr>
      </w:r>
      <w:r>
        <w:rPr>
          <w:spacing w:val="-2"/>
        </w:rPr>
        <w:t>意见。公司于</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3</w:t>
      </w:r>
      <w:r>
        <w:rPr>
          <w:spacing w:val="-2"/>
        </w:rPr>
        <w:t>日披露了《限制性股票授予完成的公告》。相关文件详见公司指定信息披露网站</w:t>
      </w:r>
      <w:r>
        <w:rPr>
          <w:spacing w:val="-41"/>
        </w:rPr>
        <w:t> </w:t>
      </w:r>
      <w:r>
        <w:rPr>
          <w:spacing w:val="-41"/>
        </w:rPr>
      </w:r>
      <w:r>
        <w:rPr/>
        <w:t>巨潮资讯网（</w:t>
      </w:r>
      <w:hyperlink r:id="rId16">
        <w:r>
          <w:rPr>
            <w:rFonts w:ascii="Times New Roman" w:hAnsi="Times New Roman" w:cs="Times New Roman" w:eastAsia="Times New Roman" w:hint="default"/>
          </w:rPr>
          <w:t>http://www.cninfo.com.cn</w:t>
        </w:r>
      </w:hyperlink>
      <w:r>
        <w:rPr/>
        <w:t>）。</w:t>
      </w:r>
    </w:p>
    <w:p>
      <w:pPr>
        <w:pStyle w:val="BodyText"/>
        <w:spacing w:line="396" w:lineRule="auto" w:before="28"/>
        <w:ind w:right="101" w:firstLine="420"/>
        <w:jc w:val="left"/>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31</w:t>
      </w:r>
      <w:r>
        <w:rPr/>
        <w:t>日，公司召开第三届董事会第十次临时会议，审议通过了《关于调整限制性股票授予价</w:t>
      </w:r>
      <w:r>
        <w:rPr>
          <w:w w:val="100"/>
        </w:rPr>
        <w:t> </w:t>
      </w:r>
      <w:r>
        <w:rPr/>
        <w:t>格的议案》、《关于向激励对象授予限制性股票的议案》、《关于修改公司章程的议案》。</w:t>
      </w:r>
      <w:r>
        <w:rPr>
          <w:w w:val="100"/>
        </w:rPr>
        <w:t> </w:t>
      </w:r>
      <w:r>
        <w:rPr>
          <w:spacing w:val="-2"/>
        </w:rPr>
        <w:t>同日，公司召开第三届监事会第十一次临时会议，对本次激励计划的激励对象名单进行再次核实，并审议</w:t>
      </w:r>
      <w:r>
        <w:rPr>
          <w:spacing w:val="-44"/>
        </w:rPr>
        <w:t> </w:t>
      </w:r>
      <w:r>
        <w:rPr>
          <w:spacing w:val="-44"/>
        </w:rPr>
      </w:r>
      <w:r>
        <w:rPr/>
        <w:t>通过《关于向激励对象授予限制性股票的议案》。由于激励对象杨凯先生曾在</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26</w:t>
      </w:r>
      <w:r>
        <w:rPr/>
        <w:t>日于二级市场</w:t>
      </w:r>
      <w:r>
        <w:rPr>
          <w:w w:val="100"/>
        </w:rPr>
        <w:t> </w:t>
      </w:r>
      <w:r>
        <w:rPr>
          <w:spacing w:val="-5"/>
        </w:rPr>
        <w:t>出售其名下所持有的部分天玑科技股票。根据上市公司董事、监事及高管人员买卖本公司股票的相关规定，</w:t>
      </w:r>
      <w:r>
        <w:rPr>
          <w:spacing w:val="-6"/>
        </w:rPr>
        <w:t> </w:t>
      </w:r>
      <w:r>
        <w:rPr>
          <w:spacing w:val="-6"/>
        </w:rPr>
      </w:r>
      <w:r>
        <w:rPr/>
        <w:t>向其授予限制性股票须在其卖出行为发生六个月后，故根据公司第三届董事会第七次（临时）会议审议暂</w:t>
      </w:r>
      <w:r>
        <w:rPr>
          <w:w w:val="100"/>
        </w:rPr>
        <w:t> </w:t>
      </w:r>
      <w:r>
        <w:rPr/>
        <w:t>缓授予其限制性股票。截止到目前其股票的限购期已满（自 </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26</w:t>
      </w:r>
      <w:r>
        <w:rPr/>
        <w:t>日至</w:t>
      </w:r>
      <w:r>
        <w:rPr>
          <w:spacing w:val="-46"/>
        </w:rPr>
        <w:t> </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31</w:t>
      </w:r>
      <w:r>
        <w:rPr/>
        <w:t>日），并且符</w:t>
      </w:r>
      <w:r>
        <w:rPr>
          <w:w w:val="100"/>
        </w:rPr>
        <w:t> </w:t>
      </w:r>
      <w:r>
        <w:rPr/>
        <w:t>合公司股权激励计划中的全部授予条件。同意于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31</w:t>
      </w:r>
      <w:r>
        <w:rPr/>
        <w:t>日向激励对象杨凯先生授予</w:t>
      </w:r>
      <w:r>
        <w:rPr>
          <w:rFonts w:ascii="Times New Roman" w:hAnsi="Times New Roman" w:cs="Times New Roman" w:eastAsia="Times New Roman" w:hint="default"/>
        </w:rPr>
        <w:t>17</w:t>
      </w:r>
      <w:r>
        <w:rPr/>
        <w:t>万股的限制性</w:t>
      </w:r>
      <w:r>
        <w:rPr>
          <w:w w:val="100"/>
        </w:rPr>
        <w:t> </w:t>
      </w:r>
      <w:r>
        <w:rPr/>
        <w:t>股票，授予限制性股票的价格为</w:t>
      </w:r>
      <w:r>
        <w:rPr>
          <w:rFonts w:ascii="Times New Roman" w:hAnsi="Times New Roman" w:cs="Times New Roman" w:eastAsia="Times New Roman" w:hint="default"/>
        </w:rPr>
        <w:t>10.83</w:t>
      </w:r>
      <w:r>
        <w:rPr/>
        <w:t>（元</w:t>
      </w:r>
      <w:r>
        <w:rPr>
          <w:rFonts w:ascii="Times New Roman" w:hAnsi="Times New Roman" w:cs="Times New Roman" w:eastAsia="Times New Roman" w:hint="default"/>
        </w:rPr>
        <w:t>/</w:t>
      </w:r>
      <w:r>
        <w:rPr/>
        <w:t>股）。公司监事会对本次股权激励计划激励对象发表了核查意</w:t>
      </w:r>
      <w:r>
        <w:rPr>
          <w:w w:val="100"/>
        </w:rPr>
        <w:t> </w:t>
      </w:r>
      <w:r>
        <w:rPr/>
        <w:t>见，公司独立董事针对此议案发表了独立意见。公司于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13</w:t>
      </w:r>
      <w:r>
        <w:rPr/>
        <w:t>日披露了《限制性股票授予完成的公</w:t>
      </w:r>
      <w:r>
        <w:rPr>
          <w:w w:val="100"/>
        </w:rPr>
        <w:t> </w:t>
      </w:r>
      <w:r>
        <w:rPr/>
        <w:t>告》。本议案具体内容详见中国证监会指定信息披露媒体巨潮资讯网（</w:t>
      </w:r>
      <w:hyperlink r:id="rId16">
        <w:r>
          <w:rPr>
            <w:rFonts w:ascii="Times New Roman" w:hAnsi="Times New Roman" w:cs="Times New Roman" w:eastAsia="Times New Roman" w:hint="default"/>
          </w:rPr>
          <w:t>www.cninfo.com.cn</w:t>
        </w:r>
      </w:hyperlink>
      <w:r>
        <w:rPr/>
        <w:t>）。</w:t>
      </w:r>
    </w:p>
    <w:p>
      <w:pPr>
        <w:pStyle w:val="BodyText"/>
        <w:spacing w:line="240" w:lineRule="auto" w:before="26"/>
        <w:ind w:left="870" w:right="101"/>
        <w:jc w:val="left"/>
      </w:pPr>
      <w:r>
        <w:rPr/>
        <w:t>截至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日，限制性股票最终授予及认购的情况为：</w:t>
      </w:r>
    </w:p>
    <w:p>
      <w:pPr>
        <w:spacing w:line="240" w:lineRule="auto" w:before="8"/>
        <w:rPr>
          <w:rFonts w:ascii="宋体" w:hAnsi="宋体" w:cs="宋体" w:eastAsia="宋体" w:hint="default"/>
          <w:sz w:val="8"/>
          <w:szCs w:val="8"/>
        </w:rPr>
      </w:pPr>
    </w:p>
    <w:tbl>
      <w:tblPr>
        <w:tblW w:w="0" w:type="auto"/>
        <w:jc w:val="left"/>
        <w:tblInd w:w="753" w:type="dxa"/>
        <w:tblLayout w:type="fixed"/>
        <w:tblCellMar>
          <w:top w:w="0" w:type="dxa"/>
          <w:left w:w="0" w:type="dxa"/>
          <w:bottom w:w="0" w:type="dxa"/>
          <w:right w:w="0" w:type="dxa"/>
        </w:tblCellMar>
        <w:tblLook w:val="01E0"/>
      </w:tblPr>
      <w:tblGrid>
        <w:gridCol w:w="1692"/>
        <w:gridCol w:w="1287"/>
        <w:gridCol w:w="2722"/>
        <w:gridCol w:w="2113"/>
      </w:tblGrid>
      <w:tr>
        <w:trPr>
          <w:trHeight w:val="973" w:hRule="exact"/>
        </w:trPr>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410" w:lineRule="auto" w:before="74"/>
              <w:ind w:left="731" w:right="98" w:hanging="629"/>
              <w:jc w:val="left"/>
              <w:rPr>
                <w:rFonts w:ascii="宋体" w:hAnsi="宋体" w:cs="宋体" w:eastAsia="宋体" w:hint="default"/>
                <w:sz w:val="21"/>
                <w:szCs w:val="21"/>
              </w:rPr>
            </w:pPr>
            <w:r>
              <w:rPr>
                <w:rFonts w:ascii="宋体" w:hAnsi="宋体" w:cs="宋体" w:eastAsia="宋体" w:hint="default"/>
                <w:sz w:val="21"/>
                <w:szCs w:val="21"/>
              </w:rPr>
              <w:t>限制性股票授予</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日</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215" w:right="0"/>
              <w:jc w:val="left"/>
              <w:rPr>
                <w:rFonts w:ascii="宋体" w:hAnsi="宋体" w:cs="宋体" w:eastAsia="宋体" w:hint="default"/>
                <w:sz w:val="21"/>
                <w:szCs w:val="21"/>
              </w:rPr>
            </w:pPr>
            <w:r>
              <w:rPr>
                <w:rFonts w:ascii="宋体" w:hAnsi="宋体" w:cs="宋体" w:eastAsia="宋体" w:hint="default"/>
                <w:sz w:val="21"/>
                <w:szCs w:val="21"/>
              </w:rPr>
              <w:t>授予价格</w:t>
            </w:r>
          </w:p>
        </w:tc>
        <w:tc>
          <w:tcPr>
            <w:tcW w:w="2722" w:type="dxa"/>
            <w:tcBorders>
              <w:top w:val="single" w:sz="6" w:space="0" w:color="000000"/>
              <w:left w:val="single" w:sz="6" w:space="0" w:color="000000"/>
              <w:bottom w:val="single" w:sz="6" w:space="0" w:color="000000"/>
              <w:right w:val="single" w:sz="6" w:space="0" w:color="000000"/>
            </w:tcBorders>
          </w:tcPr>
          <w:p>
            <w:pPr>
              <w:pStyle w:val="TableParagraph"/>
              <w:spacing w:line="410" w:lineRule="auto" w:before="74"/>
              <w:ind w:left="1250" w:right="89" w:hanging="1157"/>
              <w:jc w:val="left"/>
              <w:rPr>
                <w:rFonts w:ascii="宋体" w:hAnsi="宋体" w:cs="宋体" w:eastAsia="宋体" w:hint="default"/>
                <w:sz w:val="21"/>
                <w:szCs w:val="21"/>
              </w:rPr>
            </w:pPr>
            <w:r>
              <w:rPr>
                <w:rFonts w:ascii="宋体" w:hAnsi="宋体" w:cs="宋体" w:eastAsia="宋体" w:hint="default"/>
                <w:spacing w:val="-2"/>
                <w:sz w:val="21"/>
                <w:szCs w:val="21"/>
              </w:rPr>
              <w:t>限制性股票激励计划激励对</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象</w:t>
            </w:r>
          </w:p>
        </w:tc>
        <w:tc>
          <w:tcPr>
            <w:tcW w:w="21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4" w:right="0"/>
              <w:jc w:val="center"/>
              <w:rPr>
                <w:rFonts w:ascii="宋体" w:hAnsi="宋体" w:cs="宋体" w:eastAsia="宋体" w:hint="default"/>
                <w:sz w:val="21"/>
                <w:szCs w:val="21"/>
              </w:rPr>
            </w:pPr>
            <w:r>
              <w:rPr>
                <w:rFonts w:ascii="宋体" w:hAnsi="宋体" w:cs="宋体" w:eastAsia="宋体" w:hint="default"/>
                <w:sz w:val="21"/>
                <w:szCs w:val="21"/>
              </w:rPr>
              <w:t>限制性股票数量</w:t>
            </w:r>
          </w:p>
        </w:tc>
      </w:tr>
      <w:tr>
        <w:trPr>
          <w:trHeight w:val="502" w:hRule="exact"/>
        </w:trPr>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w:t>
            </w:r>
            <w:r>
              <w:rPr>
                <w:rFonts w:ascii="Times New Roman" w:hAnsi="Times New Roman" w:cs="Times New Roman" w:eastAsia="Times New Roman" w:hint="default"/>
                <w:sz w:val="21"/>
                <w:szCs w:val="21"/>
              </w:rPr>
              <w:t>22</w:t>
            </w:r>
            <w:r>
              <w:rPr>
                <w:rFonts w:ascii="宋体" w:hAnsi="宋体" w:cs="宋体" w:eastAsia="宋体" w:hint="default"/>
                <w:sz w:val="21"/>
                <w:szCs w:val="21"/>
              </w:rPr>
              <w:t>日</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16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10.86</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27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155</w:t>
            </w:r>
            <w:r>
              <w:rPr>
                <w:rFonts w:ascii="宋体" w:hAnsi="宋体" w:cs="宋体" w:eastAsia="宋体" w:hint="default"/>
                <w:sz w:val="21"/>
                <w:szCs w:val="21"/>
              </w:rPr>
              <w:t>人</w:t>
            </w:r>
          </w:p>
        </w:tc>
        <w:tc>
          <w:tcPr>
            <w:tcW w:w="21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714.5</w:t>
            </w:r>
            <w:r>
              <w:rPr>
                <w:rFonts w:ascii="宋体" w:hAnsi="宋体" w:cs="宋体" w:eastAsia="宋体" w:hint="default"/>
                <w:sz w:val="21"/>
                <w:szCs w:val="21"/>
              </w:rPr>
              <w:t>万份</w:t>
            </w:r>
          </w:p>
        </w:tc>
      </w:tr>
      <w:tr>
        <w:trPr>
          <w:trHeight w:val="504" w:hRule="exact"/>
        </w:trPr>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宋体" w:hAnsi="宋体" w:cs="宋体" w:eastAsia="宋体" w:hint="default"/>
                <w:sz w:val="21"/>
                <w:szCs w:val="21"/>
              </w:rPr>
              <w:t>年</w:t>
            </w:r>
            <w:r>
              <w:rPr>
                <w:rFonts w:ascii="Times New Roman" w:hAnsi="Times New Roman" w:cs="Times New Roman" w:eastAsia="Times New Roman" w:hint="default"/>
                <w:sz w:val="21"/>
                <w:szCs w:val="21"/>
              </w:rPr>
              <w:t>8</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16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10.83</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27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人</w:t>
            </w:r>
          </w:p>
        </w:tc>
        <w:tc>
          <w:tcPr>
            <w:tcW w:w="21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17</w:t>
            </w:r>
            <w:r>
              <w:rPr>
                <w:rFonts w:ascii="宋体" w:hAnsi="宋体" w:cs="宋体" w:eastAsia="宋体" w:hint="default"/>
                <w:sz w:val="21"/>
                <w:szCs w:val="21"/>
              </w:rPr>
              <w:t>万份</w:t>
            </w:r>
          </w:p>
        </w:tc>
      </w:tr>
      <w:tr>
        <w:trPr>
          <w:trHeight w:val="504" w:hRule="exact"/>
        </w:trPr>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417" w:right="0"/>
              <w:jc w:val="left"/>
              <w:rPr>
                <w:rFonts w:ascii="宋体" w:hAnsi="宋体" w:cs="宋体" w:eastAsia="宋体" w:hint="default"/>
                <w:sz w:val="21"/>
                <w:szCs w:val="21"/>
              </w:rPr>
            </w:pPr>
            <w:r>
              <w:rPr>
                <w:rFonts w:ascii="宋体" w:hAnsi="宋体" w:cs="宋体" w:eastAsia="宋体" w:hint="default"/>
                <w:sz w:val="21"/>
                <w:szCs w:val="21"/>
              </w:rPr>
              <w:t>合   </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计</w:t>
            </w:r>
          </w:p>
        </w:tc>
        <w:tc>
          <w:tcPr>
            <w:tcW w:w="1287" w:type="dxa"/>
            <w:tcBorders>
              <w:top w:val="single" w:sz="6" w:space="0" w:color="000000"/>
              <w:left w:val="single" w:sz="6" w:space="0" w:color="000000"/>
              <w:bottom w:val="single" w:sz="6" w:space="0" w:color="000000"/>
              <w:right w:val="single" w:sz="6" w:space="0" w:color="000000"/>
            </w:tcBorders>
          </w:tcPr>
          <w:p>
            <w:pPr/>
          </w:p>
        </w:tc>
        <w:tc>
          <w:tcPr>
            <w:tcW w:w="27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156</w:t>
            </w:r>
            <w:r>
              <w:rPr>
                <w:rFonts w:ascii="宋体" w:hAnsi="宋体" w:cs="宋体" w:eastAsia="宋体" w:hint="default"/>
                <w:sz w:val="21"/>
                <w:szCs w:val="21"/>
              </w:rPr>
              <w:t>人</w:t>
            </w:r>
          </w:p>
        </w:tc>
        <w:tc>
          <w:tcPr>
            <w:tcW w:w="21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731.5</w:t>
            </w:r>
            <w:r>
              <w:rPr>
                <w:rFonts w:ascii="宋体" w:hAnsi="宋体" w:cs="宋体" w:eastAsia="宋体" w:hint="default"/>
                <w:sz w:val="21"/>
                <w:szCs w:val="21"/>
              </w:rPr>
              <w:t>万份</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spacing w:line="386" w:lineRule="auto" w:before="36"/>
        <w:ind w:left="573" w:right="101"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2016</w:t>
      </w:r>
      <w:r>
        <w:rPr>
          <w:rFonts w:ascii="宋体" w:hAnsi="宋体" w:cs="宋体" w:eastAsia="宋体" w:hint="default"/>
          <w:b/>
          <w:bCs/>
          <w:sz w:val="21"/>
          <w:szCs w:val="21"/>
        </w:rPr>
        <w:t>年度股权激励情况</w:t>
      </w:r>
      <w:r>
        <w:rPr>
          <w:rFonts w:ascii="宋体" w:hAnsi="宋体" w:cs="宋体" w:eastAsia="宋体" w:hint="default"/>
          <w:b/>
          <w:bCs/>
          <w:spacing w:val="-103"/>
          <w:sz w:val="21"/>
          <w:szCs w:val="21"/>
        </w:rPr>
        <w:t> </w:t>
      </w:r>
      <w:r>
        <w:rPr>
          <w:rFonts w:ascii="宋体" w:hAnsi="宋体" w:cs="宋体" w:eastAsia="宋体" w:hint="default"/>
          <w:spacing w:val="-2"/>
          <w:sz w:val="21"/>
          <w:szCs w:val="21"/>
        </w:rPr>
        <w:t>公司</w:t>
      </w:r>
      <w:r>
        <w:rPr>
          <w:rFonts w:ascii="Times New Roman" w:hAnsi="Times New Roman" w:cs="Times New Roman" w:eastAsia="Times New Roman" w:hint="default"/>
          <w:spacing w:val="-2"/>
          <w:sz w:val="21"/>
          <w:szCs w:val="21"/>
        </w:rPr>
        <w:t>2016</w:t>
      </w:r>
      <w:r>
        <w:rPr>
          <w:rFonts w:ascii="宋体" w:hAnsi="宋体" w:cs="宋体" w:eastAsia="宋体" w:hint="default"/>
          <w:spacing w:val="-2"/>
          <w:sz w:val="21"/>
          <w:szCs w:val="21"/>
        </w:rPr>
        <w:t>年授予激励对象的限制性股票自授予之日起满</w:t>
      </w:r>
      <w:r>
        <w:rPr>
          <w:rFonts w:ascii="Times New Roman" w:hAnsi="Times New Roman" w:cs="Times New Roman" w:eastAsia="Times New Roman" w:hint="default"/>
          <w:spacing w:val="-2"/>
          <w:sz w:val="21"/>
          <w:szCs w:val="21"/>
        </w:rPr>
        <w:t>12</w:t>
      </w:r>
      <w:r>
        <w:rPr>
          <w:rFonts w:ascii="宋体" w:hAnsi="宋体" w:cs="宋体" w:eastAsia="宋体" w:hint="default"/>
          <w:spacing w:val="-2"/>
          <w:sz w:val="21"/>
          <w:szCs w:val="21"/>
        </w:rPr>
        <w:t>个月后，激励对象应在未来</w:t>
      </w:r>
      <w:r>
        <w:rPr>
          <w:rFonts w:ascii="Times New Roman" w:hAnsi="Times New Roman" w:cs="Times New Roman" w:eastAsia="Times New Roman" w:hint="default"/>
          <w:spacing w:val="-2"/>
          <w:sz w:val="21"/>
          <w:szCs w:val="21"/>
        </w:rPr>
        <w:t>36</w:t>
      </w:r>
      <w:r>
        <w:rPr>
          <w:rFonts w:ascii="宋体" w:hAnsi="宋体" w:cs="宋体" w:eastAsia="宋体" w:hint="default"/>
          <w:spacing w:val="-2"/>
          <w:sz w:val="21"/>
          <w:szCs w:val="21"/>
        </w:rPr>
        <w:t>个月内分三次</w:t>
      </w:r>
    </w:p>
    <w:p>
      <w:pPr>
        <w:pStyle w:val="BodyText"/>
        <w:spacing w:line="240" w:lineRule="auto" w:before="36"/>
        <w:ind w:right="101"/>
        <w:jc w:val="left"/>
      </w:pPr>
      <w:r>
        <w:rPr/>
        <w:t>解锁。在解锁期内，若达到本计划规定的解锁条件，激励对象可分三次申请解锁：第一次解锁期为锁定期</w:t>
      </w:r>
    </w:p>
    <w:p>
      <w:pPr>
        <w:spacing w:after="0" w:line="240" w:lineRule="auto"/>
        <w:jc w:val="left"/>
        <w:sectPr>
          <w:pgSz w:w="11910" w:h="16840"/>
          <w:pgMar w:header="745" w:footer="979" w:top="1060" w:bottom="1160" w:left="980" w:right="920"/>
        </w:sectPr>
      </w:pPr>
    </w:p>
    <w:p>
      <w:pPr>
        <w:spacing w:line="240" w:lineRule="auto" w:before="0"/>
        <w:rPr>
          <w:rFonts w:ascii="宋体" w:hAnsi="宋体" w:cs="宋体" w:eastAsia="宋体" w:hint="default"/>
          <w:sz w:val="20"/>
          <w:szCs w:val="20"/>
        </w:rPr>
      </w:pPr>
    </w:p>
    <w:p>
      <w:pPr>
        <w:pStyle w:val="BodyText"/>
        <w:spacing w:line="386" w:lineRule="auto" w:before="176"/>
        <w:ind w:right="158"/>
        <w:jc w:val="both"/>
      </w:pPr>
      <w:r>
        <w:rPr>
          <w:spacing w:val="-2"/>
        </w:rPr>
        <w:t>满后第一年，激励对象可申请解锁数量为获授限制性股票总数的</w:t>
      </w:r>
      <w:r>
        <w:rPr>
          <w:rFonts w:ascii="Times New Roman" w:hAnsi="Times New Roman" w:cs="Times New Roman" w:eastAsia="Times New Roman" w:hint="default"/>
          <w:spacing w:val="-2"/>
        </w:rPr>
        <w:t>40%</w:t>
      </w:r>
      <w:r>
        <w:rPr>
          <w:spacing w:val="-2"/>
        </w:rPr>
        <w:t>；第二次解锁期为锁定期满后的第二</w:t>
      </w:r>
      <w:r>
        <w:rPr>
          <w:spacing w:val="-17"/>
        </w:rPr>
        <w:t> </w:t>
      </w:r>
      <w:r>
        <w:rPr>
          <w:spacing w:val="-17"/>
        </w:rPr>
      </w:r>
      <w:r>
        <w:rPr>
          <w:spacing w:val="-2"/>
        </w:rPr>
        <w:t>年，激励对象可申请解锁数量为获授限制性股票总数的</w:t>
      </w:r>
      <w:r>
        <w:rPr>
          <w:rFonts w:ascii="Times New Roman" w:hAnsi="Times New Roman" w:cs="Times New Roman" w:eastAsia="Times New Roman" w:hint="default"/>
          <w:spacing w:val="-2"/>
        </w:rPr>
        <w:t>30%</w:t>
      </w:r>
      <w:r>
        <w:rPr>
          <w:spacing w:val="-2"/>
        </w:rPr>
        <w:t>；第三次解锁期为锁定期满后的第三年，激励</w:t>
      </w:r>
      <w:r>
        <w:rPr>
          <w:spacing w:val="-17"/>
        </w:rPr>
        <w:t> </w:t>
      </w:r>
      <w:r>
        <w:rPr>
          <w:spacing w:val="-17"/>
        </w:rPr>
      </w:r>
      <w:r>
        <w:rPr/>
        <w:t>对象可申请解锁数量为获授限制性股票总数的</w:t>
      </w:r>
      <w:r>
        <w:rPr>
          <w:rFonts w:ascii="Times New Roman" w:hAnsi="Times New Roman" w:cs="Times New Roman" w:eastAsia="Times New Roman" w:hint="default"/>
        </w:rPr>
        <w:t>30%</w:t>
      </w:r>
      <w:r>
        <w:rPr/>
        <w:t>。</w:t>
      </w:r>
    </w:p>
    <w:p>
      <w:pPr>
        <w:pStyle w:val="BodyText"/>
        <w:spacing w:line="386" w:lineRule="auto" w:before="35"/>
        <w:ind w:right="0" w:firstLine="420"/>
        <w:jc w:val="left"/>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26</w:t>
      </w:r>
      <w:r>
        <w:rPr/>
        <w:t>日，公司召开第三届董事会第十一次临时会议，审议通过了《关于回购注销已不符合激</w:t>
      </w:r>
      <w:r>
        <w:rPr>
          <w:w w:val="100"/>
        </w:rPr>
        <w:t> </w:t>
      </w:r>
      <w:r>
        <w:rPr>
          <w:spacing w:val="-2"/>
        </w:rPr>
        <w:t>励条件的激励对象已获授但尚未解锁的限制性股票的议案》，公司</w:t>
      </w:r>
      <w:r>
        <w:rPr>
          <w:rFonts w:ascii="Times New Roman" w:hAnsi="Times New Roman" w:cs="Times New Roman" w:eastAsia="Times New Roman" w:hint="default"/>
          <w:spacing w:val="-2"/>
        </w:rPr>
        <w:t>2016</w:t>
      </w:r>
      <w:r>
        <w:rPr>
          <w:spacing w:val="-2"/>
        </w:rPr>
        <w:t>年限制性股票原授予的激励对象焦</w:t>
      </w:r>
      <w:r>
        <w:rPr>
          <w:spacing w:val="-41"/>
        </w:rPr>
        <w:t> </w:t>
      </w:r>
      <w:r>
        <w:rPr>
          <w:spacing w:val="-41"/>
        </w:rPr>
      </w:r>
      <w:r>
        <w:rPr/>
        <w:t>永升、李伟、王小丽、王新刚、陆竞新</w:t>
      </w:r>
      <w:r>
        <w:rPr>
          <w:rFonts w:ascii="Times New Roman" w:hAnsi="Times New Roman" w:cs="Times New Roman" w:eastAsia="Times New Roman" w:hint="default"/>
        </w:rPr>
        <w:t>5</w:t>
      </w:r>
      <w:r>
        <w:rPr/>
        <w:t>人已离职，且已办理完毕离职手续。根据《上市公司股权激励管</w:t>
      </w:r>
      <w:r>
        <w:rPr>
          <w:w w:val="100"/>
        </w:rPr>
        <w:t> </w:t>
      </w:r>
      <w:r>
        <w:rPr>
          <w:spacing w:val="-2"/>
        </w:rPr>
        <w:t>理办法》、《上海天玑科技股份有限公司</w:t>
      </w:r>
      <w:r>
        <w:rPr>
          <w:rFonts w:ascii="Times New Roman" w:hAnsi="Times New Roman" w:cs="Times New Roman" w:eastAsia="Times New Roman" w:hint="default"/>
          <w:spacing w:val="-2"/>
        </w:rPr>
        <w:t>2016</w:t>
      </w:r>
      <w:r>
        <w:rPr>
          <w:spacing w:val="-2"/>
        </w:rPr>
        <w:t>年限制性股票激励计划（草案）》等有关法律、法规和规范</w:t>
      </w:r>
      <w:r>
        <w:rPr>
          <w:spacing w:val="-39"/>
        </w:rPr>
        <w:t> </w:t>
      </w:r>
      <w:r>
        <w:rPr>
          <w:spacing w:val="-39"/>
        </w:rPr>
      </w:r>
      <w:r>
        <w:rPr/>
        <w:t>性文件以及《公司章程》的规定，上述</w:t>
      </w:r>
      <w:r>
        <w:rPr>
          <w:rFonts w:ascii="Times New Roman" w:hAnsi="Times New Roman" w:cs="Times New Roman" w:eastAsia="Times New Roman" w:hint="default"/>
        </w:rPr>
        <w:t>5</w:t>
      </w:r>
      <w:r>
        <w:rPr/>
        <w:t>人已不符合股权激励对象的条件，现对其持有的已获授但尚未解</w:t>
      </w:r>
      <w:r>
        <w:rPr>
          <w:w w:val="100"/>
        </w:rPr>
        <w:t> </w:t>
      </w:r>
      <w:r>
        <w:rPr>
          <w:spacing w:val="-3"/>
        </w:rPr>
        <w:t>锁的共计</w:t>
      </w:r>
      <w:r>
        <w:rPr>
          <w:rFonts w:ascii="Times New Roman" w:hAnsi="Times New Roman" w:cs="Times New Roman" w:eastAsia="Times New Roman" w:hint="default"/>
          <w:spacing w:val="-3"/>
        </w:rPr>
        <w:t>75,000</w:t>
      </w:r>
      <w:r>
        <w:rPr>
          <w:spacing w:val="-3"/>
        </w:rPr>
        <w:t>股限制性股票进行回购注销。回购价格为</w:t>
      </w:r>
      <w:r>
        <w:rPr>
          <w:rFonts w:ascii="Times New Roman" w:hAnsi="Times New Roman" w:cs="Times New Roman" w:eastAsia="Times New Roman" w:hint="default"/>
          <w:spacing w:val="-3"/>
        </w:rPr>
        <w:t>10.8259</w:t>
      </w:r>
      <w:r>
        <w:rPr>
          <w:spacing w:val="-3"/>
        </w:rPr>
        <w:t>元</w:t>
      </w:r>
      <w:r>
        <w:rPr>
          <w:rFonts w:ascii="Times New Roman" w:hAnsi="Times New Roman" w:cs="Times New Roman" w:eastAsia="Times New Roman" w:hint="default"/>
          <w:spacing w:val="-3"/>
        </w:rPr>
        <w:t>/</w:t>
      </w:r>
      <w:r>
        <w:rPr>
          <w:spacing w:val="-3"/>
        </w:rPr>
        <w:t>股（回购价格依据《股权激励计划》及</w:t>
      </w:r>
      <w:r>
        <w:rPr>
          <w:spacing w:val="-37"/>
        </w:rPr>
        <w:t> </w:t>
      </w:r>
      <w:r>
        <w:rPr>
          <w:spacing w:val="-37"/>
        </w:rPr>
      </w:r>
      <w:r>
        <w:rPr/>
        <w:t>公司</w:t>
      </w:r>
      <w:r>
        <w:rPr>
          <w:rFonts w:ascii="Times New Roman" w:hAnsi="Times New Roman" w:cs="Times New Roman" w:eastAsia="Times New Roman" w:hint="default"/>
        </w:rPr>
        <w:t>2015</w:t>
      </w:r>
      <w:r>
        <w:rPr/>
        <w:t>年度权益分派方案进行相应调整）。</w:t>
      </w:r>
    </w:p>
    <w:p>
      <w:pPr>
        <w:pStyle w:val="BodyText"/>
        <w:spacing w:line="386" w:lineRule="auto" w:before="35"/>
        <w:ind w:right="0" w:firstLine="42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24</w:t>
      </w:r>
      <w:r>
        <w:rPr/>
        <w:t>日，公司召开第三届董事会第十四次临时会议，审议通过了《关于回购注销已不符合激</w:t>
      </w:r>
      <w:r>
        <w:rPr>
          <w:w w:val="100"/>
        </w:rPr>
        <w:t> </w:t>
      </w:r>
      <w:r>
        <w:rPr>
          <w:spacing w:val="-2"/>
        </w:rPr>
        <w:t>励条件的激励对象已获授但尚未解锁的限制性股票的议案》，公司</w:t>
      </w:r>
      <w:r>
        <w:rPr>
          <w:rFonts w:ascii="Times New Roman" w:hAnsi="Times New Roman" w:cs="Times New Roman" w:eastAsia="Times New Roman" w:hint="default"/>
          <w:spacing w:val="-2"/>
        </w:rPr>
        <w:t>2016</w:t>
      </w:r>
      <w:r>
        <w:rPr>
          <w:spacing w:val="-2"/>
        </w:rPr>
        <w:t>年限制性股票原授予的激励对象黄</w:t>
      </w:r>
      <w:r>
        <w:rPr>
          <w:spacing w:val="-41"/>
        </w:rPr>
        <w:t> </w:t>
      </w:r>
      <w:r>
        <w:rPr>
          <w:spacing w:val="-41"/>
        </w:rPr>
      </w:r>
      <w:r>
        <w:rPr>
          <w:spacing w:val="-2"/>
        </w:rPr>
        <w:t>小云、雷潍、沈星、肖文清、余彬等</w:t>
      </w:r>
      <w:r>
        <w:rPr>
          <w:rFonts w:ascii="Times New Roman" w:hAnsi="Times New Roman" w:cs="Times New Roman" w:eastAsia="Times New Roman" w:hint="default"/>
          <w:spacing w:val="-2"/>
        </w:rPr>
        <w:t>16</w:t>
      </w:r>
      <w:r>
        <w:rPr>
          <w:spacing w:val="-2"/>
        </w:rPr>
        <w:t>人已离职，且已办理完毕离职手续。根据《上市公司股权激励管理</w:t>
      </w:r>
      <w:r>
        <w:rPr>
          <w:spacing w:val="-44"/>
        </w:rPr>
        <w:t> </w:t>
      </w:r>
      <w:r>
        <w:rPr>
          <w:spacing w:val="-44"/>
        </w:rPr>
      </w:r>
      <w:r>
        <w:rPr>
          <w:spacing w:val="-2"/>
        </w:rPr>
        <w:t>办法》、《上海天玑科技股份有限公司</w:t>
      </w:r>
      <w:r>
        <w:rPr>
          <w:rFonts w:ascii="Times New Roman" w:hAnsi="Times New Roman" w:cs="Times New Roman" w:eastAsia="Times New Roman" w:hint="default"/>
          <w:spacing w:val="-2"/>
        </w:rPr>
        <w:t>2016</w:t>
      </w:r>
      <w:r>
        <w:rPr>
          <w:spacing w:val="-2"/>
        </w:rPr>
        <w:t>年限制性股票激励计划（草案）》等有关法律、法规和规范性</w:t>
      </w:r>
      <w:r>
        <w:rPr>
          <w:spacing w:val="-40"/>
        </w:rPr>
        <w:t> </w:t>
      </w:r>
      <w:r>
        <w:rPr>
          <w:spacing w:val="-40"/>
        </w:rPr>
      </w:r>
      <w:r>
        <w:rPr>
          <w:spacing w:val="-2"/>
        </w:rPr>
        <w:t>文件以及《公司章程》的规定，上述</w:t>
      </w:r>
      <w:r>
        <w:rPr>
          <w:rFonts w:ascii="Times New Roman" w:hAnsi="Times New Roman" w:cs="Times New Roman" w:eastAsia="Times New Roman" w:hint="default"/>
          <w:spacing w:val="-2"/>
        </w:rPr>
        <w:t>16</w:t>
      </w:r>
      <w:r>
        <w:rPr>
          <w:spacing w:val="-2"/>
        </w:rPr>
        <w:t>人已不符合股权激励对象的条件，现对其持有的已获授但尚未解锁</w:t>
      </w:r>
      <w:r>
        <w:rPr>
          <w:spacing w:val="-45"/>
        </w:rPr>
        <w:t> </w:t>
      </w:r>
      <w:r>
        <w:rPr>
          <w:spacing w:val="-45"/>
        </w:rPr>
      </w:r>
      <w:r>
        <w:rPr/>
        <w:t>的共计</w:t>
      </w:r>
      <w:r>
        <w:rPr>
          <w:rFonts w:ascii="Times New Roman" w:hAnsi="Times New Roman" w:cs="Times New Roman" w:eastAsia="Times New Roman" w:hint="default"/>
        </w:rPr>
        <w:t>1,104,000</w:t>
      </w:r>
      <w:r>
        <w:rPr/>
        <w:t>股限制性股票进行回购注销。回购价格为</w:t>
      </w:r>
      <w:r>
        <w:rPr>
          <w:rFonts w:ascii="Times New Roman" w:hAnsi="Times New Roman" w:cs="Times New Roman" w:eastAsia="Times New Roman" w:hint="default"/>
        </w:rPr>
        <w:t>10.8259</w:t>
      </w:r>
      <w:r>
        <w:rPr/>
        <w:t>元</w:t>
      </w:r>
      <w:r>
        <w:rPr>
          <w:rFonts w:ascii="Times New Roman" w:hAnsi="Times New Roman" w:cs="Times New Roman" w:eastAsia="Times New Roman" w:hint="default"/>
        </w:rPr>
        <w:t>/</w:t>
      </w:r>
      <w:r>
        <w:rPr/>
        <w:t>股（回购价格依据《股权激励计划》</w:t>
      </w:r>
      <w:r>
        <w:rPr>
          <w:w w:val="100"/>
        </w:rPr>
        <w:t> </w:t>
      </w:r>
      <w:r>
        <w:rPr/>
        <w:t>及公司</w:t>
      </w:r>
      <w:r>
        <w:rPr>
          <w:rFonts w:ascii="Times New Roman" w:hAnsi="Times New Roman" w:cs="Times New Roman" w:eastAsia="Times New Roman" w:hint="default"/>
        </w:rPr>
        <w:t>2015</w:t>
      </w:r>
      <w:r>
        <w:rPr/>
        <w:t>年度权益分派方案进行相应调整）。</w:t>
      </w:r>
    </w:p>
    <w:p>
      <w:pPr>
        <w:pStyle w:val="BodyText"/>
        <w:spacing w:line="386" w:lineRule="auto" w:before="35"/>
        <w:ind w:right="0" w:firstLine="42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19</w:t>
      </w:r>
      <w:r>
        <w:rPr/>
        <w:t>日，公司召开第三届董事会第十六次会议，审议通过了《关于回购注销未达到</w:t>
      </w:r>
      <w:r>
        <w:rPr>
          <w:rFonts w:ascii="Times New Roman" w:hAnsi="Times New Roman" w:cs="Times New Roman" w:eastAsia="Times New Roman" w:hint="default"/>
        </w:rPr>
        <w:t>2016</w:t>
      </w:r>
      <w:r>
        <w:rPr/>
        <w:t>年限</w:t>
      </w:r>
      <w:r>
        <w:rPr>
          <w:spacing w:val="-3"/>
          <w:w w:val="100"/>
        </w:rPr>
        <w:t> </w:t>
      </w:r>
      <w:r>
        <w:rPr>
          <w:spacing w:val="-2"/>
        </w:rPr>
        <w:t>制性股票激励计划规定第一期解锁条件已授予未解锁的限制性股票的议案》，因公司</w:t>
      </w:r>
      <w:r>
        <w:rPr>
          <w:rFonts w:ascii="Times New Roman" w:hAnsi="Times New Roman" w:cs="Times New Roman" w:eastAsia="Times New Roman" w:hint="default"/>
          <w:spacing w:val="-2"/>
        </w:rPr>
        <w:t>2016</w:t>
      </w:r>
      <w:r>
        <w:rPr>
          <w:spacing w:val="-2"/>
        </w:rPr>
        <w:t>年度业绩未达到</w:t>
      </w:r>
      <w:r>
        <w:rPr>
          <w:spacing w:val="-40"/>
        </w:rPr>
        <w:t> </w:t>
      </w:r>
      <w:r>
        <w:rPr>
          <w:spacing w:val="-40"/>
        </w:rPr>
      </w:r>
      <w:r>
        <w:rPr>
          <w:rFonts w:ascii="Times New Roman" w:hAnsi="Times New Roman" w:cs="Times New Roman" w:eastAsia="Times New Roman" w:hint="default"/>
          <w:spacing w:val="-2"/>
        </w:rPr>
        <w:t>2016</w:t>
      </w:r>
      <w:r>
        <w:rPr>
          <w:spacing w:val="-2"/>
        </w:rPr>
        <w:t>年限制性股票激励计划规定的第一期限制性股票的解锁条件，根据《上市公司股权激励管理办法》、</w:t>
      </w:r>
    </w:p>
    <w:p>
      <w:pPr>
        <w:pStyle w:val="BodyText"/>
        <w:spacing w:line="240" w:lineRule="auto" w:before="35"/>
        <w:ind w:right="0"/>
        <w:jc w:val="left"/>
      </w:pPr>
      <w:r>
        <w:rPr/>
        <w:t>《上海天玑科技股份有限公司</w:t>
      </w:r>
      <w:r>
        <w:rPr>
          <w:rFonts w:ascii="Times New Roman" w:hAnsi="Times New Roman" w:cs="Times New Roman" w:eastAsia="Times New Roman" w:hint="default"/>
        </w:rPr>
        <w:t>2016</w:t>
      </w:r>
      <w:r>
        <w:rPr/>
        <w:t>年限制性股票激励计划（草案）》等有关法律、法规和规范性文件以及</w:t>
      </w:r>
    </w:p>
    <w:p>
      <w:pPr>
        <w:pStyle w:val="BodyText"/>
        <w:spacing w:line="386" w:lineRule="auto" w:before="178"/>
        <w:ind w:right="0"/>
        <w:jc w:val="left"/>
      </w:pPr>
      <w:r>
        <w:rPr>
          <w:spacing w:val="-2"/>
        </w:rPr>
        <w:t>《公司章程》的规定，公司董事会一致同意将未达到</w:t>
      </w:r>
      <w:r>
        <w:rPr>
          <w:rFonts w:ascii="Times New Roman" w:hAnsi="Times New Roman" w:cs="Times New Roman" w:eastAsia="Times New Roman" w:hint="default"/>
          <w:spacing w:val="-2"/>
        </w:rPr>
        <w:t>2016</w:t>
      </w:r>
      <w:r>
        <w:rPr>
          <w:spacing w:val="-2"/>
        </w:rPr>
        <w:t>年限制性股票激励计划规定的第一期解锁条件已</w:t>
      </w:r>
      <w:r>
        <w:rPr>
          <w:spacing w:val="-38"/>
        </w:rPr>
        <w:t> </w:t>
      </w:r>
      <w:r>
        <w:rPr>
          <w:spacing w:val="-38"/>
        </w:rPr>
      </w:r>
      <w:r>
        <w:rPr/>
        <w:t>授予未解锁的限制性股票</w:t>
      </w:r>
      <w:r>
        <w:rPr>
          <w:rFonts w:ascii="Times New Roman" w:hAnsi="Times New Roman" w:cs="Times New Roman" w:eastAsia="Times New Roman" w:hint="default"/>
        </w:rPr>
        <w:t>2,454,400</w:t>
      </w:r>
      <w:r>
        <w:rPr/>
        <w:t>股进行回购注销，共计</w:t>
      </w:r>
      <w:r>
        <w:rPr>
          <w:rFonts w:ascii="Times New Roman" w:hAnsi="Times New Roman" w:cs="Times New Roman" w:eastAsia="Times New Roman" w:hint="default"/>
        </w:rPr>
        <w:t>135</w:t>
      </w:r>
      <w:r>
        <w:rPr/>
        <w:t>名激励对象。其中激励对象杨凯因其股权激</w:t>
      </w:r>
      <w:r>
        <w:rPr>
          <w:w w:val="100"/>
        </w:rPr>
        <w:t> </w:t>
      </w:r>
      <w:r>
        <w:rPr/>
        <w:t>励授予日期为</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31</w:t>
      </w:r>
      <w:r>
        <w:rPr/>
        <w:t>日，故其回购价格为授予价格即</w:t>
      </w:r>
      <w:r>
        <w:rPr>
          <w:rFonts w:ascii="Times New Roman" w:hAnsi="Times New Roman" w:cs="Times New Roman" w:eastAsia="Times New Roman" w:hint="default"/>
        </w:rPr>
        <w:t>10.83</w:t>
      </w:r>
      <w:r>
        <w:rPr/>
        <w:t>元</w:t>
      </w:r>
      <w:r>
        <w:rPr>
          <w:rFonts w:ascii="Times New Roman" w:hAnsi="Times New Roman" w:cs="Times New Roman" w:eastAsia="Times New Roman" w:hint="default"/>
        </w:rPr>
        <w:t>/</w:t>
      </w:r>
      <w:r>
        <w:rPr/>
        <w:t>股；其余</w:t>
      </w:r>
      <w:r>
        <w:rPr>
          <w:rFonts w:ascii="Times New Roman" w:hAnsi="Times New Roman" w:cs="Times New Roman" w:eastAsia="Times New Roman" w:hint="default"/>
        </w:rPr>
        <w:t>134</w:t>
      </w:r>
      <w:r>
        <w:rPr/>
        <w:t>名激励对象股权激励授予</w:t>
      </w:r>
      <w:r>
        <w:rPr>
          <w:w w:val="100"/>
        </w:rPr>
        <w:t> </w:t>
      </w:r>
      <w:r>
        <w:rPr>
          <w:spacing w:val="-2"/>
        </w:rPr>
        <w:t>日期为</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22</w:t>
      </w:r>
      <w:r>
        <w:rPr>
          <w:spacing w:val="-2"/>
        </w:rPr>
        <w:t>日，故回购价格为</w:t>
      </w:r>
      <w:r>
        <w:rPr>
          <w:rFonts w:ascii="Times New Roman" w:hAnsi="Times New Roman" w:cs="Times New Roman" w:eastAsia="Times New Roman" w:hint="default"/>
          <w:spacing w:val="-2"/>
        </w:rPr>
        <w:t>10.8259</w:t>
      </w:r>
      <w:r>
        <w:rPr>
          <w:spacing w:val="-2"/>
        </w:rPr>
        <w:t>元</w:t>
      </w:r>
      <w:r>
        <w:rPr>
          <w:rFonts w:ascii="Times New Roman" w:hAnsi="Times New Roman" w:cs="Times New Roman" w:eastAsia="Times New Roman" w:hint="default"/>
          <w:spacing w:val="-2"/>
        </w:rPr>
        <w:t>/</w:t>
      </w:r>
      <w:r>
        <w:rPr>
          <w:spacing w:val="-2"/>
        </w:rPr>
        <w:t>股（回购价格依据《股权激励计划》及公司</w:t>
      </w:r>
      <w:r>
        <w:rPr>
          <w:rFonts w:ascii="Times New Roman" w:hAnsi="Times New Roman" w:cs="Times New Roman" w:eastAsia="Times New Roman" w:hint="default"/>
          <w:spacing w:val="-2"/>
        </w:rPr>
        <w:t>2015</w:t>
      </w:r>
      <w:r>
        <w:rPr>
          <w:spacing w:val="-2"/>
        </w:rPr>
        <w:t>年度权益</w:t>
      </w:r>
      <w:r>
        <w:rPr>
          <w:spacing w:val="-33"/>
        </w:rPr>
        <w:t> </w:t>
      </w:r>
      <w:r>
        <w:rPr>
          <w:spacing w:val="-33"/>
        </w:rPr>
      </w:r>
      <w:r>
        <w:rPr/>
        <w:t>分派方案进行相应调整）。</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2017</w:t>
      </w:r>
      <w:r>
        <w:rPr/>
        <w:t>年度股权激励情况</w:t>
      </w:r>
      <w:r>
        <w:rPr>
          <w:b w:val="0"/>
          <w:bCs w:val="0"/>
        </w:rPr>
      </w:r>
    </w:p>
    <w:p>
      <w:pPr>
        <w:pStyle w:val="BodyText"/>
        <w:spacing w:line="386" w:lineRule="auto" w:before="177"/>
        <w:ind w:right="0" w:firstLine="42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20</w:t>
      </w:r>
      <w:r>
        <w:rPr/>
        <w:t>日，公司召开第三届董事会第二十次临时会议，审议通过了《关于回购注销已不符合激</w:t>
      </w:r>
      <w:r>
        <w:rPr>
          <w:w w:val="100"/>
        </w:rPr>
        <w:t> </w:t>
      </w:r>
      <w:r>
        <w:rPr>
          <w:spacing w:val="-2"/>
        </w:rPr>
        <w:t>励条件的激励对象已获授但尚未解锁的限制性股票的议案》，公司</w:t>
      </w:r>
      <w:r>
        <w:rPr>
          <w:rFonts w:ascii="Times New Roman" w:hAnsi="Times New Roman" w:cs="Times New Roman" w:eastAsia="Times New Roman" w:hint="default"/>
          <w:spacing w:val="-2"/>
        </w:rPr>
        <w:t>2016</w:t>
      </w:r>
      <w:r>
        <w:rPr>
          <w:spacing w:val="-2"/>
        </w:rPr>
        <w:t>年限制性股票原授予的激励对象颜</w:t>
      </w:r>
    </w:p>
    <w:p>
      <w:pPr>
        <w:spacing w:after="0" w:line="386"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pStyle w:val="BodyText"/>
        <w:spacing w:line="386" w:lineRule="auto" w:before="176"/>
        <w:ind w:right="101"/>
        <w:jc w:val="left"/>
      </w:pPr>
      <w:r>
        <w:rPr>
          <w:spacing w:val="-2"/>
        </w:rPr>
        <w:t>敏、韩佳、李莉、娄成行、尹雪蓉等</w:t>
      </w:r>
      <w:r>
        <w:rPr>
          <w:rFonts w:ascii="Times New Roman" w:hAnsi="Times New Roman" w:cs="Times New Roman" w:eastAsia="Times New Roman" w:hint="default"/>
          <w:spacing w:val="-2"/>
        </w:rPr>
        <w:t>24</w:t>
      </w:r>
      <w:r>
        <w:rPr>
          <w:spacing w:val="-2"/>
        </w:rPr>
        <w:t>人已离职。根据《上市公司股权激励管理办法》、《上海天玑科技</w:t>
      </w:r>
      <w:r>
        <w:rPr>
          <w:spacing w:val="-43"/>
        </w:rPr>
        <w:t> </w:t>
      </w:r>
      <w:r>
        <w:rPr>
          <w:spacing w:val="-43"/>
        </w:rPr>
      </w:r>
      <w:r>
        <w:rPr>
          <w:spacing w:val="-2"/>
        </w:rPr>
        <w:t>股份有限公司</w:t>
      </w:r>
      <w:r>
        <w:rPr>
          <w:rFonts w:ascii="Times New Roman" w:hAnsi="Times New Roman" w:cs="Times New Roman" w:eastAsia="Times New Roman" w:hint="default"/>
          <w:spacing w:val="-2"/>
        </w:rPr>
        <w:t>2016</w:t>
      </w:r>
      <w:r>
        <w:rPr>
          <w:spacing w:val="-2"/>
        </w:rPr>
        <w:t>年限制性股票激励计划（草案）》等有关法律、法规和规范性文件以及《公司章程》的</w:t>
      </w:r>
      <w:r>
        <w:rPr>
          <w:spacing w:val="-38"/>
        </w:rPr>
        <w:t> </w:t>
      </w:r>
      <w:r>
        <w:rPr>
          <w:spacing w:val="-38"/>
        </w:rPr>
      </w:r>
      <w:r>
        <w:rPr>
          <w:spacing w:val="-3"/>
        </w:rPr>
        <w:t>规定，上述</w:t>
      </w:r>
      <w:r>
        <w:rPr>
          <w:rFonts w:ascii="Times New Roman" w:hAnsi="Times New Roman" w:cs="Times New Roman" w:eastAsia="Times New Roman" w:hint="default"/>
          <w:spacing w:val="-3"/>
        </w:rPr>
        <w:t>24</w:t>
      </w:r>
      <w:r>
        <w:rPr>
          <w:spacing w:val="-3"/>
        </w:rPr>
        <w:t>人已不符合股权激励对象的条件，现对其持有的已获授但尚未解锁的共计</w:t>
      </w:r>
      <w:r>
        <w:rPr>
          <w:rFonts w:ascii="Times New Roman" w:hAnsi="Times New Roman" w:cs="Times New Roman" w:eastAsia="Times New Roman" w:hint="default"/>
          <w:spacing w:val="-3"/>
        </w:rPr>
        <w:t>666,600</w:t>
      </w:r>
      <w:r>
        <w:rPr>
          <w:spacing w:val="-3"/>
        </w:rPr>
        <w:t>股限制性股</w:t>
      </w:r>
      <w:r>
        <w:rPr>
          <w:spacing w:val="-36"/>
        </w:rPr>
        <w:t> </w:t>
      </w:r>
      <w:r>
        <w:rPr>
          <w:spacing w:val="-36"/>
        </w:rPr>
      </w:r>
      <w:r>
        <w:rPr/>
        <w:t>票进行回购注销。回购价格为</w:t>
      </w:r>
      <w:r>
        <w:rPr>
          <w:rFonts w:ascii="Times New Roman" w:hAnsi="Times New Roman" w:cs="Times New Roman" w:eastAsia="Times New Roman" w:hint="default"/>
        </w:rPr>
        <w:t>10.7759</w:t>
      </w:r>
      <w:r>
        <w:rPr/>
        <w:t>元</w:t>
      </w:r>
      <w:r>
        <w:rPr>
          <w:rFonts w:ascii="Times New Roman" w:hAnsi="Times New Roman" w:cs="Times New Roman" w:eastAsia="Times New Roman" w:hint="default"/>
        </w:rPr>
        <w:t>/</w:t>
      </w:r>
      <w:r>
        <w:rPr/>
        <w:t>股（回购价格依据《股权激励计划》及公司</w:t>
      </w:r>
      <w:r>
        <w:rPr>
          <w:rFonts w:ascii="Times New Roman" w:hAnsi="Times New Roman" w:cs="Times New Roman" w:eastAsia="Times New Roman" w:hint="default"/>
        </w:rPr>
        <w:t>2015</w:t>
      </w:r>
      <w:r>
        <w:rPr/>
        <w:t>年度、</w:t>
      </w:r>
      <w:r>
        <w:rPr>
          <w:rFonts w:ascii="Times New Roman" w:hAnsi="Times New Roman" w:cs="Times New Roman" w:eastAsia="Times New Roman" w:hint="default"/>
        </w:rPr>
        <w:t>2016</w:t>
      </w:r>
      <w:r>
        <w:rPr/>
        <w:t>年度</w:t>
      </w:r>
      <w:r>
        <w:rPr>
          <w:spacing w:val="-3"/>
          <w:w w:val="100"/>
        </w:rPr>
        <w:t> </w:t>
      </w:r>
      <w:r>
        <w:rPr/>
        <w:t>权益分派方案进行相应调整）。</w:t>
      </w:r>
    </w:p>
    <w:p>
      <w:pPr>
        <w:pStyle w:val="BodyText"/>
        <w:spacing w:line="391" w:lineRule="auto" w:before="65"/>
        <w:ind w:right="101" w:firstLine="42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9</w:t>
      </w:r>
      <w:r>
        <w:rPr/>
        <w:t>日，公司第三届董事会第二十七次会议和第三届监事会第二十六次会议审议通过了《关于</w:t>
      </w:r>
      <w:r>
        <w:rPr>
          <w:w w:val="100"/>
        </w:rPr>
        <w:t> </w:t>
      </w:r>
      <w:r>
        <w:rPr>
          <w:spacing w:val="-2"/>
        </w:rPr>
        <w:t>回购注销及终止实施公司限制性股票激励计划的议案》，公司</w:t>
      </w:r>
      <w:r>
        <w:rPr>
          <w:rFonts w:ascii="Times New Roman" w:hAnsi="Times New Roman" w:cs="Times New Roman" w:eastAsia="Times New Roman" w:hint="default"/>
          <w:spacing w:val="-2"/>
        </w:rPr>
        <w:t>2017</w:t>
      </w:r>
      <w:r>
        <w:rPr>
          <w:spacing w:val="-2"/>
        </w:rPr>
        <w:t>年度业绩未达到公司限制性股票激励计</w:t>
      </w:r>
      <w:r>
        <w:rPr>
          <w:spacing w:val="-41"/>
        </w:rPr>
        <w:t> </w:t>
      </w:r>
      <w:r>
        <w:rPr>
          <w:spacing w:val="-41"/>
        </w:rPr>
      </w:r>
      <w:r>
        <w:rPr>
          <w:spacing w:val="-2"/>
        </w:rPr>
        <w:t>划第二期的解锁条件，同时，鉴于公司</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3</w:t>
      </w:r>
      <w:r>
        <w:rPr>
          <w:spacing w:val="-2"/>
        </w:rPr>
        <w:t>月推出限制性股票激励计划后，公司股价发生了较大变化，</w:t>
      </w:r>
      <w:r>
        <w:rPr>
          <w:spacing w:val="-38"/>
        </w:rPr>
        <w:t> </w:t>
      </w:r>
      <w:r>
        <w:rPr>
          <w:spacing w:val="-38"/>
        </w:rPr>
      </w:r>
      <w:r>
        <w:rPr/>
        <w:t>限制性股票激励计划较难达到预期的激励效果，经审慎论证后公司董事会决定终止实施限制性股票激励计</w:t>
      </w:r>
      <w:r>
        <w:rPr>
          <w:w w:val="100"/>
        </w:rPr>
        <w:t> </w:t>
      </w:r>
      <w:r>
        <w:rPr/>
        <w:t>划。</w:t>
      </w:r>
    </w:p>
    <w:p>
      <w:pPr>
        <w:pStyle w:val="BodyText"/>
        <w:spacing w:line="398" w:lineRule="auto" w:before="61"/>
        <w:ind w:right="206" w:firstLine="420"/>
        <w:jc w:val="both"/>
      </w:pPr>
      <w:r>
        <w:rPr>
          <w:spacing w:val="-2"/>
        </w:rPr>
        <w:t>截至本报告日，因公司</w:t>
      </w:r>
      <w:r>
        <w:rPr>
          <w:rFonts w:ascii="Times New Roman" w:hAnsi="Times New Roman" w:cs="Times New Roman" w:eastAsia="Times New Roman" w:hint="default"/>
          <w:spacing w:val="-2"/>
        </w:rPr>
        <w:t>2017</w:t>
      </w:r>
      <w:r>
        <w:rPr>
          <w:spacing w:val="-2"/>
        </w:rPr>
        <w:t>年度业绩未达到股权激励计划规定的授予限制性股票第二期解锁条件，并</w:t>
      </w:r>
      <w:r>
        <w:rPr>
          <w:w w:val="100"/>
        </w:rPr>
        <w:t> </w:t>
      </w:r>
      <w:r>
        <w:rPr>
          <w:spacing w:val="-2"/>
        </w:rPr>
        <w:t>且公司决定终止实施限制性股票计划，剩余限制性股票全部失效。根据《企业会计准则》的相关规定，第</w:t>
      </w:r>
      <w:r>
        <w:rPr>
          <w:spacing w:val="-43"/>
        </w:rPr>
        <w:t> </w:t>
      </w:r>
      <w:r>
        <w:rPr>
          <w:spacing w:val="-43"/>
        </w:rPr>
      </w:r>
      <w:r>
        <w:rPr>
          <w:spacing w:val="-2"/>
        </w:rPr>
        <w:t>二批对应的股份支付费用于本年度转回；第三批对应在剩余等待期内确认的股份支付费用立即在本年度内</w:t>
      </w:r>
      <w:r>
        <w:rPr>
          <w:spacing w:val="-43"/>
        </w:rPr>
        <w:t> </w:t>
      </w:r>
      <w:r>
        <w:rPr>
          <w:spacing w:val="-43"/>
        </w:rPr>
      </w:r>
      <w:r>
        <w:rPr>
          <w:spacing w:val="-2"/>
        </w:rPr>
        <w:t>确认。上述两批股份支付本年分摊的成本为</w:t>
      </w:r>
      <w:r>
        <w:rPr>
          <w:rFonts w:ascii="Times New Roman" w:hAnsi="Times New Roman" w:cs="Times New Roman" w:eastAsia="Times New Roman" w:hint="default"/>
          <w:spacing w:val="-2"/>
        </w:rPr>
        <w:t>-21.09</w:t>
      </w:r>
      <w:r>
        <w:rPr>
          <w:spacing w:val="-2"/>
        </w:rPr>
        <w:t>万元，已计入当年管理费用并作为经常性损益列支，同</w:t>
      </w:r>
      <w:r>
        <w:rPr>
          <w:spacing w:val="-14"/>
        </w:rPr>
        <w:t> </w:t>
      </w:r>
      <w:r>
        <w:rPr>
          <w:spacing w:val="-14"/>
        </w:rPr>
      </w:r>
      <w:r>
        <w:rPr/>
        <w:t>时计入资本公积</w:t>
      </w:r>
      <w:r>
        <w:rPr>
          <w:rFonts w:ascii="Times New Roman" w:hAnsi="Times New Roman" w:cs="Times New Roman" w:eastAsia="Times New Roman" w:hint="default"/>
        </w:rPr>
        <w:t>-</w:t>
      </w:r>
      <w:r>
        <w:rPr/>
        <w:t>其他资本公积。</w:t>
      </w:r>
    </w:p>
    <w:p>
      <w:pPr>
        <w:spacing w:line="240" w:lineRule="auto" w:before="11"/>
        <w:rPr>
          <w:rFonts w:ascii="宋体" w:hAnsi="宋体" w:cs="宋体" w:eastAsia="宋体" w:hint="default"/>
          <w:sz w:val="18"/>
          <w:szCs w:val="18"/>
        </w:rPr>
      </w:pPr>
    </w:p>
    <w:p>
      <w:pPr>
        <w:pStyle w:val="Heading3"/>
        <w:spacing w:line="240" w:lineRule="auto"/>
        <w:ind w:right="101"/>
        <w:jc w:val="left"/>
        <w:rPr>
          <w:b w:val="0"/>
          <w:bCs w:val="0"/>
        </w:rPr>
      </w:pPr>
      <w:r>
        <w:rPr>
          <w:rFonts w:ascii="Times New Roman" w:hAnsi="Times New Roman" w:cs="Times New Roman" w:eastAsia="Times New Roman" w:hint="default"/>
        </w:rPr>
        <w:t>3</w:t>
      </w:r>
      <w:r>
        <w:rPr/>
        <w:t>、以现金结算的股份支付情况</w:t>
      </w:r>
      <w:r>
        <w:rPr>
          <w:b w:val="0"/>
          <w:bCs w:val="0"/>
        </w:rPr>
      </w:r>
    </w:p>
    <w:p>
      <w:pPr>
        <w:spacing w:line="240" w:lineRule="auto" w:before="2"/>
        <w:rPr>
          <w:rFonts w:ascii="宋体" w:hAnsi="宋体" w:cs="宋体" w:eastAsia="宋体" w:hint="default"/>
          <w:b/>
          <w:bCs/>
          <w:sz w:val="26"/>
          <w:szCs w:val="26"/>
        </w:rPr>
      </w:pPr>
    </w:p>
    <w:p>
      <w:pPr>
        <w:spacing w:before="0"/>
        <w:ind w:left="152" w:right="10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spacing w:line="506" w:lineRule="auto" w:before="0"/>
        <w:ind w:left="152" w:right="566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、股份支付的修改、终止情况</w:t>
      </w:r>
      <w:r>
        <w:rPr>
          <w:rFonts w:ascii="宋体" w:hAnsi="宋体" w:cs="宋体" w:eastAsia="宋体" w:hint="default"/>
          <w:b/>
          <w:bCs/>
          <w:w w:val="100"/>
          <w:sz w:val="21"/>
          <w:szCs w:val="21"/>
        </w:rPr>
        <w:t> </w:t>
      </w:r>
      <w:r>
        <w:rPr>
          <w:rFonts w:ascii="宋体" w:hAnsi="宋体" w:cs="宋体" w:eastAsia="宋体" w:hint="default"/>
          <w:spacing w:val="-2"/>
          <w:sz w:val="21"/>
          <w:szCs w:val="21"/>
        </w:rPr>
        <w:t>本年公司支付终止情况详见本附注十三、</w:t>
      </w: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w:t>
      </w:r>
      <w:r>
        <w:rPr>
          <w:rFonts w:ascii="宋体" w:hAnsi="宋体" w:cs="宋体" w:eastAsia="宋体" w:hint="default"/>
          <w:spacing w:val="-65"/>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sz w:val="21"/>
          <w:szCs w:val="21"/>
        </w:rPr>
      </w:r>
    </w:p>
    <w:p>
      <w:pPr>
        <w:spacing w:line="506" w:lineRule="auto" w:before="40"/>
        <w:ind w:left="152" w:right="7425" w:firstLine="0"/>
        <w:jc w:val="left"/>
        <w:rPr>
          <w:rFonts w:ascii="宋体" w:hAnsi="宋体" w:cs="宋体" w:eastAsia="宋体" w:hint="default"/>
          <w:sz w:val="18"/>
          <w:szCs w:val="18"/>
        </w:rPr>
      </w:pPr>
      <w:r>
        <w:rPr>
          <w:rFonts w:ascii="宋体" w:hAnsi="宋体" w:cs="宋体" w:eastAsia="宋体" w:hint="default"/>
          <w:b/>
          <w:bCs/>
          <w:sz w:val="24"/>
          <w:szCs w:val="24"/>
        </w:rPr>
        <w:t>十四、承诺及或有事项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b/>
          <w:bCs/>
          <w:spacing w:val="-103"/>
          <w:sz w:val="21"/>
          <w:szCs w:val="21"/>
        </w:rPr>
        <w:t> </w:t>
      </w:r>
      <w:r>
        <w:rPr>
          <w:rFonts w:ascii="宋体" w:hAnsi="宋体" w:cs="宋体" w:eastAsia="宋体" w:hint="default"/>
          <w:sz w:val="18"/>
          <w:szCs w:val="18"/>
        </w:rPr>
        <w:t>资产负债表日存在的重要承诺</w:t>
      </w:r>
    </w:p>
    <w:p>
      <w:pPr>
        <w:spacing w:line="240" w:lineRule="auto" w:before="10"/>
        <w:rPr>
          <w:rFonts w:ascii="宋体" w:hAnsi="宋体" w:cs="宋体" w:eastAsia="宋体" w:hint="default"/>
          <w:sz w:val="15"/>
          <w:szCs w:val="15"/>
        </w:rPr>
      </w:pPr>
    </w:p>
    <w:p>
      <w:pPr>
        <w:pStyle w:val="BodyText"/>
        <w:spacing w:line="240" w:lineRule="auto"/>
        <w:ind w:right="101"/>
        <w:jc w:val="left"/>
      </w:pPr>
      <w:r>
        <w:rPr/>
        <w:t>截至本年末，本公司不存在需要披露的重大承诺事项。</w:t>
      </w:r>
    </w:p>
    <w:p>
      <w:pPr>
        <w:spacing w:after="0" w:line="240" w:lineRule="auto"/>
        <w:jc w:val="left"/>
        <w:sectPr>
          <w:pgSz w:w="11910" w:h="16840"/>
          <w:pgMar w:header="745" w:footer="979" w:top="1060" w:bottom="1160" w:left="980" w:right="92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10"/>
        <w:rPr>
          <w:rFonts w:ascii="宋体" w:hAnsi="宋体" w:cs="宋体" w:eastAsia="宋体" w:hint="default"/>
          <w:b/>
          <w:bCs/>
          <w:sz w:val="24"/>
          <w:szCs w:val="24"/>
        </w:rPr>
      </w:pPr>
    </w:p>
    <w:p>
      <w:pPr>
        <w:spacing w:line="506" w:lineRule="auto" w:before="0"/>
        <w:ind w:left="152" w:right="167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）资产负债表日存在的重要或有事项</w:t>
      </w:r>
      <w:r>
        <w:rPr>
          <w:rFonts w:ascii="宋体" w:hAnsi="宋体" w:cs="宋体" w:eastAsia="宋体" w:hint="default"/>
          <w:b/>
          <w:bCs/>
          <w:w w:val="100"/>
          <w:sz w:val="21"/>
          <w:szCs w:val="21"/>
        </w:rPr>
        <w:t> </w:t>
      </w:r>
      <w:r>
        <w:rPr>
          <w:rFonts w:ascii="宋体" w:hAnsi="宋体" w:cs="宋体" w:eastAsia="宋体" w:hint="default"/>
          <w:spacing w:val="-2"/>
          <w:sz w:val="21"/>
          <w:szCs w:val="21"/>
        </w:rPr>
        <w:t>截至本年末，本公司不存在需要披露的或有事项。</w:t>
      </w:r>
    </w:p>
    <w:p>
      <w:pPr>
        <w:spacing w:line="240" w:lineRule="auto" w:before="0"/>
        <w:rPr>
          <w:rFonts w:ascii="宋体" w:hAnsi="宋体" w:cs="宋体" w:eastAsia="宋体" w:hint="default"/>
          <w:sz w:val="20"/>
          <w:szCs w:val="20"/>
        </w:rPr>
      </w:pPr>
    </w:p>
    <w:p>
      <w:pPr>
        <w:pStyle w:val="Heading3"/>
        <w:spacing w:line="240" w:lineRule="auto" w:before="154"/>
        <w:ind w:right="0"/>
        <w:jc w:val="left"/>
        <w:rPr>
          <w:b w:val="0"/>
          <w:bCs w:val="0"/>
        </w:rPr>
      </w:pP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公司不存在需要披露的重要或有事项。</w:t>
      </w:r>
    </w:p>
    <w:p>
      <w:pPr>
        <w:spacing w:line="240" w:lineRule="auto" w:before="0"/>
        <w:rPr>
          <w:rFonts w:ascii="宋体" w:hAnsi="宋体" w:cs="宋体" w:eastAsia="宋体" w:hint="default"/>
          <w:sz w:val="18"/>
          <w:szCs w:val="18"/>
        </w:rPr>
      </w:pPr>
    </w:p>
    <w:p>
      <w:pPr>
        <w:spacing w:line="487" w:lineRule="auto" w:before="118"/>
        <w:ind w:left="152" w:right="688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十五、资产负债表日后事项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spacing w:before="102"/>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91"/>
      </w:tblGrid>
      <w:tr>
        <w:trPr>
          <w:trHeight w:val="714"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0" w:right="108" w:hanging="901"/>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4"/>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、利润分配情况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525"/>
        <w:gridCol w:w="5045"/>
      </w:tblGrid>
      <w:tr>
        <w:trPr>
          <w:trHeight w:val="401"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504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21,942,024.51</w:t>
            </w:r>
          </w:p>
        </w:tc>
      </w:tr>
      <w:tr>
        <w:trPr>
          <w:trHeight w:val="403"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经审议批准发放的利润或股利</w:t>
            </w:r>
          </w:p>
        </w:tc>
        <w:tc>
          <w:tcPr>
            <w:tcW w:w="5045" w:type="dxa"/>
            <w:tcBorders>
              <w:top w:val="single" w:sz="4" w:space="0" w:color="000000"/>
              <w:left w:val="single" w:sz="12" w:space="0" w:color="D2D2D2"/>
              <w:bottom w:val="single" w:sz="4" w:space="0" w:color="000000"/>
              <w:right w:val="single" w:sz="4" w:space="0" w:color="000000"/>
            </w:tcBorders>
          </w:tcPr>
          <w:p>
            <w:pPr/>
          </w:p>
        </w:tc>
      </w:tr>
    </w:tbl>
    <w:p>
      <w:pPr>
        <w:pStyle w:val="BodyText"/>
        <w:spacing w:line="240" w:lineRule="auto" w:before="4"/>
        <w:ind w:right="0"/>
        <w:jc w:val="left"/>
      </w:pPr>
      <w:r>
        <w:rPr>
          <w:rFonts w:ascii="Times New Roman" w:hAnsi="Times New Roman" w:cs="Times New Roman" w:eastAsia="Times New Roman" w:hint="default"/>
          <w:w w:val="100"/>
        </w:rPr>
        <w:t>2018</w:t>
      </w:r>
      <w:r>
        <w:rPr>
          <w:rFonts w:ascii="Times New Roman" w:hAnsi="Times New Roman" w:cs="Times New Roman" w:eastAsia="Times New Roman" w:hint="default"/>
          <w:spacing w:val="-2"/>
        </w:rPr>
        <w:t> </w:t>
      </w:r>
      <w:r>
        <w:rPr>
          <w:w w:val="100"/>
        </w:rPr>
        <w:t>年</w:t>
      </w:r>
      <w:r>
        <w:rPr>
          <w:spacing w:val="-53"/>
        </w:rPr>
        <w:t> </w:t>
      </w:r>
      <w:r>
        <w:rPr>
          <w:rFonts w:ascii="Times New Roman" w:hAnsi="Times New Roman" w:cs="Times New Roman" w:eastAsia="Times New Roman" w:hint="default"/>
          <w:w w:val="100"/>
        </w:rPr>
        <w:t>4</w:t>
      </w:r>
      <w:r>
        <w:rPr>
          <w:rFonts w:ascii="Times New Roman" w:hAnsi="Times New Roman" w:cs="Times New Roman" w:eastAsia="Times New Roman" w:hint="default"/>
          <w:spacing w:val="-3"/>
        </w:rPr>
        <w:t> </w:t>
      </w:r>
      <w:r>
        <w:rPr>
          <w:w w:val="100"/>
        </w:rPr>
        <w:t>月</w:t>
      </w:r>
      <w:r>
        <w:rPr>
          <w:spacing w:val="-53"/>
        </w:rPr>
        <w:t> </w:t>
      </w:r>
      <w:r>
        <w:rPr>
          <w:rFonts w:ascii="Times New Roman" w:hAnsi="Times New Roman" w:cs="Times New Roman" w:eastAsia="Times New Roman" w:hint="default"/>
          <w:w w:val="100"/>
        </w:rPr>
        <w:t>9</w:t>
      </w:r>
      <w:r>
        <w:rPr>
          <w:rFonts w:ascii="Times New Roman" w:hAnsi="Times New Roman" w:cs="Times New Roman" w:eastAsia="Times New Roman" w:hint="default"/>
          <w:spacing w:val="-3"/>
        </w:rPr>
        <w:t> </w:t>
      </w:r>
      <w:r>
        <w:rPr>
          <w:w w:val="100"/>
        </w:rPr>
        <w:t>日</w:t>
      </w:r>
      <w:r>
        <w:rPr>
          <w:spacing w:val="-10"/>
          <w:w w:val="100"/>
        </w:rPr>
        <w:t>，</w:t>
      </w:r>
      <w:r>
        <w:rPr>
          <w:w w:val="100"/>
        </w:rPr>
        <w:t>公</w:t>
      </w:r>
      <w:r>
        <w:rPr>
          <w:spacing w:val="-3"/>
          <w:w w:val="100"/>
        </w:rPr>
        <w:t>司召</w:t>
      </w:r>
      <w:r>
        <w:rPr>
          <w:w w:val="100"/>
        </w:rPr>
        <w:t>开第</w:t>
      </w:r>
      <w:r>
        <w:rPr>
          <w:spacing w:val="-3"/>
          <w:w w:val="100"/>
        </w:rPr>
        <w:t>三</w:t>
      </w:r>
      <w:r>
        <w:rPr>
          <w:w w:val="100"/>
        </w:rPr>
        <w:t>届</w:t>
      </w:r>
      <w:r>
        <w:rPr>
          <w:spacing w:val="-3"/>
          <w:w w:val="100"/>
        </w:rPr>
        <w:t>董</w:t>
      </w:r>
      <w:r>
        <w:rPr>
          <w:w w:val="100"/>
        </w:rPr>
        <w:t>事</w:t>
      </w:r>
      <w:r>
        <w:rPr>
          <w:spacing w:val="-3"/>
          <w:w w:val="100"/>
        </w:rPr>
        <w:t>会</w:t>
      </w:r>
      <w:r>
        <w:rPr>
          <w:w w:val="100"/>
        </w:rPr>
        <w:t>第</w:t>
      </w:r>
      <w:r>
        <w:rPr>
          <w:spacing w:val="-3"/>
          <w:w w:val="100"/>
        </w:rPr>
        <w:t>二</w:t>
      </w:r>
      <w:r>
        <w:rPr>
          <w:w w:val="100"/>
        </w:rPr>
        <w:t>十</w:t>
      </w:r>
      <w:r>
        <w:rPr>
          <w:spacing w:val="-3"/>
          <w:w w:val="100"/>
        </w:rPr>
        <w:t>七</w:t>
      </w:r>
      <w:r>
        <w:rPr>
          <w:w w:val="100"/>
        </w:rPr>
        <w:t>次会</w:t>
      </w:r>
      <w:r>
        <w:rPr>
          <w:spacing w:val="-3"/>
          <w:w w:val="100"/>
        </w:rPr>
        <w:t>议</w:t>
      </w:r>
      <w:r>
        <w:rPr>
          <w:w w:val="100"/>
        </w:rPr>
        <w:t>审</w:t>
      </w:r>
      <w:r>
        <w:rPr>
          <w:spacing w:val="-3"/>
          <w:w w:val="100"/>
        </w:rPr>
        <w:t>议</w:t>
      </w:r>
      <w:r>
        <w:rPr>
          <w:w w:val="100"/>
        </w:rPr>
        <w:t>通</w:t>
      </w:r>
      <w:r>
        <w:rPr>
          <w:spacing w:val="-3"/>
          <w:w w:val="100"/>
        </w:rPr>
        <w:t>过</w:t>
      </w:r>
      <w:r>
        <w:rPr>
          <w:spacing w:val="-8"/>
          <w:w w:val="100"/>
        </w:rPr>
        <w:t>了</w:t>
      </w:r>
      <w:r>
        <w:rPr>
          <w:spacing w:val="-3"/>
          <w:w w:val="100"/>
        </w:rPr>
        <w:t>《</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7</w:t>
      </w:r>
      <w:r>
        <w:rPr>
          <w:rFonts w:ascii="Times New Roman" w:hAnsi="Times New Roman" w:cs="Times New Roman" w:eastAsia="Times New Roman" w:hint="default"/>
          <w:spacing w:val="-3"/>
        </w:rPr>
        <w:t> </w:t>
      </w:r>
      <w:r>
        <w:rPr>
          <w:w w:val="100"/>
        </w:rPr>
        <w:t>年度</w:t>
      </w:r>
      <w:r>
        <w:rPr>
          <w:spacing w:val="-3"/>
          <w:w w:val="100"/>
        </w:rPr>
        <w:t>公</w:t>
      </w:r>
      <w:r>
        <w:rPr>
          <w:w w:val="100"/>
        </w:rPr>
        <w:t>司</w:t>
      </w:r>
      <w:r>
        <w:rPr>
          <w:spacing w:val="-3"/>
          <w:w w:val="100"/>
        </w:rPr>
        <w:t>利</w:t>
      </w:r>
      <w:r>
        <w:rPr>
          <w:w w:val="100"/>
        </w:rPr>
        <w:t>润</w:t>
      </w:r>
      <w:r>
        <w:rPr>
          <w:spacing w:val="-3"/>
          <w:w w:val="100"/>
        </w:rPr>
        <w:t>分</w:t>
      </w:r>
      <w:r>
        <w:rPr>
          <w:w w:val="100"/>
        </w:rPr>
        <w:t>配</w:t>
      </w:r>
      <w:r>
        <w:rPr>
          <w:spacing w:val="-3"/>
          <w:w w:val="100"/>
        </w:rPr>
        <w:t>预</w:t>
      </w:r>
      <w:r>
        <w:rPr>
          <w:w w:val="100"/>
        </w:rPr>
        <w:t>案</w:t>
      </w:r>
      <w:r>
        <w:rPr>
          <w:spacing w:val="-108"/>
          <w:w w:val="100"/>
        </w:rPr>
        <w:t>》</w:t>
      </w:r>
      <w:r>
        <w:rPr>
          <w:spacing w:val="-10"/>
          <w:w w:val="100"/>
        </w:rPr>
        <w:t>，</w:t>
      </w:r>
      <w:r>
        <w:rPr>
          <w:w w:val="100"/>
        </w:rPr>
        <w:t>拟</w:t>
      </w:r>
    </w:p>
    <w:p>
      <w:pPr>
        <w:pStyle w:val="BodyText"/>
        <w:spacing w:line="240" w:lineRule="auto" w:before="119"/>
        <w:ind w:right="0"/>
        <w:jc w:val="left"/>
      </w:pPr>
      <w:r>
        <w:rPr/>
        <w:t>以公司</w:t>
      </w:r>
      <w:r>
        <w:rPr>
          <w:spacing w:val="-47"/>
        </w:rPr>
        <w:t> </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w:t>
      </w:r>
      <w:r>
        <w:rPr>
          <w:spacing w:val="-48"/>
        </w:rPr>
        <w:t> </w:t>
      </w:r>
      <w:r>
        <w:rPr>
          <w:rFonts w:ascii="Times New Roman" w:hAnsi="Times New Roman" w:cs="Times New Roman" w:eastAsia="Times New Roman" w:hint="default"/>
        </w:rPr>
        <w:t>4</w:t>
      </w:r>
      <w:r>
        <w:rPr>
          <w:rFonts w:ascii="Times New Roman" w:hAnsi="Times New Roman" w:cs="Times New Roman" w:eastAsia="Times New Roman" w:hint="default"/>
          <w:spacing w:val="5"/>
        </w:rPr>
        <w:t> </w:t>
      </w:r>
      <w:r>
        <w:rPr/>
        <w:t>月</w:t>
      </w:r>
      <w:r>
        <w:rPr>
          <w:spacing w:val="-48"/>
        </w:rPr>
        <w:t> </w:t>
      </w:r>
      <w:r>
        <w:rPr>
          <w:rFonts w:ascii="Times New Roman" w:hAnsi="Times New Roman" w:cs="Times New Roman" w:eastAsia="Times New Roman" w:hint="default"/>
        </w:rPr>
        <w:t>9</w:t>
      </w:r>
      <w:r>
        <w:rPr>
          <w:rFonts w:ascii="Times New Roman" w:hAnsi="Times New Roman" w:cs="Times New Roman" w:eastAsia="Times New Roman" w:hint="default"/>
          <w:spacing w:val="5"/>
        </w:rPr>
        <w:t> </w:t>
      </w:r>
      <w:r>
        <w:rPr/>
        <w:t>日总股本</w:t>
      </w:r>
      <w:r>
        <w:rPr>
          <w:spacing w:val="-47"/>
        </w:rPr>
        <w:t> </w:t>
      </w:r>
      <w:r>
        <w:rPr>
          <w:rFonts w:ascii="Times New Roman" w:hAnsi="Times New Roman" w:cs="Times New Roman" w:eastAsia="Times New Roman" w:hint="default"/>
        </w:rPr>
        <w:t>316,472,493</w:t>
      </w:r>
      <w:r>
        <w:rPr>
          <w:rFonts w:ascii="Times New Roman" w:hAnsi="Times New Roman" w:cs="Times New Roman" w:eastAsia="Times New Roman" w:hint="default"/>
          <w:spacing w:val="4"/>
        </w:rPr>
        <w:t> </w:t>
      </w:r>
      <w:r>
        <w:rPr/>
        <w:t>股扣除经</w:t>
      </w:r>
      <w:r>
        <w:rPr>
          <w:spacing w:val="-48"/>
        </w:rPr>
        <w:t> </w:t>
      </w:r>
      <w:r>
        <w:rPr>
          <w:rFonts w:ascii="Times New Roman" w:hAnsi="Times New Roman" w:cs="Times New Roman" w:eastAsia="Times New Roman" w:hint="default"/>
        </w:rPr>
        <w:t>2018</w:t>
      </w:r>
      <w:r>
        <w:rPr>
          <w:rFonts w:ascii="Times New Roman" w:hAnsi="Times New Roman" w:cs="Times New Roman" w:eastAsia="Times New Roman" w:hint="default"/>
          <w:spacing w:val="5"/>
        </w:rPr>
        <w:t> </w:t>
      </w:r>
      <w:r>
        <w:rPr/>
        <w:t>年</w:t>
      </w:r>
      <w:r>
        <w:rPr>
          <w:spacing w:val="-48"/>
        </w:rPr>
        <w:t> </w:t>
      </w:r>
      <w:r>
        <w:rPr>
          <w:rFonts w:ascii="Times New Roman" w:hAnsi="Times New Roman" w:cs="Times New Roman" w:eastAsia="Times New Roman" w:hint="default"/>
        </w:rPr>
        <w:t>4</w:t>
      </w:r>
      <w:r>
        <w:rPr>
          <w:rFonts w:ascii="Times New Roman" w:hAnsi="Times New Roman" w:cs="Times New Roman" w:eastAsia="Times New Roman" w:hint="default"/>
          <w:spacing w:val="5"/>
        </w:rPr>
        <w:t> </w:t>
      </w:r>
      <w:r>
        <w:rPr/>
        <w:t>月</w:t>
      </w:r>
      <w:r>
        <w:rPr>
          <w:spacing w:val="-48"/>
        </w:rPr>
        <w:t> </w:t>
      </w:r>
      <w:r>
        <w:rPr>
          <w:rFonts w:ascii="Times New Roman" w:hAnsi="Times New Roman" w:cs="Times New Roman" w:eastAsia="Times New Roman" w:hint="default"/>
        </w:rPr>
        <w:t>9</w:t>
      </w:r>
      <w:r>
        <w:rPr>
          <w:rFonts w:ascii="Times New Roman" w:hAnsi="Times New Roman" w:cs="Times New Roman" w:eastAsia="Times New Roman" w:hint="default"/>
          <w:spacing w:val="5"/>
        </w:rPr>
        <w:t> </w:t>
      </w:r>
      <w:r>
        <w:rPr/>
        <w:t>日召开的第三届董事会第二十七次董</w:t>
      </w:r>
    </w:p>
    <w:p>
      <w:pPr>
        <w:pStyle w:val="BodyText"/>
        <w:spacing w:line="240" w:lineRule="auto" w:before="117"/>
        <w:ind w:right="0"/>
        <w:jc w:val="left"/>
      </w:pPr>
      <w:r>
        <w:rPr/>
        <w:t>事会审议通过的拟回购注销的限制性股票</w:t>
      </w:r>
      <w:r>
        <w:rPr>
          <w:spacing w:val="-39"/>
        </w:rPr>
        <w:t> </w:t>
      </w:r>
      <w:r>
        <w:rPr>
          <w:rFonts w:ascii="Times New Roman" w:hAnsi="Times New Roman" w:cs="Times New Roman" w:eastAsia="Times New Roman" w:hint="default"/>
        </w:rPr>
        <w:t>3,015,000</w:t>
      </w:r>
      <w:r>
        <w:rPr>
          <w:rFonts w:ascii="Times New Roman" w:hAnsi="Times New Roman" w:cs="Times New Roman" w:eastAsia="Times New Roman" w:hint="default"/>
          <w:spacing w:val="11"/>
        </w:rPr>
        <w:t> </w:t>
      </w:r>
      <w:r>
        <w:rPr/>
        <w:t>股的股本</w:t>
      </w:r>
      <w:r>
        <w:rPr>
          <w:spacing w:val="-41"/>
        </w:rPr>
        <w:t> </w:t>
      </w:r>
      <w:r>
        <w:rPr>
          <w:rFonts w:ascii="Times New Roman" w:hAnsi="Times New Roman" w:cs="Times New Roman" w:eastAsia="Times New Roman" w:hint="default"/>
        </w:rPr>
        <w:t>313,457,493</w:t>
      </w:r>
      <w:r>
        <w:rPr>
          <w:rFonts w:ascii="Times New Roman" w:hAnsi="Times New Roman" w:cs="Times New Roman" w:eastAsia="Times New Roman" w:hint="default"/>
          <w:spacing w:val="11"/>
        </w:rPr>
        <w:t> </w:t>
      </w:r>
      <w:r>
        <w:rPr/>
        <w:t>股为基数，向全体股东每</w:t>
      </w:r>
      <w:r>
        <w:rPr>
          <w:spacing w:val="-39"/>
        </w:rPr>
        <w:t> </w:t>
      </w:r>
      <w:r>
        <w:rPr>
          <w:rFonts w:ascii="Times New Roman" w:hAnsi="Times New Roman" w:cs="Times New Roman" w:eastAsia="Times New Roman" w:hint="default"/>
        </w:rPr>
        <w:t>10</w:t>
      </w:r>
      <w:r>
        <w:rPr>
          <w:rFonts w:ascii="Times New Roman" w:hAnsi="Times New Roman" w:cs="Times New Roman" w:eastAsia="Times New Roman" w:hint="default"/>
          <w:spacing w:val="13"/>
        </w:rPr>
        <w:t> </w:t>
      </w:r>
      <w:r>
        <w:rPr/>
        <w:t>股</w:t>
      </w:r>
    </w:p>
    <w:p>
      <w:pPr>
        <w:spacing w:before="110"/>
        <w:ind w:left="152" w:right="0" w:firstLine="0"/>
        <w:jc w:val="left"/>
        <w:rPr>
          <w:rFonts w:ascii="宋体" w:hAnsi="宋体" w:cs="宋体" w:eastAsia="宋体" w:hint="default"/>
          <w:sz w:val="21"/>
          <w:szCs w:val="21"/>
        </w:rPr>
      </w:pPr>
      <w:r>
        <w:rPr>
          <w:rFonts w:ascii="宋体" w:hAnsi="宋体" w:cs="宋体" w:eastAsia="宋体" w:hint="default"/>
          <w:w w:val="100"/>
          <w:sz w:val="21"/>
          <w:szCs w:val="21"/>
        </w:rPr>
        <w:t>派发</w:t>
      </w:r>
      <w:r>
        <w:rPr>
          <w:rFonts w:ascii="宋体" w:hAnsi="宋体" w:cs="宋体" w:eastAsia="宋体" w:hint="default"/>
          <w:spacing w:val="-3"/>
          <w:w w:val="100"/>
          <w:sz w:val="21"/>
          <w:szCs w:val="21"/>
        </w:rPr>
        <w:t>现</w:t>
      </w:r>
      <w:r>
        <w:rPr>
          <w:rFonts w:ascii="宋体" w:hAnsi="宋体" w:cs="宋体" w:eastAsia="宋体" w:hint="default"/>
          <w:w w:val="100"/>
          <w:sz w:val="21"/>
          <w:szCs w:val="21"/>
        </w:rPr>
        <w:t>金</w:t>
      </w:r>
      <w:r>
        <w:rPr>
          <w:rFonts w:ascii="宋体" w:hAnsi="宋体" w:cs="宋体" w:eastAsia="宋体" w:hint="default"/>
          <w:spacing w:val="-3"/>
          <w:w w:val="100"/>
          <w:sz w:val="21"/>
          <w:szCs w:val="21"/>
        </w:rPr>
        <w:t>股</w:t>
      </w:r>
      <w:r>
        <w:rPr>
          <w:rFonts w:ascii="宋体" w:hAnsi="宋体" w:cs="宋体" w:eastAsia="宋体" w:hint="default"/>
          <w:w w:val="100"/>
          <w:sz w:val="21"/>
          <w:szCs w:val="21"/>
        </w:rPr>
        <w:t>利</w:t>
      </w:r>
      <w:r>
        <w:rPr>
          <w:rFonts w:ascii="宋体" w:hAnsi="宋体" w:cs="宋体" w:eastAsia="宋体" w:hint="default"/>
          <w:spacing w:val="-3"/>
          <w:w w:val="100"/>
          <w:sz w:val="21"/>
          <w:szCs w:val="21"/>
        </w:rPr>
        <w:t>人民</w:t>
      </w:r>
      <w:r>
        <w:rPr>
          <w:rFonts w:ascii="宋体" w:hAnsi="宋体" w:cs="宋体" w:eastAsia="宋体" w:hint="default"/>
          <w:w w:val="100"/>
          <w:sz w:val="21"/>
          <w:szCs w:val="21"/>
        </w:rPr>
        <w:t>币</w:t>
      </w:r>
      <w:r>
        <w:rPr>
          <w:rFonts w:ascii="宋体" w:hAnsi="宋体" w:cs="宋体" w:eastAsia="宋体" w:hint="default"/>
          <w:spacing w:val="-43"/>
          <w:sz w:val="21"/>
          <w:szCs w:val="21"/>
        </w:rPr>
        <w:t> </w:t>
      </w:r>
      <w:r>
        <w:rPr>
          <w:rFonts w:ascii="Times New Roman" w:hAnsi="Times New Roman" w:cs="Times New Roman" w:eastAsia="Times New Roman" w:hint="default"/>
          <w:w w:val="100"/>
          <w:sz w:val="21"/>
          <w:szCs w:val="21"/>
        </w:rPr>
        <w:t>0.</w:t>
      </w:r>
      <w:r>
        <w:rPr>
          <w:rFonts w:ascii="Times New Roman" w:hAnsi="Times New Roman" w:cs="Times New Roman" w:eastAsia="Times New Roman" w:hint="default"/>
          <w:spacing w:val="-3"/>
          <w:w w:val="100"/>
          <w:sz w:val="21"/>
          <w:szCs w:val="21"/>
        </w:rPr>
        <w:t>7</w:t>
      </w:r>
      <w:r>
        <w:rPr>
          <w:rFonts w:ascii="Times New Roman" w:hAnsi="Times New Roman" w:cs="Times New Roman" w:eastAsia="Times New Roman" w:hint="default"/>
          <w:w w:val="100"/>
          <w:sz w:val="21"/>
          <w:szCs w:val="21"/>
        </w:rPr>
        <w:t>0</w:t>
      </w:r>
      <w:r>
        <w:rPr>
          <w:rFonts w:ascii="Times New Roman" w:hAnsi="Times New Roman" w:cs="Times New Roman" w:eastAsia="Times New Roman" w:hint="default"/>
          <w:spacing w:val="7"/>
          <w:sz w:val="21"/>
          <w:szCs w:val="21"/>
        </w:rPr>
        <w:t> </w:t>
      </w:r>
      <w:r>
        <w:rPr>
          <w:rFonts w:ascii="宋体" w:hAnsi="宋体" w:cs="宋体" w:eastAsia="宋体" w:hint="default"/>
          <w:w w:val="100"/>
          <w:sz w:val="21"/>
          <w:szCs w:val="21"/>
        </w:rPr>
        <w:t>元（</w:t>
      </w:r>
      <w:r>
        <w:rPr>
          <w:rFonts w:ascii="宋体" w:hAnsi="宋体" w:cs="宋体" w:eastAsia="宋体" w:hint="default"/>
          <w:spacing w:val="-3"/>
          <w:w w:val="100"/>
          <w:sz w:val="21"/>
          <w:szCs w:val="21"/>
        </w:rPr>
        <w:t>含</w:t>
      </w:r>
      <w:r>
        <w:rPr>
          <w:rFonts w:ascii="宋体" w:hAnsi="宋体" w:cs="宋体" w:eastAsia="宋体" w:hint="default"/>
          <w:w w:val="100"/>
          <w:sz w:val="21"/>
          <w:szCs w:val="21"/>
        </w:rPr>
        <w:t>税</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合</w:t>
      </w:r>
      <w:r>
        <w:rPr>
          <w:rFonts w:ascii="宋体" w:hAnsi="宋体" w:cs="宋体" w:eastAsia="宋体" w:hint="default"/>
          <w:w w:val="100"/>
          <w:sz w:val="21"/>
          <w:szCs w:val="21"/>
        </w:rPr>
        <w:t>计</w:t>
      </w:r>
      <w:r>
        <w:rPr>
          <w:rFonts w:ascii="宋体" w:hAnsi="宋体" w:cs="宋体" w:eastAsia="宋体" w:hint="default"/>
          <w:spacing w:val="-3"/>
          <w:w w:val="100"/>
          <w:sz w:val="21"/>
          <w:szCs w:val="21"/>
        </w:rPr>
        <w:t>派</w:t>
      </w:r>
      <w:r>
        <w:rPr>
          <w:rFonts w:ascii="宋体" w:hAnsi="宋体" w:cs="宋体" w:eastAsia="宋体" w:hint="default"/>
          <w:w w:val="100"/>
          <w:sz w:val="21"/>
          <w:szCs w:val="21"/>
        </w:rPr>
        <w:t>发</w:t>
      </w:r>
      <w:r>
        <w:rPr>
          <w:rFonts w:ascii="宋体" w:hAnsi="宋体" w:cs="宋体" w:eastAsia="宋体" w:hint="default"/>
          <w:spacing w:val="-3"/>
          <w:w w:val="100"/>
          <w:sz w:val="21"/>
          <w:szCs w:val="21"/>
        </w:rPr>
        <w:t>现</w:t>
      </w:r>
      <w:r>
        <w:rPr>
          <w:rFonts w:ascii="宋体" w:hAnsi="宋体" w:cs="宋体" w:eastAsia="宋体" w:hint="default"/>
          <w:w w:val="100"/>
          <w:sz w:val="21"/>
          <w:szCs w:val="21"/>
        </w:rPr>
        <w:t>金</w:t>
      </w:r>
      <w:r>
        <w:rPr>
          <w:rFonts w:ascii="宋体" w:hAnsi="宋体" w:cs="宋体" w:eastAsia="宋体" w:hint="default"/>
          <w:spacing w:val="-43"/>
          <w:sz w:val="21"/>
          <w:szCs w:val="21"/>
        </w:rPr>
        <w:t> </w:t>
      </w:r>
      <w:r>
        <w:rPr>
          <w:rFonts w:ascii="宋体" w:hAnsi="宋体" w:cs="宋体" w:eastAsia="宋体" w:hint="default"/>
          <w:w w:val="100"/>
          <w:sz w:val="23"/>
          <w:szCs w:val="23"/>
        </w:rPr>
        <w:t>21,942,024</w:t>
      </w:r>
      <w:r>
        <w:rPr>
          <w:rFonts w:ascii="宋体" w:hAnsi="宋体" w:cs="宋体" w:eastAsia="宋体" w:hint="default"/>
          <w:spacing w:val="-3"/>
          <w:w w:val="100"/>
          <w:sz w:val="23"/>
          <w:szCs w:val="23"/>
        </w:rPr>
        <w:t>.</w:t>
      </w:r>
      <w:r>
        <w:rPr>
          <w:rFonts w:ascii="宋体" w:hAnsi="宋体" w:cs="宋体" w:eastAsia="宋体" w:hint="default"/>
          <w:w w:val="100"/>
          <w:sz w:val="23"/>
          <w:szCs w:val="23"/>
        </w:rPr>
        <w:t>51</w:t>
      </w:r>
      <w:r>
        <w:rPr>
          <w:rFonts w:ascii="宋体" w:hAnsi="宋体" w:cs="宋体" w:eastAsia="宋体" w:hint="default"/>
          <w:spacing w:val="-43"/>
          <w:sz w:val="23"/>
          <w:szCs w:val="23"/>
        </w:rPr>
        <w:t> </w:t>
      </w:r>
      <w:r>
        <w:rPr>
          <w:rFonts w:ascii="宋体" w:hAnsi="宋体" w:cs="宋体" w:eastAsia="宋体" w:hint="default"/>
          <w:spacing w:val="-3"/>
          <w:w w:val="100"/>
          <w:sz w:val="21"/>
          <w:szCs w:val="21"/>
        </w:rPr>
        <w:t>元</w:t>
      </w:r>
      <w:r>
        <w:rPr>
          <w:rFonts w:ascii="宋体" w:hAnsi="宋体" w:cs="宋体" w:eastAsia="宋体" w:hint="default"/>
          <w:w w:val="100"/>
          <w:sz w:val="21"/>
          <w:szCs w:val="21"/>
        </w:rPr>
        <w:t>；</w:t>
      </w:r>
      <w:r>
        <w:rPr>
          <w:rFonts w:ascii="Times New Roman" w:hAnsi="Times New Roman" w:cs="Times New Roman" w:eastAsia="Times New Roman" w:hint="default"/>
          <w:spacing w:val="-3"/>
          <w:w w:val="100"/>
          <w:sz w:val="21"/>
          <w:szCs w:val="21"/>
        </w:rPr>
        <w:t>2</w:t>
      </w:r>
      <w:r>
        <w:rPr>
          <w:rFonts w:ascii="Times New Roman" w:hAnsi="Times New Roman" w:cs="Times New Roman" w:eastAsia="Times New Roman" w:hint="default"/>
          <w:w w:val="100"/>
          <w:sz w:val="21"/>
          <w:szCs w:val="21"/>
        </w:rPr>
        <w:t>017</w:t>
      </w:r>
      <w:r>
        <w:rPr>
          <w:rFonts w:ascii="Times New Roman" w:hAnsi="Times New Roman" w:cs="Times New Roman" w:eastAsia="Times New Roman" w:hint="default"/>
          <w:spacing w:val="9"/>
          <w:sz w:val="21"/>
          <w:szCs w:val="21"/>
        </w:rPr>
        <w:t> </w:t>
      </w:r>
      <w:r>
        <w:rPr>
          <w:rFonts w:ascii="宋体" w:hAnsi="宋体" w:cs="宋体" w:eastAsia="宋体" w:hint="default"/>
          <w:spacing w:val="-3"/>
          <w:w w:val="100"/>
          <w:sz w:val="21"/>
          <w:szCs w:val="21"/>
        </w:rPr>
        <w:t>年</w:t>
      </w:r>
      <w:r>
        <w:rPr>
          <w:rFonts w:ascii="宋体" w:hAnsi="宋体" w:cs="宋体" w:eastAsia="宋体" w:hint="default"/>
          <w:w w:val="100"/>
          <w:sz w:val="21"/>
          <w:szCs w:val="21"/>
        </w:rPr>
        <w:t>度</w:t>
      </w:r>
      <w:r>
        <w:rPr>
          <w:rFonts w:ascii="宋体" w:hAnsi="宋体" w:cs="宋体" w:eastAsia="宋体" w:hint="default"/>
          <w:spacing w:val="-3"/>
          <w:w w:val="100"/>
          <w:sz w:val="21"/>
          <w:szCs w:val="21"/>
        </w:rPr>
        <w:t>，</w:t>
      </w:r>
      <w:r>
        <w:rPr>
          <w:rFonts w:ascii="宋体" w:hAnsi="宋体" w:cs="宋体" w:eastAsia="宋体" w:hint="default"/>
          <w:w w:val="100"/>
          <w:sz w:val="21"/>
          <w:szCs w:val="21"/>
        </w:rPr>
        <w:t>不</w:t>
      </w:r>
      <w:r>
        <w:rPr>
          <w:rFonts w:ascii="宋体" w:hAnsi="宋体" w:cs="宋体" w:eastAsia="宋体" w:hint="default"/>
          <w:spacing w:val="-3"/>
          <w:w w:val="100"/>
          <w:sz w:val="21"/>
          <w:szCs w:val="21"/>
        </w:rPr>
        <w:t>转</w:t>
      </w:r>
      <w:r>
        <w:rPr>
          <w:rFonts w:ascii="宋体" w:hAnsi="宋体" w:cs="宋体" w:eastAsia="宋体" w:hint="default"/>
          <w:w w:val="100"/>
          <w:sz w:val="21"/>
          <w:szCs w:val="21"/>
        </w:rPr>
        <w:t>增</w:t>
      </w:r>
      <w:r>
        <w:rPr>
          <w:rFonts w:ascii="宋体" w:hAnsi="宋体" w:cs="宋体" w:eastAsia="宋体" w:hint="default"/>
          <w:spacing w:val="-3"/>
          <w:w w:val="100"/>
          <w:sz w:val="21"/>
          <w:szCs w:val="21"/>
        </w:rPr>
        <w:t>不</w:t>
      </w:r>
      <w:r>
        <w:rPr>
          <w:rFonts w:ascii="宋体" w:hAnsi="宋体" w:cs="宋体" w:eastAsia="宋体" w:hint="default"/>
          <w:w w:val="100"/>
          <w:sz w:val="21"/>
          <w:szCs w:val="21"/>
        </w:rPr>
        <w:t>送</w:t>
      </w:r>
      <w:r>
        <w:rPr>
          <w:rFonts w:ascii="宋体" w:hAnsi="宋体" w:cs="宋体" w:eastAsia="宋体" w:hint="default"/>
          <w:spacing w:val="-3"/>
          <w:w w:val="100"/>
          <w:sz w:val="21"/>
          <w:szCs w:val="21"/>
        </w:rPr>
        <w:t>股</w:t>
      </w:r>
      <w:r>
        <w:rPr>
          <w:rFonts w:ascii="宋体" w:hAnsi="宋体" w:cs="宋体" w:eastAsia="宋体" w:hint="default"/>
          <w:w w:val="100"/>
          <w:sz w:val="21"/>
          <w:szCs w:val="21"/>
        </w:rPr>
        <w:t>。该</w:t>
      </w:r>
    </w:p>
    <w:p>
      <w:pPr>
        <w:pStyle w:val="BodyText"/>
        <w:spacing w:line="240" w:lineRule="auto" w:before="139"/>
        <w:ind w:right="0"/>
        <w:jc w:val="left"/>
      </w:pPr>
      <w:r>
        <w:rPr/>
        <w:t>议案尚需提交</w:t>
      </w:r>
      <w:r>
        <w:rPr>
          <w:spacing w:val="-53"/>
        </w:rPr>
        <w:t> </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年度股东大会审议。剩余未分配利润结转至下年度。</w:t>
      </w:r>
    </w:p>
    <w:p>
      <w:pPr>
        <w:spacing w:before="162"/>
        <w:ind w:left="152"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、销售退回</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4"/>
          <w:szCs w:val="14"/>
        </w:rPr>
      </w:pPr>
    </w:p>
    <w:p>
      <w:pPr>
        <w:spacing w:line="487" w:lineRule="auto" w:before="0"/>
        <w:ind w:left="152" w:right="6732" w:firstLine="0"/>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4</w:t>
      </w:r>
      <w:r>
        <w:rPr>
          <w:rFonts w:ascii="宋体" w:hAnsi="宋体" w:cs="宋体" w:eastAsia="宋体" w:hint="default"/>
          <w:b/>
          <w:bCs/>
          <w:spacing w:val="-1"/>
          <w:sz w:val="21"/>
          <w:szCs w:val="21"/>
        </w:rPr>
        <w:t>、其他资产负债表日后事项说明</w:t>
      </w:r>
      <w:r>
        <w:rPr>
          <w:rFonts w:ascii="宋体" w:hAnsi="宋体" w:cs="宋体" w:eastAsia="宋体" w:hint="default"/>
          <w:b/>
          <w:bCs/>
          <w:spacing w:val="-91"/>
          <w:sz w:val="21"/>
          <w:szCs w:val="21"/>
        </w:rPr>
        <w:t> </w:t>
      </w:r>
      <w:r>
        <w:rPr>
          <w:rFonts w:ascii="宋体" w:hAnsi="宋体" w:cs="宋体" w:eastAsia="宋体" w:hint="default"/>
          <w:b/>
          <w:bCs/>
          <w:spacing w:val="-91"/>
          <w:sz w:val="21"/>
          <w:szCs w:val="21"/>
        </w:rPr>
      </w:r>
      <w:r>
        <w:rPr>
          <w:rFonts w:ascii="宋体" w:hAnsi="宋体" w:cs="宋体" w:eastAsia="宋体" w:hint="default"/>
          <w:b/>
          <w:bCs/>
          <w:sz w:val="24"/>
          <w:szCs w:val="24"/>
        </w:rPr>
        <w:t>十六、其他重要事项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、前期会计差错更正</w:t>
      </w:r>
      <w:r>
        <w:rPr>
          <w:rFonts w:ascii="宋体" w:hAnsi="宋体" w:cs="宋体" w:eastAsia="宋体" w:hint="default"/>
          <w:sz w:val="21"/>
          <w:szCs w:val="21"/>
        </w:rPr>
      </w:r>
    </w:p>
    <w:p>
      <w:pPr>
        <w:pStyle w:val="Heading3"/>
        <w:spacing w:line="240" w:lineRule="auto" w:before="81"/>
        <w:ind w:right="0"/>
        <w:jc w:val="left"/>
        <w:rPr>
          <w:b w:val="0"/>
          <w:bCs w:val="0"/>
        </w:rPr>
      </w:pPr>
      <w:r>
        <w:rPr/>
        <w:t>（</w:t>
      </w:r>
      <w:r>
        <w:rPr>
          <w:rFonts w:ascii="Times New Roman" w:hAnsi="Times New Roman" w:cs="Times New Roman" w:eastAsia="Times New Roman" w:hint="default"/>
        </w:rPr>
        <w:t>1</w:t>
      </w:r>
      <w:r>
        <w:rPr/>
        <w:t>）追溯重述法</w:t>
      </w:r>
      <w:r>
        <w:rPr>
          <w:b w:val="0"/>
          <w:bCs w:val="0"/>
        </w:rPr>
      </w:r>
    </w:p>
    <w:p>
      <w:pPr>
        <w:spacing w:line="240" w:lineRule="auto" w:before="5"/>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91"/>
      </w:tblGrid>
      <w:tr>
        <w:trPr>
          <w:trHeight w:val="714"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30" w:right="108" w:hanging="721"/>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4"/>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）未来适用法</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324"/>
        <w:gridCol w:w="3060"/>
        <w:gridCol w:w="3174"/>
      </w:tblGrid>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6"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、债务重组</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3</w:t>
      </w:r>
      <w:r>
        <w:rPr/>
        <w:t>、资产置换</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）非货币性资产交换</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）其他资产置换</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4</w:t>
      </w:r>
      <w:r>
        <w:rPr/>
        <w:t>、年金计划</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5</w:t>
      </w:r>
      <w:r>
        <w:rPr/>
        <w:t>、终止经营</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费用</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19"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7"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40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47" w:right="48"/>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6</w:t>
      </w:r>
      <w:r>
        <w:rPr/>
        <w:t>、分部信息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）报告分部的财务信息</w:t>
      </w:r>
      <w:r>
        <w:rPr>
          <w:b w:val="0"/>
          <w:bCs w:val="0"/>
        </w:rPr>
      </w:r>
    </w:p>
    <w:p>
      <w:pPr>
        <w:spacing w:line="240" w:lineRule="auto" w:before="13"/>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04"/>
        <w:gridCol w:w="2380"/>
        <w:gridCol w:w="2392"/>
        <w:gridCol w:w="2381"/>
      </w:tblGrid>
      <w:tr>
        <w:trPr>
          <w:trHeight w:val="403" w:hRule="exact"/>
        </w:trPr>
        <w:tc>
          <w:tcPr>
            <w:tcW w:w="2404" w:type="dxa"/>
            <w:tcBorders>
              <w:top w:val="single" w:sz="4" w:space="0" w:color="000000"/>
              <w:left w:val="single" w:sz="4" w:space="0" w:color="000000"/>
              <w:bottom w:val="single" w:sz="4" w:space="0" w:color="000000"/>
              <w:right w:val="single" w:sz="10" w:space="0" w:color="E0FFFF"/>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2380" w:type="dxa"/>
            <w:tcBorders>
              <w:top w:val="single" w:sz="4" w:space="0" w:color="000000"/>
              <w:left w:val="single" w:sz="4" w:space="0" w:color="000000"/>
              <w:bottom w:val="single" w:sz="4" w:space="0" w:color="000000"/>
              <w:right w:val="single" w:sz="13" w:space="0" w:color="D2D2D2"/>
            </w:tcBorders>
            <w:shd w:val="clear" w:color="auto" w:fill="E0FFFF"/>
          </w:tcPr>
          <w:p>
            <w:pPr/>
          </w:p>
        </w:tc>
        <w:tc>
          <w:tcPr>
            <w:tcW w:w="2392" w:type="dxa"/>
            <w:tcBorders>
              <w:top w:val="single" w:sz="4" w:space="0" w:color="000000"/>
              <w:left w:val="single" w:sz="10" w:space="0" w:color="E0FFFF"/>
              <w:bottom w:val="single" w:sz="4" w:space="0" w:color="000000"/>
              <w:right w:val="single" w:sz="4" w:space="0" w:color="000000"/>
            </w:tcBorders>
            <w:shd w:val="clear" w:color="auto" w:fill="D2D2D2"/>
          </w:tcPr>
          <w:p>
            <w:pPr>
              <w:pStyle w:val="TableParagraph"/>
              <w:spacing w:line="240" w:lineRule="auto" w:before="51"/>
              <w:ind w:left="733"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）其他说明</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10"/>
        <w:rPr>
          <w:rFonts w:ascii="宋体" w:hAnsi="宋体" w:cs="宋体" w:eastAsia="宋体" w:hint="default"/>
          <w:b/>
          <w:bCs/>
          <w:sz w:val="24"/>
          <w:szCs w:val="24"/>
        </w:rPr>
      </w:pPr>
    </w:p>
    <w:p>
      <w:pPr>
        <w:spacing w:line="487" w:lineRule="auto" w:before="0"/>
        <w:ind w:left="152" w:right="59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十七、母公司财务报表主要项目注释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pStyle w:val="Heading3"/>
        <w:spacing w:line="240" w:lineRule="auto" w:before="82"/>
        <w:ind w:right="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1"/>
        <w:gridCol w:w="763"/>
        <w:gridCol w:w="763"/>
        <w:gridCol w:w="788"/>
        <w:gridCol w:w="655"/>
        <w:gridCol w:w="761"/>
        <w:gridCol w:w="814"/>
        <w:gridCol w:w="934"/>
        <w:gridCol w:w="931"/>
      </w:tblGrid>
      <w:tr>
        <w:trPr>
          <w:trHeight w:val="398"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2"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12" w:type="dxa"/>
            <w:vMerge/>
            <w:tcBorders>
              <w:left w:val="single" w:sz="4" w:space="0" w:color="000000"/>
              <w:bottom w:val="single" w:sz="5"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5"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5"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5"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12" w:type="dxa"/>
            <w:vMerge w:val="restart"/>
            <w:tcBorders>
              <w:top w:val="single" w:sz="5" w:space="0" w:color="FFFFFF"/>
              <w:left w:val="single" w:sz="4" w:space="0" w:color="000000"/>
              <w:right w:val="single" w:sz="4" w:space="0" w:color="000000"/>
            </w:tcBorders>
            <w:shd w:val="clear" w:color="auto" w:fill="D2D2D2"/>
          </w:tcPr>
          <w:p>
            <w:pPr/>
          </w:p>
        </w:tc>
        <w:tc>
          <w:tcPr>
            <w:tcW w:w="774" w:type="dxa"/>
            <w:vMerge w:val="restart"/>
            <w:tcBorders>
              <w:top w:val="single" w:sz="5"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5"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5"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2"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8"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152,476,</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583.81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6,401,20</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3.55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4.20%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146,075,3</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80.26</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172,928</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,933.43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5,719,893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.17</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3.31%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167,209,04</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0.26</w:t>
            </w:r>
          </w:p>
        </w:tc>
      </w:tr>
      <w:tr>
        <w:trPr>
          <w:trHeight w:val="163" w:hRule="exact"/>
        </w:trPr>
        <w:tc>
          <w:tcPr>
            <w:tcW w:w="161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9" w:space="0" w:color="D2D2D2"/>
              <w:right w:val="single" w:sz="4" w:space="0" w:color="000000"/>
            </w:tcBorders>
          </w:tcPr>
          <w:p>
            <w:pPr>
              <w:pStyle w:val="TableParagraph"/>
              <w:spacing w:line="240" w:lineRule="auto" w:before="93"/>
              <w:ind w:left="84" w:right="0"/>
              <w:jc w:val="center"/>
              <w:rPr>
                <w:rFonts w:ascii="Times New Roman" w:hAnsi="Times New Roman" w:cs="Times New Roman" w:eastAsia="Times New Roman" w:hint="default"/>
                <w:sz w:val="18"/>
                <w:szCs w:val="18"/>
              </w:rPr>
            </w:pPr>
            <w:r>
              <w:rPr>
                <w:rFonts w:ascii="Times New Roman"/>
                <w:sz w:val="18"/>
              </w:rPr>
              <w:t>152,476,</w:t>
            </w:r>
          </w:p>
          <w:p>
            <w:pPr>
              <w:pStyle w:val="TableParagraph"/>
              <w:spacing w:line="240" w:lineRule="auto" w:before="102"/>
              <w:ind w:left="221" w:right="0"/>
              <w:jc w:val="center"/>
              <w:rPr>
                <w:rFonts w:ascii="Times New Roman" w:hAnsi="Times New Roman" w:cs="Times New Roman" w:eastAsia="Times New Roman" w:hint="default"/>
                <w:sz w:val="18"/>
                <w:szCs w:val="18"/>
              </w:rPr>
            </w:pPr>
            <w:r>
              <w:rPr>
                <w:rFonts w:ascii="Times New Roman"/>
                <w:sz w:val="18"/>
              </w:rPr>
              <w:t>583.81</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6,401,20</w:t>
            </w:r>
          </w:p>
          <w:p>
            <w:pPr>
              <w:pStyle w:val="TableParagraph"/>
              <w:spacing w:line="240" w:lineRule="auto" w:before="102"/>
              <w:ind w:left="415" w:right="0"/>
              <w:jc w:val="left"/>
              <w:rPr>
                <w:rFonts w:ascii="Times New Roman" w:hAnsi="Times New Roman" w:cs="Times New Roman" w:eastAsia="Times New Roman" w:hint="default"/>
                <w:sz w:val="18"/>
                <w:szCs w:val="18"/>
              </w:rPr>
            </w:pPr>
            <w:r>
              <w:rPr>
                <w:rFonts w:ascii="Times New Roman"/>
                <w:sz w:val="18"/>
              </w:rPr>
              <w:t>3.55</w:t>
            </w:r>
          </w:p>
        </w:tc>
        <w:tc>
          <w:tcPr>
            <w:tcW w:w="763" w:type="dxa"/>
            <w:vMerge w:val="restart"/>
            <w:tcBorders>
              <w:top w:val="single" w:sz="4" w:space="0" w:color="000000"/>
              <w:left w:val="single" w:sz="4" w:space="0" w:color="000000"/>
              <w:right w:val="single" w:sz="4" w:space="0" w:color="000000"/>
            </w:tcBorders>
          </w:tcPr>
          <w:p>
            <w:pPr/>
          </w:p>
        </w:tc>
        <w:tc>
          <w:tcPr>
            <w:tcW w:w="788" w:type="dxa"/>
            <w:vMerge w:val="restart"/>
            <w:tcBorders>
              <w:top w:val="single" w:sz="4" w:space="0" w:color="000000"/>
              <w:left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146,075,3</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80.26</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3"/>
              <w:ind w:left="38" w:right="0"/>
              <w:jc w:val="left"/>
              <w:rPr>
                <w:rFonts w:ascii="Times New Roman" w:hAnsi="Times New Roman" w:cs="Times New Roman" w:eastAsia="Times New Roman" w:hint="default"/>
                <w:sz w:val="18"/>
                <w:szCs w:val="18"/>
              </w:rPr>
            </w:pPr>
            <w:r>
              <w:rPr>
                <w:rFonts w:ascii="Times New Roman"/>
                <w:sz w:val="18"/>
              </w:rPr>
              <w:t>172,928</w:t>
            </w:r>
          </w:p>
          <w:p>
            <w:pPr>
              <w:pStyle w:val="TableParagraph"/>
              <w:spacing w:line="240" w:lineRule="auto" w:before="102"/>
              <w:ind w:left="83" w:right="0"/>
              <w:jc w:val="left"/>
              <w:rPr>
                <w:rFonts w:ascii="Times New Roman" w:hAnsi="Times New Roman" w:cs="Times New Roman" w:eastAsia="Times New Roman" w:hint="default"/>
                <w:sz w:val="18"/>
                <w:szCs w:val="18"/>
              </w:rPr>
            </w:pPr>
            <w:r>
              <w:rPr>
                <w:rFonts w:ascii="Times New Roman"/>
                <w:sz w:val="18"/>
              </w:rPr>
              <w:t>,933.43</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5,719,893</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.17</w:t>
            </w:r>
          </w:p>
        </w:tc>
        <w:tc>
          <w:tcPr>
            <w:tcW w:w="934" w:type="dxa"/>
            <w:vMerge w:val="restart"/>
            <w:tcBorders>
              <w:top w:val="single" w:sz="4" w:space="0" w:color="000000"/>
              <w:left w:val="single" w:sz="4" w:space="0" w:color="000000"/>
              <w:right w:val="single" w:sz="4" w:space="0" w:color="000000"/>
            </w:tcBorders>
          </w:tcPr>
          <w:p>
            <w:pP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3"/>
              <w:ind w:left="88" w:right="0"/>
              <w:jc w:val="left"/>
              <w:rPr>
                <w:rFonts w:ascii="Times New Roman" w:hAnsi="Times New Roman" w:cs="Times New Roman" w:eastAsia="Times New Roman" w:hint="default"/>
                <w:sz w:val="18"/>
                <w:szCs w:val="18"/>
              </w:rPr>
            </w:pPr>
            <w:r>
              <w:rPr>
                <w:rFonts w:ascii="Times New Roman"/>
                <w:sz w:val="18"/>
              </w:rPr>
              <w:t>167,209,04</w:t>
            </w:r>
          </w:p>
          <w:p>
            <w:pPr>
              <w:pStyle w:val="TableParagraph"/>
              <w:spacing w:line="240" w:lineRule="auto" w:before="102"/>
              <w:ind w:left="585" w:right="0"/>
              <w:jc w:val="left"/>
              <w:rPr>
                <w:rFonts w:ascii="Times New Roman" w:hAnsi="Times New Roman" w:cs="Times New Roman" w:eastAsia="Times New Roman" w:hint="default"/>
                <w:sz w:val="18"/>
                <w:szCs w:val="18"/>
              </w:rPr>
            </w:pPr>
            <w:r>
              <w:rPr>
                <w:rFonts w:ascii="Times New Roman"/>
                <w:sz w:val="18"/>
              </w:rPr>
              <w:t>0.26</w:t>
            </w:r>
          </w:p>
        </w:tc>
      </w:tr>
      <w:tr>
        <w:trPr>
          <w:trHeight w:val="391" w:hRule="exact"/>
        </w:trPr>
        <w:tc>
          <w:tcPr>
            <w:tcW w:w="16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8"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1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8"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40" w:lineRule="auto" w:before="115"/>
        <w:ind w:left="152"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组合中，按账龄分析法计提坏账准备的应收账款：</w:t>
      </w:r>
    </w:p>
    <w:p>
      <w:pPr>
        <w:spacing w:before="41"/>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4293" w:space="4536"/>
            <w:col w:w="112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94"/>
        <w:gridCol w:w="2295"/>
        <w:gridCol w:w="2391"/>
        <w:gridCol w:w="2391"/>
      </w:tblGrid>
      <w:tr>
        <w:trPr>
          <w:trHeight w:val="404" w:hRule="exact"/>
        </w:trPr>
        <w:tc>
          <w:tcPr>
            <w:tcW w:w="24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494"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95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天内</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83,349,866.45</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天至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38,094,450.34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1,904,722.52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23,113,071.85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2,311,307.19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6,201,705.35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1,240,341.07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20.00%</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1,545,314.10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772,657.05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4"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172,175.72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172,175.72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152,476,583.81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6,401,203.55</w:t>
            </w: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980"/>
        </w:sectPr>
      </w:pPr>
    </w:p>
    <w:p>
      <w:pPr>
        <w:spacing w:line="240" w:lineRule="auto" w:before="10"/>
        <w:rPr>
          <w:rFonts w:ascii="宋体" w:hAnsi="宋体" w:cs="宋体" w:eastAsia="宋体" w:hint="default"/>
          <w:sz w:val="25"/>
          <w:szCs w:val="25"/>
        </w:rPr>
      </w:pPr>
    </w:p>
    <w:p>
      <w:pPr>
        <w:spacing w:line="360" w:lineRule="auto" w:before="44"/>
        <w:ind w:left="152" w:right="5454"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组合中，采用余额百分比法计提坏账准备的应收账款：</w:t>
      </w:r>
    </w:p>
    <w:p>
      <w:pPr>
        <w:spacing w:line="340" w:lineRule="auto" w:before="25"/>
        <w:ind w:left="152" w:right="58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组合中，采用其他方法计提坏账准备的应收账款：</w:t>
      </w:r>
    </w:p>
    <w:p>
      <w:pPr>
        <w:spacing w:line="240" w:lineRule="auto" w:before="5"/>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79" w:top="1060" w:bottom="1160" w:left="980" w:right="980"/>
        </w:sectPr>
      </w:pPr>
    </w:p>
    <w:p>
      <w:pPr>
        <w:spacing w:line="338" w:lineRule="auto" w:before="44"/>
        <w:ind w:left="152" w:right="-11"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681,310.38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 </w:t>
      </w:r>
      <w:r>
        <w:rPr>
          <w:rFonts w:ascii="宋体" w:hAnsi="宋体" w:cs="宋体" w:eastAsia="宋体" w:hint="default"/>
          <w:sz w:val="18"/>
          <w:szCs w:val="18"/>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6325" w:space="2504"/>
            <w:col w:w="112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7"/>
        <w:gridCol w:w="3102"/>
        <w:gridCol w:w="3088"/>
      </w:tblGrid>
      <w:tr>
        <w:trPr>
          <w:trHeight w:val="401" w:hRule="exact"/>
        </w:trPr>
        <w:tc>
          <w:tcPr>
            <w:tcW w:w="3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2"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1"/>
        <w:gridCol w:w="1553"/>
        <w:gridCol w:w="1551"/>
        <w:gridCol w:w="1616"/>
        <w:gridCol w:w="1604"/>
      </w:tblGrid>
      <w:tr>
        <w:trPr>
          <w:trHeight w:val="716"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532" w:right="68"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应收账款核销说明：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753" w:type="dxa"/>
        <w:tblLayout w:type="fixed"/>
        <w:tblCellMar>
          <w:top w:w="0" w:type="dxa"/>
          <w:left w:w="0" w:type="dxa"/>
          <w:bottom w:w="0" w:type="dxa"/>
          <w:right w:w="0" w:type="dxa"/>
        </w:tblCellMar>
        <w:tblLook w:val="01E0"/>
      </w:tblPr>
      <w:tblGrid>
        <w:gridCol w:w="2938"/>
        <w:gridCol w:w="1678"/>
        <w:gridCol w:w="1483"/>
        <w:gridCol w:w="1714"/>
      </w:tblGrid>
      <w:tr>
        <w:trPr>
          <w:trHeight w:val="355" w:hRule="exact"/>
        </w:trPr>
        <w:tc>
          <w:tcPr>
            <w:tcW w:w="2938" w:type="dxa"/>
            <w:vMerge w:val="restart"/>
            <w:tcBorders>
              <w:top w:val="single" w:sz="6" w:space="0" w:color="000000"/>
              <w:left w:val="single" w:sz="6" w:space="0" w:color="000000"/>
              <w:right w:val="single" w:sz="6" w:space="0" w:color="000000"/>
            </w:tcBorders>
          </w:tcPr>
          <w:p>
            <w:pPr>
              <w:pStyle w:val="TableParagraph"/>
              <w:spacing w:line="272" w:lineRule="exact"/>
              <w:ind w:left="1"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4875" w:type="dxa"/>
            <w:gridSpan w:val="3"/>
            <w:tcBorders>
              <w:top w:val="single" w:sz="6" w:space="0" w:color="000000"/>
              <w:left w:val="single" w:sz="6" w:space="0" w:color="000000"/>
              <w:bottom w:val="single" w:sz="12" w:space="0" w:color="000000"/>
              <w:right w:val="nil" w:sz="6" w:space="0" w:color="auto"/>
            </w:tcBorders>
          </w:tcPr>
          <w:p>
            <w:pPr>
              <w:pStyle w:val="TableParagraph"/>
              <w:spacing w:line="272" w:lineRule="exact"/>
              <w:ind w:right="5"/>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662" w:hRule="exact"/>
        </w:trPr>
        <w:tc>
          <w:tcPr>
            <w:tcW w:w="2938" w:type="dxa"/>
            <w:vMerge/>
            <w:tcBorders>
              <w:left w:val="single" w:sz="6" w:space="0" w:color="000000"/>
              <w:bottom w:val="single" w:sz="12" w:space="0" w:color="000000"/>
              <w:right w:val="single" w:sz="6" w:space="0" w:color="000000"/>
            </w:tcBorders>
          </w:tcPr>
          <w:p>
            <w:pPr/>
          </w:p>
        </w:tc>
        <w:tc>
          <w:tcPr>
            <w:tcW w:w="1678"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left="41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483" w:type="dxa"/>
            <w:tcBorders>
              <w:top w:val="single" w:sz="12" w:space="0" w:color="000000"/>
              <w:left w:val="single" w:sz="6" w:space="0" w:color="000000"/>
              <w:bottom w:val="single" w:sz="12" w:space="0" w:color="000000"/>
              <w:right w:val="single" w:sz="6" w:space="0" w:color="000000"/>
            </w:tcBorders>
          </w:tcPr>
          <w:p>
            <w:pPr>
              <w:pStyle w:val="TableParagraph"/>
              <w:spacing w:line="273" w:lineRule="auto"/>
              <w:ind w:left="52" w:right="46" w:firstLine="52"/>
              <w:jc w:val="left"/>
              <w:rPr>
                <w:rFonts w:ascii="Times New Roman" w:hAnsi="Times New Roman" w:cs="Times New Roman" w:eastAsia="Times New Roman" w:hint="default"/>
                <w:sz w:val="21"/>
                <w:szCs w:val="21"/>
              </w:rPr>
            </w:pPr>
            <w:r>
              <w:rPr>
                <w:rFonts w:ascii="宋体" w:hAnsi="宋体" w:cs="宋体" w:eastAsia="宋体" w:hint="default"/>
                <w:sz w:val="21"/>
                <w:szCs w:val="21"/>
              </w:rPr>
              <w:t>占应收账款合</w:t>
            </w:r>
            <w:r>
              <w:rPr>
                <w:rFonts w:ascii="宋体" w:hAnsi="宋体" w:cs="宋体" w:eastAsia="宋体" w:hint="default"/>
                <w:w w:val="100"/>
                <w:sz w:val="21"/>
                <w:szCs w:val="21"/>
              </w:rPr>
              <w:t> </w:t>
            </w:r>
            <w:r>
              <w:rPr>
                <w:rFonts w:ascii="宋体" w:hAnsi="宋体" w:cs="宋体" w:eastAsia="宋体" w:hint="default"/>
                <w:sz w:val="21"/>
                <w:szCs w:val="21"/>
              </w:rPr>
              <w:t>计数的比例</w:t>
            </w:r>
            <w:r>
              <w:rPr>
                <w:rFonts w:ascii="Times New Roman" w:hAnsi="Times New Roman" w:cs="Times New Roman" w:eastAsia="Times New Roman" w:hint="default"/>
                <w:sz w:val="21"/>
                <w:szCs w:val="21"/>
              </w:rPr>
              <w:t>(%)</w:t>
            </w:r>
          </w:p>
        </w:tc>
        <w:tc>
          <w:tcPr>
            <w:tcW w:w="1714" w:type="dxa"/>
            <w:tcBorders>
              <w:top w:val="single" w:sz="12" w:space="0" w:color="000000"/>
              <w:left w:val="single" w:sz="6" w:space="0" w:color="000000"/>
              <w:bottom w:val="single" w:sz="12" w:space="0" w:color="000000"/>
              <w:right w:val="nil" w:sz="6" w:space="0" w:color="auto"/>
            </w:tcBorders>
          </w:tcPr>
          <w:p>
            <w:pPr>
              <w:pStyle w:val="TableParagraph"/>
              <w:spacing w:line="262" w:lineRule="exact"/>
              <w:ind w:left="429"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665" w:hRule="exact"/>
        </w:trPr>
        <w:tc>
          <w:tcPr>
            <w:tcW w:w="2938" w:type="dxa"/>
            <w:tcBorders>
              <w:top w:val="single" w:sz="12" w:space="0" w:color="000000"/>
              <w:left w:val="single" w:sz="6" w:space="0" w:color="000000"/>
              <w:bottom w:val="single" w:sz="12" w:space="0" w:color="000000"/>
              <w:right w:val="single" w:sz="6" w:space="0" w:color="000000"/>
            </w:tcBorders>
          </w:tcPr>
          <w:p>
            <w:pPr>
              <w:pStyle w:val="TableParagraph"/>
              <w:spacing w:line="273" w:lineRule="auto"/>
              <w:ind w:left="2" w:right="185"/>
              <w:jc w:val="left"/>
              <w:rPr>
                <w:rFonts w:ascii="宋体" w:hAnsi="宋体" w:cs="宋体" w:eastAsia="宋体" w:hint="default"/>
                <w:sz w:val="21"/>
                <w:szCs w:val="21"/>
              </w:rPr>
            </w:pPr>
            <w:r>
              <w:rPr>
                <w:rFonts w:ascii="宋体" w:hAnsi="宋体" w:cs="宋体" w:eastAsia="宋体" w:hint="default"/>
                <w:spacing w:val="-2"/>
                <w:sz w:val="21"/>
                <w:szCs w:val="21"/>
              </w:rPr>
              <w:t>中国移动通信集团浙江有限公</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司</w:t>
            </w:r>
          </w:p>
        </w:tc>
        <w:tc>
          <w:tcPr>
            <w:tcW w:w="16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6"/>
              <w:ind w:right="0"/>
              <w:jc w:val="right"/>
              <w:rPr>
                <w:rFonts w:ascii="Times New Roman" w:hAnsi="Times New Roman" w:cs="Times New Roman" w:eastAsia="Times New Roman" w:hint="default"/>
                <w:sz w:val="21"/>
                <w:szCs w:val="21"/>
              </w:rPr>
            </w:pPr>
            <w:r>
              <w:rPr>
                <w:rFonts w:ascii="Times New Roman"/>
                <w:spacing w:val="-1"/>
                <w:sz w:val="21"/>
              </w:rPr>
              <w:t>28,315,207.03</w:t>
            </w:r>
          </w:p>
        </w:tc>
        <w:tc>
          <w:tcPr>
            <w:tcW w:w="148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6"/>
              <w:ind w:right="-3"/>
              <w:jc w:val="right"/>
              <w:rPr>
                <w:rFonts w:ascii="Times New Roman" w:hAnsi="Times New Roman" w:cs="Times New Roman" w:eastAsia="Times New Roman" w:hint="default"/>
                <w:sz w:val="21"/>
                <w:szCs w:val="21"/>
              </w:rPr>
            </w:pPr>
            <w:r>
              <w:rPr>
                <w:rFonts w:ascii="Times New Roman"/>
                <w:sz w:val="21"/>
              </w:rPr>
              <w:t>18.57</w:t>
            </w:r>
          </w:p>
        </w:tc>
        <w:tc>
          <w:tcPr>
            <w:tcW w:w="171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6"/>
              <w:ind w:right="5"/>
              <w:jc w:val="right"/>
              <w:rPr>
                <w:rFonts w:ascii="Times New Roman" w:hAnsi="Times New Roman" w:cs="Times New Roman" w:eastAsia="Times New Roman" w:hint="default"/>
                <w:sz w:val="21"/>
                <w:szCs w:val="21"/>
              </w:rPr>
            </w:pPr>
            <w:r>
              <w:rPr>
                <w:rFonts w:ascii="Times New Roman"/>
                <w:spacing w:val="-1"/>
                <w:sz w:val="21"/>
              </w:rPr>
              <w:t>1,195,555.48</w:t>
            </w:r>
          </w:p>
        </w:tc>
      </w:tr>
      <w:tr>
        <w:trPr>
          <w:trHeight w:val="353" w:hRule="exact"/>
        </w:trPr>
        <w:tc>
          <w:tcPr>
            <w:tcW w:w="2938" w:type="dxa"/>
            <w:tcBorders>
              <w:top w:val="single" w:sz="12" w:space="0" w:color="000000"/>
              <w:left w:val="single" w:sz="6" w:space="0" w:color="000000"/>
              <w:bottom w:val="single" w:sz="12" w:space="0" w:color="000000"/>
              <w:right w:val="single" w:sz="6" w:space="0" w:color="000000"/>
            </w:tcBorders>
          </w:tcPr>
          <w:p>
            <w:pPr>
              <w:pStyle w:val="TableParagraph"/>
              <w:spacing w:line="263" w:lineRule="exact"/>
              <w:ind w:left="2" w:right="0"/>
              <w:jc w:val="left"/>
              <w:rPr>
                <w:rFonts w:ascii="宋体" w:hAnsi="宋体" w:cs="宋体" w:eastAsia="宋体" w:hint="default"/>
                <w:sz w:val="21"/>
                <w:szCs w:val="21"/>
              </w:rPr>
            </w:pPr>
            <w:r>
              <w:rPr>
                <w:rFonts w:ascii="宋体" w:hAnsi="宋体" w:cs="宋体" w:eastAsia="宋体" w:hint="default"/>
                <w:sz w:val="21"/>
                <w:szCs w:val="21"/>
              </w:rPr>
              <w:t>上海新炬网络技术有限公司</w:t>
            </w:r>
          </w:p>
        </w:tc>
        <w:tc>
          <w:tcPr>
            <w:tcW w:w="16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5"/>
              <w:ind w:right="0"/>
              <w:jc w:val="right"/>
              <w:rPr>
                <w:rFonts w:ascii="Times New Roman" w:hAnsi="Times New Roman" w:cs="Times New Roman" w:eastAsia="Times New Roman" w:hint="default"/>
                <w:sz w:val="21"/>
                <w:szCs w:val="21"/>
              </w:rPr>
            </w:pPr>
            <w:r>
              <w:rPr>
                <w:rFonts w:ascii="Times New Roman"/>
                <w:spacing w:val="-1"/>
                <w:sz w:val="21"/>
              </w:rPr>
              <w:t>8,918,840.00</w:t>
            </w:r>
          </w:p>
        </w:tc>
        <w:tc>
          <w:tcPr>
            <w:tcW w:w="148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5"/>
              <w:ind w:right="-3"/>
              <w:jc w:val="right"/>
              <w:rPr>
                <w:rFonts w:ascii="Times New Roman" w:hAnsi="Times New Roman" w:cs="Times New Roman" w:eastAsia="Times New Roman" w:hint="default"/>
                <w:sz w:val="21"/>
                <w:szCs w:val="21"/>
              </w:rPr>
            </w:pPr>
            <w:r>
              <w:rPr>
                <w:rFonts w:ascii="Times New Roman"/>
                <w:sz w:val="21"/>
              </w:rPr>
              <w:t>5.85</w:t>
            </w:r>
          </w:p>
        </w:tc>
        <w:tc>
          <w:tcPr>
            <w:tcW w:w="171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5"/>
              <w:ind w:right="5"/>
              <w:jc w:val="right"/>
              <w:rPr>
                <w:rFonts w:ascii="Times New Roman" w:hAnsi="Times New Roman" w:cs="Times New Roman" w:eastAsia="Times New Roman" w:hint="default"/>
                <w:sz w:val="21"/>
                <w:szCs w:val="21"/>
              </w:rPr>
            </w:pPr>
            <w:r>
              <w:rPr>
                <w:rFonts w:ascii="Times New Roman"/>
                <w:spacing w:val="-1"/>
                <w:sz w:val="21"/>
              </w:rPr>
              <w:t>530,542.00</w:t>
            </w:r>
          </w:p>
        </w:tc>
      </w:tr>
      <w:tr>
        <w:trPr>
          <w:trHeight w:val="350" w:hRule="exact"/>
        </w:trPr>
        <w:tc>
          <w:tcPr>
            <w:tcW w:w="2938"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left="2" w:right="0"/>
              <w:jc w:val="left"/>
              <w:rPr>
                <w:rFonts w:ascii="宋体" w:hAnsi="宋体" w:cs="宋体" w:eastAsia="宋体" w:hint="default"/>
                <w:sz w:val="21"/>
                <w:szCs w:val="21"/>
              </w:rPr>
            </w:pPr>
            <w:r>
              <w:rPr>
                <w:rFonts w:ascii="宋体" w:hAnsi="宋体" w:cs="宋体" w:eastAsia="宋体" w:hint="default"/>
                <w:sz w:val="21"/>
                <w:szCs w:val="21"/>
              </w:rPr>
              <w:t>东软集团股份有限公司</w:t>
            </w:r>
          </w:p>
        </w:tc>
        <w:tc>
          <w:tcPr>
            <w:tcW w:w="16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7,894,026.00</w:t>
            </w:r>
          </w:p>
        </w:tc>
        <w:tc>
          <w:tcPr>
            <w:tcW w:w="148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3"/>
              <w:jc w:val="right"/>
              <w:rPr>
                <w:rFonts w:ascii="Times New Roman" w:hAnsi="Times New Roman" w:cs="Times New Roman" w:eastAsia="Times New Roman" w:hint="default"/>
                <w:sz w:val="21"/>
                <w:szCs w:val="21"/>
              </w:rPr>
            </w:pPr>
            <w:r>
              <w:rPr>
                <w:rFonts w:ascii="Times New Roman"/>
                <w:sz w:val="21"/>
              </w:rPr>
              <w:t>5.18</w:t>
            </w:r>
          </w:p>
        </w:tc>
        <w:tc>
          <w:tcPr>
            <w:tcW w:w="1714"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2938"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2" w:right="0"/>
              <w:jc w:val="left"/>
              <w:rPr>
                <w:rFonts w:ascii="宋体" w:hAnsi="宋体" w:cs="宋体" w:eastAsia="宋体" w:hint="default"/>
                <w:sz w:val="21"/>
                <w:szCs w:val="21"/>
              </w:rPr>
            </w:pPr>
            <w:r>
              <w:rPr>
                <w:rFonts w:ascii="宋体" w:hAnsi="宋体" w:cs="宋体" w:eastAsia="宋体" w:hint="default"/>
                <w:sz w:val="21"/>
                <w:szCs w:val="21"/>
              </w:rPr>
              <w:t>中国电信股份有限公司</w:t>
            </w:r>
          </w:p>
        </w:tc>
        <w:tc>
          <w:tcPr>
            <w:tcW w:w="16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6"/>
              <w:ind w:right="0"/>
              <w:jc w:val="right"/>
              <w:rPr>
                <w:rFonts w:ascii="Times New Roman" w:hAnsi="Times New Roman" w:cs="Times New Roman" w:eastAsia="Times New Roman" w:hint="default"/>
                <w:sz w:val="21"/>
                <w:szCs w:val="21"/>
              </w:rPr>
            </w:pPr>
            <w:r>
              <w:rPr>
                <w:rFonts w:ascii="Times New Roman"/>
                <w:spacing w:val="-1"/>
                <w:sz w:val="21"/>
              </w:rPr>
              <w:t>5,624,885.42</w:t>
            </w:r>
          </w:p>
        </w:tc>
        <w:tc>
          <w:tcPr>
            <w:tcW w:w="148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6"/>
              <w:ind w:right="-3"/>
              <w:jc w:val="right"/>
              <w:rPr>
                <w:rFonts w:ascii="Times New Roman" w:hAnsi="Times New Roman" w:cs="Times New Roman" w:eastAsia="Times New Roman" w:hint="default"/>
                <w:sz w:val="21"/>
                <w:szCs w:val="21"/>
              </w:rPr>
            </w:pPr>
            <w:r>
              <w:rPr>
                <w:rFonts w:ascii="Times New Roman"/>
                <w:sz w:val="21"/>
              </w:rPr>
              <w:t>3.69</w:t>
            </w:r>
          </w:p>
        </w:tc>
        <w:tc>
          <w:tcPr>
            <w:tcW w:w="171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6"/>
              <w:ind w:right="5"/>
              <w:jc w:val="right"/>
              <w:rPr>
                <w:rFonts w:ascii="Times New Roman" w:hAnsi="Times New Roman" w:cs="Times New Roman" w:eastAsia="Times New Roman" w:hint="default"/>
                <w:sz w:val="21"/>
                <w:szCs w:val="21"/>
              </w:rPr>
            </w:pPr>
            <w:r>
              <w:rPr>
                <w:rFonts w:ascii="Times New Roman"/>
                <w:spacing w:val="-1"/>
                <w:sz w:val="21"/>
              </w:rPr>
              <w:t>262,171.47</w:t>
            </w:r>
          </w:p>
        </w:tc>
      </w:tr>
      <w:tr>
        <w:trPr>
          <w:trHeight w:val="665" w:hRule="exact"/>
        </w:trPr>
        <w:tc>
          <w:tcPr>
            <w:tcW w:w="2938" w:type="dxa"/>
            <w:tcBorders>
              <w:top w:val="single" w:sz="12" w:space="0" w:color="000000"/>
              <w:left w:val="single" w:sz="6" w:space="0" w:color="000000"/>
              <w:bottom w:val="single" w:sz="12" w:space="0" w:color="000000"/>
              <w:right w:val="single" w:sz="6" w:space="0" w:color="000000"/>
            </w:tcBorders>
          </w:tcPr>
          <w:p>
            <w:pPr>
              <w:pStyle w:val="TableParagraph"/>
              <w:spacing w:line="273" w:lineRule="auto"/>
              <w:ind w:left="2" w:right="185"/>
              <w:jc w:val="left"/>
              <w:rPr>
                <w:rFonts w:ascii="宋体" w:hAnsi="宋体" w:cs="宋体" w:eastAsia="宋体" w:hint="default"/>
                <w:sz w:val="21"/>
                <w:szCs w:val="21"/>
              </w:rPr>
            </w:pPr>
            <w:r>
              <w:rPr>
                <w:rFonts w:ascii="宋体" w:hAnsi="宋体" w:cs="宋体" w:eastAsia="宋体" w:hint="default"/>
                <w:spacing w:val="-2"/>
                <w:sz w:val="21"/>
                <w:szCs w:val="21"/>
              </w:rPr>
              <w:t>中国移动通信集团江西有限公</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司</w:t>
            </w:r>
          </w:p>
        </w:tc>
        <w:tc>
          <w:tcPr>
            <w:tcW w:w="16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5,040,590.62</w:t>
            </w:r>
          </w:p>
        </w:tc>
        <w:tc>
          <w:tcPr>
            <w:tcW w:w="148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3"/>
              <w:jc w:val="right"/>
              <w:rPr>
                <w:rFonts w:ascii="Times New Roman" w:hAnsi="Times New Roman" w:cs="Times New Roman" w:eastAsia="Times New Roman" w:hint="default"/>
                <w:sz w:val="21"/>
                <w:szCs w:val="21"/>
              </w:rPr>
            </w:pPr>
            <w:r>
              <w:rPr>
                <w:rFonts w:ascii="Times New Roman"/>
                <w:sz w:val="21"/>
              </w:rPr>
              <w:t>3.31</w:t>
            </w:r>
          </w:p>
        </w:tc>
        <w:tc>
          <w:tcPr>
            <w:tcW w:w="171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5"/>
              <w:jc w:val="right"/>
              <w:rPr>
                <w:rFonts w:ascii="Times New Roman" w:hAnsi="Times New Roman" w:cs="Times New Roman" w:eastAsia="Times New Roman" w:hint="default"/>
                <w:sz w:val="21"/>
                <w:szCs w:val="21"/>
              </w:rPr>
            </w:pPr>
            <w:r>
              <w:rPr>
                <w:rFonts w:ascii="Times New Roman"/>
                <w:spacing w:val="-1"/>
                <w:sz w:val="21"/>
              </w:rPr>
              <w:t>125,333.73</w:t>
            </w:r>
          </w:p>
        </w:tc>
      </w:tr>
      <w:tr>
        <w:trPr>
          <w:trHeight w:val="353" w:hRule="exact"/>
        </w:trPr>
        <w:tc>
          <w:tcPr>
            <w:tcW w:w="2938"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55,793,549.07</w:t>
            </w:r>
          </w:p>
        </w:tc>
        <w:tc>
          <w:tcPr>
            <w:tcW w:w="148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3"/>
              <w:jc w:val="right"/>
              <w:rPr>
                <w:rFonts w:ascii="Times New Roman" w:hAnsi="Times New Roman" w:cs="Times New Roman" w:eastAsia="Times New Roman" w:hint="default"/>
                <w:sz w:val="21"/>
                <w:szCs w:val="21"/>
              </w:rPr>
            </w:pPr>
            <w:r>
              <w:rPr>
                <w:rFonts w:ascii="Times New Roman"/>
                <w:sz w:val="21"/>
              </w:rPr>
              <w:t>36.60</w:t>
            </w:r>
          </w:p>
        </w:tc>
        <w:tc>
          <w:tcPr>
            <w:tcW w:w="171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5"/>
              <w:jc w:val="right"/>
              <w:rPr>
                <w:rFonts w:ascii="Times New Roman" w:hAnsi="Times New Roman" w:cs="Times New Roman" w:eastAsia="Times New Roman" w:hint="default"/>
                <w:sz w:val="21"/>
                <w:szCs w:val="21"/>
              </w:rPr>
            </w:pPr>
            <w:r>
              <w:rPr>
                <w:rFonts w:ascii="Times New Roman"/>
                <w:spacing w:val="-1"/>
                <w:sz w:val="21"/>
              </w:rPr>
              <w:t>2,113,602.68</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060" w:bottom="1160" w:left="980" w:right="980"/>
        </w:sectPr>
      </w:pPr>
    </w:p>
    <w:p>
      <w:pPr>
        <w:spacing w:line="240" w:lineRule="auto" w:before="10"/>
        <w:rPr>
          <w:rFonts w:ascii="宋体" w:hAnsi="宋体" w:cs="宋体" w:eastAsia="宋体" w:hint="default"/>
          <w:b/>
          <w:bCs/>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1"/>
        <w:gridCol w:w="763"/>
        <w:gridCol w:w="763"/>
        <w:gridCol w:w="788"/>
        <w:gridCol w:w="655"/>
        <w:gridCol w:w="761"/>
        <w:gridCol w:w="814"/>
        <w:gridCol w:w="934"/>
        <w:gridCol w:w="931"/>
      </w:tblGrid>
      <w:tr>
        <w:trPr>
          <w:trHeight w:val="397"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2"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2" w:hRule="exact"/>
        </w:trPr>
        <w:tc>
          <w:tcPr>
            <w:tcW w:w="16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2" w:type="dxa"/>
            <w:vMerge/>
            <w:tcBorders>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12" w:type="dxa"/>
            <w:vMerge w:val="restart"/>
            <w:tcBorders>
              <w:top w:val="single" w:sz="4" w:space="0" w:color="FFFFFF"/>
              <w:left w:val="single" w:sz="4" w:space="0" w:color="000000"/>
              <w:right w:val="single" w:sz="4" w:space="0" w:color="000000"/>
            </w:tcBorders>
            <w:shd w:val="clear" w:color="auto" w:fill="D2D2D2"/>
          </w:tcPr>
          <w:p>
            <w:pP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99" w:hRule="exact"/>
        </w:trPr>
        <w:tc>
          <w:tcPr>
            <w:tcW w:w="1612"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8"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11,315,0</w:t>
            </w:r>
          </w:p>
          <w:p>
            <w:pPr>
              <w:pStyle w:val="TableParagraph"/>
              <w:spacing w:line="240" w:lineRule="auto" w:before="105"/>
              <w:ind w:left="331" w:right="0"/>
              <w:jc w:val="left"/>
              <w:rPr>
                <w:rFonts w:ascii="Times New Roman" w:hAnsi="Times New Roman" w:cs="Times New Roman" w:eastAsia="Times New Roman" w:hint="default"/>
                <w:sz w:val="18"/>
                <w:szCs w:val="18"/>
              </w:rPr>
            </w:pPr>
            <w:r>
              <w:rPr>
                <w:rFonts w:ascii="Times New Roman"/>
                <w:sz w:val="18"/>
              </w:rPr>
              <w:t>56.93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809,845.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7.16%</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10,505,21</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1.28</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9,820,3</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54.42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813,679.9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8.29%</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9,006,674.4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r>
      <w:tr>
        <w:trPr>
          <w:trHeight w:val="161" w:hRule="exact"/>
        </w:trPr>
        <w:tc>
          <w:tcPr>
            <w:tcW w:w="161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9" w:space="0" w:color="D2D2D2"/>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11,315,0</w:t>
            </w:r>
          </w:p>
          <w:p>
            <w:pPr>
              <w:pStyle w:val="TableParagraph"/>
              <w:spacing w:line="240" w:lineRule="auto" w:before="105"/>
              <w:ind w:left="331" w:right="0"/>
              <w:jc w:val="left"/>
              <w:rPr>
                <w:rFonts w:ascii="Times New Roman" w:hAnsi="Times New Roman" w:cs="Times New Roman" w:eastAsia="Times New Roman" w:hint="default"/>
                <w:sz w:val="18"/>
                <w:szCs w:val="18"/>
              </w:rPr>
            </w:pPr>
            <w:r>
              <w:rPr>
                <w:rFonts w:ascii="Times New Roman"/>
                <w:sz w:val="18"/>
              </w:rPr>
              <w:t>56.93</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809,845.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65</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7.16%</w:t>
            </w:r>
          </w:p>
        </w:tc>
        <w:tc>
          <w:tcPr>
            <w:tcW w:w="788" w:type="dxa"/>
            <w:vMerge w:val="restart"/>
            <w:tcBorders>
              <w:top w:val="single" w:sz="4" w:space="0" w:color="000000"/>
              <w:left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10,505,21</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1.28</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9,820,3</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54.42</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813,679.9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8.29%</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9,006,674.4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r>
      <w:tr>
        <w:trPr>
          <w:trHeight w:val="391" w:hRule="exact"/>
        </w:trPr>
        <w:tc>
          <w:tcPr>
            <w:tcW w:w="16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8"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1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8"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38" w:lineRule="auto" w:before="117"/>
        <w:ind w:left="152"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组合中，按账龄分析法计提坏账准备的其他应收款：</w:t>
      </w:r>
    </w:p>
    <w:p>
      <w:pPr>
        <w:spacing w:before="43"/>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4473" w:space="4356"/>
            <w:col w:w="1121"/>
          </w:cols>
        </w:sectPr>
      </w:pP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94"/>
        <w:gridCol w:w="2295"/>
        <w:gridCol w:w="2391"/>
        <w:gridCol w:w="2391"/>
      </w:tblGrid>
      <w:tr>
        <w:trPr>
          <w:trHeight w:val="402" w:hRule="exact"/>
        </w:trPr>
        <w:tc>
          <w:tcPr>
            <w:tcW w:w="24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4"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10,366,656.93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518,332.85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217,608.00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21,760.80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552,550.00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110,510.00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20.00%</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140,242.00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140,242.00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11,315,056.93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809,845.65</w:t>
            </w: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line="357" w:lineRule="auto" w:before="49"/>
        <w:ind w:left="152" w:right="5274"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组合中，采用余额百分比法计提坏账准备的其他应收款：</w:t>
      </w:r>
    </w:p>
    <w:p>
      <w:pPr>
        <w:spacing w:line="340" w:lineRule="auto" w:before="29"/>
        <w:ind w:left="152" w:right="56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组合中，采用其他方法计提坏账准备的其他应收款：</w:t>
      </w:r>
    </w:p>
    <w:p>
      <w:pPr>
        <w:spacing w:before="39"/>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79" w:top="1060" w:bottom="1160" w:left="980" w:right="980"/>
        </w:sectPr>
      </w:pPr>
    </w:p>
    <w:p>
      <w:pPr>
        <w:spacing w:line="338" w:lineRule="auto" w:before="44"/>
        <w:ind w:left="152" w:right="-14"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 </w:t>
      </w:r>
      <w:r>
        <w:rPr>
          <w:rFonts w:ascii="宋体" w:hAnsi="宋体" w:cs="宋体" w:eastAsia="宋体" w:hint="default"/>
          <w:sz w:val="18"/>
          <w:szCs w:val="18"/>
        </w:rPr>
        <w:t>元；本期收回或转回坏账准备金额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3,834.32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6143" w:space="2686"/>
            <w:col w:w="1121"/>
          </w:cols>
        </w:sectPr>
      </w:pPr>
    </w:p>
    <w:p>
      <w:pPr>
        <w:spacing w:line="240" w:lineRule="auto" w:before="4"/>
        <w:rPr>
          <w:rFonts w:ascii="宋体" w:hAnsi="宋体" w:cs="宋体" w:eastAsia="宋体" w:hint="default"/>
          <w:sz w:val="8"/>
          <w:szCs w:val="8"/>
        </w:rPr>
      </w:pPr>
      <w:r>
        <w:rPr/>
        <w:pict>
          <v:shape style="position:absolute;margin-left:367.98999pt;margin-top:744.959961pt;width:86.35pt;height:14.65pt;mso-position-horizontal-relative:page;mso-position-vertical-relative:page;z-index:-1014496" type="#_x0000_t202" filled="false" stroked="false">
            <v:textbox inset="0,0,0,0">
              <w:txbxContent>
                <w:p>
                  <w:pPr>
                    <w:spacing w:line="225"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p>
    <w:tbl>
      <w:tblPr>
        <w:tblW w:w="0" w:type="auto"/>
        <w:jc w:val="left"/>
        <w:tblInd w:w="149" w:type="dxa"/>
        <w:tblLayout w:type="fixed"/>
        <w:tblCellMar>
          <w:top w:w="0" w:type="dxa"/>
          <w:left w:w="0" w:type="dxa"/>
          <w:bottom w:w="0" w:type="dxa"/>
          <w:right w:w="0" w:type="dxa"/>
        </w:tblCellMar>
        <w:tblLook w:val="01E0"/>
      </w:tblPr>
      <w:tblGrid>
        <w:gridCol w:w="3367"/>
        <w:gridCol w:w="3102"/>
        <w:gridCol w:w="3088"/>
      </w:tblGrid>
      <w:tr>
        <w:trPr>
          <w:trHeight w:val="401" w:hRule="exact"/>
        </w:trPr>
        <w:tc>
          <w:tcPr>
            <w:tcW w:w="3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其中重要的其他应收款核销情况：</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1"/>
        <w:gridCol w:w="1553"/>
        <w:gridCol w:w="1551"/>
        <w:gridCol w:w="1616"/>
        <w:gridCol w:w="1604"/>
      </w:tblGrid>
      <w:tr>
        <w:trPr>
          <w:trHeight w:val="715"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32" w:right="68"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68"/>
        <w:gridCol w:w="3101"/>
        <w:gridCol w:w="3101"/>
      </w:tblGrid>
      <w:tr>
        <w:trPr>
          <w:trHeight w:val="401"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125,720.70</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270,271.70</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825,693.32</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1,673,465.46</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3,452,687.92</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3,883,458.43</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扶持资金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6,910,954.99</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3,649,000.00</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1" w:type="dxa"/>
            <w:tcBorders>
              <w:top w:val="single" w:sz="4" w:space="0" w:color="000000"/>
              <w:left w:val="single" w:sz="4" w:space="0" w:color="000000"/>
              <w:bottom w:val="single" w:sz="4" w:space="0" w:color="000000"/>
              <w:right w:val="single" w:sz="4" w:space="0" w:color="000000"/>
            </w:tcBorders>
          </w:tcPr>
          <w:p>
            <w:pP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342,308.83</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合并范围内子公司往来款</w:t>
            </w:r>
          </w:p>
        </w:tc>
        <w:tc>
          <w:tcPr>
            <w:tcW w:w="3101" w:type="dxa"/>
            <w:tcBorders>
              <w:top w:val="single" w:sz="4" w:space="0" w:color="000000"/>
              <w:left w:val="single" w:sz="4" w:space="0" w:color="000000"/>
              <w:bottom w:val="single" w:sz="4" w:space="0" w:color="000000"/>
              <w:right w:val="single" w:sz="4" w:space="0" w:color="000000"/>
            </w:tcBorders>
          </w:tcPr>
          <w:p>
            <w:pP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1,850.00</w:t>
            </w:r>
          </w:p>
        </w:tc>
      </w:tr>
      <w:tr>
        <w:trPr>
          <w:trHeight w:val="404"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11,315,056.93</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9,820,354.42</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pict>
          <v:group style="position:absolute;margin-left:373.98999pt;margin-top:105.407715pt;width:80.350pt;height:34.8pt;mso-position-horizontal-relative:page;mso-position-vertical-relative:paragraph;z-index:-1014472" coordorigin="7480,2108" coordsize="1607,696">
            <v:group style="position:absolute;left:7491;top:2119;width:2;height:392" coordorigin="7491,2119" coordsize="2,392">
              <v:shape style="position:absolute;left:7491;top:2119;width:2;height:392" coordorigin="7491,2119" coordsize="0,392" path="m7491,2119l7491,2511e" filled="false" stroked="true" strokeweight="1.08pt" strokecolor="#ffffff">
                <v:path arrowok="t"/>
              </v:shape>
            </v:group>
            <v:group style="position:absolute;left:7480;top:2511;width:1607;height:293" coordorigin="7480,2511" coordsize="1607,293">
              <v:shape style="position:absolute;left:7480;top:2511;width:1607;height:293" coordorigin="7480,2511" coordsize="1607,293" path="m7480,2803l9086,2803,9086,2511,7480,2511,7480,2803xe" filled="true" fillcolor="#ffffff" stroked="false">
                <v:path arrowok="t"/>
                <v:fill type="solid"/>
              </v:shape>
            </v:group>
            <v:group style="position:absolute;left:7501;top:2119;width:1561;height:392" coordorigin="7501,2119" coordsize="1561,392">
              <v:shape style="position:absolute;left:7501;top:2119;width:1561;height:392" coordorigin="7501,2119" coordsize="1561,392" path="m7501,2511l9062,2511,9062,2119,7501,2119,7501,2511xe" filled="true" fillcolor="#ffffff" stroked="false">
                <v:path arrowok="t"/>
                <v:fill type="solid"/>
              </v:shape>
            </v:group>
            <w10:wrap type="none"/>
          </v:group>
        </w:pict>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3"/>
        <w:gridCol w:w="1551"/>
        <w:gridCol w:w="1616"/>
        <w:gridCol w:w="1615"/>
      </w:tblGrid>
      <w:tr>
        <w:trPr>
          <w:trHeight w:val="71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3" w:right="8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9"/>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9"/>
              <w:jc w:val="left"/>
              <w:rPr>
                <w:rFonts w:ascii="宋体" w:hAnsi="宋体" w:cs="宋体" w:eastAsia="宋体" w:hint="default"/>
                <w:sz w:val="18"/>
                <w:szCs w:val="18"/>
              </w:rPr>
            </w:pPr>
            <w:r>
              <w:rPr>
                <w:rFonts w:ascii="宋体" w:hAnsi="宋体" w:cs="宋体" w:eastAsia="宋体" w:hint="default"/>
                <w:sz w:val="18"/>
                <w:szCs w:val="18"/>
              </w:rPr>
              <w:t>上海青浦工业园区发 展（集团）有限公司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扶持资金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6,910,954.99</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61.08%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345,547.75</w:t>
            </w:r>
          </w:p>
        </w:tc>
      </w:tr>
      <w:tr>
        <w:trPr>
          <w:trHeight w:val="987"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316" w:lineRule="auto"/>
              <w:ind w:left="24" w:right="29"/>
              <w:jc w:val="left"/>
              <w:rPr>
                <w:rFonts w:ascii="宋体" w:hAnsi="宋体" w:cs="宋体" w:eastAsia="宋体" w:hint="default"/>
                <w:sz w:val="18"/>
                <w:szCs w:val="18"/>
              </w:rPr>
            </w:pPr>
            <w:r>
              <w:rPr>
                <w:rFonts w:ascii="宋体" w:hAnsi="宋体" w:cs="宋体" w:eastAsia="宋体" w:hint="default"/>
                <w:sz w:val="18"/>
                <w:szCs w:val="18"/>
              </w:rPr>
              <w:t>杭州市市级机关事业 单位会计结算中心</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21"/>
              <w:jc w:val="right"/>
              <w:rPr>
                <w:rFonts w:ascii="Times New Roman" w:hAnsi="Times New Roman" w:cs="Times New Roman" w:eastAsia="Times New Roman" w:hint="default"/>
                <w:sz w:val="18"/>
                <w:szCs w:val="18"/>
              </w:rPr>
            </w:pPr>
            <w:r>
              <w:rPr>
                <w:rFonts w:ascii="Times New Roman"/>
                <w:spacing w:val="-1"/>
                <w:sz w:val="18"/>
              </w:rPr>
              <w:t>472,175.00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47,475.00;1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至</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91,200.00;2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至</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tabs>
                <w:tab w:pos="1118" w:val="left" w:leader="none"/>
              </w:tabs>
              <w:spacing w:line="240" w:lineRule="auto" w:before="126"/>
              <w:ind w:left="-118" w:right="19"/>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position w:val="2"/>
                <w:sz w:val="18"/>
                <w:szCs w:val="18"/>
              </w:rPr>
              <w:t>4.17%</w:t>
            </w:r>
            <w:r>
              <w:rPr>
                <w:rFonts w:ascii="Times New Roman" w:hAnsi="Times New Roman" w:cs="Times New Roman" w:eastAsia="Times New Roman" w:hint="default"/>
                <w:sz w:val="18"/>
                <w:szCs w:val="18"/>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19"/>
              <w:jc w:val="right"/>
              <w:rPr>
                <w:rFonts w:ascii="Times New Roman" w:hAnsi="Times New Roman" w:cs="Times New Roman" w:eastAsia="Times New Roman" w:hint="default"/>
                <w:sz w:val="18"/>
                <w:szCs w:val="18"/>
              </w:rPr>
            </w:pPr>
            <w:r>
              <w:rPr>
                <w:rFonts w:ascii="Times New Roman"/>
                <w:spacing w:val="-1"/>
                <w:sz w:val="18"/>
              </w:rPr>
              <w:t>169,393.75</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3"/>
        <w:gridCol w:w="1551"/>
        <w:gridCol w:w="1616"/>
        <w:gridCol w:w="1615"/>
      </w:tblGrid>
      <w:tr>
        <w:trPr>
          <w:trHeight w:val="675" w:hRule="exact"/>
        </w:trPr>
        <w:tc>
          <w:tcPr>
            <w:tcW w:w="1685" w:type="dxa"/>
            <w:tcBorders>
              <w:top w:val="single" w:sz="4" w:space="0" w:color="000000"/>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3" w:right="156"/>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219,500.00;5 </w:t>
            </w:r>
            <w:r>
              <w:rPr>
                <w:rFonts w:ascii="宋体" w:hAnsi="宋体" w:cs="宋体" w:eastAsia="宋体" w:hint="default"/>
                <w:sz w:val="18"/>
                <w:szCs w:val="18"/>
              </w:rPr>
              <w:t>年以 上：</w:t>
            </w:r>
            <w:r>
              <w:rPr>
                <w:rFonts w:ascii="Times New Roman" w:hAnsi="Times New Roman" w:cs="Times New Roman" w:eastAsia="Times New Roman" w:hint="default"/>
                <w:sz w:val="18"/>
                <w:szCs w:val="18"/>
              </w:rPr>
              <w:t>114,000.00</w:t>
            </w:r>
          </w:p>
        </w:tc>
        <w:tc>
          <w:tcPr>
            <w:tcW w:w="1616"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上海市公安局</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364,630.50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150,130.50;2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Times New Roman" w:hAnsi="Times New Roman" w:cs="Times New Roman" w:eastAsia="Times New Roman" w:hint="default"/>
                <w:sz w:val="18"/>
                <w:szCs w:val="18"/>
              </w:rPr>
              <w:t>214,500.00</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50,406.53</w:t>
            </w: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枣庄市人力资源和社 会保障局</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299,400.00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14,970.00</w:t>
            </w:r>
          </w:p>
        </w:tc>
      </w:tr>
      <w:tr>
        <w:trPr>
          <w:trHeight w:val="102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both"/>
              <w:rPr>
                <w:rFonts w:ascii="宋体" w:hAnsi="宋体" w:cs="宋体" w:eastAsia="宋体" w:hint="default"/>
                <w:sz w:val="18"/>
                <w:szCs w:val="18"/>
              </w:rPr>
            </w:pPr>
            <w:r>
              <w:rPr>
                <w:rFonts w:ascii="宋体" w:hAnsi="宋体" w:cs="宋体" w:eastAsia="宋体" w:hint="default"/>
                <w:sz w:val="18"/>
                <w:szCs w:val="18"/>
              </w:rPr>
              <w:t>上海漕河泾开发区物 业管理有限公司绿洲 分公司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物业押金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283,975.84</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14,198.79</w:t>
            </w:r>
          </w:p>
        </w:tc>
      </w:tr>
      <w:tr>
        <w:trPr>
          <w:trHeight w:val="404"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8,331,136.33</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73.63%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594,516.82</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026"/>
        <w:gridCol w:w="1865"/>
        <w:gridCol w:w="1868"/>
        <w:gridCol w:w="1867"/>
        <w:gridCol w:w="1945"/>
      </w:tblGrid>
      <w:tr>
        <w:trPr>
          <w:trHeight w:val="715" w:hRule="exact"/>
        </w:trPr>
        <w:tc>
          <w:tcPr>
            <w:tcW w:w="2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4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8" w:right="65" w:hanging="632"/>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r>
        <w:trPr>
          <w:trHeight w:val="1025" w:hRule="exact"/>
        </w:trPr>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上海青浦工业园区发展</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（集团）有限公司</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扶持资金</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6,910,954.99</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pacing w:val="-13"/>
                <w:sz w:val="18"/>
                <w:szCs w:val="18"/>
              </w:rPr>
              <w:t>日前，金</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6,910,954.99</w:t>
            </w:r>
            <w:r>
              <w:rPr>
                <w:rFonts w:ascii="Times New Roman" w:hAnsi="Times New Roman" w:cs="Times New Roman" w:eastAsia="Times New Roman" w:hint="default"/>
                <w:spacing w:val="1"/>
                <w:sz w:val="18"/>
                <w:szCs w:val="18"/>
              </w:rPr>
              <w:t> </w:t>
            </w:r>
            <w:r>
              <w:rPr>
                <w:rFonts w:ascii="宋体" w:hAnsi="宋体" w:cs="宋体" w:eastAsia="宋体" w:hint="default"/>
                <w:spacing w:val="-13"/>
                <w:sz w:val="18"/>
                <w:szCs w:val="18"/>
              </w:rPr>
              <w:t>元，根据</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签署的扶持协议。</w:t>
            </w:r>
          </w:p>
        </w:tc>
      </w:tr>
      <w:tr>
        <w:trPr>
          <w:trHeight w:val="403" w:hRule="exact"/>
        </w:trPr>
        <w:tc>
          <w:tcPr>
            <w:tcW w:w="2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8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6,910,954.99</w:t>
            </w:r>
          </w:p>
        </w:tc>
        <w:tc>
          <w:tcPr>
            <w:tcW w:w="1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8"/>
        <w:gridCol w:w="1366"/>
        <w:gridCol w:w="1368"/>
        <w:gridCol w:w="1366"/>
        <w:gridCol w:w="1368"/>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99,388,232.44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99,388,232.44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127,893,709.80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127,893,709.80</w:t>
            </w:r>
          </w:p>
        </w:tc>
      </w:tr>
      <w:tr>
        <w:trPr>
          <w:trHeight w:val="71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63"/>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12,927,885.99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12,927,885.99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23,326,196.24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23,326,196.24</w:t>
            </w: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112,316,118.43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112,316,118.43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151,219,906.04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151,219,906.04</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448"/>
        <w:gridCol w:w="1337"/>
        <w:gridCol w:w="1334"/>
        <w:gridCol w:w="1335"/>
        <w:gridCol w:w="1334"/>
        <w:gridCol w:w="1390"/>
        <w:gridCol w:w="1390"/>
      </w:tblGrid>
      <w:tr>
        <w:trPr>
          <w:trHeight w:val="713"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9"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9" w:right="58" w:hanging="540"/>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9"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极品数据系统公 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684,420.00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684,420.00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上海力克数码科 技有限公司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15,695,529.97</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31,509.97</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15,664,020.00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上海领卓企业管 理咨询有限公司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2,198,409.99</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2,198,409.99</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pacing w:val="-7"/>
                <w:sz w:val="18"/>
                <w:szCs w:val="18"/>
              </w:rPr>
              <w:t>极品数码系统（香</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港）有限公司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1,357,800.00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1,357,800.00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3"/>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上海天玑数据技 术有限公司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17,707,549.84</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23,967.39</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17,683,582.45</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北京天玑力拓信 息技术有限公司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杭州平民软件有 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5,500,000.00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上海缔塔科技有 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3,750,000.00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3,750,000.00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上海卓之联信息 科技有限公司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杭州广捷科技有 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杭州鸿昇科技有 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西安天玑力拓信 息技术有限公司</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127,893,709.80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28,805,477.36</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99,388,232.44</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7"/>
        <w:gridCol w:w="797"/>
        <w:gridCol w:w="797"/>
        <w:gridCol w:w="799"/>
        <w:gridCol w:w="797"/>
        <w:gridCol w:w="800"/>
        <w:gridCol w:w="797"/>
        <w:gridCol w:w="799"/>
        <w:gridCol w:w="797"/>
        <w:gridCol w:w="799"/>
        <w:gridCol w:w="797"/>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71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71"/>
              <w:ind w:left="22" w:right="41"/>
              <w:jc w:val="left"/>
              <w:rPr>
                <w:rFonts w:ascii="宋体" w:hAnsi="宋体" w:cs="宋体" w:eastAsia="宋体" w:hint="default"/>
                <w:sz w:val="18"/>
                <w:szCs w:val="18"/>
              </w:rPr>
            </w:pPr>
            <w:r>
              <w:rPr>
                <w:rFonts w:ascii="宋体" w:hAnsi="宋体" w:cs="宋体" w:eastAsia="宋体" w:hint="default"/>
                <w:sz w:val="18"/>
                <w:szCs w:val="18"/>
              </w:rPr>
              <w:t>上海亿富 金融信息</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799"/>
        <w:gridCol w:w="797"/>
      </w:tblGrid>
      <w:tr>
        <w:trPr>
          <w:trHeight w:val="67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41"/>
              <w:jc w:val="left"/>
              <w:rPr>
                <w:rFonts w:ascii="宋体" w:hAnsi="宋体" w:cs="宋体" w:eastAsia="宋体" w:hint="default"/>
                <w:sz w:val="18"/>
                <w:szCs w:val="18"/>
              </w:rPr>
            </w:pPr>
            <w:r>
              <w:rPr>
                <w:rFonts w:ascii="宋体" w:hAnsi="宋体" w:cs="宋体" w:eastAsia="宋体" w:hint="default"/>
                <w:sz w:val="18"/>
                <w:szCs w:val="18"/>
              </w:rPr>
              <w:t>服务有限 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上海复深 蓝软件股 份有限公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23,326,19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6.24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15,831,57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4.45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821,977.0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4,611,287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2"/>
                <w:w w:val="95"/>
                <w:sz w:val="18"/>
              </w:rPr>
              <w:t>.11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12,927,88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5.99</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23,326,19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6.24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16,281,57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4.45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821,977.0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4,611,287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2"/>
                <w:w w:val="95"/>
                <w:sz w:val="18"/>
              </w:rPr>
              <w:t>.11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12,927,88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5.99</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23,326,19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6.24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16,281,57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4.45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821,977.0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4,611,287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2"/>
                <w:w w:val="95"/>
                <w:sz w:val="18"/>
              </w:rPr>
              <w:t>.11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12,927,88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5.99</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）其他说明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6"/>
        <w:gridCol w:w="1835"/>
        <w:gridCol w:w="1913"/>
        <w:gridCol w:w="1913"/>
        <w:gridCol w:w="1916"/>
      </w:tblGrid>
      <w:tr>
        <w:trPr>
          <w:trHeight w:val="206" w:hRule="exact"/>
        </w:trPr>
        <w:tc>
          <w:tcPr>
            <w:tcW w:w="19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7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49"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996" w:type="dxa"/>
            <w:vMerge/>
            <w:tcBorders>
              <w:left w:val="single" w:sz="4" w:space="0" w:color="000000"/>
              <w:bottom w:val="nil" w:sz="6" w:space="0" w:color="auto"/>
              <w:right w:val="single" w:sz="4" w:space="0" w:color="000000"/>
            </w:tcBorders>
            <w:shd w:val="clear" w:color="auto" w:fill="D2D2D2"/>
          </w:tcPr>
          <w:p>
            <w:pPr/>
          </w:p>
        </w:tc>
        <w:tc>
          <w:tcPr>
            <w:tcW w:w="18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5"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352,349,890.81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237,049,892.47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379,504,758.14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243,865,888.67</w:t>
            </w:r>
          </w:p>
        </w:tc>
      </w:tr>
      <w:tr>
        <w:trPr>
          <w:trHeight w:val="401"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2,914,375.36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1,570,489.90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3,180,184.77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1,608,755.35</w:t>
            </w:r>
          </w:p>
        </w:tc>
      </w:tr>
      <w:tr>
        <w:trPr>
          <w:trHeight w:val="403"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355,264,266.17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238,620,382.37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382,684,942.91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245,474,644.02</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5"/>
      </w:tblGrid>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821,977.09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2,737,961.96</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8,578,210.61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18,602,106.59</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35,858.89</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9,436,046.59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21,340,068.55</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10"/>
        <w:rPr>
          <w:rFonts w:ascii="宋体" w:hAnsi="宋体" w:cs="宋体" w:eastAsia="宋体" w:hint="default"/>
          <w:b/>
          <w:bCs/>
          <w:sz w:val="22"/>
          <w:szCs w:val="22"/>
        </w:rPr>
      </w:pPr>
    </w:p>
    <w:p>
      <w:pPr>
        <w:pStyle w:val="Heading2"/>
        <w:spacing w:line="240" w:lineRule="auto"/>
        <w:ind w:right="0"/>
        <w:jc w:val="left"/>
        <w:rPr>
          <w:b w:val="0"/>
          <w:bCs w:val="0"/>
        </w:rPr>
      </w:pPr>
      <w:r>
        <w:rPr/>
        <w:t>十八、补充资料</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10"/>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3"/>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5"/>
      </w:tblGrid>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-15,994,353.03</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8,317,219.08</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38"/>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35,858.89</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-792,097.06</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25,709,121.40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4,956,397.77</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少数股东权益影响额</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-15,961,403.82</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28,280,755.33</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0" w:lineRule="auto" w:before="60"/>
        <w:ind w:left="152" w:right="139"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72"/>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0"/>
        <w:gridCol w:w="3083"/>
        <w:gridCol w:w="1913"/>
        <w:gridCol w:w="1913"/>
      </w:tblGrid>
      <w:tr>
        <w:trPr>
          <w:trHeight w:val="204" w:hRule="exact"/>
        </w:trPr>
        <w:tc>
          <w:tcPr>
            <w:tcW w:w="2650"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2" w:hRule="exact"/>
        </w:trPr>
        <w:tc>
          <w:tcPr>
            <w:tcW w:w="26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64"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3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50" w:type="dxa"/>
            <w:vMerge/>
            <w:tcBorders>
              <w:left w:val="single" w:sz="4" w:space="0" w:color="000000"/>
              <w:bottom w:val="nil" w:sz="6" w:space="0" w:color="auto"/>
              <w:right w:val="single" w:sz="4" w:space="0" w:color="000000"/>
            </w:tcBorders>
            <w:shd w:val="clear" w:color="auto" w:fill="D2D2D2"/>
          </w:tcPr>
          <w:p>
            <w:pPr/>
          </w:p>
        </w:tc>
        <w:tc>
          <w:tcPr>
            <w:tcW w:w="3083"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50"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0.20</w:t>
            </w:r>
          </w:p>
        </w:tc>
      </w:tr>
      <w:tr>
        <w:trPr>
          <w:trHeight w:val="715" w:hRule="exact"/>
        </w:trPr>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06"/>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0.10</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3</w:t>
      </w:r>
      <w:r>
        <w:rPr/>
        <w:t>、境内外会计准则下会计数据差异</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259" w:lineRule="auto" w:before="36"/>
        <w:ind w:right="0"/>
        <w:jc w:val="left"/>
        <w:rPr>
          <w:b w:val="0"/>
          <w:bCs w:val="0"/>
        </w:rPr>
      </w:pP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65"/>
        </w:rPr>
        <w:t> </w:t>
      </w:r>
      <w:r>
        <w:rPr>
          <w:spacing w:val="-65"/>
        </w:rPr>
      </w:r>
      <w:r>
        <w:rPr/>
        <w:t>明该境外机构的名称</w:t>
      </w:r>
      <w:r>
        <w:rPr>
          <w:b w:val="0"/>
          <w:bCs w:val="0"/>
        </w:rPr>
      </w:r>
    </w:p>
    <w:p>
      <w:pPr>
        <w:spacing w:line="240" w:lineRule="auto" w:before="6"/>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745" w:footer="979" w:top="1060" w:bottom="1160" w:left="980" w:right="980"/>
        </w:sect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3285" w:right="101"/>
        <w:jc w:val="left"/>
        <w:rPr>
          <w:b w:val="0"/>
          <w:bCs w:val="0"/>
        </w:rPr>
      </w:pPr>
      <w:bookmarkStart w:name="_bookmark10" w:id="11"/>
      <w:bookmarkEnd w:id="11"/>
      <w:r>
        <w:rPr>
          <w:b w:val="0"/>
          <w:bCs w:val="0"/>
        </w:rPr>
      </w:r>
      <w:r>
        <w:rPr/>
        <w:t>第十二节</w:t>
      </w:r>
      <w:r>
        <w:rPr>
          <w:spacing w:val="-6"/>
        </w:rPr>
        <w:t> </w:t>
      </w:r>
      <w:r>
        <w:rPr/>
        <w:t>备查文件目录</w:t>
      </w:r>
      <w:r>
        <w:rPr>
          <w:b w:val="0"/>
          <w:bCs w:val="0"/>
        </w:rPr>
      </w:r>
    </w:p>
    <w:p>
      <w:pPr>
        <w:spacing w:line="240" w:lineRule="auto" w:before="10"/>
        <w:rPr>
          <w:rFonts w:ascii="宋体" w:hAnsi="宋体" w:cs="宋体" w:eastAsia="宋体" w:hint="default"/>
          <w:b/>
          <w:bCs/>
          <w:sz w:val="46"/>
          <w:szCs w:val="46"/>
        </w:rPr>
      </w:pPr>
    </w:p>
    <w:p>
      <w:pPr>
        <w:pStyle w:val="BodyText"/>
        <w:spacing w:line="408" w:lineRule="auto"/>
        <w:ind w:right="1654"/>
        <w:jc w:val="both"/>
      </w:pPr>
      <w:r>
        <w:rPr>
          <w:spacing w:val="-2"/>
        </w:rPr>
        <w:t>一、载有公司法定代表人、主管会计工作负责人、会计主管人员签名并盖章的财务报表。</w:t>
      </w:r>
      <w:r>
        <w:rPr>
          <w:spacing w:val="-31"/>
        </w:rPr>
        <w:t> </w:t>
      </w:r>
      <w:r>
        <w:rPr>
          <w:spacing w:val="-31"/>
        </w:rPr>
      </w:r>
      <w:r>
        <w:rPr>
          <w:spacing w:val="-2"/>
        </w:rPr>
        <w:t>二、报告期内在中国证监会指定网站上公开披露过的所有公司文件的正本及公告的原稿。</w:t>
      </w:r>
      <w:r>
        <w:rPr>
          <w:spacing w:val="-31"/>
        </w:rPr>
        <w:t> </w:t>
      </w:r>
      <w:r>
        <w:rPr>
          <w:spacing w:val="-31"/>
        </w:rPr>
      </w:r>
      <w:r>
        <w:rPr/>
        <w:t>三、经公司法定代表人签名的</w:t>
      </w:r>
      <w:r>
        <w:rPr>
          <w:rFonts w:ascii="Times New Roman" w:hAnsi="Times New Roman" w:cs="Times New Roman" w:eastAsia="Times New Roman" w:hint="default"/>
        </w:rPr>
        <w:t>2017</w:t>
      </w:r>
      <w:r>
        <w:rPr/>
        <w:t>年年度报告文本原件。</w:t>
      </w:r>
    </w:p>
    <w:p>
      <w:pPr>
        <w:pStyle w:val="BodyText"/>
        <w:spacing w:line="240" w:lineRule="auto" w:before="14"/>
        <w:ind w:right="0"/>
        <w:jc w:val="both"/>
      </w:pPr>
      <w:r>
        <w:rPr/>
        <w:t>四、其他有关资料。</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8"/>
        <w:ind w:right="0"/>
        <w:jc w:val="both"/>
      </w:pPr>
      <w:r>
        <w:rPr/>
        <w:t>以上备查文件的备置地点：董事会办公室。</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pStyle w:val="BodyText"/>
        <w:spacing w:line="240" w:lineRule="auto"/>
        <w:ind w:left="0" w:right="105"/>
        <w:jc w:val="right"/>
        <w:rPr>
          <w:rFonts w:ascii="宋体" w:hAnsi="宋体" w:cs="宋体" w:eastAsia="宋体" w:hint="default"/>
        </w:rPr>
      </w:pPr>
      <w:r>
        <w:rPr>
          <w:spacing w:val="-2"/>
        </w:rPr>
        <w:t>上海天玑科技股份有限公司</w:t>
      </w:r>
      <w:r>
        <w:rPr>
          <w:rFonts w:ascii="宋体" w:hAnsi="宋体" w:cs="宋体" w:eastAsia="宋体" w:hint="default"/>
          <w:spacing w:val="-2"/>
        </w:rPr>
        <w:t> </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BodyText"/>
        <w:spacing w:line="240" w:lineRule="auto" w:before="36"/>
        <w:ind w:left="193" w:right="101"/>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t>董事长：陆文雄</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BodyText"/>
        <w:spacing w:line="240" w:lineRule="auto" w:before="36"/>
        <w:ind w:left="352" w:right="101"/>
        <w:jc w:val="left"/>
      </w:pP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rPr>
        <w:t>2018</w:t>
      </w:r>
      <w:r>
        <w:rPr/>
        <w:t>年</w:t>
      </w:r>
      <w:r>
        <w:rPr>
          <w:rFonts w:ascii="宋体" w:hAnsi="宋体" w:cs="宋体" w:eastAsia="宋体" w:hint="default"/>
        </w:rPr>
        <w:t>4</w:t>
      </w:r>
      <w:r>
        <w:rPr/>
        <w:t>月</w:t>
      </w:r>
      <w:r>
        <w:rPr>
          <w:rFonts w:ascii="宋体" w:hAnsi="宋体" w:cs="宋体" w:eastAsia="宋体" w:hint="default"/>
        </w:rPr>
        <w:t>9</w:t>
      </w:r>
      <w:r>
        <w:rPr/>
        <w:t>日</w:t>
      </w:r>
    </w:p>
    <w:sectPr>
      <w:pgSz w:w="11910" w:h="16840"/>
      <w:pgMar w:header="745" w:footer="979" w:top="1060" w:bottom="1160" w:left="980" w:right="9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方正舒体">
    <w:altName w:val="方正舒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099976pt;margin-top:795.637939pt;width:6.5pt;height:11pt;mso-position-horizontal-relative:page;mso-position-vertical-relative:page;z-index:-101689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57947pt;width:17.7pt;height:11pt;mso-position-horizontal-relative:page;mso-position-vertical-relative:page;z-index:-10166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r>
                  <w:rPr>
                    <w:rFonts w:ascii="Times New Roman"/>
                    <w:spacing w:val="1"/>
                    <w:sz w:val="18"/>
                  </w:rPr>
                </w:r>
                <w:r>
                  <w:rPr>
                    <w:rFonts w:ascii="Times New Roman"/>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57947pt;width:17.7pt;height:11pt;mso-position-horizontal-relative:page;mso-position-vertical-relative:page;z-index:-10166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125</w:t>
                </w:r>
                <w:r>
                  <w:rPr/>
                  <w:fldChar w:fldCharType="end"/>
                </w:r>
                <w:r>
                  <w:rPr>
                    <w:rFonts w:ascii="Times New Roman"/>
                    <w:spacing w:val="1"/>
                    <w:sz w:val="18"/>
                  </w:rPr>
                </w:r>
                <w:r>
                  <w:rPr>
                    <w:rFonts w:ascii="Times New Roman"/>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57947pt;width:17.7pt;height:11pt;mso-position-horizontal-relative:page;mso-position-vertical-relative:page;z-index:-10166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133</w:t>
                </w:r>
                <w:r>
                  <w:rPr/>
                  <w:fldChar w:fldCharType="end"/>
                </w:r>
                <w:r>
                  <w:rPr>
                    <w:rFonts w:ascii="Times New Roman"/>
                    <w:spacing w:val="1"/>
                    <w:sz w:val="18"/>
                  </w:rPr>
                </w:r>
                <w:r>
                  <w:rPr>
                    <w:rFonts w:ascii="Times New Roman"/>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099976pt;margin-top:781.957947pt;width:15.7pt;height:11pt;mso-position-horizontal-relative:page;mso-position-vertical-relative:page;z-index:-101660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200</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57947pt;width:17.7pt;height:11pt;mso-position-horizontal-relative:page;mso-position-vertical-relative:page;z-index:-10165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201</w:t>
                </w:r>
                <w:r>
                  <w:rPr/>
                  <w:fldChar w:fldCharType="end"/>
                </w:r>
                <w:r>
                  <w:rPr>
                    <w:rFonts w:ascii="Times New Roman"/>
                    <w:spacing w:val="1"/>
                    <w:sz w:val="18"/>
                  </w:rPr>
                </w:r>
                <w:r>
                  <w:rPr>
                    <w:rFonts w:ascii="Times New Roman"/>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57947pt;width:13.15pt;height:11pt;mso-position-horizontal-relative:page;mso-position-vertical-relative:page;z-index:-10168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r>
                <w:r>
                  <w:rPr>
                    <w:rFonts w:ascii="Times New Roman"/>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57947pt;width:13.15pt;height:11pt;mso-position-horizontal-relative:page;mso-position-vertical-relative:page;z-index:-10168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37</w:t>
                </w:r>
                <w:r>
                  <w:rPr/>
                  <w:fldChar w:fldCharType="end"/>
                </w:r>
                <w:r>
                  <w:rPr>
                    <w:rFonts w:ascii="Times New Roman"/>
                    <w:spacing w:val="1"/>
                    <w:sz w:val="18"/>
                  </w:rPr>
                </w:r>
                <w:r>
                  <w:rPr>
                    <w:rFonts w:ascii="Times New Roman"/>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57947pt;width:13.15pt;height:11pt;mso-position-horizontal-relative:page;mso-position-vertical-relative:page;z-index:-10168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40</w:t>
                </w:r>
                <w:r>
                  <w:rPr/>
                  <w:fldChar w:fldCharType="end"/>
                </w:r>
                <w:r>
                  <w:rPr>
                    <w:rFonts w:ascii="Times New Roman"/>
                    <w:spacing w:val="1"/>
                    <w:sz w:val="18"/>
                  </w:rPr>
                </w:r>
                <w:r>
                  <w:rPr>
                    <w:rFonts w:ascii="Times New Roman"/>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57947pt;width:13.15pt;height:11pt;mso-position-horizontal-relative:page;mso-position-vertical-relative:page;z-index:-10168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41</w:t>
                </w:r>
                <w:r>
                  <w:rPr/>
                  <w:fldChar w:fldCharType="end"/>
                </w:r>
                <w:r>
                  <w:rPr>
                    <w:rFonts w:ascii="Times New Roman"/>
                    <w:spacing w:val="1"/>
                    <w:sz w:val="18"/>
                  </w:rPr>
                </w:r>
                <w:r>
                  <w:rPr>
                    <w:rFonts w:ascii="Times New Roman"/>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57947pt;width:13.15pt;height:11pt;mso-position-horizontal-relative:page;mso-position-vertical-relative:page;z-index:-10167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84</w:t>
                </w:r>
                <w:r>
                  <w:rPr/>
                  <w:fldChar w:fldCharType="end"/>
                </w:r>
                <w:r>
                  <w:rPr>
                    <w:rFonts w:ascii="Times New Roman"/>
                    <w:spacing w:val="1"/>
                    <w:sz w:val="18"/>
                  </w:rPr>
                </w:r>
                <w:r>
                  <w:rPr>
                    <w:rFonts w:ascii="Times New Roman"/>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099976pt;margin-top:781.957947pt;width:15.7pt;height:11pt;mso-position-horizontal-relative:page;mso-position-vertical-relative:page;z-index:-101675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57947pt;width:17.7pt;height:11pt;mso-position-horizontal-relative:page;mso-position-vertical-relative:page;z-index:-10167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r>
                  <w:rPr>
                    <w:rFonts w:ascii="Times New Roman"/>
                    <w:spacing w:val="1"/>
                    <w:sz w:val="18"/>
                  </w:rPr>
                </w:r>
                <w:r>
                  <w:rPr>
                    <w:rFonts w:ascii="Times New Roman"/>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460022pt;margin-top:781.957947pt;width:17.3pt;height:11pt;mso-position-horizontal-relative:page;mso-position-vertical-relative:page;z-index:-10167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44.070007pt;margin-top:36.265610pt;width:195.75pt;height:11.5pt;mso-position-horizontal-relative:page;mso-position-vertical-relative:page;z-index:-101692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上海天玑科技股份有限公司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315"/>
      <w:ind w:left="152"/>
    </w:pPr>
    <w:rPr>
      <w:rFonts w:ascii="宋体" w:hAnsi="宋体" w:eastAsia="宋体"/>
      <w:b/>
      <w:bCs/>
      <w:sz w:val="24"/>
      <w:szCs w:val="24"/>
    </w:rPr>
  </w:style>
  <w:style w:styleId="BodyText" w:type="paragraph">
    <w:name w:val="Body Text"/>
    <w:basedOn w:val="Normal"/>
    <w:uiPriority w:val="1"/>
    <w:qFormat/>
    <w:pPr>
      <w:ind w:left="152"/>
    </w:pPr>
    <w:rPr>
      <w:rFonts w:ascii="宋体" w:hAnsi="宋体" w:eastAsia="宋体"/>
      <w:sz w:val="21"/>
      <w:szCs w:val="21"/>
    </w:rPr>
  </w:style>
  <w:style w:styleId="Heading1" w:type="paragraph">
    <w:name w:val="Heading 1"/>
    <w:basedOn w:val="Normal"/>
    <w:uiPriority w:val="1"/>
    <w:qFormat/>
    <w:pPr>
      <w:ind w:left="2784"/>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4"/>
      <w:szCs w:val="24"/>
    </w:rPr>
  </w:style>
  <w:style w:styleId="Heading3" w:type="paragraph">
    <w:name w:val="Heading 3"/>
    <w:basedOn w:val="Normal"/>
    <w:uiPriority w:val="1"/>
    <w:qFormat/>
    <w:pPr>
      <w:ind w:left="152"/>
      <w:outlineLvl w:val="3"/>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yperlink" Target="http://www.dnt.com.cn/" TargetMode="External"/><Relationship Id="rId9" Type="http://schemas.openxmlformats.org/officeDocument/2006/relationships/hyperlink" Target="mailto:public@dnt.com.cn" TargetMode="External"/><Relationship Id="rId10" Type="http://schemas.openxmlformats.org/officeDocument/2006/relationships/image" Target="media/image1.jpeg"/><Relationship Id="rId11" Type="http://schemas.openxmlformats.org/officeDocument/2006/relationships/image" Target="media/image2.jpeg"/><Relationship Id="rId12" Type="http://schemas.openxmlformats.org/officeDocument/2006/relationships/image" Target="media/image3.jpeg"/><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hyperlink" Target="http://www.cninfo.com.cn/" TargetMode="External"/><Relationship Id="rId17" Type="http://schemas.openxmlformats.org/officeDocument/2006/relationships/hyperlink" Target="http://w/" TargetMode="External"/><Relationship Id="rId18" Type="http://schemas.openxmlformats.org/officeDocument/2006/relationships/hyperlink" Target="http://ww/" TargetMode="External"/><Relationship Id="rId19" Type="http://schemas.openxmlformats.org/officeDocument/2006/relationships/image" Target="media/image4.jpeg"/><Relationship Id="rId20" Type="http://schemas.openxmlformats.org/officeDocument/2006/relationships/footer" Target="footer6.xml"/><Relationship Id="rId21" Type="http://schemas.openxmlformats.org/officeDocument/2006/relationships/hyperlink" Target="http://www.cninfo.com.cn&#20026;&#20844;&#21496;&#20449;&#24687;&#25259;&#38706;&#30340;&#25351;&#23450;&#32593;&#31449;/" TargetMode="External"/><Relationship Id="rId22" Type="http://schemas.openxmlformats.org/officeDocument/2006/relationships/footer" Target="footer7.xml"/><Relationship Id="rId23" Type="http://schemas.openxmlformats.org/officeDocument/2006/relationships/footer" Target="footer8.xml"/><Relationship Id="rId24" Type="http://schemas.openxmlformats.org/officeDocument/2006/relationships/footer" Target="footer9.xml"/><Relationship Id="rId25" Type="http://schemas.openxmlformats.org/officeDocument/2006/relationships/footer" Target="footer10.xml"/><Relationship Id="rId26" Type="http://schemas.openxmlformats.org/officeDocument/2006/relationships/footer" Target="footer11.xml"/><Relationship Id="rId27" Type="http://schemas.openxmlformats.org/officeDocument/2006/relationships/footer" Target="footer12.xml"/><Relationship Id="rId28" Type="http://schemas.openxmlformats.org/officeDocument/2006/relationships/footer" Target="footer13.xml"/><Relationship Id="rId29" Type="http://schemas.openxmlformats.org/officeDocument/2006/relationships/footer" Target="footer1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上海天玑科技股份有限公司</dc:creator>
  <dc:title>上海天玑科技股份有限公司2017年年度报告全文</dc:title>
  <dcterms:created xsi:type="dcterms:W3CDTF">2020-05-03T00:19:26Z</dcterms:created>
  <dcterms:modified xsi:type="dcterms:W3CDTF">2020-05-03T00:19:26Z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2018-04-10T00:00:00Z</vt:filetime>
  </property>
  <property fmtid="{D5CDD505-2E9C-101B-9397-08002B2CF9AE}" pid="3" name="Creator">
    <vt:lpwstr>Microsoft® Word 2010</vt:lpwstr>
  </property>
  <property fmtid="{D5CDD505-2E9C-101B-9397-08002B2CF9AE}" pid="4" name="LastSaved">
    <vt:filetime>2020-05-02T00:00:00Z</vt:filetime>
  </property>
</Properties>
</file>