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667" w:lineRule="exact" w:before="0"/>
        <w:ind w:left="1572" w:right="1572" w:firstLine="0"/>
        <w:jc w:val="center"/>
        <w:rPr>
          <w:rFonts w:ascii="等线" w:hAnsi="等线" w:cs="等线" w:eastAsia="等线" w:hint="default"/>
          <w:sz w:val="52"/>
          <w:szCs w:val="52"/>
        </w:rPr>
      </w:pPr>
      <w:r>
        <w:rPr>
          <w:rFonts w:ascii="等线" w:hAnsi="等线" w:cs="等线" w:eastAsia="等线" w:hint="default"/>
          <w:b/>
          <w:bCs/>
          <w:sz w:val="52"/>
          <w:szCs w:val="52"/>
        </w:rPr>
        <w:t>郑州新开普电子股份有限公司</w:t>
      </w:r>
      <w:r>
        <w:rPr>
          <w:rFonts w:ascii="等线" w:hAnsi="等线" w:cs="等线" w:eastAsia="等线" w:hint="default"/>
          <w:sz w:val="52"/>
          <w:szCs w:val="52"/>
        </w:rPr>
      </w:r>
    </w:p>
    <w:p>
      <w:pPr>
        <w:spacing w:line="240" w:lineRule="auto" w:before="6"/>
        <w:rPr>
          <w:rFonts w:ascii="等线" w:hAnsi="等线" w:cs="等线" w:eastAsia="等线" w:hint="default"/>
          <w:b/>
          <w:bCs/>
          <w:sz w:val="51"/>
          <w:szCs w:val="51"/>
        </w:rPr>
      </w:pPr>
    </w:p>
    <w:p>
      <w:pPr>
        <w:spacing w:before="0"/>
        <w:ind w:left="1572" w:right="1570" w:firstLine="0"/>
        <w:jc w:val="center"/>
        <w:rPr>
          <w:rFonts w:ascii="Times New Roman" w:hAnsi="Times New Roman" w:cs="Times New Roman" w:eastAsia="Times New Roman" w:hint="default"/>
          <w:sz w:val="30"/>
          <w:szCs w:val="30"/>
        </w:rPr>
      </w:pPr>
      <w:r>
        <w:rPr>
          <w:rFonts w:ascii="Times New Roman"/>
          <w:sz w:val="30"/>
        </w:rPr>
        <w:t>Zhengzhou Newcapec Electronics Co.,</w:t>
      </w:r>
      <w:r>
        <w:rPr>
          <w:rFonts w:ascii="Times New Roman"/>
          <w:spacing w:val="-11"/>
          <w:sz w:val="30"/>
        </w:rPr>
        <w:t> </w:t>
      </w:r>
      <w:r>
        <w:rPr>
          <w:rFonts w:ascii="Times New Roman"/>
          <w:sz w:val="30"/>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p>
      <w:pPr>
        <w:spacing w:line="1874" w:lineRule="exact"/>
        <w:ind w:left="36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741456" cy="119014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41456" cy="1190148"/>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line="667" w:lineRule="exact" w:before="0"/>
        <w:ind w:left="1572" w:right="1572" w:firstLine="0"/>
        <w:jc w:val="center"/>
        <w:rPr>
          <w:rFonts w:ascii="等线" w:hAnsi="等线" w:cs="等线" w:eastAsia="等线" w:hint="default"/>
          <w:sz w:val="52"/>
          <w:szCs w:val="52"/>
        </w:rPr>
      </w:pPr>
      <w:r>
        <w:rPr>
          <w:rFonts w:ascii="等线" w:hAnsi="等线" w:cs="等线" w:eastAsia="等线" w:hint="default"/>
          <w:b/>
          <w:bCs/>
          <w:w w:val="95"/>
          <w:sz w:val="52"/>
          <w:szCs w:val="52"/>
        </w:rPr>
        <w:t>2012</w:t>
      </w:r>
      <w:r>
        <w:rPr>
          <w:rFonts w:ascii="等线" w:hAnsi="等线" w:cs="等线" w:eastAsia="等线" w:hint="default"/>
          <w:b/>
          <w:bCs/>
          <w:spacing w:val="83"/>
          <w:w w:val="95"/>
          <w:sz w:val="52"/>
          <w:szCs w:val="52"/>
        </w:rPr>
        <w:t> </w:t>
      </w:r>
      <w:r>
        <w:rPr>
          <w:rFonts w:ascii="等线" w:hAnsi="等线" w:cs="等线" w:eastAsia="等线" w:hint="default"/>
          <w:b/>
          <w:bCs/>
          <w:w w:val="95"/>
          <w:sz w:val="52"/>
          <w:szCs w:val="52"/>
        </w:rPr>
        <w:t>年年度报告</w:t>
      </w:r>
      <w:r>
        <w:rPr>
          <w:rFonts w:ascii="等线" w:hAnsi="等线" w:cs="等线" w:eastAsia="等线" w:hint="default"/>
          <w:sz w:val="52"/>
          <w:szCs w:val="52"/>
        </w:rPr>
      </w:r>
    </w:p>
    <w:p>
      <w:pPr>
        <w:spacing w:line="240" w:lineRule="auto" w:before="0"/>
        <w:rPr>
          <w:rFonts w:ascii="等线" w:hAnsi="等线" w:cs="等线" w:eastAsia="等线" w:hint="default"/>
          <w:b/>
          <w:bCs/>
          <w:sz w:val="52"/>
          <w:szCs w:val="52"/>
        </w:rPr>
      </w:pPr>
    </w:p>
    <w:p>
      <w:pPr>
        <w:spacing w:line="240" w:lineRule="auto" w:before="9"/>
        <w:rPr>
          <w:rFonts w:ascii="等线" w:hAnsi="等线" w:cs="等线" w:eastAsia="等线" w:hint="default"/>
          <w:b/>
          <w:bCs/>
          <w:sz w:val="42"/>
          <w:szCs w:val="42"/>
        </w:rPr>
      </w:pPr>
    </w:p>
    <w:p>
      <w:pPr>
        <w:spacing w:line="324" w:lineRule="auto" w:before="0"/>
        <w:ind w:left="3453" w:right="3451" w:firstLine="0"/>
        <w:jc w:val="center"/>
        <w:rPr>
          <w:rFonts w:ascii="等线" w:hAnsi="等线" w:cs="等线" w:eastAsia="等线" w:hint="default"/>
          <w:sz w:val="36"/>
          <w:szCs w:val="36"/>
        </w:rPr>
      </w:pPr>
      <w:r>
        <w:rPr>
          <w:rFonts w:ascii="等线" w:hAnsi="等线" w:cs="等线" w:eastAsia="等线" w:hint="default"/>
          <w:b/>
          <w:bCs/>
          <w:sz w:val="36"/>
          <w:szCs w:val="36"/>
        </w:rPr>
        <w:t>股票代码：300248</w:t>
      </w:r>
      <w:r>
        <w:rPr>
          <w:rFonts w:ascii="等线" w:hAnsi="等线" w:cs="等线" w:eastAsia="等线" w:hint="default"/>
          <w:b/>
          <w:bCs/>
          <w:spacing w:val="1"/>
          <w:w w:val="96"/>
          <w:sz w:val="36"/>
          <w:szCs w:val="36"/>
        </w:rPr>
        <w:t> </w:t>
      </w:r>
      <w:r>
        <w:rPr>
          <w:rFonts w:ascii="等线" w:hAnsi="等线" w:cs="等线" w:eastAsia="等线" w:hint="default"/>
          <w:b/>
          <w:bCs/>
          <w:sz w:val="36"/>
          <w:szCs w:val="36"/>
        </w:rPr>
        <w:t>股票简称：新开普</w:t>
      </w:r>
      <w:r>
        <w:rPr>
          <w:rFonts w:ascii="等线" w:hAnsi="等线" w:cs="等线" w:eastAsia="等线" w:hint="default"/>
          <w:sz w:val="36"/>
          <w:szCs w:val="36"/>
        </w:rPr>
      </w:r>
    </w:p>
    <w:p>
      <w:pPr>
        <w:spacing w:line="240" w:lineRule="auto" w:before="5"/>
        <w:rPr>
          <w:rFonts w:ascii="等线" w:hAnsi="等线" w:cs="等线" w:eastAsia="等线" w:hint="default"/>
          <w:b/>
          <w:bCs/>
          <w:sz w:val="29"/>
          <w:szCs w:val="29"/>
        </w:rPr>
      </w:pPr>
    </w:p>
    <w:p>
      <w:pPr>
        <w:spacing w:before="0"/>
        <w:ind w:left="1572" w:right="1572" w:firstLine="0"/>
        <w:jc w:val="center"/>
        <w:rPr>
          <w:rFonts w:ascii="等线" w:hAnsi="等线" w:cs="等线" w:eastAsia="等线" w:hint="default"/>
          <w:sz w:val="36"/>
          <w:szCs w:val="36"/>
        </w:rPr>
      </w:pPr>
      <w:r>
        <w:rPr>
          <w:rFonts w:ascii="等线" w:hAnsi="等线" w:cs="等线" w:eastAsia="等线" w:hint="default"/>
          <w:b/>
          <w:bCs/>
          <w:sz w:val="36"/>
          <w:szCs w:val="36"/>
        </w:rPr>
        <w:t>披露日期：2013</w:t>
      </w:r>
      <w:r>
        <w:rPr>
          <w:rFonts w:ascii="等线" w:hAnsi="等线" w:cs="等线" w:eastAsia="等线" w:hint="default"/>
          <w:b/>
          <w:bCs/>
          <w:spacing w:val="-34"/>
          <w:sz w:val="36"/>
          <w:szCs w:val="36"/>
        </w:rPr>
        <w:t> </w:t>
      </w:r>
      <w:r>
        <w:rPr>
          <w:rFonts w:ascii="等线" w:hAnsi="等线" w:cs="等线" w:eastAsia="等线" w:hint="default"/>
          <w:b/>
          <w:bCs/>
          <w:sz w:val="36"/>
          <w:szCs w:val="36"/>
        </w:rPr>
        <w:t>年</w:t>
      </w:r>
      <w:r>
        <w:rPr>
          <w:rFonts w:ascii="等线" w:hAnsi="等线" w:cs="等线" w:eastAsia="等线" w:hint="default"/>
          <w:b/>
          <w:bCs/>
          <w:spacing w:val="-34"/>
          <w:sz w:val="36"/>
          <w:szCs w:val="36"/>
        </w:rPr>
        <w:t> </w:t>
      </w:r>
      <w:r>
        <w:rPr>
          <w:rFonts w:ascii="等线" w:hAnsi="等线" w:cs="等线" w:eastAsia="等线" w:hint="default"/>
          <w:b/>
          <w:bCs/>
          <w:sz w:val="36"/>
          <w:szCs w:val="36"/>
        </w:rPr>
        <w:t>3</w:t>
      </w:r>
      <w:r>
        <w:rPr>
          <w:rFonts w:ascii="等线" w:hAnsi="等线" w:cs="等线" w:eastAsia="等线" w:hint="default"/>
          <w:b/>
          <w:bCs/>
          <w:spacing w:val="-34"/>
          <w:sz w:val="36"/>
          <w:szCs w:val="36"/>
        </w:rPr>
        <w:t> </w:t>
      </w:r>
      <w:r>
        <w:rPr>
          <w:rFonts w:ascii="等线" w:hAnsi="等线" w:cs="等线" w:eastAsia="等线" w:hint="default"/>
          <w:b/>
          <w:bCs/>
          <w:sz w:val="36"/>
          <w:szCs w:val="36"/>
        </w:rPr>
        <w:t>月</w:t>
      </w:r>
      <w:r>
        <w:rPr>
          <w:rFonts w:ascii="等线" w:hAnsi="等线" w:cs="等线" w:eastAsia="等线" w:hint="default"/>
          <w:b/>
          <w:bCs/>
          <w:spacing w:val="-34"/>
          <w:sz w:val="36"/>
          <w:szCs w:val="36"/>
        </w:rPr>
        <w:t> </w:t>
      </w:r>
      <w:r>
        <w:rPr>
          <w:rFonts w:ascii="等线" w:hAnsi="等线" w:cs="等线" w:eastAsia="等线" w:hint="default"/>
          <w:b/>
          <w:bCs/>
          <w:sz w:val="36"/>
          <w:szCs w:val="36"/>
        </w:rPr>
        <w:t>28</w:t>
      </w:r>
      <w:r>
        <w:rPr>
          <w:rFonts w:ascii="等线" w:hAnsi="等线" w:cs="等线" w:eastAsia="等线" w:hint="default"/>
          <w:b/>
          <w:bCs/>
          <w:spacing w:val="-34"/>
          <w:sz w:val="36"/>
          <w:szCs w:val="36"/>
        </w:rPr>
        <w:t> </w:t>
      </w:r>
      <w:r>
        <w:rPr>
          <w:rFonts w:ascii="等线" w:hAnsi="等线" w:cs="等线" w:eastAsia="等线" w:hint="default"/>
          <w:b/>
          <w:bCs/>
          <w:sz w:val="36"/>
          <w:szCs w:val="36"/>
        </w:rPr>
        <w:t>日</w:t>
      </w:r>
      <w:r>
        <w:rPr>
          <w:rFonts w:ascii="等线" w:hAnsi="等线" w:cs="等线" w:eastAsia="等线" w:hint="default"/>
          <w:sz w:val="36"/>
          <w:szCs w:val="36"/>
        </w:rPr>
      </w:r>
    </w:p>
    <w:p>
      <w:pPr>
        <w:spacing w:after="0"/>
        <w:jc w:val="center"/>
        <w:rPr>
          <w:rFonts w:ascii="等线" w:hAnsi="等线" w:cs="等线" w:eastAsia="等线" w:hint="default"/>
          <w:sz w:val="36"/>
          <w:szCs w:val="36"/>
        </w:rPr>
        <w:sectPr>
          <w:headerReference w:type="default" r:id="rId5"/>
          <w:footerReference w:type="default" r:id="rId6"/>
          <w:type w:val="continuous"/>
          <w:pgSz w:w="11910" w:h="16840"/>
          <w:pgMar w:header="851" w:footer="982" w:top="1220" w:bottom="1180" w:left="980" w:right="980"/>
          <w:pgNumType w:start="1"/>
        </w:sectPr>
      </w:pPr>
    </w:p>
    <w:p>
      <w:pPr>
        <w:spacing w:line="240" w:lineRule="auto" w:before="2"/>
        <w:rPr>
          <w:rFonts w:ascii="等线" w:hAnsi="等线" w:cs="等线" w:eastAsia="等线" w:hint="default"/>
          <w:b/>
          <w:bCs/>
          <w:sz w:val="23"/>
          <w:szCs w:val="23"/>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公司负责人杨维国、主管会计工作负责人李玉玲及会计机构负责人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张翀声明：保证年度报告中财务报告的真实、准确、完整。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4"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本报告中如有涉及未来的计划、业绩预测等方面的内容，均不构成本公司</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851" w:footer="982" w:top="122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line="460" w:lineRule="exact" w:before="0"/>
        <w:ind w:left="1572" w:right="157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1" w:val="right" w:leader="dot"/>
            </w:tabs>
            <w:spacing w:line="240" w:lineRule="auto" w:before="238"/>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before="332"/>
            <w:ind w:left="153" w:right="0"/>
            <w:jc w:val="left"/>
            <w:rPr>
              <w:rFonts w:ascii="Times New Roman" w:hAnsi="Times New Roman" w:cs="Times New Roman" w:eastAsia="Times New Roman" w:hint="default"/>
              <w:b w:val="0"/>
              <w:bCs w:val="0"/>
            </w:rPr>
          </w:pPr>
          <w:hyperlink w:history="true" w:anchor="_TOC_250007">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6">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1" w:val="right" w:leader="dot"/>
            </w:tabs>
            <w:spacing w:line="240" w:lineRule="auto" w:before="332"/>
            <w:ind w:right="0"/>
            <w:jc w:val="left"/>
            <w:rPr>
              <w:rFonts w:ascii="Times New Roman" w:hAnsi="Times New Roman" w:cs="Times New Roman" w:eastAsia="Times New Roman" w:hint="default"/>
              <w:b w:val="0"/>
              <w:bCs w:val="0"/>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
              </w:rPr>
              <w:t> </w:t>
            </w:r>
            <w:r>
              <w:rPr/>
              <w:t>公司治理</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1" w:val="right" w:leader="dot"/>
            </w:tabs>
            <w:spacing w:line="240" w:lineRule="auto" w:before="332"/>
            <w:ind w:right="0"/>
            <w:jc w:val="left"/>
            <w:rPr>
              <w:rFonts w:ascii="Times New Roman" w:hAnsi="Times New Roman" w:cs="Times New Roman" w:eastAsia="Times New Roman" w:hint="default"/>
              <w:b w:val="0"/>
              <w:bCs w:val="0"/>
            </w:rPr>
          </w:pPr>
          <w:hyperlink w:history="true" w:anchor="_TOC_250001">
            <w:r>
              <w:rPr/>
              <w:t>第九节</w:t>
            </w:r>
            <w:r>
              <w:rPr>
                <w:spacing w:val="-1"/>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 备查文件目录</w:t>
            </w:r>
            <w:r>
              <w:rPr>
                <w:rFonts w:ascii="Times New Roman" w:hAnsi="Times New Roman" w:cs="Times New Roman" w:eastAsia="Times New Roman" w:hint="default"/>
              </w:rPr>
              <w:tab/>
              <w:t>182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1" w:footer="982" w:top="1220" w:bottom="1180" w:left="980" w:right="980"/>
        </w:sectPr>
      </w:pPr>
    </w:p>
    <w:p>
      <w:pPr>
        <w:spacing w:before="914"/>
        <w:ind w:left="1572" w:right="157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本公司、公司、新开普</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子公司、正普软件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郑州正普软件科技有限公司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保荐机构</w:t>
            </w:r>
            <w:r>
              <w:rPr>
                <w:rFonts w:ascii="Times New Roman" w:hAnsi="Times New Roman" w:cs="Times New Roman" w:eastAsia="Times New Roman" w:hint="default"/>
                <w:sz w:val="18"/>
                <w:szCs w:val="18"/>
              </w:rPr>
              <w:t>/</w:t>
            </w:r>
            <w:r>
              <w:rPr>
                <w:rFonts w:ascii="宋体" w:hAnsi="宋体" w:cs="宋体" w:eastAsia="宋体" w:hint="default"/>
                <w:sz w:val="18"/>
                <w:szCs w:val="18"/>
              </w:rPr>
              <w:t>持续督导机构</w:t>
            </w:r>
            <w:r>
              <w:rPr>
                <w:rFonts w:ascii="Times New Roman" w:hAnsi="Times New Roman" w:cs="Times New Roman" w:eastAsia="Times New Roman" w:hint="default"/>
                <w:sz w:val="18"/>
                <w:szCs w:val="18"/>
              </w:rPr>
              <w:t>/</w:t>
            </w:r>
            <w:r>
              <w:rPr>
                <w:rFonts w:ascii="宋体" w:hAnsi="宋体" w:cs="宋体" w:eastAsia="宋体" w:hint="default"/>
                <w:sz w:val="18"/>
                <w:szCs w:val="18"/>
              </w:rPr>
              <w:t>南京证券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南京证券有限责任公司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363"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 Identification</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的缩写，即射频识别技术，是一种利用</w:t>
            </w:r>
          </w:p>
        </w:tc>
      </w:tr>
      <w:tr>
        <w:trPr>
          <w:trHeight w:val="267"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射频通信实现的非接触式数据采集技术</w:t>
            </w:r>
            <w:r>
              <w:rPr>
                <w:rFonts w:ascii="Times New Roman" w:hAnsi="Times New Roman" w:cs="Times New Roman" w:eastAsia="Times New Roman" w:hint="default"/>
                <w:sz w:val="18"/>
                <w:szCs w:val="18"/>
              </w:rPr>
              <w:t>,</w:t>
            </w:r>
            <w:r>
              <w:rPr>
                <w:rFonts w:ascii="宋体" w:hAnsi="宋体" w:cs="宋体" w:eastAsia="宋体" w:hint="default"/>
                <w:sz w:val="18"/>
                <w:szCs w:val="18"/>
              </w:rPr>
              <w:t>它通过射频信号自动识别目</w:t>
            </w:r>
          </w:p>
        </w:tc>
      </w:tr>
      <w:tr>
        <w:trPr>
          <w:trHeight w:val="392" w:hRule="exact"/>
        </w:trPr>
        <w:tc>
          <w:tcPr>
            <w:tcW w:w="3524" w:type="dxa"/>
            <w:tcBorders>
              <w:top w:val="nil" w:sz="6" w:space="0" w:color="auto"/>
              <w:left w:val="single" w:sz="4" w:space="0" w:color="000000"/>
              <w:bottom w:val="nil" w:sz="6" w:space="0" w:color="auto"/>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RFID</w:t>
            </w: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9" w:space="0" w:color="D3D3D3"/>
              <w:bottom w:val="nil" w:sz="6" w:space="0" w:color="auto"/>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pacing w:val="-2"/>
                <w:sz w:val="18"/>
                <w:szCs w:val="18"/>
              </w:rPr>
              <w:t>标对象并获取相关数据。在单一芯片上结合感应式读卡器、感应式卡</w:t>
            </w:r>
          </w:p>
        </w:tc>
      </w:tr>
      <w:tr>
        <w:trPr>
          <w:trHeight w:val="273"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片和点对点的功能，通过频谱中无线频率部分的电磁感应耦合方式传</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递信息，传输范围由于频率不同分为中低频和高频两类</w:t>
            </w:r>
          </w:p>
        </w:tc>
      </w:tr>
      <w:tr>
        <w:trPr>
          <w:trHeight w:val="363"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 </w:t>
            </w:r>
            <w:r>
              <w:rPr>
                <w:rFonts w:ascii="Times New Roman" w:hAnsi="Times New Roman" w:cs="Times New Roman" w:eastAsia="Times New Roman" w:hint="default"/>
                <w:sz w:val="18"/>
                <w:szCs w:val="18"/>
              </w:rPr>
              <w:t>(Integrated Circuit Card</w:t>
            </w:r>
            <w:r>
              <w:rPr>
                <w:rFonts w:ascii="宋体" w:hAnsi="宋体" w:cs="宋体" w:eastAsia="宋体" w:hint="default"/>
                <w:sz w:val="18"/>
                <w:szCs w:val="18"/>
              </w:rPr>
              <w:t>，集成电路卡</w:t>
            </w:r>
            <w:r>
              <w:rPr>
                <w:rFonts w:ascii="Times New Roman" w:hAnsi="Times New Roman" w:cs="Times New Roman" w:eastAsia="Times New Roman" w:hint="default"/>
                <w:sz w:val="18"/>
                <w:szCs w:val="18"/>
              </w:rPr>
              <w:t>)</w:t>
            </w:r>
            <w:r>
              <w:rPr>
                <w:rFonts w:ascii="宋体" w:hAnsi="宋体" w:cs="宋体" w:eastAsia="宋体" w:hint="default"/>
                <w:sz w:val="18"/>
                <w:szCs w:val="18"/>
              </w:rPr>
              <w:t>也称智能卡</w:t>
            </w:r>
            <w:r>
              <w:rPr>
                <w:rFonts w:ascii="Times New Roman" w:hAnsi="Times New Roman" w:cs="Times New Roman" w:eastAsia="Times New Roman" w:hint="default"/>
                <w:sz w:val="18"/>
                <w:szCs w:val="18"/>
              </w:rPr>
              <w:t>(Smart</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w:t>
            </w:r>
          </w:p>
        </w:tc>
      </w:tr>
      <w:tr>
        <w:trPr>
          <w:trHeight w:val="111" w:hRule="exact"/>
        </w:trPr>
        <w:tc>
          <w:tcPr>
            <w:tcW w:w="3524" w:type="dxa"/>
            <w:vMerge w:val="restart"/>
            <w:tcBorders>
              <w:top w:val="nil" w:sz="6" w:space="0" w:color="auto"/>
              <w:left w:val="single" w:sz="4" w:space="0" w:color="000000"/>
              <w:right w:val="single" w:sz="13" w:space="0" w:color="D3D3D3"/>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w:t>
            </w: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vMerge w:val="restart"/>
            <w:tcBorders>
              <w:top w:val="nil" w:sz="6" w:space="0" w:color="auto"/>
              <w:left w:val="single" w:sz="9" w:space="0" w:color="D3D3D3"/>
              <w:right w:val="single" w:sz="4" w:space="0" w:color="000000"/>
            </w:tcBorders>
          </w:tcPr>
          <w:p>
            <w:pPr>
              <w:pStyle w:val="TableParagraph"/>
              <w:spacing w:line="300" w:lineRule="auto" w:before="5"/>
              <w:ind w:left="16" w:right="20"/>
              <w:jc w:val="left"/>
              <w:rPr>
                <w:rFonts w:ascii="宋体" w:hAnsi="宋体" w:cs="宋体" w:eastAsia="宋体" w:hint="default"/>
                <w:sz w:val="18"/>
                <w:szCs w:val="18"/>
              </w:rPr>
            </w:pPr>
            <w:r>
              <w:rPr>
                <w:rFonts w:ascii="宋体" w:hAnsi="宋体" w:cs="宋体" w:eastAsia="宋体" w:hint="default"/>
                <w:sz w:val="18"/>
                <w:szCs w:val="18"/>
              </w:rPr>
              <w:t>智慧卡</w:t>
            </w:r>
            <w:r>
              <w:rPr>
                <w:rFonts w:ascii="Times New Roman" w:hAnsi="Times New Roman" w:cs="Times New Roman" w:eastAsia="Times New Roman" w:hint="default"/>
                <w:sz w:val="18"/>
                <w:szCs w:val="18"/>
              </w:rPr>
              <w:t>(Intelligent card)</w:t>
            </w:r>
            <w:r>
              <w:rPr>
                <w:rFonts w:ascii="宋体" w:hAnsi="宋体" w:cs="宋体" w:eastAsia="宋体" w:hint="default"/>
                <w:sz w:val="18"/>
                <w:szCs w:val="18"/>
              </w:rPr>
              <w:t>、微电路卡</w:t>
            </w:r>
            <w:r>
              <w:rPr>
                <w:rFonts w:ascii="Times New Roman" w:hAnsi="Times New Roman" w:cs="Times New Roman" w:eastAsia="Times New Roman" w:hint="default"/>
                <w:sz w:val="18"/>
                <w:szCs w:val="18"/>
              </w:rPr>
              <w:t>(Microcircuit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或微芯片卡等。 它是将一个微电子芯片嵌入符合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ISO7816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标准的卡基中，做成卡片形</w:t>
            </w:r>
          </w:p>
        </w:tc>
      </w:tr>
      <w:tr>
        <w:trPr>
          <w:trHeight w:val="392" w:hRule="exact"/>
        </w:trPr>
        <w:tc>
          <w:tcPr>
            <w:tcW w:w="3524" w:type="dxa"/>
            <w:vMerge/>
            <w:tcBorders>
              <w:left w:val="single" w:sz="4" w:space="0" w:color="000000"/>
              <w:right w:val="single" w:sz="13"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22" w:hRule="exact"/>
        </w:trPr>
        <w:tc>
          <w:tcPr>
            <w:tcW w:w="3524" w:type="dxa"/>
            <w:vMerge/>
            <w:tcBorders>
              <w:left w:val="single" w:sz="4" w:space="0" w:color="000000"/>
              <w:bottom w:val="nil" w:sz="6" w:space="0" w:color="auto"/>
              <w:right w:val="single" w:sz="13" w:space="0" w:color="D3D3D3"/>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vMerge/>
            <w:tcBorders>
              <w:left w:val="single" w:sz="9" w:space="0" w:color="D3D3D3"/>
              <w:bottom w:val="nil" w:sz="6" w:space="0" w:color="auto"/>
              <w:right w:val="single" w:sz="4" w:space="0" w:color="000000"/>
            </w:tcBorders>
          </w:tcPr>
          <w:p>
            <w:pPr/>
          </w:p>
        </w:tc>
      </w:tr>
      <w:tr>
        <w:trPr>
          <w:trHeight w:val="351"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式</w:t>
            </w:r>
          </w:p>
        </w:tc>
      </w:tr>
      <w:tr>
        <w:trPr>
          <w:trHeight w:val="358"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芯片内含有一个微处理器，功能相当于一台微型计算机。较之普通的</w:t>
            </w:r>
          </w:p>
        </w:tc>
      </w:tr>
      <w:tr>
        <w:trPr>
          <w:trHeight w:val="115" w:hRule="exact"/>
        </w:trPr>
        <w:tc>
          <w:tcPr>
            <w:tcW w:w="3524" w:type="dxa"/>
            <w:vMerge w:val="restart"/>
            <w:tcBorders>
              <w:top w:val="nil" w:sz="6" w:space="0" w:color="auto"/>
              <w:left w:val="single" w:sz="4" w:space="0" w:color="000000"/>
              <w:right w:val="single" w:sz="13" w:space="0" w:color="D3D3D3"/>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vMerge w:val="restart"/>
            <w:tcBorders>
              <w:top w:val="nil" w:sz="6" w:space="0" w:color="auto"/>
              <w:left w:val="single" w:sz="9" w:space="0" w:color="D3D3D3"/>
              <w:right w:val="single" w:sz="4" w:space="0" w:color="000000"/>
            </w:tcBorders>
          </w:tcPr>
          <w:p>
            <w:pPr>
              <w:pStyle w:val="TableParagraph"/>
              <w:spacing w:line="300" w:lineRule="auto" w:before="10"/>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卡其性能上有巨大提升，安全性提高很多，通常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 </w:t>
            </w:r>
            <w:r>
              <w:rPr>
                <w:rFonts w:ascii="宋体" w:hAnsi="宋体" w:cs="宋体" w:eastAsia="宋体" w:hint="default"/>
                <w:sz w:val="18"/>
                <w:szCs w:val="18"/>
              </w:rPr>
              <w:t>卡内含有随 机数发生器，硬件</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DES,3DES</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加密算法等，配合片上操作系统，可达</w:t>
            </w:r>
          </w:p>
        </w:tc>
      </w:tr>
      <w:tr>
        <w:trPr>
          <w:trHeight w:val="392" w:hRule="exact"/>
        </w:trPr>
        <w:tc>
          <w:tcPr>
            <w:tcW w:w="3524" w:type="dxa"/>
            <w:vMerge/>
            <w:tcBorders>
              <w:left w:val="single" w:sz="4" w:space="0" w:color="000000"/>
              <w:right w:val="single" w:sz="13"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22" w:hRule="exact"/>
        </w:trPr>
        <w:tc>
          <w:tcPr>
            <w:tcW w:w="3524" w:type="dxa"/>
            <w:vMerge/>
            <w:tcBorders>
              <w:left w:val="single" w:sz="4" w:space="0" w:color="000000"/>
              <w:bottom w:val="nil" w:sz="6" w:space="0" w:color="auto"/>
              <w:right w:val="single" w:sz="13" w:space="0" w:color="D3D3D3"/>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vMerge/>
            <w:tcBorders>
              <w:left w:val="single" w:sz="9" w:space="0" w:color="D3D3D3"/>
              <w:bottom w:val="nil" w:sz="6" w:space="0" w:color="auto"/>
              <w:right w:val="single" w:sz="4" w:space="0" w:color="000000"/>
            </w:tcBorders>
          </w:tcPr>
          <w:p>
            <w:pPr/>
          </w:p>
        </w:tc>
      </w:tr>
      <w:tr>
        <w:trPr>
          <w:trHeight w:val="351"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到较高安全等级</w:t>
            </w:r>
          </w:p>
        </w:tc>
      </w:tr>
      <w:tr>
        <w:trPr>
          <w:trHeight w:val="363"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vMerge w:val="restart"/>
            <w:tcBorders>
              <w:top w:val="single" w:sz="4" w:space="0" w:color="000000"/>
              <w:left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Point Of Sale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的缩写，即销售终端，是一种多功能终端，把它安装在</w:t>
            </w:r>
          </w:p>
        </w:tc>
      </w:tr>
      <w:tr>
        <w:trPr>
          <w:trHeight w:val="111" w:hRule="exact"/>
        </w:trPr>
        <w:tc>
          <w:tcPr>
            <w:tcW w:w="3524" w:type="dxa"/>
            <w:vMerge w:val="restart"/>
            <w:tcBorders>
              <w:top w:val="nil" w:sz="6" w:space="0" w:color="auto"/>
              <w:left w:val="single" w:sz="4" w:space="0" w:color="000000"/>
              <w:right w:val="single" w:sz="13" w:space="0" w:color="D3D3D3"/>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POS</w:t>
            </w:r>
          </w:p>
        </w:tc>
        <w:tc>
          <w:tcPr>
            <w:tcW w:w="621" w:type="dxa"/>
            <w:vMerge/>
            <w:tcBorders>
              <w:left w:val="single" w:sz="4" w:space="0" w:color="000000"/>
              <w:bottom w:val="nil" w:sz="6" w:space="0" w:color="auto"/>
              <w:right w:val="single" w:sz="4" w:space="0" w:color="000000"/>
            </w:tcBorders>
            <w:shd w:val="clear" w:color="auto" w:fill="D3D3D3"/>
          </w:tcPr>
          <w:p>
            <w:pPr/>
          </w:p>
        </w:tc>
        <w:tc>
          <w:tcPr>
            <w:tcW w:w="5424" w:type="dxa"/>
            <w:vMerge w:val="restart"/>
            <w:tcBorders>
              <w:top w:val="nil" w:sz="6" w:space="0" w:color="auto"/>
              <w:left w:val="single" w:sz="9" w:space="0" w:color="D3D3D3"/>
              <w:right w:val="single" w:sz="4" w:space="0" w:color="000000"/>
            </w:tcBorders>
          </w:tcPr>
          <w:p>
            <w:pPr>
              <w:pStyle w:val="TableParagraph"/>
              <w:spacing w:line="316" w:lineRule="auto" w:before="5"/>
              <w:ind w:left="16" w:right="-9"/>
              <w:jc w:val="left"/>
              <w:rPr>
                <w:rFonts w:ascii="宋体" w:hAnsi="宋体" w:cs="宋体" w:eastAsia="宋体" w:hint="default"/>
                <w:sz w:val="18"/>
                <w:szCs w:val="18"/>
              </w:rPr>
            </w:pPr>
            <w:r>
              <w:rPr>
                <w:rFonts w:ascii="宋体" w:hAnsi="宋体" w:cs="宋体" w:eastAsia="宋体" w:hint="default"/>
                <w:sz w:val="18"/>
                <w:szCs w:val="18"/>
              </w:rPr>
              <w:t>商户和受理网点中与计算机联成网络，就能实现电子资金自动转帐， 它具有支持消费、预授权、余额查询和转帐等功能，使用起来安全、</w:t>
            </w:r>
          </w:p>
        </w:tc>
      </w:tr>
      <w:tr>
        <w:trPr>
          <w:trHeight w:val="392" w:hRule="exact"/>
        </w:trPr>
        <w:tc>
          <w:tcPr>
            <w:tcW w:w="3524" w:type="dxa"/>
            <w:vMerge/>
            <w:tcBorders>
              <w:left w:val="single" w:sz="4" w:space="0" w:color="000000"/>
              <w:right w:val="single" w:sz="13"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17" w:hRule="exact"/>
        </w:trPr>
        <w:tc>
          <w:tcPr>
            <w:tcW w:w="3524" w:type="dxa"/>
            <w:vMerge/>
            <w:tcBorders>
              <w:left w:val="single" w:sz="4" w:space="0" w:color="000000"/>
              <w:bottom w:val="nil" w:sz="6" w:space="0" w:color="auto"/>
              <w:right w:val="single" w:sz="13" w:space="0" w:color="D3D3D3"/>
            </w:tcBorders>
          </w:tcPr>
          <w:p>
            <w:pPr/>
          </w:p>
        </w:tc>
        <w:tc>
          <w:tcPr>
            <w:tcW w:w="621" w:type="dxa"/>
            <w:vMerge w:val="restart"/>
            <w:tcBorders>
              <w:top w:val="nil" w:sz="6" w:space="0" w:color="auto"/>
              <w:left w:val="single" w:sz="4" w:space="0" w:color="000000"/>
              <w:right w:val="single" w:sz="4" w:space="0" w:color="000000"/>
            </w:tcBorders>
            <w:shd w:val="clear" w:color="auto" w:fill="D3D3D3"/>
          </w:tcPr>
          <w:p>
            <w:pPr/>
          </w:p>
        </w:tc>
        <w:tc>
          <w:tcPr>
            <w:tcW w:w="5424" w:type="dxa"/>
            <w:vMerge/>
            <w:tcBorders>
              <w:left w:val="single" w:sz="9" w:space="0" w:color="D3D3D3"/>
              <w:bottom w:val="nil" w:sz="6" w:space="0" w:color="auto"/>
              <w:right w:val="single" w:sz="4" w:space="0" w:color="000000"/>
            </w:tcBorders>
          </w:tcPr>
          <w:p>
            <w:pP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vMerge/>
            <w:tcBorders>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快捷、可靠</w:t>
            </w:r>
          </w:p>
        </w:tc>
      </w:tr>
      <w:tr>
        <w:trPr>
          <w:trHeight w:val="403"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一卡通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1"/>
              <w:ind w:left="16" w:right="0"/>
              <w:jc w:val="left"/>
              <w:rPr>
                <w:rFonts w:ascii="宋体" w:hAnsi="宋体" w:cs="宋体" w:eastAsia="宋体" w:hint="default"/>
                <w:sz w:val="18"/>
                <w:szCs w:val="18"/>
              </w:rPr>
            </w:pPr>
            <w:r>
              <w:rPr>
                <w:rFonts w:ascii="宋体" w:hAnsi="宋体" w:cs="宋体" w:eastAsia="宋体" w:hint="default"/>
                <w:spacing w:val="-2"/>
                <w:sz w:val="18"/>
                <w:szCs w:val="18"/>
              </w:rPr>
              <w:t>在同一张卡上实现多种不同功能，通行多种智能设备。一卡通系统集</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2pt;height:685.5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298"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技术、嵌入系统开发技术、智能卡应用技术、计算机网络技术 等于一体，通过</w:t>
                        </w:r>
                        <w:r>
                          <w:rPr>
                            <w:rFonts w:ascii="Times New Roman" w:hAnsi="Times New Roman" w:cs="Times New Roman" w:eastAsia="Times New Roman" w:hint="default"/>
                            <w:sz w:val="18"/>
                            <w:szCs w:val="18"/>
                          </w:rPr>
                          <w:t>"</w:t>
                        </w:r>
                        <w:r>
                          <w:rPr>
                            <w:rFonts w:ascii="宋体" w:hAnsi="宋体" w:cs="宋体" w:eastAsia="宋体" w:hint="default"/>
                            <w:sz w:val="18"/>
                            <w:szCs w:val="18"/>
                          </w:rPr>
                          <w:t>信息共享、集中控制</w:t>
                        </w:r>
                        <w:r>
                          <w:rPr>
                            <w:rFonts w:ascii="Times New Roman" w:hAnsi="Times New Roman" w:cs="Times New Roman" w:eastAsia="Times New Roman" w:hint="default"/>
                            <w:sz w:val="18"/>
                            <w:szCs w:val="18"/>
                          </w:rPr>
                          <w:t>"</w:t>
                        </w:r>
                        <w:r>
                          <w:rPr>
                            <w:rFonts w:ascii="宋体" w:hAnsi="宋体" w:cs="宋体" w:eastAsia="宋体" w:hint="default"/>
                            <w:sz w:val="18"/>
                            <w:szCs w:val="18"/>
                          </w:rPr>
                          <w:t>实现某一区域的智能化管理。 </w:t>
                        </w:r>
                        <w:r>
                          <w:rPr>
                            <w:rFonts w:ascii="宋体" w:hAnsi="宋体" w:cs="宋体" w:eastAsia="宋体" w:hint="default"/>
                            <w:spacing w:val="-2"/>
                            <w:sz w:val="18"/>
                            <w:szCs w:val="18"/>
                          </w:rPr>
                          <w:t>广泛应用于校园，企事业，城市等领域。随着技术发展，介质卡片已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卡发展至及手机卡等多种实现形式</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一卡通系统在校园内的应用形态，实现学生、教师及职工的</w:t>
                        </w:r>
                        <w:r>
                          <w:rPr>
                            <w:rFonts w:ascii="Times New Roman" w:hAnsi="Times New Roman" w:cs="Times New Roman" w:eastAsia="Times New Roman" w:hint="default"/>
                            <w:sz w:val="18"/>
                            <w:szCs w:val="18"/>
                          </w:rPr>
                          <w:t>"</w:t>
                        </w:r>
                        <w:r>
                          <w:rPr>
                            <w:rFonts w:ascii="宋体" w:hAnsi="宋体" w:cs="宋体" w:eastAsia="宋体" w:hint="default"/>
                            <w:sz w:val="18"/>
                            <w:szCs w:val="18"/>
                          </w:rPr>
                          <w:t>一卡在 手，走遍校园，一卡通用，一卡多用</w:t>
                        </w:r>
                        <w:r>
                          <w:rPr>
                            <w:rFonts w:ascii="Times New Roman" w:hAnsi="Times New Roman" w:cs="Times New Roman" w:eastAsia="Times New Roman" w:hint="default"/>
                            <w:sz w:val="18"/>
                            <w:szCs w:val="18"/>
                          </w:rPr>
                          <w:t>"</w:t>
                        </w:r>
                      </w:p>
                    </w:tc>
                  </w:tr>
                  <w:tr>
                    <w:trPr>
                      <w:trHeight w:val="25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是校园信息化建设的高级阶段，以数字化信息和网络为基础，在计算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机和网络技术上建立起来的对教学、科研、管理、技术服务、生活服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务等校园信息的收集、处理、整合、存储、传输和应用，使数字资源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得到充分优化。利用一种虚拟教育环境，通过实现从环境、资源到应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用的全部数字化，在传统校园基础上构建一个数字空间，以拓展现实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校园的时间和空间维度，提升传统校园的运行效率，扩展传统校园的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业务功能，最终实现教育过程的全面信息化，从而达到提高管理水平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和效率的目的</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The </w:t>
                        </w:r>
                        <w:r>
                          <w:rPr>
                            <w:rFonts w:ascii="Times New Roman" w:hAnsi="Times New Roman" w:cs="Times New Roman" w:eastAsia="Times New Roman" w:hint="default"/>
                            <w:spacing w:val="-1"/>
                            <w:sz w:val="18"/>
                            <w:szCs w:val="18"/>
                          </w:rPr>
                          <w:t>Internet</w:t>
                        </w:r>
                        <w:r>
                          <w:rPr>
                            <w:rFonts w:ascii="Times New Roman" w:hAnsi="Times New Roman" w:cs="Times New Roman" w:eastAsia="Times New Roman" w:hint="default"/>
                            <w:sz w:val="18"/>
                            <w:szCs w:val="18"/>
                          </w:rPr>
                          <w:t> of</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5"/>
                            <w:sz w:val="18"/>
                            <w:szCs w:val="18"/>
                          </w:rPr>
                          <w:t>things</w:t>
                        </w:r>
                        <w:r>
                          <w:rPr>
                            <w:rFonts w:ascii="宋体" w:hAnsi="宋体" w:cs="宋体" w:eastAsia="宋体" w:hint="default"/>
                            <w:spacing w:val="-5"/>
                            <w:sz w:val="18"/>
                            <w:szCs w:val="18"/>
                          </w:rPr>
                          <w:t>，即物物相连的互联网，通过射频识别（</w:t>
                        </w:r>
                        <w:r>
                          <w:rPr>
                            <w:rFonts w:ascii="Times New Roman" w:hAnsi="Times New Roman" w:cs="Times New Roman" w:eastAsia="Times New Roman" w:hint="default"/>
                            <w:spacing w:val="-5"/>
                            <w:sz w:val="18"/>
                            <w:szCs w:val="18"/>
                          </w:rPr>
                          <w:t>RFID</w:t>
                        </w:r>
                        <w:r>
                          <w:rPr>
                            <w:rFonts w:ascii="宋体" w:hAnsi="宋体" w:cs="宋体" w:eastAsia="宋体" w:hint="default"/>
                            <w:spacing w:val="-5"/>
                            <w:sz w:val="18"/>
                            <w:szCs w:val="18"/>
                          </w:rPr>
                          <w:t>）</w:t>
                        </w:r>
                        <w:r>
                          <w:rPr>
                            <w:rFonts w:ascii="宋体" w:hAnsi="宋体" w:cs="宋体" w:eastAsia="宋体" w:hint="default"/>
                            <w:spacing w:val="-79"/>
                            <w:sz w:val="18"/>
                            <w:szCs w:val="18"/>
                          </w:rPr>
                          <w:t> </w:t>
                        </w:r>
                        <w:r>
                          <w:rPr>
                            <w:rFonts w:ascii="宋体" w:hAnsi="宋体" w:cs="宋体" w:eastAsia="宋体" w:hint="default"/>
                            <w:spacing w:val="-2"/>
                            <w:sz w:val="18"/>
                            <w:szCs w:val="18"/>
                          </w:rPr>
                          <w:t>红外感应器、全球定位系统、激光扫描器等信息传感设备，按约定的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协议，把任何物体与互联网相连接，进行信息交换和通信，以实现对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物体的智能化识别、定位、跟踪、监控和管理的一种网络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数字化校园结合物联网技术所形成的高端校园信息化形态</w:t>
                        </w:r>
                      </w:p>
                    </w:tc>
                  </w:tr>
                  <w:tr>
                    <w:trPr>
                      <w:trHeight w:val="196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指充分借助物联网、传感网，运用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、信息技术等，使城市的关 </w:t>
                        </w:r>
                        <w:r>
                          <w:rPr>
                            <w:rFonts w:ascii="宋体" w:hAnsi="宋体" w:cs="宋体" w:eastAsia="宋体" w:hint="default"/>
                            <w:spacing w:val="-2"/>
                            <w:sz w:val="18"/>
                            <w:szCs w:val="18"/>
                          </w:rPr>
                          <w:t>键基础设施通过组成服务，使城市的服务更有效，为市民提供人与社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会、人与人的和谐共处，涉及到智能楼宇、智能家居、路网监控、智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能医院等数字生活等诸多领域，构建城市发展的智慧环境，形成基于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海量信息和智能过滤处理的新的生活、产业发展、社会管理等模式， 面向未来构建全新的城市形态</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手机支付</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指允许移动用户使用其移动终端（通常是手机）对所消费的商品或服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务进行账务支付的一种服务方式，可分为远端支付和近场支付，其中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近场支付指用户利用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NFC </w:t>
                        </w:r>
                        <w:r>
                          <w:rPr>
                            <w:rFonts w:ascii="宋体" w:hAnsi="宋体" w:cs="宋体" w:eastAsia="宋体" w:hint="default"/>
                            <w:spacing w:val="-3"/>
                            <w:sz w:val="18"/>
                            <w:szCs w:val="18"/>
                          </w:rPr>
                          <w:t>和蓝牙红外等技术，使手机和自动</w:t>
                        </w:r>
                        <w:r>
                          <w:rPr>
                            <w:rFonts w:ascii="宋体" w:hAnsi="宋体" w:cs="宋体" w:eastAsia="宋体" w:hint="default"/>
                            <w:sz w:val="18"/>
                            <w:szCs w:val="18"/>
                          </w:rPr>
                          <w:t> 售货机、</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终端、汽车停放收费表等终端设备之间实现本地化通 讯</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搭载了</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模块能实现近场支付功能的手机即具备了非接触</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卡的 </w:t>
                        </w:r>
                        <w:r>
                          <w:rPr>
                            <w:rFonts w:ascii="宋体" w:hAnsi="宋体" w:cs="宋体" w:eastAsia="宋体" w:hint="default"/>
                            <w:spacing w:val="-2"/>
                            <w:sz w:val="18"/>
                            <w:szCs w:val="18"/>
                          </w:rPr>
                          <w:t>一般功能，能够满足一卡通应用的多数功能和场景：面向社会个人用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户，重点满足小额消费现场便利支付需求；面向企业、学校等社区型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客户，可定制内部餐饮、门禁、考勤、停车收费等功能</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1" w:footer="982" w:top="122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18"/>
        <w:gridCol w:w="2329"/>
        <w:gridCol w:w="2134"/>
        <w:gridCol w:w="2188"/>
      </w:tblGrid>
      <w:tr>
        <w:trPr>
          <w:trHeight w:val="403"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300248</w:t>
            </w:r>
          </w:p>
        </w:tc>
      </w:tr>
      <w:tr>
        <w:trPr>
          <w:trHeight w:val="401"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新开普</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Zhengzhou Newcapec Electronics Co.,</w:t>
            </w:r>
            <w:r>
              <w:rPr>
                <w:rFonts w:ascii="Times New Roman"/>
                <w:spacing w:val="-6"/>
                <w:sz w:val="18"/>
              </w:rPr>
              <w:t> </w:t>
            </w:r>
            <w:r>
              <w:rPr>
                <w:rFonts w:ascii="Times New Roman"/>
                <w:sz w:val="18"/>
              </w:rPr>
              <w:t>Ltd.</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Newcapec</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郑州高新技术产业开发区翠竹街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863 </w:t>
            </w:r>
            <w:r>
              <w:rPr>
                <w:rFonts w:ascii="宋体" w:hAnsi="宋体" w:cs="宋体" w:eastAsia="宋体" w:hint="default"/>
                <w:sz w:val="18"/>
                <w:szCs w:val="18"/>
              </w:rPr>
              <w:t>国家软件基地新开普大厦</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郑州高新技术产业开发区翠竹街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863 </w:t>
            </w:r>
            <w:r>
              <w:rPr>
                <w:rFonts w:ascii="宋体" w:hAnsi="宋体" w:cs="宋体" w:eastAsia="宋体" w:hint="default"/>
                <w:sz w:val="18"/>
                <w:szCs w:val="18"/>
              </w:rPr>
              <w:t>国家软件基地新开普大厦</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8">
              <w:r>
                <w:rPr>
                  <w:rFonts w:ascii="Times New Roman"/>
                  <w:sz w:val="18"/>
                </w:rPr>
                <w:t>http://www.newcapec.com.cn/</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zqswb@newcapec.net</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郑州高新技术产业开发区翠竹街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863</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国家软件基地新开普大厦</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郑州高新技术产业开发区翠竹街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863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国家软件基地新开普大厦</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0371-67579758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0371-67579758</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0371-67579716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0371-67579716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huamengyang@newcapec.net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zhaoxin@newcapec.net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19"/>
      </w:tblGrid>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980"/>
        </w:sectPr>
      </w:pPr>
    </w:p>
    <w:p>
      <w:pPr>
        <w:spacing w:line="240" w:lineRule="auto" w:before="7"/>
        <w:rPr>
          <w:rFonts w:ascii="宋体" w:hAnsi="宋体" w:cs="宋体" w:eastAsia="宋体" w:hint="default"/>
          <w:b/>
          <w:bCs/>
          <w:sz w:val="10"/>
          <w:szCs w:val="10"/>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410102721832659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首次公开发行股票 注册变更登记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修改经营范围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增加注册资本、修改</w:t>
            </w:r>
            <w:r>
              <w:rPr>
                <w:rFonts w:ascii="宋体" w:hAnsi="宋体" w:cs="宋体" w:eastAsia="宋体" w:hint="default"/>
                <w:sz w:val="18"/>
                <w:szCs w:val="18"/>
              </w:rPr>
              <w:t> 经营范围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410199100002906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410102721832659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72183265-9</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220" w:bottom="1180" w:left="980" w:right="9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4" w:right="8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主要会计数据</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209,436,781.07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184,266,436.98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140,010,410.16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45,468,271.75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37,266,910.03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31,554,441.26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48,730,574.33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48,190,630.00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39,156,942.67</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42,133,555.90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41,859,345.94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34,337,155.99</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39,358,077.44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38,522,313.15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32,941,739.21</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16,218,393.79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916,096.27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3,788,582.83</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548,453,305.04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501,694,885.04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192,987,130.16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56,995,206.82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43,450,342.72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75,849,440.36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491,458,098.22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458,244,542.32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117,137,689.80</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01"/>
        <w:gridCol w:w="1748"/>
        <w:gridCol w:w="1736"/>
        <w:gridCol w:w="1736"/>
        <w:gridCol w:w="1735"/>
      </w:tblGrid>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714"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29.31%</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36.29%</w:t>
            </w:r>
          </w:p>
        </w:tc>
      </w:tr>
      <w:tr>
        <w:trPr>
          <w:trHeight w:val="714"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98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612"/>
        <w:gridCol w:w="1748"/>
        <w:gridCol w:w="1748"/>
        <w:gridCol w:w="1713"/>
        <w:gridCol w:w="1747"/>
      </w:tblGrid>
      <w:tr>
        <w:trPr>
          <w:trHeight w:val="36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1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0.02</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786.83%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161" w:hRule="exact"/>
        </w:trPr>
        <w:tc>
          <w:tcPr>
            <w:tcW w:w="26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13" w:type="dxa"/>
            <w:vMerge/>
            <w:tcBorders>
              <w:left w:val="single" w:sz="4" w:space="0" w:color="000000"/>
              <w:right w:val="single" w:sz="4" w:space="0" w:color="000000"/>
            </w:tcBorders>
            <w:shd w:val="clear" w:color="auto" w:fill="D3D3D3"/>
          </w:tcPr>
          <w:p>
            <w:pPr/>
          </w:p>
        </w:tc>
        <w:tc>
          <w:tcPr>
            <w:tcW w:w="17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6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3" w:type="dxa"/>
            <w:vMerge/>
            <w:tcBorders>
              <w:left w:val="single" w:sz="4" w:space="0" w:color="000000"/>
              <w:bottom w:val="single" w:sz="4" w:space="0" w:color="000000"/>
              <w:right w:val="single" w:sz="4" w:space="0" w:color="000000"/>
            </w:tcBorders>
            <w:shd w:val="clear" w:color="auto" w:fill="D3D3D3"/>
          </w:tcPr>
          <w:p>
            <w:pPr/>
          </w:p>
        </w:tc>
        <w:tc>
          <w:tcPr>
            <w:tcW w:w="174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10.27</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-46.38%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8.66%</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r>
    </w:tbl>
    <w:p>
      <w:pPr>
        <w:spacing w:line="240" w:lineRule="auto" w:before="12"/>
        <w:rPr>
          <w:rFonts w:ascii="宋体" w:hAnsi="宋体" w:cs="宋体" w:eastAsia="宋体" w:hint="default"/>
          <w:sz w:val="17"/>
          <w:szCs w:val="17"/>
        </w:rPr>
      </w:pPr>
    </w:p>
    <w:p>
      <w:pPr>
        <w:pStyle w:val="Heading2"/>
        <w:spacing w:line="240" w:lineRule="auto" w:before="26"/>
        <w:ind w:right="95"/>
        <w:jc w:val="left"/>
        <w:rPr>
          <w:b w:val="0"/>
          <w:bCs w:val="0"/>
        </w:rPr>
      </w:pPr>
      <w:r>
        <w:rPr/>
        <w:t>二、报告期内非经常性损益的项目及金额</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-34,320.98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3,296,621.56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4,045,978.23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1,626,300.00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32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1" w:type="dxa"/>
            <w:vMerge w:val="restart"/>
            <w:tcBorders>
              <w:top w:val="single" w:sz="4" w:space="0" w:color="000000"/>
              <w:left w:val="single" w:sz="10" w:space="0" w:color="D3D3D3"/>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-120,000.00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15,847.10</w:t>
            </w:r>
          </w:p>
        </w:tc>
        <w:tc>
          <w:tcPr>
            <w:tcW w:w="1710" w:type="dxa"/>
            <w:vMerge w:val="restart"/>
            <w:tcBorders>
              <w:top w:val="single" w:sz="4" w:space="0" w:color="000000"/>
              <w:left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年的其他为发票 收入</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1" w:type="dxa"/>
            <w:vMerge/>
            <w:tcBorders>
              <w:left w:val="single" w:sz="10" w:space="0" w:color="D3D3D3"/>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1" w:type="dxa"/>
            <w:vMerge/>
            <w:tcBorders>
              <w:left w:val="single" w:sz="10" w:space="0" w:color="D3D3D3"/>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486,824.12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588,888.14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246,210.70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2,775,478.46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3,337,032.79</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1,395,416.78</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21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5"/>
        <w:jc w:val="left"/>
        <w:rPr>
          <w:b w:val="0"/>
          <w:bCs w:val="0"/>
        </w:rPr>
      </w:pPr>
      <w:r>
        <w:rPr/>
        <w:t>三、重大风险提示</w:t>
      </w:r>
      <w:r>
        <w:rPr>
          <w:b w:val="0"/>
          <w:bCs w:val="0"/>
        </w:rPr>
      </w:r>
    </w:p>
    <w:p>
      <w:pPr>
        <w:spacing w:line="240" w:lineRule="auto" w:before="10"/>
        <w:rPr>
          <w:rFonts w:ascii="宋体" w:hAnsi="宋体" w:cs="宋体" w:eastAsia="宋体" w:hint="default"/>
          <w:b/>
          <w:bCs/>
          <w:sz w:val="28"/>
          <w:szCs w:val="28"/>
        </w:rPr>
      </w:pPr>
    </w:p>
    <w:p>
      <w:pPr>
        <w:spacing w:line="451" w:lineRule="auto" w:before="0"/>
        <w:ind w:left="634" w:right="9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、下游应用领域信息化进程风险</w:t>
      </w:r>
      <w:r>
        <w:rPr>
          <w:rFonts w:ascii="宋体" w:hAnsi="宋体" w:cs="宋体" w:eastAsia="宋体" w:hint="default"/>
          <w:b/>
          <w:bCs/>
          <w:spacing w:val="1"/>
          <w:w w:val="99"/>
          <w:sz w:val="24"/>
          <w:szCs w:val="24"/>
        </w:rPr>
        <w:t> </w:t>
      </w:r>
      <w:r>
        <w:rPr>
          <w:rFonts w:ascii="宋体" w:hAnsi="宋体" w:cs="宋体" w:eastAsia="宋体" w:hint="default"/>
          <w:sz w:val="24"/>
          <w:szCs w:val="24"/>
        </w:rPr>
        <w:t>公司所处智能一卡通行业主要应用领域为学校、企事业和城市。随着下游应用领域信息</w:t>
      </w:r>
    </w:p>
    <w:p>
      <w:pPr>
        <w:pStyle w:val="BodyText"/>
        <w:spacing w:line="275" w:lineRule="exact"/>
        <w:ind w:left="154" w:right="95"/>
        <w:jc w:val="left"/>
      </w:pPr>
      <w:r>
        <w:rPr>
          <w:spacing w:val="-4"/>
        </w:rPr>
        <w:t>化进展的加快，上游芯片制造、电子元器件等行业的不断成熟，以及智能卡技术、</w:t>
      </w:r>
      <w:r>
        <w:rPr>
          <w:rFonts w:ascii="Times New Roman" w:hAnsi="Times New Roman" w:cs="Times New Roman" w:eastAsia="Times New Roman" w:hint="default"/>
          <w:spacing w:val="-4"/>
        </w:rPr>
        <w:t>RFID</w:t>
      </w:r>
      <w:r>
        <w:rPr>
          <w:spacing w:val="-4"/>
        </w:rPr>
        <w:t>技术、</w:t>
      </w:r>
    </w:p>
    <w:p>
      <w:pPr>
        <w:pStyle w:val="BodyText"/>
        <w:spacing w:line="357" w:lineRule="auto" w:before="135"/>
        <w:ind w:left="154" w:right="95"/>
        <w:jc w:val="left"/>
      </w:pPr>
      <w:r>
        <w:rPr/>
        <w:t>系统集成及功能实现技术的不断完善，在最近几年取得了快速发展，并将在“智慧校园”和</w:t>
      </w:r>
      <w:r>
        <w:rPr>
          <w:spacing w:val="-83"/>
        </w:rPr>
        <w:t> </w:t>
      </w:r>
      <w:r>
        <w:rPr>
          <w:spacing w:val="-83"/>
        </w:rPr>
      </w:r>
      <w:r>
        <w:rPr/>
        <w:t>“智慧城市”建设浪潮及物联网和手机一卡通兴起的推动下，得到更蓬勃的发展。</w:t>
      </w:r>
    </w:p>
    <w:p>
      <w:pPr>
        <w:pStyle w:val="BodyText"/>
        <w:spacing w:line="357" w:lineRule="auto" w:before="36"/>
        <w:ind w:left="154" w:right="95" w:firstLine="480"/>
        <w:jc w:val="left"/>
      </w:pPr>
      <w:r>
        <w:rPr/>
        <w:t>下游应用领域的发展已对智能一卡通企业整体解决方案提供能力提出更高要求，为行业</w:t>
      </w:r>
      <w:r>
        <w:rPr>
          <w:spacing w:val="1"/>
        </w:rPr>
        <w:t> </w:t>
      </w:r>
      <w:r>
        <w:rPr>
          <w:spacing w:val="-3"/>
        </w:rPr>
        <w:t>内的优势企业提供了巨大发展机遇。但是，下游应用领域的信息化进程，还受制于投资体制、</w:t>
      </w:r>
      <w:r>
        <w:rPr>
          <w:spacing w:val="-81"/>
        </w:rPr>
        <w:t> </w:t>
      </w:r>
      <w:r>
        <w:rPr>
          <w:spacing w:val="-81"/>
        </w:rPr>
      </w:r>
      <w:r>
        <w:rPr/>
        <w:t>具体用户消费习惯提升、上游配套产业的完善程度以及相关技术的发展及成熟度等诸多因素</w:t>
      </w:r>
    </w:p>
    <w:p>
      <w:pPr>
        <w:spacing w:after="0" w:line="357"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240" w:lineRule="auto" w:before="26"/>
        <w:ind w:left="154" w:right="0"/>
        <w:jc w:val="both"/>
      </w:pPr>
      <w:r>
        <w:rPr/>
        <w:t>影响，从而对智能一卡通行业的发展速度及方向产生影响。</w:t>
      </w:r>
    </w:p>
    <w:p>
      <w:pPr>
        <w:spacing w:line="240" w:lineRule="auto" w:before="9"/>
        <w:rPr>
          <w:rFonts w:ascii="宋体" w:hAnsi="宋体" w:cs="宋体" w:eastAsia="宋体" w:hint="default"/>
          <w:sz w:val="23"/>
          <w:szCs w:val="23"/>
        </w:rPr>
      </w:pPr>
    </w:p>
    <w:p>
      <w:pPr>
        <w:spacing w:line="451" w:lineRule="auto" w:before="0"/>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、行业扩张、市场拓展以及模式创新风险</w:t>
      </w:r>
      <w:r>
        <w:rPr>
          <w:rFonts w:ascii="宋体" w:hAnsi="宋体" w:cs="宋体" w:eastAsia="宋体" w:hint="default"/>
          <w:b/>
          <w:bCs/>
          <w:spacing w:val="1"/>
          <w:w w:val="99"/>
          <w:sz w:val="24"/>
          <w:szCs w:val="24"/>
        </w:rPr>
        <w:t> </w:t>
      </w:r>
      <w:r>
        <w:rPr>
          <w:rFonts w:ascii="宋体" w:hAnsi="宋体" w:cs="宋体" w:eastAsia="宋体" w:hint="default"/>
          <w:sz w:val="24"/>
          <w:szCs w:val="24"/>
        </w:rPr>
        <w:t>公司所处智能一卡通行业的市场化程度较高，其竞争力主要体现在适应行业特点、贴近</w:t>
      </w:r>
    </w:p>
    <w:p>
      <w:pPr>
        <w:pStyle w:val="BodyText"/>
        <w:spacing w:line="257" w:lineRule="exact"/>
        <w:ind w:right="0"/>
        <w:jc w:val="both"/>
      </w:pPr>
      <w:r>
        <w:rPr/>
        <w:t>客户需求的整体解决方案提供能力上。从市场竞争格局来看，在门禁、考勤、餐卡、公交卡</w:t>
      </w:r>
    </w:p>
    <w:p>
      <w:pPr>
        <w:pStyle w:val="BodyText"/>
        <w:spacing w:line="357" w:lineRule="auto" w:before="154"/>
        <w:ind w:right="148"/>
        <w:jc w:val="both"/>
      </w:pPr>
      <w:r>
        <w:rPr/>
        <w:t>等传统一卡通业务中，从事企业数量较多，市场竞争较为激烈。公司在拓展企事业及城市领</w:t>
      </w:r>
      <w:r>
        <w:rPr>
          <w:spacing w:val="-83"/>
        </w:rPr>
        <w:t> </w:t>
      </w:r>
      <w:r>
        <w:rPr>
          <w:spacing w:val="-83"/>
        </w:rPr>
      </w:r>
      <w:r>
        <w:rPr/>
        <w:t>域时，将面临原有市场进入者较激烈的竞争；同时，智能一卡通市场快速增长所带来的盈利</w:t>
      </w:r>
      <w:r>
        <w:rPr>
          <w:spacing w:val="-83"/>
        </w:rPr>
        <w:t> </w:t>
      </w:r>
      <w:r>
        <w:rPr>
          <w:spacing w:val="-83"/>
        </w:rPr>
      </w:r>
      <w:r>
        <w:rPr/>
        <w:t>空间，也可能吸引更多的有实力企业的加入，使公司面临市场竞争加剧的风险。此外，公司</w:t>
      </w:r>
      <w:r>
        <w:rPr>
          <w:spacing w:val="-83"/>
        </w:rPr>
        <w:t> </w:t>
      </w:r>
      <w:r>
        <w:rPr>
          <w:spacing w:val="-83"/>
        </w:rPr>
      </w:r>
      <w:r>
        <w:rPr/>
        <w:t>如更多进行合作模式的创新，也将面临一定的不确定性。同时，公司如进行行业扩张，则也</w:t>
      </w:r>
      <w:r>
        <w:rPr>
          <w:spacing w:val="-83"/>
        </w:rPr>
        <w:t> </w:t>
      </w:r>
      <w:r>
        <w:rPr>
          <w:spacing w:val="-83"/>
        </w:rPr>
      </w:r>
      <w:r>
        <w:rPr/>
        <w:t>面临规模扩大后的管理、资金等众多考验。</w:t>
      </w:r>
    </w:p>
    <w:p>
      <w:pPr>
        <w:spacing w:line="451" w:lineRule="auto" w:before="192"/>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、技术升级和产品开发风险</w:t>
      </w:r>
      <w:r>
        <w:rPr>
          <w:rFonts w:ascii="宋体" w:hAnsi="宋体" w:cs="宋体" w:eastAsia="宋体" w:hint="default"/>
          <w:b/>
          <w:bCs/>
          <w:spacing w:val="1"/>
          <w:w w:val="99"/>
          <w:sz w:val="24"/>
          <w:szCs w:val="24"/>
        </w:rPr>
        <w:t> </w:t>
      </w:r>
      <w:r>
        <w:rPr>
          <w:rFonts w:ascii="宋体" w:hAnsi="宋体" w:cs="宋体" w:eastAsia="宋体" w:hint="default"/>
          <w:sz w:val="24"/>
          <w:szCs w:val="24"/>
        </w:rPr>
        <w:t>及时响应客户的个性化需求，进行持续的技术及产品开发是公司不断发展壮大的基础。</w:t>
      </w:r>
    </w:p>
    <w:p>
      <w:pPr>
        <w:pStyle w:val="BodyText"/>
        <w:spacing w:line="257" w:lineRule="exact"/>
        <w:ind w:right="0"/>
        <w:jc w:val="both"/>
      </w:pPr>
      <w:r>
        <w:rPr/>
        <w:t>由于智能一卡通行业具有技术更新快、产品生命周期短的特点，客户对软件系统和硬件系统</w:t>
      </w:r>
    </w:p>
    <w:p>
      <w:pPr>
        <w:pStyle w:val="BodyText"/>
        <w:spacing w:line="357" w:lineRule="auto" w:before="154"/>
        <w:ind w:right="148"/>
        <w:jc w:val="both"/>
      </w:pPr>
      <w:r>
        <w:rPr/>
        <w:t>及相关产品的功能要求不断提高，因此，公司需要不断进行新技术、新产品的研发和升级。</w:t>
      </w:r>
      <w:r>
        <w:rPr>
          <w:spacing w:val="-83"/>
        </w:rPr>
        <w:t> </w:t>
      </w:r>
      <w:r>
        <w:rPr>
          <w:spacing w:val="-83"/>
        </w:rPr>
      </w:r>
      <w:r>
        <w:rPr/>
        <w:t>虽然自主研发和技术创新能力是本公司的核心竞争优势之一，但如果公司未来不能准确把握</w:t>
      </w:r>
      <w:r>
        <w:rPr>
          <w:spacing w:val="-83"/>
        </w:rPr>
        <w:t> </w:t>
      </w:r>
      <w:r>
        <w:rPr>
          <w:spacing w:val="-83"/>
        </w:rPr>
      </w:r>
      <w:r>
        <w:rPr/>
        <w:t>技术、产品及市场的发展趋势，持续研发出符合市场需求的新产品，将会削弱公司的技术优</w:t>
      </w:r>
      <w:r>
        <w:rPr>
          <w:spacing w:val="-83"/>
        </w:rPr>
        <w:t> </w:t>
      </w:r>
      <w:r>
        <w:rPr>
          <w:spacing w:val="-83"/>
        </w:rPr>
      </w:r>
      <w:r>
        <w:rPr/>
        <w:t>势和市场优势，从而影响公司未来发展。</w:t>
      </w:r>
    </w:p>
    <w:p>
      <w:pPr>
        <w:spacing w:line="451" w:lineRule="auto" w:before="192"/>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、核心技术人员流失风险</w:t>
      </w:r>
      <w:r>
        <w:rPr>
          <w:rFonts w:ascii="宋体" w:hAnsi="宋体" w:cs="宋体" w:eastAsia="宋体" w:hint="default"/>
          <w:b/>
          <w:bCs/>
          <w:spacing w:val="1"/>
          <w:w w:val="99"/>
          <w:sz w:val="24"/>
          <w:szCs w:val="24"/>
        </w:rPr>
        <w:t> </w:t>
      </w:r>
      <w:r>
        <w:rPr>
          <w:rFonts w:ascii="宋体" w:hAnsi="宋体" w:cs="宋体" w:eastAsia="宋体" w:hint="default"/>
          <w:sz w:val="24"/>
          <w:szCs w:val="24"/>
        </w:rPr>
        <w:t>伴随着行业技术的不断更新和市场竞争的不断加剧，相关技术人才的竞争也日趋激烈，</w:t>
      </w:r>
    </w:p>
    <w:p>
      <w:pPr>
        <w:pStyle w:val="BodyText"/>
        <w:spacing w:line="257" w:lineRule="exact"/>
        <w:ind w:right="0"/>
        <w:jc w:val="both"/>
      </w:pPr>
      <w:r>
        <w:rPr/>
        <w:t>如果公司不能有效保持和完善核心技术人员的激励机制，将会影响到核心技术人员积极性、</w:t>
      </w:r>
    </w:p>
    <w:p>
      <w:pPr>
        <w:pStyle w:val="BodyText"/>
        <w:spacing w:line="357" w:lineRule="auto" w:before="154"/>
        <w:ind w:right="148"/>
        <w:jc w:val="both"/>
      </w:pPr>
      <w:r>
        <w:rPr/>
        <w:t>创造性的发挥，也会影响到核心技术团队后备力量的建设，造成人才流失，从而给公司的生</w:t>
      </w:r>
      <w:r>
        <w:rPr>
          <w:spacing w:val="-83"/>
        </w:rPr>
        <w:t> </w:t>
      </w:r>
      <w:r>
        <w:rPr>
          <w:spacing w:val="-83"/>
        </w:rPr>
      </w:r>
      <w:r>
        <w:rPr/>
        <w:t>产经营造成不利影响。</w:t>
      </w:r>
    </w:p>
    <w:p>
      <w:pPr>
        <w:spacing w:after="0" w:line="357" w:lineRule="auto"/>
        <w:jc w:val="both"/>
        <w:sectPr>
          <w:pgSz w:w="11910" w:h="16840"/>
          <w:pgMar w:header="851" w:footer="982" w:top="12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3"/>
        <w:ind w:right="366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11"/>
        <w:rPr>
          <w:rFonts w:ascii="宋体" w:hAnsi="宋体" w:cs="宋体" w:eastAsia="宋体" w:hint="default"/>
          <w:b/>
          <w:bCs/>
          <w:sz w:val="28"/>
          <w:szCs w:val="28"/>
        </w:rPr>
      </w:pPr>
    </w:p>
    <w:p>
      <w:pPr>
        <w:pStyle w:val="BodyText"/>
        <w:spacing w:line="345" w:lineRule="auto"/>
        <w:ind w:right="109" w:firstLine="423"/>
        <w:jc w:val="left"/>
      </w:pPr>
      <w:r>
        <w:rPr>
          <w:rFonts w:ascii="Times New Roman" w:hAnsi="Times New Roman" w:cs="Times New Roman" w:eastAsia="Times New Roman" w:hint="default"/>
          <w:spacing w:val="-3"/>
        </w:rPr>
        <w:t>2012</w:t>
      </w:r>
      <w:r>
        <w:rPr>
          <w:spacing w:val="-3"/>
        </w:rPr>
        <w:t>年，公司继续专注于智能一卡通行业，秉承</w:t>
      </w:r>
      <w:r>
        <w:rPr>
          <w:rFonts w:ascii="Times New Roman" w:hAnsi="Times New Roman" w:cs="Times New Roman" w:eastAsia="Times New Roman" w:hint="default"/>
          <w:spacing w:val="-3"/>
        </w:rPr>
        <w:t>“</w:t>
      </w:r>
      <w:r>
        <w:rPr>
          <w:spacing w:val="-3"/>
        </w:rPr>
        <w:t>创新校园、开拓企业、普及社会</w:t>
      </w:r>
      <w:r>
        <w:rPr>
          <w:rFonts w:ascii="Times New Roman" w:hAnsi="Times New Roman" w:cs="Times New Roman" w:eastAsia="Times New Roman" w:hint="default"/>
          <w:spacing w:val="-3"/>
        </w:rPr>
        <w:t>”</w:t>
      </w:r>
      <w:r>
        <w:rPr>
          <w:spacing w:val="-3"/>
        </w:rPr>
        <w:t>的战略</w:t>
      </w:r>
      <w:r>
        <w:rPr/>
        <w:t> </w:t>
      </w:r>
      <w:r>
        <w:rPr>
          <w:spacing w:val="-4"/>
        </w:rPr>
        <w:t>目标，依托独特的“规模化个性定制（</w:t>
      </w:r>
      <w:r>
        <w:rPr>
          <w:rFonts w:ascii="Times New Roman" w:hAnsi="Times New Roman" w:cs="Times New Roman" w:eastAsia="Times New Roman" w:hint="default"/>
          <w:spacing w:val="-4"/>
        </w:rPr>
        <w:t>Mass</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3"/>
        </w:rPr>
        <w:t>Customization</w:t>
      </w:r>
      <w:r>
        <w:rPr>
          <w:spacing w:val="-3"/>
        </w:rPr>
        <w:t>）”经营模式，致力于为更多校园、</w:t>
      </w:r>
      <w:r>
        <w:rPr>
          <w:spacing w:val="-113"/>
        </w:rPr>
        <w:t> </w:t>
      </w:r>
      <w:r>
        <w:rPr>
          <w:spacing w:val="-113"/>
        </w:rPr>
      </w:r>
      <w:r>
        <w:rPr/>
        <w:t>企事业、城市等社区型客户提供更优质的集身份识别、小额支付、资源管控、信息集成等多</w:t>
      </w:r>
      <w:r>
        <w:rPr>
          <w:spacing w:val="-83"/>
        </w:rPr>
        <w:t> </w:t>
      </w:r>
      <w:r>
        <w:rPr>
          <w:spacing w:val="-83"/>
        </w:rPr>
      </w:r>
      <w:r>
        <w:rPr/>
        <w:t>种功能为一体的智能一卡通系统整体解决方案及个性化定制服务。</w:t>
      </w:r>
    </w:p>
    <w:p>
      <w:pPr>
        <w:pStyle w:val="BodyText"/>
        <w:spacing w:line="352" w:lineRule="auto" w:before="86"/>
        <w:ind w:right="227" w:firstLine="423"/>
        <w:jc w:val="both"/>
      </w:pPr>
      <w:r>
        <w:rPr/>
        <w:t>报告期内，公司管理层以务实的工作态度，为实现公司</w:t>
      </w:r>
      <w:r>
        <w:rPr>
          <w:rFonts w:ascii="Times New Roman" w:hAnsi="Times New Roman" w:cs="Times New Roman" w:eastAsia="Times New Roman" w:hint="default"/>
        </w:rPr>
        <w:t>2012</w:t>
      </w:r>
      <w:r>
        <w:rPr/>
        <w:t>年度经营计划作出了不懈的</w:t>
      </w:r>
      <w:r>
        <w:rPr>
          <w:spacing w:val="2"/>
        </w:rPr>
        <w:t> </w:t>
      </w:r>
      <w:r>
        <w:rPr/>
        <w:t>努力，通过持续加大营销力度，积极开发潜在市场，获取新领域客户以及跟踪既有客户的深</w:t>
      </w:r>
      <w:r>
        <w:rPr>
          <w:spacing w:val="-83"/>
        </w:rPr>
        <w:t> </w:t>
      </w:r>
      <w:r>
        <w:rPr>
          <w:spacing w:val="-83"/>
        </w:rPr>
      </w:r>
      <w:r>
        <w:rPr/>
        <w:t>入智慧化建设需求，寻求行业整合机遇，战略性横向扩张主营业务；强化产品和技术创新，</w:t>
      </w:r>
      <w:r>
        <w:rPr>
          <w:spacing w:val="-83"/>
        </w:rPr>
        <w:t> </w:t>
      </w:r>
      <w:r>
        <w:rPr>
          <w:spacing w:val="-83"/>
        </w:rPr>
      </w:r>
      <w:r>
        <w:rPr/>
        <w:t>从研发体系到研发方向进行积极探索，纵向深化智能一卡通方案整体和定制化交付能力；推</w:t>
      </w:r>
      <w:r>
        <w:rPr>
          <w:spacing w:val="-83"/>
        </w:rPr>
        <w:t> </w:t>
      </w:r>
      <w:r>
        <w:rPr>
          <w:spacing w:val="-83"/>
        </w:rPr>
      </w:r>
      <w:r>
        <w:rPr/>
        <w:t>进组织结构规范、严格内控管理等措施，进一步增强公司的整体竞争力，保持了公司业务稳</w:t>
      </w:r>
      <w:r>
        <w:rPr>
          <w:spacing w:val="-83"/>
        </w:rPr>
        <w:t> </w:t>
      </w:r>
      <w:r>
        <w:rPr>
          <w:spacing w:val="-83"/>
        </w:rPr>
      </w:r>
      <w:r>
        <w:rPr/>
        <w:t>定发展势头，经营业绩实现持续增长。</w:t>
      </w:r>
    </w:p>
    <w:p>
      <w:pPr>
        <w:pStyle w:val="BodyText"/>
        <w:spacing w:line="343" w:lineRule="auto" w:before="79"/>
        <w:ind w:right="227" w:firstLine="423"/>
        <w:jc w:val="both"/>
      </w:pPr>
      <w:r>
        <w:rPr>
          <w:rFonts w:ascii="Times New Roman" w:hAnsi="Times New Roman" w:cs="Times New Roman" w:eastAsia="Times New Roman" w:hint="default"/>
        </w:rPr>
        <w:t>2012</w:t>
      </w:r>
      <w:r>
        <w:rPr/>
        <w:t>年度，公司被评为国家火炬计划软件产业基地骨干企业、河南省</w:t>
      </w:r>
      <w:r>
        <w:rPr>
          <w:rFonts w:ascii="Times New Roman" w:hAnsi="Times New Roman" w:cs="Times New Roman" w:eastAsia="Times New Roman" w:hint="default"/>
        </w:rPr>
        <w:t>2012</w:t>
      </w:r>
      <w:r>
        <w:rPr/>
        <w:t>年度软件和信</w:t>
      </w:r>
      <w:r>
        <w:rPr>
          <w:spacing w:val="2"/>
        </w:rPr>
        <w:t> </w:t>
      </w:r>
      <w:r>
        <w:rPr/>
        <w:t>息服务业</w:t>
      </w:r>
      <w:r>
        <w:rPr>
          <w:rFonts w:ascii="Times New Roman" w:hAnsi="Times New Roman" w:cs="Times New Roman" w:eastAsia="Times New Roman" w:hint="default"/>
        </w:rPr>
        <w:t>20</w:t>
      </w:r>
      <w:r>
        <w:rPr/>
        <w:t>优企业、</w:t>
      </w:r>
      <w:r>
        <w:rPr>
          <w:rFonts w:ascii="Times New Roman" w:hAnsi="Times New Roman" w:cs="Times New Roman" w:eastAsia="Times New Roman" w:hint="default"/>
        </w:rPr>
        <w:t>2012</w:t>
      </w:r>
      <w:r>
        <w:rPr/>
        <w:t>年河南电子信息行业诚信体系建设示范单位、</w:t>
      </w:r>
      <w:r>
        <w:rPr>
          <w:rFonts w:ascii="Times New Roman" w:hAnsi="Times New Roman" w:cs="Times New Roman" w:eastAsia="Times New Roman" w:hint="default"/>
        </w:rPr>
        <w:t>2012</w:t>
      </w:r>
      <w:r>
        <w:rPr/>
        <w:t>年度工业企业质</w:t>
      </w:r>
      <w:r>
        <w:rPr>
          <w:spacing w:val="-107"/>
        </w:rPr>
        <w:t> </w:t>
      </w:r>
      <w:r>
        <w:rPr/>
        <w:t>量标杆、</w:t>
      </w:r>
      <w:r>
        <w:rPr>
          <w:rFonts w:ascii="Times New Roman" w:hAnsi="Times New Roman" w:cs="Times New Roman" w:eastAsia="Times New Roman" w:hint="default"/>
        </w:rPr>
        <w:t>2011</w:t>
      </w:r>
      <w:r>
        <w:rPr/>
        <w:t>年度郑州市人力资源和社会保障工作先进集体。</w:t>
      </w:r>
      <w:r>
        <w:rPr>
          <w:rFonts w:ascii="Times New Roman" w:hAnsi="Times New Roman" w:cs="Times New Roman" w:eastAsia="Times New Roman" w:hint="default"/>
        </w:rPr>
        <w:t>2012</w:t>
      </w:r>
      <w:r>
        <w:rPr/>
        <w:t>年，公司“湖南省金融</w:t>
      </w:r>
      <w:r>
        <w:rPr>
          <w:rFonts w:ascii="Times New Roman" w:hAnsi="Times New Roman" w:cs="Times New Roman" w:eastAsia="Times New Roman" w:hint="default"/>
        </w:rPr>
        <w:t>IC</w:t>
      </w:r>
      <w:r>
        <w:rPr>
          <w:rFonts w:ascii="Times New Roman" w:hAnsi="Times New Roman" w:cs="Times New Roman" w:eastAsia="Times New Roman" w:hint="default"/>
          <w:spacing w:val="-54"/>
        </w:rPr>
        <w:t> </w:t>
      </w:r>
      <w:r>
        <w:rPr/>
        <w:t>卡行业应用综合服务平台项目”获得“国家金卡工程优秀成果金蚂蚁奖”优秀成果奖，“正</w:t>
      </w:r>
      <w:r>
        <w:rPr>
          <w:spacing w:val="-83"/>
        </w:rPr>
        <w:t> </w:t>
      </w:r>
      <w:r>
        <w:rPr>
          <w:spacing w:val="-83"/>
        </w:rPr>
      </w:r>
      <w:r>
        <w:rPr/>
        <w:t>普智能卡密钥管理系统”</w:t>
      </w:r>
      <w:r>
        <w:rPr>
          <w:spacing w:val="10"/>
        </w:rPr>
        <w:t> </w:t>
      </w:r>
      <w:r>
        <w:rPr>
          <w:spacing w:val="-3"/>
        </w:rPr>
        <w:t>获得</w:t>
      </w:r>
      <w:r>
        <w:rPr>
          <w:rFonts w:ascii="Times New Roman" w:hAnsi="Times New Roman" w:cs="Times New Roman" w:eastAsia="Times New Roman" w:hint="default"/>
          <w:spacing w:val="-3"/>
        </w:rPr>
        <w:t>2012</w:t>
      </w:r>
      <w:r>
        <w:rPr>
          <w:spacing w:val="-3"/>
        </w:rPr>
        <w:t>中国年度创新软件产品。公司连续两年荣登“福布斯中国</w:t>
      </w:r>
      <w:r>
        <w:rPr/>
        <w:t> 最佳潜力企业”。</w:t>
      </w:r>
    </w:p>
    <w:p>
      <w:pPr>
        <w:spacing w:line="376" w:lineRule="auto" w:before="90"/>
        <w:ind w:left="633" w:right="213" w:firstLine="0"/>
        <w:jc w:val="left"/>
        <w:rPr>
          <w:rFonts w:ascii="宋体" w:hAnsi="宋体" w:cs="宋体" w:eastAsia="宋体" w:hint="default"/>
          <w:sz w:val="24"/>
          <w:szCs w:val="24"/>
        </w:rPr>
      </w:pPr>
      <w:r>
        <w:rPr>
          <w:rFonts w:ascii="宋体" w:hAnsi="宋体" w:cs="宋体" w:eastAsia="宋体" w:hint="default"/>
          <w:sz w:val="24"/>
          <w:szCs w:val="24"/>
        </w:rPr>
        <w:t>公司在报告期内着力从以下五个方面进行工作的拓展和推进，并达到了良好的成效：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、持续保持既有业务，积极拓展和深化一卡通应用，实现经营业绩稳定增长</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报告期内，公司实现营业收入</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209,436,781.07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元，相比上年增长</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13.66%</w:t>
      </w:r>
      <w:r>
        <w:rPr>
          <w:rFonts w:ascii="宋体" w:hAnsi="宋体" w:cs="宋体" w:eastAsia="宋体" w:hint="default"/>
          <w:sz w:val="24"/>
          <w:szCs w:val="24"/>
        </w:rPr>
        <w:t>，实现营业利润</w:t>
      </w:r>
    </w:p>
    <w:p>
      <w:pPr>
        <w:pStyle w:val="BodyText"/>
        <w:spacing w:line="317" w:lineRule="exact"/>
        <w:ind w:right="0"/>
        <w:jc w:val="both"/>
      </w:pPr>
      <w:r>
        <w:rPr>
          <w:rFonts w:ascii="Times New Roman" w:hAnsi="Times New Roman" w:cs="Times New Roman" w:eastAsia="Times New Roman" w:hint="default"/>
        </w:rPr>
        <w:t>45,468,271.75</w:t>
      </w:r>
      <w:r>
        <w:rPr>
          <w:rFonts w:ascii="Times New Roman" w:hAnsi="Times New Roman" w:cs="Times New Roman" w:eastAsia="Times New Roman" w:hint="default"/>
          <w:spacing w:val="-7"/>
        </w:rPr>
        <w:t> </w:t>
      </w:r>
      <w:r>
        <w:rPr>
          <w:spacing w:val="-5"/>
        </w:rPr>
        <w:t>元，相比上年增长</w:t>
      </w:r>
      <w:r>
        <w:rPr>
          <w:spacing w:val="-67"/>
        </w:rPr>
        <w:t> </w:t>
      </w:r>
      <w:r>
        <w:rPr>
          <w:rFonts w:ascii="Times New Roman" w:hAnsi="Times New Roman" w:cs="Times New Roman" w:eastAsia="Times New Roman" w:hint="default"/>
        </w:rPr>
        <w:t>22.01%</w:t>
      </w:r>
      <w:r>
        <w:rPr/>
        <w:t>，归属于上市公司股东的净利润</w:t>
      </w:r>
      <w:r>
        <w:rPr>
          <w:spacing w:val="-67"/>
        </w:rPr>
        <w:t> </w:t>
      </w:r>
      <w:r>
        <w:rPr>
          <w:rFonts w:ascii="Times New Roman" w:hAnsi="Times New Roman" w:cs="Times New Roman" w:eastAsia="Times New Roman" w:hint="default"/>
        </w:rPr>
        <w:t>42,133,555.90</w:t>
      </w:r>
      <w:r>
        <w:rPr>
          <w:rFonts w:ascii="Times New Roman" w:hAnsi="Times New Roman" w:cs="Times New Roman" w:eastAsia="Times New Roman" w:hint="default"/>
          <w:spacing w:val="-7"/>
        </w:rPr>
        <w:t> </w:t>
      </w:r>
      <w:r>
        <w:rPr>
          <w:spacing w:val="-12"/>
        </w:rPr>
        <w:t>元，相</w:t>
      </w:r>
    </w:p>
    <w:p>
      <w:pPr>
        <w:pStyle w:val="BodyText"/>
        <w:spacing w:line="338" w:lineRule="auto" w:before="135"/>
        <w:ind w:right="231"/>
        <w:jc w:val="both"/>
      </w:pPr>
      <w:r>
        <w:rPr/>
        <w:t>比上年小幅上升</w:t>
      </w:r>
      <w:r>
        <w:rPr>
          <w:spacing w:val="1"/>
        </w:rPr>
        <w:t> </w:t>
      </w:r>
      <w:r>
        <w:rPr>
          <w:rFonts w:ascii="Times New Roman" w:hAnsi="Times New Roman" w:cs="Times New Roman" w:eastAsia="Times New Roman" w:hint="default"/>
        </w:rPr>
        <w:t>0.66%</w:t>
      </w:r>
      <w:r>
        <w:rPr/>
        <w:t>，净利润较营业收入和营业利润增幅较小的主要原因为报告期内公司 营业外收入为</w:t>
      </w:r>
      <w:r>
        <w:rPr>
          <w:spacing w:val="-59"/>
        </w:rPr>
        <w:t> </w:t>
      </w:r>
      <w:r>
        <w:rPr>
          <w:rFonts w:ascii="Times New Roman" w:hAnsi="Times New Roman" w:cs="Times New Roman" w:eastAsia="Times New Roman" w:hint="default"/>
        </w:rPr>
        <w:t>3,296,623.56</w:t>
      </w:r>
      <w:r>
        <w:rPr>
          <w:rFonts w:ascii="Times New Roman" w:hAnsi="Times New Roman" w:cs="Times New Roman" w:eastAsia="Times New Roman" w:hint="default"/>
          <w:spacing w:val="1"/>
        </w:rPr>
        <w:t> </w:t>
      </w:r>
      <w:r>
        <w:rPr>
          <w:spacing w:val="-7"/>
        </w:rPr>
        <w:t>元，比上年同期减少</w:t>
      </w:r>
      <w:r>
        <w:rPr>
          <w:spacing w:val="-60"/>
        </w:rPr>
        <w:t> </w:t>
      </w:r>
      <w:r>
        <w:rPr>
          <w:rFonts w:ascii="Times New Roman" w:hAnsi="Times New Roman" w:cs="Times New Roman" w:eastAsia="Times New Roman" w:hint="default"/>
          <w:spacing w:val="-5"/>
        </w:rPr>
        <w:t>70.15%</w:t>
      </w:r>
      <w:r>
        <w:rPr>
          <w:spacing w:val="-5"/>
        </w:rPr>
        <w:t>，主要系公司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年度未收到软件增 值税退税。</w:t>
      </w:r>
    </w:p>
    <w:p>
      <w:pPr>
        <w:pStyle w:val="BodyText"/>
        <w:spacing w:line="367" w:lineRule="auto" w:before="95"/>
        <w:ind w:left="633" w:right="95"/>
        <w:jc w:val="left"/>
      </w:pPr>
      <w:r>
        <w:rPr/>
        <w:t>（</w:t>
      </w:r>
      <w:r>
        <w:rPr>
          <w:rFonts w:ascii="Times New Roman" w:hAnsi="Times New Roman" w:cs="Times New Roman" w:eastAsia="Times New Roman" w:hint="default"/>
        </w:rPr>
        <w:t>1</w:t>
      </w:r>
      <w:r>
        <w:rPr/>
        <w:t>）校园领域 公司收入的持续稳定增长源于公司长期战略规划的逐步实施。在竞争激烈的校园一卡通</w:t>
      </w:r>
    </w:p>
    <w:p>
      <w:pPr>
        <w:spacing w:after="0" w:line="367"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5" w:lineRule="auto" w:before="26"/>
        <w:ind w:right="228"/>
        <w:jc w:val="both"/>
      </w:pPr>
      <w:r>
        <w:rPr/>
        <w:t>领域，公司具有独特优势，通过全面的产品线和优质的服务为客户提供智能一卡通整体解决</w:t>
      </w:r>
      <w:r>
        <w:rPr>
          <w:spacing w:val="-83"/>
        </w:rPr>
        <w:t> </w:t>
      </w:r>
      <w:r>
        <w:rPr>
          <w:spacing w:val="-83"/>
        </w:rPr>
      </w:r>
      <w:r>
        <w:rPr/>
        <w:t>方案，满足客户的个性化需求，积累了较多优质客户，客户覆盖面广。一方面积极争取新客</w:t>
      </w:r>
      <w:r>
        <w:rPr>
          <w:spacing w:val="-83"/>
        </w:rPr>
        <w:t> </w:t>
      </w:r>
      <w:r>
        <w:rPr>
          <w:spacing w:val="-83"/>
        </w:rPr>
      </w:r>
      <w:r>
        <w:rPr/>
        <w:t>户的校园一卡通建设项目，同时对于既有客户的深入智慧化建设需求，通过不断的定制化产</w:t>
      </w:r>
      <w:r>
        <w:rPr>
          <w:spacing w:val="-83"/>
        </w:rPr>
        <w:t> </w:t>
      </w:r>
      <w:r>
        <w:rPr>
          <w:spacing w:val="-83"/>
        </w:rPr>
      </w:r>
      <w:r>
        <w:rPr/>
        <w:t>品和解决方案的创新，实现了对新老客户销售的稳步增长。</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年新增本科以上校园一卡通 典型案例包括江南大学、湖北工业大学、内蒙古师范大学、河北农业大学、四川农业大学、</w:t>
      </w:r>
      <w:r>
        <w:rPr>
          <w:spacing w:val="-83"/>
        </w:rPr>
        <w:t> </w:t>
      </w:r>
      <w:r>
        <w:rPr>
          <w:spacing w:val="-83"/>
        </w:rPr>
      </w:r>
      <w:r>
        <w:rPr/>
        <w:t>安徽医科大学、新疆医科大学、郑州轻工业学院、长春工业大学、贵州财经大学、湛江师范</w:t>
      </w:r>
      <w:r>
        <w:rPr>
          <w:spacing w:val="-83"/>
        </w:rPr>
        <w:t> </w:t>
      </w:r>
      <w:r>
        <w:rPr>
          <w:spacing w:val="-83"/>
        </w:rPr>
      </w:r>
      <w:r>
        <w:rPr/>
        <w:t>大学等。同时，公司为北京交通大学、北京邮电大学、华东师范大学、郑州大学、海南大学</w:t>
      </w:r>
      <w:r>
        <w:rPr>
          <w:spacing w:val="-83"/>
        </w:rPr>
        <w:t> </w:t>
      </w:r>
      <w:r>
        <w:rPr>
          <w:spacing w:val="-83"/>
        </w:rPr>
      </w:r>
      <w:r>
        <w:rPr/>
        <w:t>等一批老客户，持续提供了更为广泛和全面的一卡通建设服务。</w:t>
      </w:r>
    </w:p>
    <w:p>
      <w:pPr>
        <w:pStyle w:val="BodyText"/>
        <w:spacing w:line="338" w:lineRule="auto" w:before="77"/>
        <w:ind w:left="154" w:right="98" w:firstLine="480"/>
        <w:jc w:val="left"/>
      </w:pP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日，公司智能一卡通产品在高校中的市场渗透率已从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年上市 之初的</w:t>
      </w:r>
      <w:r>
        <w:rPr>
          <w:spacing w:val="-55"/>
        </w:rPr>
        <w:t> </w:t>
      </w:r>
      <w:r>
        <w:rPr>
          <w:rFonts w:ascii="Times New Roman" w:hAnsi="Times New Roman" w:cs="Times New Roman" w:eastAsia="Times New Roman" w:hint="default"/>
        </w:rPr>
        <w:t>19.20%</w:t>
      </w:r>
      <w:r>
        <w:rPr/>
        <w:t>上升至</w:t>
      </w:r>
      <w:r>
        <w:rPr>
          <w:spacing w:val="-55"/>
        </w:rPr>
        <w:t> </w:t>
      </w:r>
      <w:r>
        <w:rPr>
          <w:rFonts w:ascii="Times New Roman" w:hAnsi="Times New Roman" w:cs="Times New Roman" w:eastAsia="Times New Roman" w:hint="default"/>
          <w:spacing w:val="-8"/>
        </w:rPr>
        <w:t>22.54%</w:t>
      </w:r>
      <w:r>
        <w:rPr>
          <w:spacing w:val="-8"/>
        </w:rPr>
        <w:t>。报告期内，公司直销模式下校园领域收入为</w:t>
      </w:r>
      <w:r>
        <w:rPr>
          <w:spacing w:val="-55"/>
        </w:rPr>
        <w:t> </w:t>
      </w:r>
      <w:r>
        <w:rPr>
          <w:rFonts w:ascii="Times New Roman" w:hAnsi="Times New Roman" w:cs="Times New Roman" w:eastAsia="Times New Roman" w:hint="default"/>
        </w:rPr>
        <w:t>107,003,805.07</w:t>
      </w:r>
      <w:r>
        <w:rPr>
          <w:rFonts w:ascii="Times New Roman" w:hAnsi="Times New Roman" w:cs="Times New Roman" w:eastAsia="Times New Roman" w:hint="default"/>
          <w:spacing w:val="5"/>
        </w:rPr>
        <w:t> </w:t>
      </w:r>
      <w:r>
        <w:rPr/>
        <w:t>元， 比上年同期增长</w:t>
      </w:r>
      <w:r>
        <w:rPr>
          <w:spacing w:val="-60"/>
        </w:rPr>
        <w:t> </w:t>
      </w:r>
      <w:r>
        <w:rPr>
          <w:rFonts w:ascii="Times New Roman" w:hAnsi="Times New Roman" w:cs="Times New Roman" w:eastAsia="Times New Roman" w:hint="default"/>
        </w:rPr>
        <w:t>10.54%</w:t>
      </w:r>
      <w:r>
        <w:rPr/>
        <w:t>。</w:t>
      </w:r>
    </w:p>
    <w:p>
      <w:pPr>
        <w:pStyle w:val="BodyText"/>
        <w:spacing w:line="364" w:lineRule="auto" w:before="67"/>
        <w:ind w:left="634" w:right="95"/>
        <w:jc w:val="left"/>
      </w:pPr>
      <w:r>
        <w:rPr/>
        <w:t>（</w:t>
      </w:r>
      <w:r>
        <w:rPr>
          <w:rFonts w:ascii="Times New Roman" w:hAnsi="Times New Roman" w:cs="Times New Roman" w:eastAsia="Times New Roman" w:hint="default"/>
        </w:rPr>
        <w:t>2</w:t>
      </w:r>
      <w:r>
        <w:rPr/>
        <w:t>）企事业领域 在对信息化、智慧化建设需求日益增长且市场潜力较大的企事业领域，公司结合更多类</w:t>
      </w:r>
    </w:p>
    <w:p>
      <w:pPr>
        <w:pStyle w:val="BodyText"/>
        <w:spacing w:line="350" w:lineRule="auto" w:before="29"/>
        <w:ind w:right="228"/>
        <w:jc w:val="both"/>
      </w:pPr>
      <w:r>
        <w:rPr/>
        <w:t>型企业客户的需求，通过与客户信息中心、银行个金部、运营商政企部、经销商等多渠道着</w:t>
      </w:r>
      <w:r>
        <w:rPr>
          <w:spacing w:val="-83"/>
        </w:rPr>
        <w:t> </w:t>
      </w:r>
      <w:r>
        <w:rPr>
          <w:spacing w:val="-83"/>
        </w:rPr>
      </w:r>
      <w:r>
        <w:rPr/>
        <w:t>力开发涵盖集团公司、中小型企业、批发零售业、市政机关、医院、监狱、军队、旅游景区</w:t>
      </w:r>
      <w:r>
        <w:rPr>
          <w:spacing w:val="-83"/>
        </w:rPr>
        <w:t> </w:t>
      </w:r>
      <w:r>
        <w:rPr>
          <w:spacing w:val="-83"/>
        </w:rPr>
      </w:r>
      <w:r>
        <w:rPr/>
        <w:t>等多个领域的企业一卡通需求，并以企业一卡通为基础，实现向企业智能管控平台业务的延</w:t>
      </w:r>
      <w:r>
        <w:rPr>
          <w:spacing w:val="-83"/>
        </w:rPr>
        <w:t> </w:t>
      </w:r>
      <w:r>
        <w:rPr>
          <w:spacing w:val="-83"/>
        </w:rPr>
      </w:r>
      <w:r>
        <w:rPr/>
        <w:t>伸，取得了长足的进展。</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年，公司企事业领域内新签署系统工程合同</w:t>
      </w:r>
      <w:r>
        <w:rPr>
          <w:spacing w:val="-68"/>
        </w:rPr>
        <w:t> </w:t>
      </w:r>
      <w:r>
        <w:rPr>
          <w:rFonts w:ascii="Times New Roman" w:hAnsi="Times New Roman" w:cs="Times New Roman" w:eastAsia="Times New Roman" w:hint="default"/>
        </w:rPr>
        <w:t>264</w:t>
      </w:r>
      <w:r>
        <w:rPr>
          <w:rFonts w:ascii="Times New Roman" w:hAnsi="Times New Roman" w:cs="Times New Roman" w:eastAsia="Times New Roman" w:hint="default"/>
          <w:spacing w:val="-8"/>
        </w:rPr>
        <w:t> </w:t>
      </w:r>
      <w:r>
        <w:rPr/>
        <w:t>个，主要客户 包括多氟多化工、宇通客车、格力郑州、格力芜湖、珠海伟创力工业园、宁波北仑物流中心</w:t>
      </w:r>
      <w:r>
        <w:rPr>
          <w:spacing w:val="-83"/>
        </w:rPr>
        <w:t> </w:t>
      </w:r>
      <w:r>
        <w:rPr>
          <w:spacing w:val="-83"/>
        </w:rPr>
      </w:r>
      <w:r>
        <w:rPr/>
        <w:t>等，其中，</w:t>
      </w:r>
      <w:r>
        <w:rPr>
          <w:rFonts w:ascii="Times New Roman" w:hAnsi="Times New Roman" w:cs="Times New Roman" w:eastAsia="Times New Roman" w:hint="default"/>
        </w:rPr>
        <w:t>2012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月，公司与西南地区某大型房地产集团签署了《一卡通项目规划设计 </w:t>
      </w:r>
      <w:r>
        <w:rPr>
          <w:spacing w:val="-11"/>
        </w:rPr>
        <w:t>合同》，向该集团提供一卡通规划设计，成为公司首个针对智慧社区项目的规划设计合同。</w:t>
      </w:r>
      <w:r>
        <w:rPr>
          <w:rFonts w:ascii="Times New Roman" w:hAnsi="Times New Roman" w:cs="Times New Roman" w:eastAsia="Times New Roman" w:hint="default"/>
          <w:spacing w:val="-11"/>
        </w:rPr>
        <w:t>2012</w:t>
      </w:r>
      <w:r>
        <w:rPr>
          <w:rFonts w:ascii="Times New Roman" w:hAnsi="Times New Roman" w:cs="Times New Roman" w:eastAsia="Times New Roman" w:hint="default"/>
          <w:spacing w:val="-17"/>
        </w:rPr>
        <w:t> </w:t>
      </w:r>
      <w:r>
        <w:rPr/>
        <w:t>年，公司直销模式下，企事业领域收入为</w:t>
      </w:r>
      <w:r>
        <w:rPr>
          <w:spacing w:val="-60"/>
        </w:rPr>
        <w:t> </w:t>
      </w:r>
      <w:r>
        <w:rPr>
          <w:rFonts w:ascii="Times New Roman" w:hAnsi="Times New Roman" w:cs="Times New Roman" w:eastAsia="Times New Roman" w:hint="default"/>
        </w:rPr>
        <w:t>30,346,071.75 </w:t>
      </w:r>
      <w:r>
        <w:rPr/>
        <w:t>元，较上年同期增长</w:t>
      </w:r>
      <w:r>
        <w:rPr>
          <w:spacing w:val="-60"/>
        </w:rPr>
        <w:t> </w:t>
      </w:r>
      <w:r>
        <w:rPr>
          <w:rFonts w:ascii="Times New Roman" w:hAnsi="Times New Roman" w:cs="Times New Roman" w:eastAsia="Times New Roman" w:hint="default"/>
        </w:rPr>
        <w:t>22.23%</w:t>
      </w:r>
      <w:r>
        <w:rPr/>
        <w:t>。</w:t>
      </w:r>
    </w:p>
    <w:p>
      <w:pPr>
        <w:pStyle w:val="BodyText"/>
        <w:spacing w:line="367" w:lineRule="auto" w:before="53"/>
        <w:ind w:left="633" w:right="95"/>
        <w:jc w:val="left"/>
      </w:pPr>
      <w:r>
        <w:rPr/>
        <w:t>（</w:t>
      </w:r>
      <w:r>
        <w:rPr>
          <w:rFonts w:ascii="Times New Roman" w:hAnsi="Times New Roman" w:cs="Times New Roman" w:eastAsia="Times New Roman" w:hint="default"/>
        </w:rPr>
        <w:t>3</w:t>
      </w:r>
      <w:r>
        <w:rPr/>
        <w:t>）城市领域 公司一直将城市一卡通及智慧城市建设视为公司重要战略发展领域，并持续的积极与各</w:t>
      </w:r>
    </w:p>
    <w:p>
      <w:pPr>
        <w:pStyle w:val="BodyText"/>
        <w:spacing w:line="240" w:lineRule="auto" w:before="28"/>
        <w:ind w:right="0"/>
        <w:jc w:val="both"/>
      </w:pPr>
      <w:r>
        <w:rPr/>
        <w:t>地政府、银联及运营商寻找更多合作机遇，成为城市一卡通整体解决方案供应商。</w:t>
      </w:r>
    </w:p>
    <w:p>
      <w:pPr>
        <w:pStyle w:val="BodyText"/>
        <w:spacing w:line="338" w:lineRule="auto" w:before="192"/>
        <w:ind w:left="154" w:right="215"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年新增城市一卡通案例</w:t>
      </w:r>
      <w:r>
        <w:rPr>
          <w:spacing w:val="-65"/>
        </w:rPr>
        <w:t>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个，其中新增</w:t>
      </w:r>
      <w:r>
        <w:rPr>
          <w:spacing w:val="-65"/>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个地市级案例：保定、荆州、衡阳、邵 阳、四平、鹰潭、甘南、定西、大兴安岭、咸宁、潮州、茂名、海口等城市。</w:t>
      </w:r>
    </w:p>
    <w:p>
      <w:pPr>
        <w:pStyle w:val="BodyText"/>
        <w:spacing w:line="348" w:lineRule="auto" w:before="94"/>
        <w:ind w:right="228" w:firstLine="480"/>
        <w:jc w:val="both"/>
      </w:pPr>
      <w:r>
        <w:rPr/>
        <w:t>截至</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spacing w:val="-3"/>
        </w:rPr>
        <w:t>年初至今，公司已签约</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3"/>
        </w:rPr>
        <w:t>个城市一卡通项目，包括天府通项目、盘锦市民卡公</w:t>
      </w:r>
      <w:r>
        <w:rPr/>
        <w:t> 交项目、淮北中行公交项目、海口公交批量采购入围、咸宁通城翼支付公交项目，以及贵州</w:t>
      </w:r>
      <w:r>
        <w:rPr>
          <w:spacing w:val="-83"/>
        </w:rPr>
        <w:t> </w:t>
      </w:r>
      <w:r>
        <w:rPr>
          <w:spacing w:val="-83"/>
        </w:rPr>
      </w:r>
      <w:r>
        <w:rPr/>
        <w:t>凯里智慧城市一卡通投资运营项目。</w:t>
      </w:r>
    </w:p>
    <w:p>
      <w:pPr>
        <w:spacing w:after="0" w:line="348" w:lineRule="auto"/>
        <w:jc w:val="both"/>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38" w:lineRule="auto" w:before="26"/>
        <w:ind w:right="151" w:firstLine="480"/>
        <w:jc w:val="both"/>
      </w:pPr>
      <w:r>
        <w:rPr/>
        <w:t>目前公司的城市一卡通项目已覆盖全国</w:t>
      </w:r>
      <w:r>
        <w:rPr>
          <w:spacing w:val="-6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3"/>
        </w:rPr>
        <w:t>个省份，</w:t>
      </w:r>
      <w:r>
        <w:rPr>
          <w:rFonts w:ascii="Times New Roman" w:hAnsi="Times New Roman" w:cs="Times New Roman" w:eastAsia="Times New Roman" w:hint="default"/>
          <w:spacing w:val="-3"/>
        </w:rPr>
        <w:t>67 </w:t>
      </w:r>
      <w:r>
        <w:rPr/>
        <w:t>个城市，市场渗透率约</w:t>
      </w:r>
      <w:r>
        <w:rPr>
          <w:spacing w:val="-63"/>
        </w:rPr>
        <w:t> </w:t>
      </w:r>
      <w:r>
        <w:rPr>
          <w:rFonts w:ascii="Times New Roman" w:hAnsi="Times New Roman" w:cs="Times New Roman" w:eastAsia="Times New Roman" w:hint="default"/>
          <w:spacing w:val="-3"/>
        </w:rPr>
        <w:t>8%</w:t>
      </w:r>
      <w:r>
        <w:rPr>
          <w:spacing w:val="-3"/>
        </w:rPr>
        <w:t>。报告</w:t>
      </w:r>
      <w:r>
        <w:rPr/>
        <w:t> 期公司直销模式下城市领域收入实现</w:t>
      </w:r>
      <w:r>
        <w:rPr>
          <w:spacing w:val="-60"/>
        </w:rPr>
        <w:t> </w:t>
      </w:r>
      <w:r>
        <w:rPr>
          <w:rFonts w:ascii="Times New Roman" w:hAnsi="Times New Roman" w:cs="Times New Roman" w:eastAsia="Times New Roman" w:hint="default"/>
        </w:rPr>
        <w:t>8,555,007.37 </w:t>
      </w:r>
      <w:r>
        <w:rPr/>
        <w:t>元，较上年同期增长</w:t>
      </w:r>
      <w:r>
        <w:rPr>
          <w:spacing w:val="-60"/>
        </w:rPr>
        <w:t> </w:t>
      </w:r>
      <w:r>
        <w:rPr>
          <w:rFonts w:ascii="Times New Roman" w:hAnsi="Times New Roman" w:cs="Times New Roman" w:eastAsia="Times New Roman" w:hint="default"/>
        </w:rPr>
        <w:t>142.53%</w:t>
      </w:r>
      <w:r>
        <w:rPr/>
        <w:t>。</w:t>
      </w:r>
    </w:p>
    <w:p>
      <w:pPr>
        <w:pStyle w:val="BodyText"/>
        <w:spacing w:line="367" w:lineRule="auto" w:before="66"/>
        <w:ind w:left="633" w:right="0"/>
        <w:jc w:val="left"/>
      </w:pPr>
      <w:r>
        <w:rPr/>
        <w:t>（</w:t>
      </w:r>
      <w:r>
        <w:rPr>
          <w:rFonts w:ascii="Times New Roman" w:hAnsi="Times New Roman" w:cs="Times New Roman" w:eastAsia="Times New Roman" w:hint="default"/>
        </w:rPr>
        <w:t>4</w:t>
      </w:r>
      <w:r>
        <w:rPr/>
        <w:t>）各功能板块 基于公司在上述三大领域战略规划及相应市场需求增减等因素，公司各功能板块业务收</w:t>
      </w:r>
    </w:p>
    <w:p>
      <w:pPr>
        <w:pStyle w:val="BodyText"/>
        <w:spacing w:line="350" w:lineRule="auto" w:before="26"/>
        <w:ind w:right="129"/>
        <w:jc w:val="both"/>
      </w:pPr>
      <w:r>
        <w:rPr/>
        <w:t>入也呈现一定的变动。报告期公司小额支付与信息集成功能板块分别实现收入</w:t>
      </w:r>
      <w:r>
        <w:rPr>
          <w:spacing w:val="-22"/>
        </w:rPr>
        <w:t> </w:t>
      </w:r>
      <w:r>
        <w:rPr>
          <w:rFonts w:ascii="Times New Roman" w:hAnsi="Times New Roman" w:cs="Times New Roman" w:eastAsia="Times New Roman" w:hint="default"/>
        </w:rPr>
        <w:t>48,752,530.68 </w:t>
      </w:r>
      <w:r>
        <w:rPr/>
        <w:t>元、</w:t>
      </w:r>
      <w:r>
        <w:rPr>
          <w:rFonts w:ascii="Times New Roman" w:hAnsi="Times New Roman" w:cs="Times New Roman" w:eastAsia="Times New Roman" w:hint="default"/>
        </w:rPr>
        <w:t>103,804,005.23</w:t>
      </w:r>
      <w:r>
        <w:rPr>
          <w:rFonts w:ascii="Times New Roman" w:hAnsi="Times New Roman" w:cs="Times New Roman" w:eastAsia="Times New Roman" w:hint="default"/>
          <w:spacing w:val="-5"/>
        </w:rPr>
        <w:t> </w:t>
      </w:r>
      <w:r>
        <w:rPr/>
        <w:t>元，同比增长</w:t>
      </w:r>
      <w:r>
        <w:rPr>
          <w:spacing w:val="-65"/>
        </w:rPr>
        <w:t> </w:t>
      </w:r>
      <w:r>
        <w:rPr>
          <w:rFonts w:ascii="Times New Roman" w:hAnsi="Times New Roman" w:cs="Times New Roman" w:eastAsia="Times New Roman" w:hint="default"/>
        </w:rPr>
        <w:t>21.17%</w:t>
      </w:r>
      <w:r>
        <w:rPr/>
        <w:t>和</w:t>
      </w:r>
      <w:r>
        <w:rPr>
          <w:spacing w:val="-65"/>
        </w:rPr>
        <w:t> </w:t>
      </w:r>
      <w:r>
        <w:rPr>
          <w:rFonts w:ascii="Times New Roman" w:hAnsi="Times New Roman" w:cs="Times New Roman" w:eastAsia="Times New Roman" w:hint="default"/>
        </w:rPr>
        <w:t>31.09%</w:t>
      </w:r>
      <w:r>
        <w:rPr/>
        <w:t>，这得益于数字化校园、城市一卡通以及</w:t>
      </w:r>
      <w:r>
        <w:rPr>
          <w:spacing w:val="-1"/>
        </w:rPr>
        <w:t> </w:t>
      </w:r>
      <w:r>
        <w:rPr/>
        <w:t>企事业整体一卡通等建设项目增多所带来的对于小额支付功能和整体解决方案收入的提升。</w:t>
      </w:r>
      <w:r>
        <w:rPr>
          <w:spacing w:val="-83"/>
        </w:rPr>
        <w:t> </w:t>
      </w:r>
      <w:r>
        <w:rPr>
          <w:spacing w:val="-83"/>
        </w:rPr>
      </w:r>
      <w:r>
        <w:rPr/>
        <w:t>而对于受校园传统水电管控和企事业单一门禁、考勤影响较大的身份识别和资源管控功能板</w:t>
      </w:r>
      <w:r>
        <w:rPr>
          <w:spacing w:val="-83"/>
        </w:rPr>
        <w:t> </w:t>
      </w:r>
      <w:r>
        <w:rPr>
          <w:spacing w:val="-83"/>
        </w:rPr>
      </w:r>
      <w:r>
        <w:rPr>
          <w:spacing w:val="20"/>
        </w:rPr>
        <w:t>块而言，相应收入有所减少，因此报告期内，公司身份识别与资源管控业务实现收入</w:t>
      </w:r>
      <w:r>
        <w:rPr>
          <w:spacing w:val="-85"/>
        </w:rPr>
        <w:t> </w:t>
      </w:r>
      <w:r>
        <w:rPr>
          <w:spacing w:val="-85"/>
        </w:rPr>
      </w:r>
      <w:r>
        <w:rPr>
          <w:rFonts w:ascii="Times New Roman" w:hAnsi="Times New Roman" w:cs="Times New Roman" w:eastAsia="Times New Roman" w:hint="default"/>
        </w:rPr>
        <w:t>17,982,970.45</w:t>
      </w:r>
      <w:r>
        <w:rPr>
          <w:rFonts w:ascii="Times New Roman" w:hAnsi="Times New Roman" w:cs="Times New Roman" w:eastAsia="Times New Roman" w:hint="default"/>
          <w:spacing w:val="-1"/>
        </w:rPr>
        <w:t> </w:t>
      </w:r>
      <w:r>
        <w:rPr/>
        <w:t>元和</w:t>
      </w:r>
      <w:r>
        <w:rPr>
          <w:spacing w:val="-61"/>
        </w:rPr>
        <w:t> </w:t>
      </w:r>
      <w:r>
        <w:rPr>
          <w:rFonts w:ascii="Times New Roman" w:hAnsi="Times New Roman" w:cs="Times New Roman" w:eastAsia="Times New Roman" w:hint="default"/>
        </w:rPr>
        <w:t>38,897,274.71</w:t>
      </w:r>
      <w:r>
        <w:rPr>
          <w:rFonts w:ascii="Times New Roman" w:hAnsi="Times New Roman" w:cs="Times New Roman" w:eastAsia="Times New Roman" w:hint="default"/>
          <w:spacing w:val="-1"/>
        </w:rPr>
        <w:t> </w:t>
      </w:r>
      <w:r>
        <w:rPr/>
        <w:t>元，同比下降</w:t>
      </w:r>
      <w:r>
        <w:rPr>
          <w:rFonts w:ascii="Times New Roman" w:hAnsi="Times New Roman" w:cs="Times New Roman" w:eastAsia="Times New Roman" w:hint="default"/>
        </w:rPr>
        <w:t>-18.43%</w:t>
      </w:r>
      <w:r>
        <w:rPr/>
        <w:t>和</w:t>
      </w:r>
      <w:r>
        <w:rPr>
          <w:rFonts w:ascii="Times New Roman" w:hAnsi="Times New Roman" w:cs="Times New Roman" w:eastAsia="Times New Roman" w:hint="default"/>
        </w:rPr>
        <w:t>-9.12%</w:t>
      </w:r>
      <w:r>
        <w:rPr/>
        <w:t>。</w:t>
      </w:r>
    </w:p>
    <w:p>
      <w:pPr>
        <w:spacing w:line="364" w:lineRule="auto" w:before="53"/>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、加大产品和模式创新，增强解决方案开发能力，为公司持续发展提供技术支持</w:t>
      </w:r>
      <w:r>
        <w:rPr>
          <w:rFonts w:ascii="宋体" w:hAnsi="宋体" w:cs="宋体" w:eastAsia="宋体" w:hint="default"/>
          <w:b/>
          <w:bCs/>
          <w:w w:val="99"/>
          <w:sz w:val="24"/>
          <w:szCs w:val="24"/>
        </w:rPr>
        <w:t> </w:t>
      </w:r>
      <w:r>
        <w:rPr>
          <w:rFonts w:ascii="宋体" w:hAnsi="宋体" w:cs="宋体" w:eastAsia="宋体" w:hint="default"/>
          <w:sz w:val="24"/>
          <w:szCs w:val="24"/>
        </w:rPr>
        <w:t>报告期内，公司继续深化研发体系改革，在以技术研究中心和产品事业部为主的研发体</w:t>
      </w:r>
    </w:p>
    <w:p>
      <w:pPr>
        <w:pStyle w:val="BodyText"/>
        <w:spacing w:line="352" w:lineRule="auto" w:before="29"/>
        <w:ind w:right="148"/>
        <w:jc w:val="both"/>
      </w:pPr>
      <w:r>
        <w:rPr/>
        <w:t>系下，同营销中心一起，面向最终用户，积极推进基于自身产品线的解决方案及销售支持和</w:t>
      </w:r>
      <w:r>
        <w:rPr>
          <w:spacing w:val="-83"/>
        </w:rPr>
        <w:t> </w:t>
      </w:r>
      <w:r>
        <w:rPr>
          <w:spacing w:val="-83"/>
        </w:rPr>
      </w:r>
      <w:r>
        <w:rPr/>
        <w:t>培训的功能整合，通过校企一卡通、城市一卡通、信息集成、增值业务、智能识别、电子支</w:t>
      </w:r>
      <w:r>
        <w:rPr>
          <w:spacing w:val="-83"/>
        </w:rPr>
        <w:t> </w:t>
      </w:r>
      <w:r>
        <w:rPr>
          <w:spacing w:val="-83"/>
        </w:rPr>
      </w:r>
      <w:r>
        <w:rPr/>
        <w:t>付及能源管控七个产品事业部，保障产品竞争力、可靠性及经济效益，并向其他产品事业部</w:t>
      </w:r>
      <w:r>
        <w:rPr>
          <w:spacing w:val="-83"/>
        </w:rPr>
        <w:t> </w:t>
      </w:r>
      <w:r>
        <w:rPr>
          <w:spacing w:val="-83"/>
        </w:rPr>
      </w:r>
      <w:r>
        <w:rPr/>
        <w:t>提供产品、开发支持与保障。报告期内，公司研发投入占营业收入比例为</w:t>
      </w:r>
      <w:r>
        <w:rPr>
          <w:spacing w:val="1"/>
        </w:rPr>
        <w:t> </w:t>
      </w:r>
      <w:r>
        <w:rPr>
          <w:rFonts w:ascii="Times New Roman" w:hAnsi="Times New Roman" w:cs="Times New Roman" w:eastAsia="Times New Roman" w:hint="default"/>
        </w:rPr>
        <w:t>6.90%</w:t>
      </w:r>
      <w:r>
        <w:rPr/>
        <w:t>，较上年增 长</w:t>
      </w:r>
      <w:r>
        <w:rPr>
          <w:spacing w:val="-59"/>
        </w:rPr>
        <w:t> </w:t>
      </w:r>
      <w:r>
        <w:rPr>
          <w:rFonts w:ascii="Times New Roman" w:hAnsi="Times New Roman" w:cs="Times New Roman" w:eastAsia="Times New Roman" w:hint="default"/>
        </w:rPr>
        <w:t>1.82%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年，公司新增</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个外观专利，获取</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项软件著作权，新申请了</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项软件产</w:t>
      </w:r>
    </w:p>
    <w:p>
      <w:pPr>
        <w:pStyle w:val="BodyText"/>
        <w:spacing w:line="367" w:lineRule="auto" w:before="12"/>
        <w:ind w:left="634" w:right="0" w:hanging="480"/>
        <w:jc w:val="left"/>
      </w:pPr>
      <w:r>
        <w:rPr/>
        <w:t>品，</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 </w:t>
      </w:r>
      <w:r>
        <w:rPr/>
        <w:t>月，新增</w:t>
      </w:r>
      <w:r>
        <w:rPr>
          <w:spacing w:val="-60"/>
        </w:rPr>
        <w:t> </w:t>
      </w:r>
      <w:r>
        <w:rPr>
          <w:rFonts w:ascii="Times New Roman" w:hAnsi="Times New Roman" w:cs="Times New Roman" w:eastAsia="Times New Roman" w:hint="default"/>
        </w:rPr>
        <w:t>2 </w:t>
      </w:r>
      <w:r>
        <w:rPr/>
        <w:t>项外观专利。 同时，公司前期在研、预研项目陆续达成开发目标，多数已经在具体项目中得到应用。</w:t>
      </w:r>
    </w:p>
    <w:p>
      <w:pPr>
        <w:pStyle w:val="BodyText"/>
        <w:spacing w:line="350" w:lineRule="auto" w:before="26"/>
        <w:ind w:left="154" w:right="148"/>
        <w:jc w:val="both"/>
      </w:pPr>
      <w:r>
        <w:rPr>
          <w:spacing w:val="-3"/>
        </w:rPr>
        <w:t>其中，基于金融标准的城市应用平台、金融</w:t>
      </w:r>
      <w:r>
        <w:rPr>
          <w:spacing w:val="-73"/>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卡行业多级密钥管理系统已经搭建完成，并在 湖南投入使用，基于金融标准的校园支付终端已经满足金融行业要求，并已取得银联检测认</w:t>
      </w:r>
      <w:r>
        <w:rPr>
          <w:spacing w:val="-83"/>
        </w:rPr>
        <w:t> </w:t>
      </w:r>
      <w:r>
        <w:rPr>
          <w:spacing w:val="-83"/>
        </w:rPr>
      </w:r>
      <w:r>
        <w:rPr/>
        <w:t>证；基于云架构的掌上校园系统、无线联网智能卡门锁系统、数传网关也已开发完成，相继</w:t>
      </w:r>
      <w:r>
        <w:rPr>
          <w:spacing w:val="-83"/>
        </w:rPr>
        <w:t> </w:t>
      </w:r>
      <w:r>
        <w:rPr>
          <w:spacing w:val="-83"/>
        </w:rPr>
      </w:r>
      <w:r>
        <w:rPr/>
        <w:t>投入使用；出租车支付终端、在线支付系统已经通过测试，进入项目发布阶段；基于银联标</w:t>
      </w:r>
      <w:r>
        <w:rPr>
          <w:spacing w:val="-83"/>
        </w:rPr>
        <w:t> </w:t>
      </w:r>
      <w:r>
        <w:rPr>
          <w:spacing w:val="-83"/>
        </w:rPr>
      </w:r>
      <w:r>
        <w:rPr/>
        <w:t>准的金融支付终端、</w:t>
      </w:r>
      <w:r>
        <w:rPr>
          <w:rFonts w:ascii="Times New Roman" w:hAnsi="Times New Roman" w:cs="Times New Roman" w:eastAsia="Times New Roman" w:hint="default"/>
        </w:rPr>
        <w:t>2.4G</w:t>
      </w:r>
      <w:r>
        <w:rPr>
          <w:rFonts w:ascii="Times New Roman" w:hAnsi="Times New Roman" w:cs="Times New Roman" w:eastAsia="Times New Roman" w:hint="default"/>
          <w:spacing w:val="-15"/>
        </w:rPr>
        <w:t> </w:t>
      </w:r>
      <w:r>
        <w:rPr/>
        <w:t>电子标签及读写器处于样机阶段；教务系统、智慧云项目（基于云 </w:t>
      </w:r>
      <w:r>
        <w:rPr>
          <w:spacing w:val="-7"/>
        </w:rPr>
        <w:t>计算的技术架构平台）、</w:t>
      </w:r>
      <w:r>
        <w:rPr>
          <w:rFonts w:ascii="Times New Roman" w:hAnsi="Times New Roman" w:cs="Times New Roman" w:eastAsia="Times New Roman" w:hint="default"/>
          <w:spacing w:val="-7"/>
        </w:rPr>
        <w:t>Cortex-A8</w:t>
      </w:r>
      <w:r>
        <w:rPr>
          <w:rFonts w:ascii="Times New Roman" w:hAnsi="Times New Roman" w:cs="Times New Roman" w:eastAsia="Times New Roman" w:hint="default"/>
          <w:spacing w:val="17"/>
        </w:rPr>
        <w:t> </w:t>
      </w:r>
      <w:r>
        <w:rPr/>
        <w:t>系统平台按照计划进入开发阶段。</w:t>
      </w:r>
    </w:p>
    <w:p>
      <w:pPr>
        <w:pStyle w:val="BodyText"/>
        <w:spacing w:line="350" w:lineRule="auto" w:before="52"/>
        <w:ind w:right="148" w:firstLine="480"/>
        <w:jc w:val="both"/>
      </w:pPr>
      <w:r>
        <w:rPr/>
        <w:t>报告期内，公司与中国电信、中国联通和中国移动三大运营商以及银联、银行等客户持</w:t>
      </w:r>
      <w:r>
        <w:rPr>
          <w:spacing w:val="1"/>
        </w:rPr>
        <w:t> </w:t>
      </w:r>
      <w:r>
        <w:rPr/>
        <w:t>续保持了密切的合作，与其在智慧化建设所最核心的学校、企事业、城市三大领域积极开展</w:t>
      </w:r>
      <w:r>
        <w:rPr>
          <w:spacing w:val="-83"/>
        </w:rPr>
        <w:t> </w:t>
      </w:r>
      <w:r>
        <w:rPr>
          <w:spacing w:val="-83"/>
        </w:rPr>
      </w:r>
      <w:r>
        <w:rPr>
          <w:spacing w:val="-3"/>
        </w:rPr>
        <w:t>和探索相关手机一卡通、金融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3"/>
        </w:rPr>
        <w:t> </w:t>
      </w:r>
      <w:r>
        <w:rPr>
          <w:spacing w:val="-3"/>
        </w:rPr>
        <w:t>卡等业务，涉及手机支付、城市公交及企事业手机一卡通等</w:t>
      </w:r>
      <w:r>
        <w:rPr>
          <w:spacing w:val="-117"/>
        </w:rPr>
        <w:t> </w:t>
      </w:r>
      <w:r>
        <w:rPr>
          <w:spacing w:val="-117"/>
        </w:rPr>
      </w:r>
      <w:r>
        <w:rPr/>
        <w:t>众多领域。</w:t>
      </w:r>
    </w:p>
    <w:p>
      <w:pPr>
        <w:spacing w:after="0" w:line="350" w:lineRule="auto"/>
        <w:jc w:val="both"/>
        <w:sectPr>
          <w:pgSz w:w="11910" w:h="16840"/>
          <w:pgMar w:header="851" w:footer="982" w:top="1220" w:bottom="1180" w:left="980" w:right="980"/>
        </w:sectPr>
      </w:pPr>
    </w:p>
    <w:p>
      <w:pPr>
        <w:spacing w:line="240" w:lineRule="auto" w:before="5"/>
        <w:rPr>
          <w:rFonts w:ascii="宋体" w:hAnsi="宋体" w:cs="宋体" w:eastAsia="宋体" w:hint="default"/>
          <w:sz w:val="16"/>
          <w:szCs w:val="16"/>
        </w:rPr>
      </w:pPr>
    </w:p>
    <w:p>
      <w:pPr>
        <w:pStyle w:val="BodyText"/>
        <w:spacing w:line="352" w:lineRule="auto" w:before="26"/>
        <w:ind w:right="95" w:firstLine="480"/>
        <w:jc w:val="left"/>
      </w:pPr>
      <w:r>
        <w:rPr/>
        <w:t>报告期内，公司与中国移动、中国电信、中国联通三大运营商保持了紧密的合作，平安</w:t>
      </w:r>
      <w:r>
        <w:rPr>
          <w:spacing w:val="1"/>
        </w:rPr>
        <w:t> </w:t>
      </w:r>
      <w:r>
        <w:rPr>
          <w:spacing w:val="-3"/>
        </w:rPr>
        <w:t>校园家校通、平安校园业务拓展顺利；相继入围了广州移动、南京移动、海南移动广西移动、</w:t>
      </w:r>
      <w:r>
        <w:rPr>
          <w:spacing w:val="-81"/>
        </w:rPr>
        <w:t> </w:t>
      </w:r>
      <w:r>
        <w:rPr>
          <w:spacing w:val="-81"/>
        </w:rPr>
      </w:r>
      <w:r>
        <w:rPr/>
        <w:t>河北电信等多家省级运营商的手机支付业务。公司与银联、银行积极沟通合作，签订了河北</w:t>
      </w:r>
      <w:r>
        <w:rPr>
          <w:spacing w:val="-83"/>
        </w:rPr>
        <w:t> </w:t>
      </w:r>
      <w:r>
        <w:rPr>
          <w:spacing w:val="-83"/>
        </w:rPr>
      </w:r>
      <w:r>
        <w:rPr/>
        <w:t>农业大学等多个基于金融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spacing w:val="-7"/>
        </w:rPr>
        <w:t>卡行业应用的校园一卡通应用系统项目，以及湖南张家界、衡阳、</w:t>
      </w:r>
      <w:r>
        <w:rPr/>
        <w:t> 永州，广东茂名，吉林四平等多个基于金融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卡行业应用的城市一卡通系统。</w:t>
      </w:r>
    </w:p>
    <w:p>
      <w:pPr>
        <w:spacing w:line="367" w:lineRule="auto" w:before="50"/>
        <w:ind w:left="633" w:right="95" w:firstLine="2"/>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、体系架构优化调整，提高跨区域营销与运营能力</w:t>
      </w:r>
      <w:r>
        <w:rPr>
          <w:rFonts w:ascii="宋体" w:hAnsi="宋体" w:cs="宋体" w:eastAsia="宋体" w:hint="default"/>
          <w:b/>
          <w:bCs/>
          <w:spacing w:val="1"/>
          <w:w w:val="99"/>
          <w:sz w:val="24"/>
          <w:szCs w:val="24"/>
        </w:rPr>
        <w:t> </w:t>
      </w:r>
      <w:r>
        <w:rPr>
          <w:rFonts w:ascii="宋体" w:hAnsi="宋体" w:cs="宋体" w:eastAsia="宋体" w:hint="default"/>
          <w:sz w:val="24"/>
          <w:szCs w:val="24"/>
        </w:rPr>
        <w:t>为完善公司治理和管理结构，拓展区域辐射力度，吸纳优秀人才，促进公司发展，</w:t>
      </w:r>
      <w:r>
        <w:rPr>
          <w:rFonts w:ascii="Times New Roman" w:hAnsi="Times New Roman" w:cs="Times New Roman" w:eastAsia="Times New Roman" w:hint="default"/>
          <w:sz w:val="24"/>
          <w:szCs w:val="24"/>
        </w:rPr>
        <w:t>2012</w:t>
      </w:r>
    </w:p>
    <w:p>
      <w:pPr>
        <w:pStyle w:val="BodyText"/>
        <w:spacing w:line="345" w:lineRule="auto"/>
        <w:ind w:right="228"/>
        <w:jc w:val="both"/>
      </w:pPr>
      <w:r>
        <w:rPr/>
        <w:t>年公司分别增设了成都、广州分公司，</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月，石家庄分公司成立。加上之前成立的北 京与上海分公司，公司完成了在国内四大区域的重点布局，同时辐射周边省份，使得公司的</w:t>
      </w:r>
      <w:r>
        <w:rPr>
          <w:spacing w:val="-83"/>
        </w:rPr>
        <w:t> </w:t>
      </w:r>
      <w:r>
        <w:rPr>
          <w:spacing w:val="-83"/>
        </w:rPr>
      </w:r>
      <w:r>
        <w:rPr/>
        <w:t>及时响应、及时营销、及时服务等能力大大提高。报告期内，公司西北地区收入增长领先，</w:t>
      </w:r>
      <w:r>
        <w:rPr>
          <w:spacing w:val="-83"/>
        </w:rPr>
        <w:t> </w:t>
      </w:r>
      <w:r>
        <w:rPr>
          <w:spacing w:val="-83"/>
        </w:rPr>
      </w:r>
      <w:r>
        <w:rPr/>
        <w:t>实现收入</w:t>
      </w:r>
      <w:r>
        <w:rPr>
          <w:spacing w:val="-45"/>
        </w:rPr>
        <w:t> </w:t>
      </w:r>
      <w:r>
        <w:rPr>
          <w:rFonts w:ascii="Times New Roman" w:hAnsi="Times New Roman" w:cs="Times New Roman" w:eastAsia="Times New Roman" w:hint="default"/>
        </w:rPr>
        <w:t>15,102,239.24</w:t>
      </w:r>
      <w:r>
        <w:rPr>
          <w:rFonts w:ascii="Times New Roman" w:hAnsi="Times New Roman" w:cs="Times New Roman" w:eastAsia="Times New Roman" w:hint="default"/>
          <w:spacing w:val="15"/>
        </w:rPr>
        <w:t> </w:t>
      </w:r>
      <w:r>
        <w:rPr/>
        <w:t>元，大幅增长</w:t>
      </w:r>
      <w:r>
        <w:rPr>
          <w:spacing w:val="-45"/>
        </w:rPr>
        <w:t> </w:t>
      </w:r>
      <w:r>
        <w:rPr>
          <w:rFonts w:ascii="Times New Roman" w:hAnsi="Times New Roman" w:cs="Times New Roman" w:eastAsia="Times New Roman" w:hint="default"/>
        </w:rPr>
        <w:t>67.10%</w:t>
      </w:r>
      <w:r>
        <w:rPr/>
        <w:t>；华南地区在完成</w:t>
      </w:r>
      <w:r>
        <w:rPr>
          <w:spacing w:val="-45"/>
        </w:rPr>
        <w:t> </w:t>
      </w:r>
      <w:r>
        <w:rPr>
          <w:rFonts w:ascii="Times New Roman" w:hAnsi="Times New Roman" w:cs="Times New Roman" w:eastAsia="Times New Roman" w:hint="default"/>
        </w:rPr>
        <w:t>27,157,337.19</w:t>
      </w:r>
      <w:r>
        <w:rPr>
          <w:rFonts w:ascii="Times New Roman" w:hAnsi="Times New Roman" w:cs="Times New Roman" w:eastAsia="Times New Roman" w:hint="default"/>
          <w:spacing w:val="15"/>
        </w:rPr>
        <w:t> </w:t>
      </w:r>
      <w:r>
        <w:rPr/>
        <w:t>元收入同时实 现同比</w:t>
      </w:r>
      <w:r>
        <w:rPr>
          <w:spacing w:val="-62"/>
        </w:rPr>
        <w:t> </w:t>
      </w:r>
      <w:r>
        <w:rPr>
          <w:rFonts w:ascii="Times New Roman" w:hAnsi="Times New Roman" w:cs="Times New Roman" w:eastAsia="Times New Roman" w:hint="default"/>
          <w:spacing w:val="-4"/>
        </w:rPr>
        <w:t>35.35%</w:t>
      </w:r>
      <w:r>
        <w:rPr>
          <w:spacing w:val="-4"/>
        </w:rPr>
        <w:t>的业绩增长；地区收入占比最多的华中地区，</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
        </w:rPr>
        <w:t> </w:t>
      </w:r>
      <w:r>
        <w:rPr/>
        <w:t>年度实现收入</w:t>
      </w:r>
      <w:r>
        <w:rPr>
          <w:spacing w:val="-63"/>
        </w:rPr>
        <w:t> </w:t>
      </w:r>
      <w:r>
        <w:rPr>
          <w:rFonts w:ascii="Times New Roman" w:hAnsi="Times New Roman" w:cs="Times New Roman" w:eastAsia="Times New Roman" w:hint="default"/>
        </w:rPr>
        <w:t>78,163,703.91 </w:t>
      </w:r>
      <w:r>
        <w:rPr/>
        <w:t>元，同比提升</w:t>
      </w:r>
      <w:r>
        <w:rPr>
          <w:spacing w:val="-60"/>
        </w:rPr>
        <w:t> </w:t>
      </w:r>
      <w:r>
        <w:rPr>
          <w:rFonts w:ascii="Times New Roman" w:hAnsi="Times New Roman" w:cs="Times New Roman" w:eastAsia="Times New Roman" w:hint="default"/>
        </w:rPr>
        <w:t>26.53%</w:t>
      </w:r>
      <w:r>
        <w:rPr/>
        <w:t>。</w:t>
      </w:r>
    </w:p>
    <w:p>
      <w:pPr>
        <w:pStyle w:val="Heading2"/>
        <w:spacing w:line="240" w:lineRule="auto" w:before="58"/>
        <w:ind w:left="636" w:right="95"/>
        <w:jc w:val="left"/>
        <w:rPr>
          <w:b w:val="0"/>
          <w:bCs w:val="0"/>
        </w:rPr>
      </w:pPr>
      <w:r>
        <w:rPr>
          <w:rFonts w:ascii="Times New Roman" w:hAnsi="Times New Roman" w:cs="Times New Roman" w:eastAsia="Times New Roman" w:hint="default"/>
        </w:rPr>
        <w:t>4</w:t>
      </w:r>
      <w:r>
        <w:rPr/>
        <w:t>、完善治理结构，提高管理效率</w:t>
      </w:r>
      <w:r>
        <w:rPr>
          <w:b w:val="0"/>
          <w:bCs w:val="0"/>
        </w:rPr>
      </w:r>
    </w:p>
    <w:p>
      <w:pPr>
        <w:pStyle w:val="BodyText"/>
        <w:spacing w:line="355" w:lineRule="auto" w:before="174"/>
        <w:ind w:right="95"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年，公司继续加强质量管理、人力资源、制度建设等方面的管理优化工作，不断提 升公司的管理水平。质量方面，公司在设计开发、生产制造、原材料采购等方面质量控制取</w:t>
      </w:r>
      <w:r>
        <w:rPr>
          <w:spacing w:val="-83"/>
        </w:rPr>
        <w:t> </w:t>
      </w:r>
      <w:r>
        <w:rPr>
          <w:spacing w:val="-83"/>
        </w:rPr>
      </w:r>
      <w:r>
        <w:rPr/>
        <w:t>得很大进步；设计开发方面，编制了产品可靠性设计及产品试验的系列标准，并贯彻实施，</w:t>
      </w:r>
      <w:r>
        <w:rPr>
          <w:spacing w:val="-83"/>
        </w:rPr>
        <w:t> </w:t>
      </w:r>
      <w:r>
        <w:rPr>
          <w:spacing w:val="-83"/>
        </w:rPr>
      </w:r>
      <w:r>
        <w:rPr/>
        <w:t>大大提高了产品设计阶段整机的固有可靠性；生产制造方面，编制了工艺规范与制造标准，</w:t>
      </w:r>
      <w:r>
        <w:rPr>
          <w:spacing w:val="-83"/>
        </w:rPr>
        <w:t> </w:t>
      </w:r>
      <w:r>
        <w:rPr>
          <w:spacing w:val="-83"/>
        </w:rPr>
      </w:r>
      <w:r>
        <w:rPr/>
        <w:t>对生产制造存在的问题进行纠正与改善；原材料采购方面，实施供应商评价、考核制度，并</w:t>
      </w:r>
      <w:r>
        <w:rPr>
          <w:spacing w:val="-83"/>
        </w:rPr>
        <w:t> </w:t>
      </w:r>
      <w:r>
        <w:rPr>
          <w:spacing w:val="-83"/>
        </w:rPr>
      </w:r>
      <w:r>
        <w:rPr/>
        <w:t>针对重点器件进行可靠性评价试验，确保了原材料质量的稳定性；人力资源方面，加强制度</w:t>
      </w:r>
      <w:r>
        <w:rPr>
          <w:spacing w:val="-83"/>
        </w:rPr>
        <w:t> </w:t>
      </w:r>
      <w:r>
        <w:rPr>
          <w:spacing w:val="-83"/>
        </w:rPr>
      </w:r>
      <w:r>
        <w:rPr>
          <w:spacing w:val="-3"/>
        </w:rPr>
        <w:t>化管理，优化管理流程，提高基础工作水平，通过加强员工考勤、员工档案及劳动纪律管理，</w:t>
      </w:r>
      <w:r>
        <w:rPr>
          <w:spacing w:val="-81"/>
        </w:rPr>
        <w:t> </w:t>
      </w:r>
      <w:r>
        <w:rPr>
          <w:spacing w:val="-81"/>
        </w:rPr>
      </w:r>
      <w:r>
        <w:rPr/>
        <w:t>多渠道招聘公司发展所需人才；在公司效益增长的基础上，员工收入有了一定提高。此外，</w:t>
      </w:r>
      <w:r>
        <w:rPr>
          <w:spacing w:val="-83"/>
        </w:rPr>
        <w:t> </w:t>
      </w:r>
      <w:r>
        <w:rPr>
          <w:spacing w:val="-83"/>
        </w:rPr>
      </w:r>
      <w:r>
        <w:rPr/>
        <w:t>公司引入的</w:t>
      </w:r>
      <w:r>
        <w:rPr>
          <w:spacing w:val="-47"/>
        </w:rPr>
        <w:t> </w:t>
      </w:r>
      <w:r>
        <w:rPr>
          <w:rFonts w:ascii="Times New Roman" w:hAnsi="Times New Roman" w:cs="Times New Roman" w:eastAsia="Times New Roman" w:hint="default"/>
        </w:rPr>
        <w:t>IPD</w:t>
      </w:r>
      <w:r>
        <w:rPr>
          <w:rFonts w:ascii="Times New Roman" w:hAnsi="Times New Roman" w:cs="Times New Roman" w:eastAsia="Times New Roman" w:hint="default"/>
          <w:spacing w:val="13"/>
        </w:rPr>
        <w:t> </w:t>
      </w:r>
      <w:r>
        <w:rPr/>
        <w:t>集成开发模式、</w:t>
      </w:r>
      <w:r>
        <w:rPr>
          <w:rFonts w:ascii="Times New Roman" w:hAnsi="Times New Roman" w:cs="Times New Roman" w:eastAsia="Times New Roman" w:hint="default"/>
        </w:rPr>
        <w:t>KPI</w:t>
      </w:r>
      <w:r>
        <w:rPr>
          <w:rFonts w:ascii="Times New Roman" w:hAnsi="Times New Roman" w:cs="Times New Roman" w:eastAsia="Times New Roman" w:hint="default"/>
          <w:spacing w:val="14"/>
        </w:rPr>
        <w:t> </w:t>
      </w:r>
      <w:r>
        <w:rPr/>
        <w:t>关键业绩指标考核、</w:t>
      </w:r>
      <w:r>
        <w:rPr>
          <w:rFonts w:ascii="Times New Roman" w:hAnsi="Times New Roman" w:cs="Times New Roman" w:eastAsia="Times New Roman" w:hint="default"/>
        </w:rPr>
        <w:t>ERP</w:t>
      </w:r>
      <w:r>
        <w:rPr>
          <w:rFonts w:ascii="Times New Roman" w:hAnsi="Times New Roman" w:cs="Times New Roman" w:eastAsia="Times New Roman" w:hint="default"/>
          <w:spacing w:val="13"/>
        </w:rPr>
        <w:t> </w:t>
      </w:r>
      <w:r>
        <w:rPr/>
        <w:t>信息管理系统，导入</w:t>
      </w:r>
      <w:r>
        <w:rPr>
          <w:spacing w:val="-47"/>
        </w:rPr>
        <w:t> </w:t>
      </w:r>
      <w:r>
        <w:rPr>
          <w:rFonts w:ascii="Times New Roman" w:hAnsi="Times New Roman" w:cs="Times New Roman" w:eastAsia="Times New Roman" w:hint="default"/>
        </w:rPr>
        <w:t>CRM</w:t>
      </w:r>
      <w:r>
        <w:rPr>
          <w:rFonts w:ascii="Times New Roman" w:hAnsi="Times New Roman" w:cs="Times New Roman" w:eastAsia="Times New Roman" w:hint="default"/>
          <w:spacing w:val="13"/>
        </w:rPr>
        <w:t> </w:t>
      </w:r>
      <w:r>
        <w:rPr/>
        <w:t>系 统以及产品可靠性保障体系建设，借鉴业内最先进的管理方式，从理论高度提高思想认识水</w:t>
      </w:r>
      <w:r>
        <w:rPr>
          <w:spacing w:val="-83"/>
        </w:rPr>
        <w:t> </w:t>
      </w:r>
      <w:r>
        <w:rPr>
          <w:spacing w:val="-83"/>
        </w:rPr>
      </w:r>
      <w:r>
        <w:rPr>
          <w:spacing w:val="-3"/>
        </w:rPr>
        <w:t>平，落实制度化管理，以打造更加适合公司发展的产品创新体系，更加可靠的质量管理体系，</w:t>
      </w:r>
      <w:r>
        <w:rPr>
          <w:spacing w:val="-81"/>
        </w:rPr>
        <w:t> </w:t>
      </w:r>
      <w:r>
        <w:rPr>
          <w:spacing w:val="-81"/>
        </w:rPr>
      </w:r>
      <w:r>
        <w:rPr/>
        <w:t>更加激发员工潜能的绩效考核体系，更加高效的营销客服体系。</w:t>
      </w:r>
    </w:p>
    <w:p>
      <w:pPr>
        <w:spacing w:line="364" w:lineRule="auto" w:before="79"/>
        <w:ind w:left="633" w:right="9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、加强内部控制，保证规范运作</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按照创业板上市公司规范运作的要求，公司制订并发布了《内部控制手册》、《财务管理</w:t>
      </w:r>
    </w:p>
    <w:p>
      <w:pPr>
        <w:pStyle w:val="BodyText"/>
        <w:spacing w:line="240" w:lineRule="auto" w:before="29"/>
        <w:ind w:right="0"/>
        <w:jc w:val="both"/>
      </w:pPr>
      <w:r>
        <w:rPr/>
        <w:t>制度</w:t>
      </w:r>
      <w:r>
        <w:rPr>
          <w:spacing w:val="-120"/>
        </w:rPr>
        <w:t>》</w:t>
      </w:r>
      <w:r>
        <w:rPr>
          <w:spacing w:val="-161"/>
        </w:rPr>
        <w:t>、</w:t>
      </w:r>
      <w:r>
        <w:rPr/>
        <w:t>《内部审计制度</w:t>
      </w:r>
      <w:r>
        <w:rPr>
          <w:spacing w:val="-120"/>
        </w:rPr>
        <w:t>》</w:t>
      </w:r>
      <w:r>
        <w:rPr>
          <w:spacing w:val="-161"/>
        </w:rPr>
        <w:t>、</w:t>
      </w:r>
      <w:r>
        <w:rPr/>
        <w:t>《对外担保制度</w:t>
      </w:r>
      <w:r>
        <w:rPr>
          <w:spacing w:val="-120"/>
        </w:rPr>
        <w:t>》</w:t>
      </w:r>
      <w:r>
        <w:rPr>
          <w:spacing w:val="-161"/>
        </w:rPr>
        <w:t>、</w:t>
      </w:r>
      <w:r>
        <w:rPr/>
        <w:t>《关联交易管理制度</w:t>
      </w:r>
      <w:r>
        <w:rPr>
          <w:spacing w:val="-120"/>
        </w:rPr>
        <w:t>》</w:t>
      </w:r>
      <w:r>
        <w:rPr>
          <w:spacing w:val="-161"/>
        </w:rPr>
        <w:t>、</w:t>
      </w:r>
      <w:r>
        <w:rPr/>
        <w:t>《信息披露管理制度</w:t>
      </w:r>
      <w:r>
        <w:rPr>
          <w:spacing w:val="-120"/>
        </w:rPr>
        <w:t>》</w:t>
      </w:r>
      <w:r>
        <w:rPr>
          <w:spacing w:val="-161"/>
        </w:rPr>
        <w:t>、</w:t>
      </w:r>
      <w:r>
        <w:rPr>
          <w:spacing w:val="1"/>
        </w:rPr>
        <w:t>《募</w:t>
      </w:r>
      <w:r>
        <w:rPr/>
      </w:r>
    </w:p>
    <w:p>
      <w:pPr>
        <w:spacing w:after="0" w:line="240" w:lineRule="auto"/>
        <w:jc w:val="both"/>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0" w:lineRule="auto" w:before="26"/>
        <w:ind w:right="147"/>
        <w:jc w:val="both"/>
      </w:pPr>
      <w:r>
        <w:rPr>
          <w:spacing w:val="-11"/>
        </w:rPr>
        <w:t>集资金管理办法》。报告期内，公司制定了《外部信息报送和使用管理制度》、《董事、监事和</w:t>
      </w:r>
      <w:r>
        <w:rPr>
          <w:spacing w:val="-103"/>
        </w:rPr>
        <w:t> </w:t>
      </w:r>
      <w:r>
        <w:rPr>
          <w:spacing w:val="-103"/>
        </w:rPr>
      </w:r>
      <w:r>
        <w:rPr>
          <w:spacing w:val="-5"/>
        </w:rPr>
        <w:t>高级管理人员所持本公司股份及其变动管理制度》、修改了《对外投资管理制度》等一系列内</w:t>
      </w:r>
      <w:r>
        <w:rPr/>
        <w:t> 控制度，以保证公司的生产经营活动规范、有序开展。</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年，公司更加明确的界定了各单 位的目标、职责和权限，建立了相应的授权、检查和问责制度，确保其在授权范围内履行职</w:t>
      </w:r>
      <w:r>
        <w:rPr>
          <w:spacing w:val="-83"/>
        </w:rPr>
        <w:t> </w:t>
      </w:r>
      <w:r>
        <w:rPr>
          <w:spacing w:val="-83"/>
        </w:rPr>
      </w:r>
      <w:r>
        <w:rPr/>
        <w:t>责；公司上述内部组织机构能够按照公司制订的管理制度，在各经营管理层的领导下有效执</w:t>
      </w:r>
      <w:r>
        <w:rPr>
          <w:spacing w:val="-83"/>
        </w:rPr>
        <w:t> </w:t>
      </w:r>
      <w:r>
        <w:rPr>
          <w:spacing w:val="-83"/>
        </w:rPr>
      </w:r>
      <w:r>
        <w:rPr/>
        <w:t>行和运作，公司倡导的</w:t>
      </w:r>
      <w:r>
        <w:rPr>
          <w:rFonts w:ascii="Times New Roman" w:hAnsi="Times New Roman" w:cs="Times New Roman" w:eastAsia="Times New Roman" w:hint="default"/>
        </w:rPr>
        <w:t>“</w:t>
      </w:r>
      <w:r>
        <w:rPr/>
        <w:t>精细化的管理模式</w:t>
      </w:r>
      <w:r>
        <w:rPr>
          <w:rFonts w:ascii="Times New Roman" w:hAnsi="Times New Roman" w:cs="Times New Roman" w:eastAsia="Times New Roman" w:hint="default"/>
        </w:rPr>
        <w:t>”</w:t>
      </w:r>
      <w:r>
        <w:rPr/>
        <w:t>也逐步提升了内控体系的健全性、合理性和遵循</w:t>
      </w:r>
      <w:r>
        <w:rPr>
          <w:spacing w:val="-77"/>
        </w:rPr>
        <w:t> </w:t>
      </w:r>
      <w:r>
        <w:rPr/>
        <w:t>性，确保了公司既定目标的实现。</w:t>
      </w:r>
    </w:p>
    <w:p>
      <w:pPr>
        <w:spacing w:line="240" w:lineRule="auto" w:before="3"/>
        <w:rPr>
          <w:rFonts w:ascii="宋体" w:hAnsi="宋体" w:cs="宋体" w:eastAsia="宋体" w:hint="default"/>
          <w:sz w:val="20"/>
          <w:szCs w:val="20"/>
        </w:rPr>
      </w:pPr>
    </w:p>
    <w:p>
      <w:pPr>
        <w:pStyle w:val="Heading2"/>
        <w:spacing w:line="240" w:lineRule="auto"/>
        <w:ind w:left="153" w:right="0"/>
        <w:jc w:val="both"/>
        <w:rPr>
          <w:b w:val="0"/>
          <w:bCs w:val="0"/>
        </w:rPr>
      </w:pPr>
      <w:r>
        <w:rPr/>
        <w:t>二、报告期内主要经营情况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、主营业务分析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2" w:lineRule="auto"/>
        <w:ind w:right="151" w:firstLine="480"/>
        <w:jc w:val="both"/>
      </w:pPr>
      <w:r>
        <w:rPr>
          <w:spacing w:val="-1"/>
        </w:rPr>
        <w:t>报告期内，公司实现营业收入</w:t>
      </w:r>
      <w:r>
        <w:rPr>
          <w:rFonts w:ascii="Times New Roman" w:hAnsi="Times New Roman" w:cs="Times New Roman" w:eastAsia="Times New Roman" w:hint="default"/>
          <w:spacing w:val="-1"/>
        </w:rPr>
        <w:t>209,436,781.07</w:t>
      </w:r>
      <w:r>
        <w:rPr>
          <w:spacing w:val="-1"/>
        </w:rPr>
        <w:t>元，相比上年增长</w:t>
      </w:r>
      <w:r>
        <w:rPr>
          <w:rFonts w:ascii="Times New Roman" w:hAnsi="Times New Roman" w:cs="Times New Roman" w:eastAsia="Times New Roman" w:hint="default"/>
          <w:spacing w:val="-1"/>
        </w:rPr>
        <w:t>13.66%</w:t>
      </w:r>
      <w:r>
        <w:rPr>
          <w:spacing w:val="-1"/>
        </w:rPr>
        <w:t>，公司收入的持续</w:t>
      </w:r>
      <w:r>
        <w:rPr/>
        <w:t> 稳定增长源于公司长期战略规划的逐步实施，即扎根于具备传统优势的校园领域、快速布局 企事业一卡通应用、大力拓展城市公交、金融一卡通业务，与运营商、银行、银联等关键客 户保持密切的合作，从市场区域、技术进步、模式创新等方面综合推进公司主营业务，实现 逐年的稳步增长。</w:t>
      </w:r>
    </w:p>
    <w:p>
      <w:pPr>
        <w:spacing w:before="52"/>
        <w:ind w:left="154"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智能一卡通行业</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184,266,436.98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96,536,894.23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88,294,522.64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3"/>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公司重大的在手订单情况</w:t>
      </w:r>
    </w:p>
    <w:p>
      <w:pPr>
        <w:spacing w:line="338" w:lineRule="auto" w:before="43"/>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40" w:lineRule="auto" w:before="42"/>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51" w:footer="982" w:top="1220" w:bottom="1180" w:left="980" w:right="98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智能一卡通行业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85,220,114.27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78,644,176.96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3,438,521.33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3,026,339.18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7,878,258.63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6,624,006.49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96,536,894.23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88,294,522.64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7"/>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本年度因销售人员、技术服务人员增</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10" w:space="0" w:color="D3D3D3"/>
              <w:bottom w:val="nil" w:sz="6" w:space="0" w:color="auto"/>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42,797,378.17</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32,624,829.63</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31.18%</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加及薪金调整，使人工成本及相应的</w:t>
            </w: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费用支出均有较大幅度增长。</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25,877,839.04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22,474,675.40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①公司本年度无利息支出；②暂未使</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10" w:space="0" w:color="D3D3D3"/>
              <w:bottom w:val="nil" w:sz="6" w:space="0" w:color="auto"/>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-7,347,016.44</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-2,188,923.59</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235.65%</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用的募集资金存款利息收入较上年</w:t>
            </w: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增长</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6,597,018.43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6,331,284.06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ind w:right="148" w:firstLine="480"/>
        <w:jc w:val="both"/>
      </w:pPr>
      <w:r>
        <w:rPr/>
        <w:t>公司是国家重点支持的高新技术企业、火炬计划重点高新技术企业，持续的研发与创新</w:t>
      </w:r>
      <w:r>
        <w:rPr>
          <w:spacing w:val="1"/>
        </w:rPr>
        <w:t> </w:t>
      </w:r>
      <w:r>
        <w:rPr/>
        <w:t>是公司保持核心竞争力的重要保证，长期以来公司一直非常重视研发投入，报告期内公司仍</w:t>
      </w:r>
      <w:r>
        <w:rPr>
          <w:spacing w:val="-83"/>
        </w:rPr>
        <w:t> </w:t>
      </w:r>
      <w:r>
        <w:rPr>
          <w:spacing w:val="-83"/>
        </w:rPr>
      </w:r>
      <w:r>
        <w:rPr>
          <w:spacing w:val="-2"/>
        </w:rPr>
        <w:t>保持了较大的技术开发与研究投入力度。截至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日，公司研发人员共</w:t>
      </w:r>
      <w:r>
        <w:rPr>
          <w:rFonts w:ascii="Times New Roman" w:hAnsi="Times New Roman" w:cs="Times New Roman" w:eastAsia="Times New Roman" w:hint="default"/>
          <w:spacing w:val="-2"/>
        </w:rPr>
        <w:t>217</w:t>
      </w:r>
      <w:r>
        <w:rPr>
          <w:spacing w:val="-2"/>
        </w:rPr>
        <w:t>人，研发</w:t>
      </w:r>
      <w:r>
        <w:rPr>
          <w:spacing w:val="-112"/>
        </w:rPr>
        <w:t> </w:t>
      </w:r>
      <w:r>
        <w:rPr>
          <w:spacing w:val="-112"/>
        </w:rPr>
      </w:r>
      <w:r>
        <w:rPr>
          <w:spacing w:val="2"/>
        </w:rPr>
        <w:t>人员占员工总数的比例为</w:t>
      </w:r>
      <w:r>
        <w:rPr>
          <w:rFonts w:ascii="Times New Roman" w:hAnsi="Times New Roman" w:cs="Times New Roman" w:eastAsia="Times New Roman" w:hint="default"/>
          <w:spacing w:val="2"/>
        </w:rPr>
        <w:t>25.20%</w:t>
      </w:r>
      <w:r>
        <w:rPr>
          <w:spacing w:val="2"/>
        </w:rPr>
        <w:t>。报告期内，公司研发投入占营业收入比例为</w:t>
      </w:r>
      <w:r>
        <w:rPr>
          <w:rFonts w:ascii="Times New Roman" w:hAnsi="Times New Roman" w:cs="Times New Roman" w:eastAsia="Times New Roman" w:hint="default"/>
          <w:spacing w:val="2"/>
        </w:rPr>
        <w:t>6.90%</w:t>
      </w:r>
      <w:r>
        <w:rPr>
          <w:spacing w:val="2"/>
        </w:rPr>
        <w:t>，较上</w:t>
      </w:r>
      <w:r>
        <w:rPr>
          <w:spacing w:val="-104"/>
        </w:rPr>
        <w:t> </w:t>
      </w:r>
      <w:r>
        <w:rPr/>
        <w:t>年增长</w:t>
      </w:r>
      <w:r>
        <w:rPr>
          <w:rFonts w:ascii="Times New Roman" w:hAnsi="Times New Roman" w:cs="Times New Roman" w:eastAsia="Times New Roman" w:hint="default"/>
        </w:rPr>
        <w:t>1.82%</w:t>
      </w:r>
      <w:r>
        <w:rPr/>
        <w:t>。</w:t>
      </w:r>
    </w:p>
    <w:p>
      <w:pPr>
        <w:pStyle w:val="BodyText"/>
        <w:spacing w:line="240" w:lineRule="auto" w:before="16"/>
        <w:ind w:left="513" w:right="0"/>
        <w:jc w:val="left"/>
      </w:pPr>
      <w:r>
        <w:rPr/>
        <w:t>报告期内，公司正在进行的研发项目进展情况如下：</w:t>
      </w:r>
    </w:p>
    <w:p>
      <w:pPr>
        <w:spacing w:after="0" w:line="240" w:lineRule="auto"/>
        <w:jc w:val="left"/>
        <w:sectPr>
          <w:pgSz w:w="11910" w:h="16840"/>
          <w:pgMar w:header="851" w:footer="982" w:top="122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3.65pt;height:.75pt;mso-position-horizontal-relative:char;mso-position-vertical-relative:line" coordorigin="0,0" coordsize="13673,15">
            <v:group style="position:absolute;left:7;top:7;width:13659;height:2" coordorigin="7,7" coordsize="13659,2">
              <v:shape style="position:absolute;left:7;top:7;width:13659;height:2" coordorigin="7,7" coordsize="13659,0" path="m7,7l136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tbl>
      <w:tblPr>
        <w:tblW w:w="0" w:type="auto"/>
        <w:jc w:val="left"/>
        <w:tblInd w:w="132" w:type="dxa"/>
        <w:tblLayout w:type="fixed"/>
        <w:tblCellMar>
          <w:top w:w="0" w:type="dxa"/>
          <w:left w:w="0" w:type="dxa"/>
          <w:bottom w:w="0" w:type="dxa"/>
          <w:right w:w="0" w:type="dxa"/>
        </w:tblCellMar>
        <w:tblLook w:val="01E0"/>
      </w:tblPr>
      <w:tblGrid>
        <w:gridCol w:w="577"/>
        <w:gridCol w:w="2689"/>
        <w:gridCol w:w="1274"/>
        <w:gridCol w:w="2399"/>
        <w:gridCol w:w="1532"/>
        <w:gridCol w:w="5599"/>
      </w:tblGrid>
      <w:tr>
        <w:trPr>
          <w:trHeight w:val="346" w:hRule="exact"/>
        </w:trPr>
        <w:tc>
          <w:tcPr>
            <w:tcW w:w="57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c>
          <w:tcPr>
            <w:tcW w:w="268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b/>
                <w:bCs/>
                <w:sz w:val="18"/>
                <w:szCs w:val="18"/>
              </w:rPr>
              <w:t>对应功能</w:t>
            </w:r>
            <w:r>
              <w:rPr>
                <w:rFonts w:ascii="宋体" w:hAnsi="宋体" w:cs="宋体" w:eastAsia="宋体" w:hint="default"/>
                <w:sz w:val="18"/>
                <w:szCs w:val="18"/>
              </w:rPr>
            </w:r>
          </w:p>
        </w:tc>
        <w:tc>
          <w:tcPr>
            <w:tcW w:w="239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项目进展情况</w:t>
            </w:r>
            <w:r>
              <w:rPr>
                <w:rFonts w:ascii="宋体" w:hAnsi="宋体" w:cs="宋体" w:eastAsia="宋体" w:hint="default"/>
                <w:sz w:val="18"/>
                <w:szCs w:val="18"/>
              </w:rPr>
            </w:r>
          </w:p>
        </w:tc>
        <w:tc>
          <w:tcPr>
            <w:tcW w:w="153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217" w:right="0"/>
              <w:jc w:val="left"/>
              <w:rPr>
                <w:rFonts w:ascii="宋体" w:hAnsi="宋体" w:cs="宋体" w:eastAsia="宋体" w:hint="default"/>
                <w:sz w:val="18"/>
                <w:szCs w:val="18"/>
              </w:rPr>
            </w:pPr>
            <w:r>
              <w:rPr>
                <w:rFonts w:ascii="宋体" w:hAnsi="宋体" w:cs="宋体" w:eastAsia="宋体" w:hint="default"/>
                <w:b/>
                <w:bCs/>
                <w:sz w:val="18"/>
                <w:szCs w:val="18"/>
              </w:rPr>
              <w:t>计划完成时间</w:t>
            </w:r>
            <w:r>
              <w:rPr>
                <w:rFonts w:ascii="宋体" w:hAnsi="宋体" w:cs="宋体" w:eastAsia="宋体" w:hint="default"/>
                <w:sz w:val="18"/>
                <w:szCs w:val="18"/>
              </w:rPr>
            </w:r>
          </w:p>
        </w:tc>
        <w:tc>
          <w:tcPr>
            <w:tcW w:w="559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开发功能及技术创新</w:t>
            </w:r>
            <w:r>
              <w:rPr>
                <w:rFonts w:ascii="宋体" w:hAnsi="宋体" w:cs="宋体" w:eastAsia="宋体" w:hint="default"/>
                <w:sz w:val="18"/>
                <w:szCs w:val="18"/>
              </w:rPr>
            </w:r>
          </w:p>
        </w:tc>
      </w:tr>
      <w:tr>
        <w:trPr>
          <w:trHeight w:val="1283"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71" w:lineRule="auto"/>
              <w:ind w:left="2" w:right="-4"/>
              <w:jc w:val="left"/>
              <w:rPr>
                <w:rFonts w:ascii="宋体" w:hAnsi="宋体" w:cs="宋体" w:eastAsia="宋体" w:hint="default"/>
                <w:sz w:val="20"/>
                <w:szCs w:val="20"/>
              </w:rPr>
            </w:pPr>
            <w:r>
              <w:rPr>
                <w:rFonts w:ascii="宋体" w:hAnsi="宋体" w:cs="宋体" w:eastAsia="宋体" w:hint="default"/>
                <w:spacing w:val="4"/>
                <w:sz w:val="20"/>
                <w:szCs w:val="20"/>
              </w:rPr>
              <w:t>金融</w:t>
            </w:r>
            <w:r>
              <w:rPr>
                <w:rFonts w:ascii="Times New Roman" w:hAnsi="Times New Roman" w:cs="Times New Roman" w:eastAsia="Times New Roman" w:hint="default"/>
                <w:spacing w:val="4"/>
                <w:sz w:val="20"/>
                <w:szCs w:val="20"/>
              </w:rPr>
              <w:t>IC</w:t>
            </w:r>
            <w:r>
              <w:rPr>
                <w:rFonts w:ascii="宋体" w:hAnsi="宋体" w:cs="宋体" w:eastAsia="宋体" w:hint="default"/>
                <w:spacing w:val="4"/>
                <w:sz w:val="20"/>
                <w:szCs w:val="20"/>
              </w:rPr>
              <w:t>卡行业应用综合管理平</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2012.8-2013.6</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0" w:firstLine="360"/>
              <w:jc w:val="both"/>
              <w:rPr>
                <w:rFonts w:ascii="宋体" w:hAnsi="宋体" w:cs="宋体" w:eastAsia="宋体" w:hint="default"/>
                <w:sz w:val="18"/>
                <w:szCs w:val="18"/>
              </w:rPr>
            </w:pPr>
            <w:r>
              <w:rPr>
                <w:rFonts w:ascii="宋体" w:hAnsi="宋体" w:cs="宋体" w:eastAsia="宋体" w:hint="default"/>
                <w:sz w:val="18"/>
                <w:szCs w:val="18"/>
              </w:rPr>
              <w:t>金融IC卡行业应用综合管理平台集公交、校园、出租车、公共自行 车等城市行业应用于一体，支持多客户、多应用的一个综合平台。系统 以银行电子现金交易为主体、行业应用交易为载体。在湖南全省推广的 一个应用平台。</w:t>
            </w:r>
          </w:p>
        </w:tc>
      </w:tr>
      <w:tr>
        <w:trPr>
          <w:trHeight w:val="3155"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1"/>
                <w:sz w:val="20"/>
                <w:szCs w:val="20"/>
              </w:rPr>
              <w:t>基于</w:t>
            </w:r>
            <w:r>
              <w:rPr>
                <w:rFonts w:ascii="Times New Roman" w:hAnsi="Times New Roman" w:cs="Times New Roman" w:eastAsia="Times New Roman" w:hint="default"/>
                <w:spacing w:val="-1"/>
                <w:sz w:val="20"/>
                <w:szCs w:val="20"/>
              </w:rPr>
              <w:t>QPBOC</w:t>
            </w:r>
            <w:r>
              <w:rPr>
                <w:rFonts w:ascii="宋体" w:hAnsi="宋体" w:cs="宋体" w:eastAsia="宋体" w:hint="default"/>
                <w:spacing w:val="-1"/>
                <w:sz w:val="20"/>
                <w:szCs w:val="20"/>
              </w:rPr>
              <w:t>的智能卡支付终端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2012.3.-2012.12</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5" w:firstLine="360"/>
              <w:jc w:val="both"/>
              <w:rPr>
                <w:rFonts w:ascii="宋体" w:hAnsi="宋体" w:cs="宋体" w:eastAsia="宋体" w:hint="default"/>
                <w:sz w:val="18"/>
                <w:szCs w:val="18"/>
              </w:rPr>
            </w:pPr>
            <w:r>
              <w:rPr>
                <w:rFonts w:ascii="宋体" w:hAnsi="宋体" w:cs="宋体" w:eastAsia="宋体" w:hint="default"/>
                <w:spacing w:val="6"/>
                <w:sz w:val="18"/>
                <w:szCs w:val="18"/>
              </w:rPr>
              <w:t>本产品是一款面向高等院校及企事业单位的中高端智能卡收费终</w:t>
            </w:r>
            <w:r>
              <w:rPr>
                <w:rFonts w:ascii="宋体" w:hAnsi="宋体" w:cs="宋体" w:eastAsia="宋体" w:hint="default"/>
                <w:spacing w:val="7"/>
                <w:sz w:val="18"/>
                <w:szCs w:val="18"/>
              </w:rPr>
              <w:t> </w:t>
            </w:r>
            <w:r>
              <w:rPr>
                <w:rFonts w:ascii="宋体" w:hAnsi="宋体" w:cs="宋体" w:eastAsia="宋体" w:hint="default"/>
                <w:sz w:val="18"/>
                <w:szCs w:val="18"/>
              </w:rPr>
              <w:t>端机，主要应用于食堂售饭及其他场合的收费系统中。产品除了支持传</w:t>
            </w:r>
            <w:r>
              <w:rPr>
                <w:rFonts w:ascii="宋体" w:hAnsi="宋体" w:cs="宋体" w:eastAsia="宋体" w:hint="default"/>
                <w:sz w:val="18"/>
                <w:szCs w:val="18"/>
              </w:rPr>
              <w:t> 统的智能卡片支付手段外，还具有移动手机支付以及银联</w:t>
            </w:r>
            <w:r>
              <w:rPr>
                <w:rFonts w:ascii="Times New Roman" w:hAnsi="Times New Roman" w:cs="Times New Roman" w:eastAsia="Times New Roman" w:hint="default"/>
                <w:sz w:val="18"/>
                <w:szCs w:val="18"/>
              </w:rPr>
              <w:t>IC</w:t>
            </w:r>
            <w:r>
              <w:rPr>
                <w:rFonts w:ascii="宋体" w:hAnsi="宋体" w:cs="宋体" w:eastAsia="宋体" w:hint="default"/>
                <w:sz w:val="18"/>
                <w:szCs w:val="18"/>
              </w:rPr>
              <w:t>卡支付的能 力，符合了</w:t>
            </w:r>
            <w:r>
              <w:rPr>
                <w:rFonts w:ascii="Times New Roman" w:hAnsi="Times New Roman" w:cs="Times New Roman" w:eastAsia="Times New Roman" w:hint="default"/>
                <w:sz w:val="18"/>
                <w:szCs w:val="18"/>
              </w:rPr>
              <w:t>“</w:t>
            </w:r>
            <w:r>
              <w:rPr>
                <w:rFonts w:ascii="宋体" w:hAnsi="宋体" w:cs="宋体" w:eastAsia="宋体" w:hint="default"/>
                <w:sz w:val="18"/>
                <w:szCs w:val="18"/>
              </w:rPr>
              <w:t>手机校园一卡通</w:t>
            </w:r>
            <w:r>
              <w:rPr>
                <w:rFonts w:ascii="Times New Roman" w:hAnsi="Times New Roman" w:cs="Times New Roman" w:eastAsia="Times New Roman" w:hint="default"/>
                <w:sz w:val="18"/>
                <w:szCs w:val="18"/>
              </w:rPr>
              <w:t>”</w:t>
            </w:r>
            <w:r>
              <w:rPr>
                <w:rFonts w:ascii="宋体" w:hAnsi="宋体" w:cs="宋体" w:eastAsia="宋体" w:hint="default"/>
                <w:sz w:val="18"/>
                <w:szCs w:val="18"/>
              </w:rPr>
              <w:t>与银联</w:t>
            </w:r>
            <w:r>
              <w:rPr>
                <w:rFonts w:ascii="Times New Roman" w:hAnsi="Times New Roman" w:cs="Times New Roman" w:eastAsia="Times New Roman" w:hint="default"/>
                <w:sz w:val="18"/>
                <w:szCs w:val="18"/>
              </w:rPr>
              <w:t>IC</w:t>
            </w:r>
            <w:r>
              <w:rPr>
                <w:rFonts w:ascii="宋体" w:hAnsi="宋体" w:cs="宋体" w:eastAsia="宋体" w:hint="default"/>
                <w:sz w:val="18"/>
                <w:szCs w:val="18"/>
              </w:rPr>
              <w:t>卡进校园的趋势，本产品主要的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要点为：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、时尚、高端的外观设计。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、人性化便捷的人机交互。</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移动手机支付与银联</w:t>
            </w:r>
            <w:r>
              <w:rPr>
                <w:rFonts w:ascii="Times New Roman" w:hAnsi="Times New Roman" w:cs="Times New Roman" w:eastAsia="Times New Roman" w:hint="default"/>
                <w:sz w:val="18"/>
                <w:szCs w:val="18"/>
              </w:rPr>
              <w:t>IC</w:t>
            </w:r>
            <w:r>
              <w:rPr>
                <w:rFonts w:ascii="宋体" w:hAnsi="宋体" w:cs="宋体" w:eastAsia="宋体" w:hint="default"/>
                <w:sz w:val="18"/>
                <w:szCs w:val="18"/>
              </w:rPr>
              <w:t>卡校园支付的有效支持。</w:t>
            </w:r>
          </w:p>
          <w:p>
            <w:pPr>
              <w:pStyle w:val="TableParagraph"/>
              <w:spacing w:line="312" w:lineRule="auto" w:before="7"/>
              <w:ind w:left="2" w:right="0" w:firstLine="360"/>
              <w:jc w:val="both"/>
              <w:rPr>
                <w:rFonts w:ascii="宋体" w:hAnsi="宋体" w:cs="宋体" w:eastAsia="宋体" w:hint="default"/>
                <w:sz w:val="18"/>
                <w:szCs w:val="18"/>
              </w:rPr>
            </w:pPr>
            <w:r>
              <w:rPr>
                <w:rFonts w:ascii="宋体" w:hAnsi="宋体" w:cs="宋体" w:eastAsia="宋体" w:hint="default"/>
                <w:spacing w:val="-3"/>
                <w:sz w:val="18"/>
                <w:szCs w:val="18"/>
              </w:rPr>
              <w:t>新终端机作为终端系列体系中的重要产品，将逐渐替代</w:t>
            </w:r>
            <w:r>
              <w:rPr>
                <w:rFonts w:ascii="Times New Roman" w:hAnsi="Times New Roman" w:cs="Times New Roman" w:eastAsia="Times New Roman" w:hint="default"/>
                <w:spacing w:val="-3"/>
                <w:sz w:val="18"/>
                <w:szCs w:val="18"/>
              </w:rPr>
              <w:t>A101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A201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产品，成为高等院校及企事业单位终端类的主推产品。其目标是利用新 开普目前各方面的优势，继续推进新开普产品在高校及企事业单位的市 场占有率。</w:t>
            </w:r>
          </w:p>
        </w:tc>
      </w:tr>
      <w:tr>
        <w:trPr>
          <w:trHeight w:val="3155"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67"/>
              <w:jc w:val="center"/>
              <w:rPr>
                <w:rFonts w:ascii="宋体" w:hAnsi="宋体" w:cs="宋体" w:eastAsia="宋体" w:hint="default"/>
                <w:sz w:val="20"/>
                <w:szCs w:val="20"/>
              </w:rPr>
            </w:pPr>
            <w:r>
              <w:rPr>
                <w:rFonts w:ascii="宋体" w:hAnsi="宋体" w:cs="宋体" w:eastAsia="宋体" w:hint="default"/>
                <w:sz w:val="20"/>
                <w:szCs w:val="20"/>
              </w:rPr>
              <w:t>基于银联标准的金融支付终端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样机阶段</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2012.10-2014.3</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0" w:firstLine="270"/>
              <w:jc w:val="left"/>
              <w:rPr>
                <w:rFonts w:ascii="宋体" w:hAnsi="宋体" w:cs="宋体" w:eastAsia="宋体" w:hint="default"/>
                <w:sz w:val="18"/>
                <w:szCs w:val="18"/>
              </w:rPr>
            </w:pPr>
            <w:r>
              <w:rPr>
                <w:rFonts w:ascii="宋体" w:hAnsi="宋体" w:cs="宋体" w:eastAsia="宋体" w:hint="default"/>
                <w:sz w:val="18"/>
                <w:szCs w:val="18"/>
              </w:rPr>
              <w:t>金融支付终端：支持运行</w:t>
            </w:r>
            <w:r>
              <w:rPr>
                <w:rFonts w:ascii="Times New Roman" w:hAnsi="Times New Roman" w:cs="Times New Roman" w:eastAsia="Times New Roman" w:hint="default"/>
                <w:sz w:val="18"/>
                <w:szCs w:val="18"/>
              </w:rPr>
              <w:t>Linux</w:t>
            </w:r>
            <w:r>
              <w:rPr>
                <w:rFonts w:ascii="宋体" w:hAnsi="宋体" w:cs="宋体" w:eastAsia="宋体" w:hint="default"/>
                <w:sz w:val="18"/>
                <w:szCs w:val="18"/>
              </w:rPr>
              <w:t>操作系统，能够完成金融支付功能及</w:t>
            </w:r>
            <w:r>
              <w:rPr>
                <w:rFonts w:ascii="宋体" w:hAnsi="宋体" w:cs="宋体" w:eastAsia="宋体" w:hint="default"/>
                <w:spacing w:val="1"/>
                <w:sz w:val="18"/>
                <w:szCs w:val="18"/>
              </w:rPr>
              <w:t> </w:t>
            </w:r>
            <w:r>
              <w:rPr>
                <w:rFonts w:ascii="宋体" w:hAnsi="宋体" w:cs="宋体" w:eastAsia="宋体" w:hint="default"/>
                <w:sz w:val="18"/>
                <w:szCs w:val="18"/>
              </w:rPr>
              <w:t>城市小额支付的功能，能够通过多种通讯方式上传数据，能够支持多种</w:t>
            </w:r>
            <w:r>
              <w:rPr>
                <w:rFonts w:ascii="宋体" w:hAnsi="宋体" w:cs="宋体" w:eastAsia="宋体" w:hint="default"/>
                <w:sz w:val="18"/>
                <w:szCs w:val="18"/>
              </w:rPr>
              <w:t> 标准的射频卡、磁条卡、接触式</w:t>
            </w:r>
            <w:r>
              <w:rPr>
                <w:rFonts w:ascii="Times New Roman" w:hAnsi="Times New Roman" w:cs="Times New Roman" w:eastAsia="Times New Roman" w:hint="default"/>
                <w:sz w:val="18"/>
                <w:szCs w:val="18"/>
              </w:rPr>
              <w:t>IC</w:t>
            </w:r>
            <w:r>
              <w:rPr>
                <w:rFonts w:ascii="宋体" w:hAnsi="宋体" w:cs="宋体" w:eastAsia="宋体" w:hint="default"/>
                <w:sz w:val="18"/>
                <w:szCs w:val="18"/>
              </w:rPr>
              <w:t>卡，支持打印功能、密码键盘等； </w:t>
            </w:r>
            <w:r>
              <w:rPr>
                <w:rFonts w:ascii="宋体" w:hAnsi="宋体" w:cs="宋体" w:eastAsia="宋体" w:hint="default"/>
                <w:spacing w:val="2"/>
                <w:sz w:val="18"/>
                <w:szCs w:val="18"/>
              </w:rPr>
              <w:t>软件平台：采用</w:t>
            </w:r>
            <w:r>
              <w:rPr>
                <w:rFonts w:ascii="Times New Roman" w:hAnsi="Times New Roman" w:cs="Times New Roman" w:eastAsia="Times New Roman" w:hint="default"/>
                <w:spacing w:val="2"/>
                <w:sz w:val="18"/>
                <w:szCs w:val="18"/>
              </w:rPr>
              <w:t>Linux</w:t>
            </w:r>
            <w:r>
              <w:rPr>
                <w:rFonts w:ascii="宋体" w:hAnsi="宋体" w:cs="宋体" w:eastAsia="宋体" w:hint="default"/>
                <w:spacing w:val="2"/>
                <w:sz w:val="18"/>
                <w:szCs w:val="18"/>
              </w:rPr>
              <w:t>操作系统，支持文件系统；开发支持硬件平台的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pacing w:val="-4"/>
                <w:sz w:val="18"/>
                <w:szCs w:val="18"/>
              </w:rPr>
              <w:t>BSP</w:t>
            </w:r>
            <w:r>
              <w:rPr>
                <w:rFonts w:ascii="宋体" w:hAnsi="宋体" w:cs="宋体" w:eastAsia="宋体" w:hint="default"/>
                <w:spacing w:val="-4"/>
                <w:sz w:val="18"/>
                <w:szCs w:val="18"/>
              </w:rPr>
              <w:t>，同时可根据定制的二次开发的硬件组成，按照一定的方法完成</w:t>
            </w:r>
            <w:r>
              <w:rPr>
                <w:rFonts w:ascii="Times New Roman" w:hAnsi="Times New Roman" w:cs="Times New Roman" w:eastAsia="Times New Roman" w:hint="default"/>
                <w:spacing w:val="-4"/>
                <w:sz w:val="18"/>
                <w:szCs w:val="18"/>
              </w:rPr>
              <w:t>BSP</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的开发。</w:t>
            </w:r>
          </w:p>
          <w:p>
            <w:pPr>
              <w:pStyle w:val="TableParagraph"/>
              <w:spacing w:line="307" w:lineRule="auto" w:before="28"/>
              <w:ind w:left="2" w:right="0" w:firstLine="270"/>
              <w:jc w:val="left"/>
              <w:rPr>
                <w:rFonts w:ascii="宋体" w:hAnsi="宋体" w:cs="宋体" w:eastAsia="宋体" w:hint="default"/>
                <w:sz w:val="18"/>
                <w:szCs w:val="18"/>
              </w:rPr>
            </w:pPr>
            <w:r>
              <w:rPr>
                <w:rFonts w:ascii="宋体" w:hAnsi="宋体" w:cs="宋体" w:eastAsia="宋体" w:hint="default"/>
                <w:sz w:val="18"/>
                <w:szCs w:val="18"/>
              </w:rPr>
              <w:t>硬件平台：开发支持</w:t>
            </w:r>
            <w:r>
              <w:rPr>
                <w:rFonts w:ascii="Times New Roman" w:hAnsi="Times New Roman" w:cs="Times New Roman" w:eastAsia="Times New Roman" w:hint="default"/>
                <w:sz w:val="18"/>
                <w:szCs w:val="18"/>
              </w:rPr>
              <w:t>Linux</w:t>
            </w:r>
            <w:r>
              <w:rPr>
                <w:rFonts w:ascii="宋体" w:hAnsi="宋体" w:cs="宋体" w:eastAsia="宋体" w:hint="default"/>
                <w:sz w:val="18"/>
                <w:szCs w:val="18"/>
              </w:rPr>
              <w:t>运行的硬件系统，同时硬件系统中各组成</w:t>
            </w:r>
            <w:r>
              <w:rPr>
                <w:rFonts w:ascii="宋体" w:hAnsi="宋体" w:cs="宋体" w:eastAsia="宋体" w:hint="default"/>
                <w:spacing w:val="1"/>
                <w:sz w:val="18"/>
                <w:szCs w:val="18"/>
              </w:rPr>
              <w:t> </w:t>
            </w:r>
            <w:r>
              <w:rPr>
                <w:rFonts w:ascii="宋体" w:hAnsi="宋体" w:cs="宋体" w:eastAsia="宋体" w:hint="default"/>
                <w:sz w:val="18"/>
                <w:szCs w:val="18"/>
              </w:rPr>
              <w:t>部件逻辑上相对独立，可根据具体应用产品进行二次开发；</w:t>
            </w:r>
            <w:r>
              <w:rPr>
                <w:rFonts w:ascii="宋体" w:hAnsi="宋体" w:cs="宋体" w:eastAsia="宋体" w:hint="default"/>
                <w:sz w:val="18"/>
                <w:szCs w:val="18"/>
              </w:rPr>
              <w:t> 它形式上表现为一块</w:t>
            </w:r>
            <w:r>
              <w:rPr>
                <w:rFonts w:ascii="Times New Roman" w:hAnsi="Times New Roman" w:cs="Times New Roman" w:eastAsia="Times New Roman" w:hint="default"/>
                <w:sz w:val="18"/>
                <w:szCs w:val="18"/>
              </w:rPr>
              <w:t>“</w:t>
            </w:r>
            <w:r>
              <w:rPr>
                <w:rFonts w:ascii="宋体" w:hAnsi="宋体" w:cs="宋体" w:eastAsia="宋体" w:hint="default"/>
                <w:sz w:val="18"/>
                <w:szCs w:val="18"/>
              </w:rPr>
              <w:t>核心板</w:t>
            </w:r>
            <w:r>
              <w:rPr>
                <w:rFonts w:ascii="Times New Roman" w:hAnsi="Times New Roman" w:cs="Times New Roman" w:eastAsia="Times New Roman" w:hint="default"/>
                <w:sz w:val="18"/>
                <w:szCs w:val="18"/>
              </w:rPr>
              <w:t>”</w:t>
            </w:r>
            <w:r>
              <w:rPr>
                <w:rFonts w:ascii="宋体" w:hAnsi="宋体" w:cs="宋体" w:eastAsia="宋体" w:hint="default"/>
                <w:sz w:val="18"/>
                <w:szCs w:val="18"/>
              </w:rPr>
              <w:t>：载有</w:t>
            </w:r>
            <w:r>
              <w:rPr>
                <w:rFonts w:ascii="Times New Roman" w:hAnsi="Times New Roman" w:cs="Times New Roman" w:eastAsia="Times New Roman" w:hint="default"/>
                <w:sz w:val="18"/>
                <w:szCs w:val="18"/>
              </w:rPr>
              <w:t>MPU</w:t>
            </w:r>
            <w:r>
              <w:rPr>
                <w:rFonts w:ascii="宋体" w:hAnsi="宋体" w:cs="宋体" w:eastAsia="宋体" w:hint="default"/>
                <w:sz w:val="18"/>
                <w:szCs w:val="18"/>
              </w:rPr>
              <w:t>、存储器等能使操作系统工作 的基础硬件，各种外设接口通过插针（座）引出；</w:t>
            </w:r>
          </w:p>
        </w:tc>
      </w:tr>
      <w:tr>
        <w:trPr>
          <w:trHeight w:val="972"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QPBOC</w:t>
            </w:r>
            <w:r>
              <w:rPr>
                <w:rFonts w:ascii="宋体" w:hAnsi="宋体" w:cs="宋体" w:eastAsia="宋体" w:hint="default"/>
                <w:sz w:val="20"/>
                <w:szCs w:val="20"/>
              </w:rPr>
              <w:t>的出租车车载支付</w:t>
            </w:r>
            <w:r>
              <w:rPr>
                <w:rFonts w:ascii="宋体" w:hAnsi="宋体" w:cs="宋体" w:eastAsia="宋体" w:hint="default"/>
                <w:w w:val="100"/>
                <w:sz w:val="20"/>
                <w:szCs w:val="20"/>
              </w:rPr>
              <w:t> </w:t>
            </w:r>
            <w:r>
              <w:rPr>
                <w:rFonts w:ascii="宋体" w:hAnsi="宋体" w:cs="宋体" w:eastAsia="宋体" w:hint="default"/>
                <w:sz w:val="20"/>
                <w:szCs w:val="20"/>
              </w:rPr>
              <w:t>终端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69"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发布阶段</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2" w:right="0"/>
              <w:jc w:val="left"/>
              <w:rPr>
                <w:rFonts w:ascii="Times New Roman" w:hAnsi="Times New Roman" w:cs="Times New Roman" w:eastAsia="Times New Roman" w:hint="default"/>
                <w:sz w:val="20"/>
                <w:szCs w:val="20"/>
              </w:rPr>
            </w:pPr>
            <w:r>
              <w:rPr>
                <w:rFonts w:ascii="Times New Roman"/>
                <w:sz w:val="20"/>
              </w:rPr>
              <w:t>2012.3-2012.12</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15" w:firstLine="27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基于</w:t>
            </w:r>
            <w:r>
              <w:rPr>
                <w:rFonts w:ascii="Times New Roman" w:hAnsi="Times New Roman" w:cs="Times New Roman" w:eastAsia="Times New Roman" w:hint="default"/>
                <w:spacing w:val="4"/>
                <w:sz w:val="18"/>
                <w:szCs w:val="18"/>
              </w:rPr>
              <w:t>QPBOC</w:t>
            </w:r>
            <w:r>
              <w:rPr>
                <w:rFonts w:ascii="宋体" w:hAnsi="宋体" w:cs="宋体" w:eastAsia="宋体" w:hint="default"/>
                <w:spacing w:val="4"/>
                <w:sz w:val="18"/>
                <w:szCs w:val="18"/>
              </w:rPr>
              <w:t>的出租车车载支付终端：是通过自身的</w:t>
            </w:r>
            <w:r>
              <w:rPr>
                <w:rFonts w:ascii="Times New Roman" w:hAnsi="Times New Roman" w:cs="Times New Roman" w:eastAsia="Times New Roman" w:hint="default"/>
                <w:spacing w:val="4"/>
                <w:sz w:val="18"/>
                <w:szCs w:val="18"/>
              </w:rPr>
              <w:t>RS232</w:t>
            </w:r>
            <w:r>
              <w:rPr>
                <w:rFonts w:ascii="宋体" w:hAnsi="宋体" w:cs="宋体" w:eastAsia="宋体" w:hint="default"/>
                <w:spacing w:val="4"/>
                <w:sz w:val="18"/>
                <w:szCs w:val="18"/>
              </w:rPr>
              <w:t>串口或</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CAN</w:t>
            </w:r>
            <w:r>
              <w:rPr>
                <w:rFonts w:ascii="宋体" w:hAnsi="宋体" w:cs="宋体" w:eastAsia="宋体" w:hint="default"/>
                <w:sz w:val="18"/>
                <w:szCs w:val="18"/>
              </w:rPr>
              <w:t>线接口外接在出租车计价终端上，智能获取应扣金额，支持读写</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金融</w:t>
            </w:r>
            <w:r>
              <w:rPr>
                <w:rFonts w:ascii="Times New Roman" w:hAnsi="Times New Roman" w:cs="Times New Roman" w:eastAsia="Times New Roman" w:hint="default"/>
                <w:sz w:val="18"/>
                <w:szCs w:val="18"/>
              </w:rPr>
              <w:t>IC</w:t>
            </w:r>
            <w:r>
              <w:rPr>
                <w:rFonts w:ascii="宋体" w:hAnsi="宋体" w:cs="宋体" w:eastAsia="宋体" w:hint="default"/>
                <w:sz w:val="18"/>
                <w:szCs w:val="18"/>
              </w:rPr>
              <w:t>卡、</w:t>
            </w:r>
            <w:r>
              <w:rPr>
                <w:rFonts w:ascii="Times New Roman" w:hAnsi="Times New Roman" w:cs="Times New Roman" w:eastAsia="Times New Roman" w:hint="default"/>
                <w:sz w:val="18"/>
                <w:szCs w:val="18"/>
              </w:rPr>
              <w:t>13.56</w:t>
            </w:r>
            <w:r>
              <w:rPr>
                <w:rFonts w:ascii="宋体" w:hAnsi="宋体" w:cs="宋体" w:eastAsia="宋体" w:hint="default"/>
                <w:sz w:val="18"/>
                <w:szCs w:val="18"/>
              </w:rPr>
              <w:t>卡、移动</w:t>
            </w:r>
            <w:r>
              <w:rPr>
                <w:rFonts w:ascii="Times New Roman" w:hAnsi="Times New Roman" w:cs="Times New Roman" w:eastAsia="Times New Roman" w:hint="default"/>
                <w:sz w:val="18"/>
                <w:szCs w:val="18"/>
              </w:rPr>
              <w:t>2.4G</w:t>
            </w:r>
            <w:r>
              <w:rPr>
                <w:rFonts w:ascii="宋体" w:hAnsi="宋体" w:cs="宋体" w:eastAsia="宋体" w:hint="default"/>
                <w:sz w:val="18"/>
                <w:szCs w:val="18"/>
              </w:rPr>
              <w:t>、电信</w:t>
            </w:r>
            <w:r>
              <w:rPr>
                <w:rFonts w:ascii="Times New Roman" w:hAnsi="Times New Roman" w:cs="Times New Roman" w:eastAsia="Times New Roman" w:hint="default"/>
                <w:sz w:val="18"/>
                <w:szCs w:val="18"/>
              </w:rPr>
              <w:t>2.4G</w:t>
            </w:r>
            <w:r>
              <w:rPr>
                <w:rFonts w:ascii="宋体" w:hAnsi="宋体" w:cs="宋体" w:eastAsia="宋体" w:hint="default"/>
                <w:sz w:val="18"/>
                <w:szCs w:val="18"/>
              </w:rPr>
              <w:t>卡等，并利用</w:t>
            </w:r>
            <w:r>
              <w:rPr>
                <w:rFonts w:ascii="Times New Roman" w:hAnsi="Times New Roman" w:cs="Times New Roman" w:eastAsia="Times New Roman" w:hint="default"/>
                <w:sz w:val="18"/>
                <w:szCs w:val="18"/>
              </w:rPr>
              <w:t>GPRS/CDMA</w:t>
            </w:r>
          </w:p>
        </w:tc>
      </w:tr>
    </w:tbl>
    <w:p>
      <w:pPr>
        <w:spacing w:after="0" w:line="300" w:lineRule="auto"/>
        <w:jc w:val="both"/>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851" w:footer="978" w:top="1180" w:bottom="1160" w:left="1300" w:right="1200"/>
          <w:pgNumType w:start="17"/>
        </w:sectPr>
      </w:pPr>
    </w:p>
    <w:p>
      <w:pPr>
        <w:spacing w:line="240" w:lineRule="auto" w:before="0"/>
        <w:rPr>
          <w:rFonts w:ascii="Times New Roman" w:hAnsi="Times New Roman" w:cs="Times New Roman" w:eastAsia="Times New Roman" w:hint="default"/>
          <w:sz w:val="20"/>
          <w:szCs w:val="20"/>
        </w:rPr>
      </w:pPr>
      <w:r>
        <w:rPr/>
        <w:pict>
          <v:shape style="position:absolute;margin-left:71.630997pt;margin-top:60.900002pt;width:704.65pt;height:463pt;mso-position-horizontal-relative:page;mso-position-vertical-relative:page;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7"/>
                    <w:gridCol w:w="2689"/>
                    <w:gridCol w:w="1274"/>
                    <w:gridCol w:w="2399"/>
                    <w:gridCol w:w="1532"/>
                    <w:gridCol w:w="5599"/>
                  </w:tblGrid>
                  <w:tr>
                    <w:trPr>
                      <w:trHeight w:val="985" w:hRule="exact"/>
                    </w:trPr>
                    <w:tc>
                      <w:tcPr>
                        <w:tcW w:w="577" w:type="dxa"/>
                        <w:tcBorders>
                          <w:top w:val="single" w:sz="12" w:space="0" w:color="000000"/>
                          <w:left w:val="single" w:sz="6" w:space="0" w:color="000000"/>
                          <w:bottom w:val="single" w:sz="6" w:space="0" w:color="000000"/>
                          <w:right w:val="single" w:sz="6" w:space="0" w:color="000000"/>
                        </w:tcBorders>
                      </w:tcPr>
                      <w:p>
                        <w:pPr/>
                      </w:p>
                    </w:tc>
                    <w:tc>
                      <w:tcPr>
                        <w:tcW w:w="2689"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2399" w:type="dxa"/>
                        <w:tcBorders>
                          <w:top w:val="single" w:sz="12" w:space="0" w:color="000000"/>
                          <w:left w:val="single" w:sz="6" w:space="0" w:color="000000"/>
                          <w:bottom w:val="single" w:sz="6" w:space="0" w:color="000000"/>
                          <w:right w:val="single" w:sz="6" w:space="0" w:color="000000"/>
                        </w:tcBorders>
                      </w:tcPr>
                      <w:p>
                        <w:pPr/>
                      </w:p>
                    </w:tc>
                    <w:tc>
                      <w:tcPr>
                        <w:tcW w:w="1532" w:type="dxa"/>
                        <w:tcBorders>
                          <w:top w:val="single" w:sz="12" w:space="0" w:color="000000"/>
                          <w:left w:val="single" w:sz="6" w:space="0" w:color="000000"/>
                          <w:bottom w:val="single" w:sz="6" w:space="0" w:color="000000"/>
                          <w:right w:val="single" w:sz="6" w:space="0" w:color="000000"/>
                        </w:tcBorders>
                      </w:tcPr>
                      <w:p>
                        <w:pP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34"/>
                          <w:ind w:left="2" w:right="116"/>
                          <w:jc w:val="both"/>
                          <w:rPr>
                            <w:rFonts w:ascii="宋体" w:hAnsi="宋体" w:cs="宋体" w:eastAsia="宋体" w:hint="default"/>
                            <w:sz w:val="18"/>
                            <w:szCs w:val="18"/>
                          </w:rPr>
                        </w:pPr>
                        <w:r>
                          <w:rPr>
                            <w:rFonts w:ascii="宋体" w:hAnsi="宋体" w:cs="宋体" w:eastAsia="宋体" w:hint="default"/>
                            <w:sz w:val="18"/>
                            <w:szCs w:val="18"/>
                          </w:rPr>
                          <w:t>无线通信技术进行数据上传，具备一卡通金融结算功能、无线数据传</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输、操作语音提示、报价功能、</w:t>
                        </w:r>
                        <w:r>
                          <w:rPr>
                            <w:rFonts w:ascii="Times New Roman" w:hAnsi="Times New Roman" w:cs="Times New Roman" w:eastAsia="Times New Roman" w:hint="default"/>
                            <w:spacing w:val="2"/>
                            <w:sz w:val="18"/>
                            <w:szCs w:val="18"/>
                          </w:rPr>
                          <w:t>GPS</w:t>
                        </w:r>
                        <w:r>
                          <w:rPr>
                            <w:rFonts w:ascii="宋体" w:hAnsi="宋体" w:cs="宋体" w:eastAsia="宋体" w:hint="default"/>
                            <w:spacing w:val="2"/>
                            <w:sz w:val="18"/>
                            <w:szCs w:val="18"/>
                          </w:rPr>
                          <w:t>定位等功能的新型智能出租车支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付终端。</w:t>
                        </w:r>
                      </w:p>
                    </w:tc>
                  </w:tr>
                  <w:tr>
                    <w:trPr>
                      <w:trHeight w:val="330" w:hRule="exact"/>
                    </w:trPr>
                    <w:tc>
                      <w:tcPr>
                        <w:tcW w:w="577"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c>
                      <w:tcPr>
                        <w:tcW w:w="1274" w:type="dxa"/>
                        <w:tcBorders>
                          <w:top w:val="single" w:sz="6" w:space="0" w:color="000000"/>
                          <w:left w:val="single" w:sz="6" w:space="0" w:color="000000"/>
                          <w:bottom w:val="nil" w:sz="6" w:space="0" w:color="auto"/>
                          <w:right w:val="single" w:sz="6" w:space="0" w:color="000000"/>
                        </w:tcBorders>
                      </w:tcPr>
                      <w:p>
                        <w:pPr/>
                      </w:p>
                    </w:tc>
                    <w:tc>
                      <w:tcPr>
                        <w:tcW w:w="2399" w:type="dxa"/>
                        <w:tcBorders>
                          <w:top w:val="single" w:sz="6" w:space="0" w:color="000000"/>
                          <w:left w:val="single" w:sz="6" w:space="0" w:color="000000"/>
                          <w:bottom w:val="nil" w:sz="6" w:space="0" w:color="auto"/>
                          <w:right w:val="single" w:sz="6" w:space="0" w:color="000000"/>
                        </w:tcBorders>
                      </w:tcPr>
                      <w:p>
                        <w:pPr/>
                      </w:p>
                    </w:tc>
                    <w:tc>
                      <w:tcPr>
                        <w:tcW w:w="1532" w:type="dxa"/>
                        <w:tcBorders>
                          <w:top w:val="single" w:sz="6" w:space="0" w:color="000000"/>
                          <w:left w:val="single" w:sz="6" w:space="0" w:color="000000"/>
                          <w:bottom w:val="nil" w:sz="6" w:space="0" w:color="auto"/>
                          <w:right w:val="single" w:sz="6" w:space="0" w:color="000000"/>
                        </w:tcBorders>
                      </w:tcPr>
                      <w:p>
                        <w:pPr/>
                      </w:p>
                    </w:tc>
                    <w:tc>
                      <w:tcPr>
                        <w:tcW w:w="55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pacing w:val="-1"/>
                            <w:sz w:val="18"/>
                            <w:szCs w:val="18"/>
                          </w:rPr>
                          <w:t>新开普教务管理系统以减轻教学管理工作量、提高教学管理工作效</w:t>
                        </w:r>
                      </w:p>
                    </w:tc>
                  </w:tr>
                  <w:tr>
                    <w:trPr>
                      <w:trHeight w:val="31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率为目标，系统版本根据学校类型来定，初次开发版本定位为技工学校</w:t>
                        </w:r>
                      </w:p>
                    </w:tc>
                  </w:tr>
                  <w:tr>
                    <w:trPr>
                      <w:trHeight w:val="31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版本，实现学分制教学管理。</w:t>
                        </w:r>
                      </w:p>
                    </w:tc>
                  </w:tr>
                  <w:tr>
                    <w:trPr>
                      <w:trHeight w:val="317"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92"/>
                          <w:jc w:val="right"/>
                          <w:rPr>
                            <w:rFonts w:ascii="宋体" w:hAnsi="宋体" w:cs="宋体" w:eastAsia="宋体" w:hint="default"/>
                            <w:sz w:val="18"/>
                            <w:szCs w:val="18"/>
                          </w:rPr>
                        </w:pPr>
                        <w:r>
                          <w:rPr>
                            <w:rFonts w:ascii="宋体" w:hAnsi="宋体" w:cs="宋体" w:eastAsia="宋体" w:hint="default"/>
                            <w:spacing w:val="-1"/>
                            <w:sz w:val="18"/>
                            <w:szCs w:val="18"/>
                          </w:rPr>
                          <w:t>系统是基于</w:t>
                        </w:r>
                        <w:r>
                          <w:rPr>
                            <w:rFonts w:ascii="Times New Roman" w:hAnsi="Times New Roman" w:cs="Times New Roman" w:eastAsia="Times New Roman" w:hint="default"/>
                            <w:spacing w:val="-1"/>
                            <w:sz w:val="18"/>
                            <w:szCs w:val="18"/>
                          </w:rPr>
                          <w:t>J2EE</w:t>
                        </w:r>
                        <w:r>
                          <w:rPr>
                            <w:rFonts w:ascii="宋体" w:hAnsi="宋体" w:cs="宋体" w:eastAsia="宋体" w:hint="default"/>
                            <w:spacing w:val="-1"/>
                            <w:sz w:val="18"/>
                            <w:szCs w:val="18"/>
                          </w:rPr>
                          <w:t>架构开发的</w:t>
                        </w:r>
                        <w:r>
                          <w:rPr>
                            <w:rFonts w:ascii="Times New Roman" w:hAnsi="Times New Roman" w:cs="Times New Roman" w:eastAsia="Times New Roman" w:hint="default"/>
                            <w:spacing w:val="-1"/>
                            <w:sz w:val="18"/>
                            <w:szCs w:val="18"/>
                          </w:rPr>
                          <w:t>B/S</w:t>
                        </w:r>
                        <w:r>
                          <w:rPr>
                            <w:rFonts w:ascii="宋体" w:hAnsi="宋体" w:cs="宋体" w:eastAsia="宋体" w:hint="default"/>
                            <w:spacing w:val="-1"/>
                            <w:sz w:val="18"/>
                            <w:szCs w:val="18"/>
                          </w:rPr>
                          <w:t>结构管理系统。功能贯穿学籍管理</w:t>
                        </w:r>
                      </w:p>
                    </w:tc>
                  </w:tr>
                  <w:tr>
                    <w:trPr>
                      <w:trHeight w:val="619" w:hRule="exact"/>
                    </w:trPr>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40" w:lineRule="auto" w:before="145"/>
                          <w:ind w:left="2" w:right="0"/>
                          <w:jc w:val="left"/>
                          <w:rPr>
                            <w:rFonts w:ascii="宋体" w:hAnsi="宋体" w:cs="宋体" w:eastAsia="宋体" w:hint="default"/>
                            <w:sz w:val="20"/>
                            <w:szCs w:val="20"/>
                          </w:rPr>
                        </w:pPr>
                        <w:r>
                          <w:rPr>
                            <w:rFonts w:ascii="宋体" w:hAnsi="宋体" w:cs="宋体" w:eastAsia="宋体" w:hint="default"/>
                            <w:sz w:val="20"/>
                            <w:szCs w:val="20"/>
                          </w:rPr>
                          <w:t>教务管理系统</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left="269"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2399"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研发阶段</w:t>
                        </w:r>
                      </w:p>
                    </w:tc>
                    <w:tc>
                      <w:tcPr>
                        <w:tcW w:w="153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2012.4-2013.10</w:t>
                        </w: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教学计划制定、开课管理、排课管理、选课管理、教学活动管理、考务 管理、辅修管理、成绩管理、教学考评、毕业生管理等全部教务管理活</w:t>
                        </w:r>
                      </w:p>
                    </w:tc>
                  </w:tr>
                  <w:tr>
                    <w:trPr>
                      <w:trHeight w:val="31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动。系统提供了智能排课、排考，可以辅助相关教务管理人员智能科学</w:t>
                        </w:r>
                      </w:p>
                    </w:tc>
                  </w:tr>
                  <w:tr>
                    <w:trPr>
                      <w:trHeight w:val="31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地处理繁杂的排课、排考业务。</w:t>
                        </w:r>
                      </w:p>
                    </w:tc>
                  </w:tr>
                  <w:tr>
                    <w:trPr>
                      <w:trHeight w:val="31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系统信息标准符合有关国家标准、教育部标准、行业标准，快捷方</w:t>
                        </w:r>
                      </w:p>
                    </w:tc>
                  </w:tr>
                  <w:tr>
                    <w:trPr>
                      <w:trHeight w:val="329" w:hRule="exact"/>
                    </w:trPr>
                    <w:tc>
                      <w:tcPr>
                        <w:tcW w:w="577"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c>
                      <w:tcPr>
                        <w:tcW w:w="1274" w:type="dxa"/>
                        <w:tcBorders>
                          <w:top w:val="nil" w:sz="6" w:space="0" w:color="auto"/>
                          <w:left w:val="single" w:sz="6" w:space="0" w:color="000000"/>
                          <w:bottom w:val="single" w:sz="6" w:space="0" w:color="000000"/>
                          <w:right w:val="single" w:sz="6" w:space="0" w:color="000000"/>
                        </w:tcBorders>
                      </w:tcPr>
                      <w:p>
                        <w:pPr/>
                      </w:p>
                    </w:tc>
                    <w:tc>
                      <w:tcPr>
                        <w:tcW w:w="2399" w:type="dxa"/>
                        <w:tcBorders>
                          <w:top w:val="nil" w:sz="6" w:space="0" w:color="auto"/>
                          <w:left w:val="single" w:sz="6" w:space="0" w:color="000000"/>
                          <w:bottom w:val="single" w:sz="6" w:space="0" w:color="000000"/>
                          <w:right w:val="single" w:sz="6" w:space="0" w:color="000000"/>
                        </w:tcBorders>
                      </w:tcPr>
                      <w:p>
                        <w:pPr/>
                      </w:p>
                    </w:tc>
                    <w:tc>
                      <w:tcPr>
                        <w:tcW w:w="1532" w:type="dxa"/>
                        <w:tcBorders>
                          <w:top w:val="nil" w:sz="6" w:space="0" w:color="auto"/>
                          <w:left w:val="single" w:sz="6" w:space="0" w:color="000000"/>
                          <w:bottom w:val="single" w:sz="6" w:space="0" w:color="000000"/>
                          <w:right w:val="single" w:sz="6" w:space="0" w:color="000000"/>
                        </w:tcBorders>
                      </w:tcPr>
                      <w:p>
                        <w:pPr/>
                      </w:p>
                    </w:tc>
                    <w:tc>
                      <w:tcPr>
                        <w:tcW w:w="55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便向教育部、教育厅申报数据，也方便与其它系统进行数据对接。</w:t>
                        </w:r>
                      </w:p>
                    </w:tc>
                  </w:tr>
                  <w:tr>
                    <w:trPr>
                      <w:trHeight w:val="330" w:hRule="exact"/>
                    </w:trPr>
                    <w:tc>
                      <w:tcPr>
                        <w:tcW w:w="577"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c>
                      <w:tcPr>
                        <w:tcW w:w="1274" w:type="dxa"/>
                        <w:tcBorders>
                          <w:top w:val="single" w:sz="6" w:space="0" w:color="000000"/>
                          <w:left w:val="single" w:sz="6" w:space="0" w:color="000000"/>
                          <w:bottom w:val="nil" w:sz="6" w:space="0" w:color="auto"/>
                          <w:right w:val="single" w:sz="6" w:space="0" w:color="000000"/>
                        </w:tcBorders>
                      </w:tcPr>
                      <w:p>
                        <w:pPr/>
                      </w:p>
                    </w:tc>
                    <w:tc>
                      <w:tcPr>
                        <w:tcW w:w="2399" w:type="dxa"/>
                        <w:tcBorders>
                          <w:top w:val="single" w:sz="6" w:space="0" w:color="000000"/>
                          <w:left w:val="single" w:sz="6" w:space="0" w:color="000000"/>
                          <w:bottom w:val="nil" w:sz="6" w:space="0" w:color="auto"/>
                          <w:right w:val="single" w:sz="6" w:space="0" w:color="000000"/>
                        </w:tcBorders>
                      </w:tcPr>
                      <w:p>
                        <w:pPr/>
                      </w:p>
                    </w:tc>
                    <w:tc>
                      <w:tcPr>
                        <w:tcW w:w="1532" w:type="dxa"/>
                        <w:tcBorders>
                          <w:top w:val="single" w:sz="6" w:space="0" w:color="000000"/>
                          <w:left w:val="single" w:sz="6" w:space="0" w:color="000000"/>
                          <w:bottom w:val="nil" w:sz="6" w:space="0" w:color="auto"/>
                          <w:right w:val="single" w:sz="6" w:space="0" w:color="000000"/>
                        </w:tcBorders>
                      </w:tcPr>
                      <w:p>
                        <w:pPr/>
                      </w:p>
                    </w:tc>
                    <w:tc>
                      <w:tcPr>
                        <w:tcW w:w="55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pacing w:val="-1"/>
                            <w:sz w:val="18"/>
                            <w:szCs w:val="18"/>
                          </w:rPr>
                          <w:t>本系统定位的主要用户对象是高等学校，该系统可以使用无线通信</w:t>
                        </w:r>
                      </w:p>
                    </w:tc>
                  </w:tr>
                  <w:tr>
                    <w:trPr>
                      <w:trHeight w:val="317"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网络</w:t>
                        </w:r>
                        <w:r>
                          <w:rPr>
                            <w:rFonts w:ascii="Times New Roman" w:hAnsi="Times New Roman" w:cs="Times New Roman" w:eastAsia="Times New Roman" w:hint="default"/>
                            <w:sz w:val="18"/>
                            <w:szCs w:val="18"/>
                          </w:rPr>
                          <w:t>(2G/3G/WIFI)</w:t>
                        </w:r>
                        <w:r>
                          <w:rPr>
                            <w:rFonts w:ascii="宋体" w:hAnsi="宋体" w:cs="宋体" w:eastAsia="宋体" w:hint="default"/>
                            <w:sz w:val="18"/>
                            <w:szCs w:val="18"/>
                          </w:rPr>
                          <w:t>，为校领导、管理人员、教职工、学生提供便捷的移</w:t>
                        </w:r>
                      </w:p>
                    </w:tc>
                  </w:tr>
                  <w:tr>
                    <w:trPr>
                      <w:trHeight w:val="307"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动信息服务。使用户无论何时何地都能及时的了解到最新的信息。</w:t>
                        </w:r>
                      </w:p>
                    </w:tc>
                  </w:tr>
                  <w:tr>
                    <w:trPr>
                      <w:trHeight w:val="307"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1"/>
                            <w:sz w:val="18"/>
                            <w:szCs w:val="18"/>
                          </w:rPr>
                          <w:t>“掌上校园”可以帮助学生查看通知公告、课表、调课信息、考试</w:t>
                        </w:r>
                      </w:p>
                    </w:tc>
                  </w:tr>
                  <w:tr>
                    <w:trPr>
                      <w:trHeight w:val="327" w:hRule="exact"/>
                    </w:trPr>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6</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基于云架构的掌上校园</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269"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2399"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532"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2012.6-2013.7</w:t>
                        </w: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安排、成绩、学分、重修课程、图书馆、校内招聘、学习中心等信息，</w:t>
                        </w:r>
                      </w:p>
                    </w:tc>
                  </w:tr>
                  <w:tr>
                    <w:trPr>
                      <w:trHeight w:val="30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pacing w:val="2"/>
                            <w:sz w:val="18"/>
                            <w:szCs w:val="18"/>
                          </w:rPr>
                          <w:t>同时可以进行图书借阅、咨询问答等操作;可以帮助教职工查询通知公</w:t>
                        </w:r>
                        <w:r>
                          <w:rPr>
                            <w:rFonts w:ascii="宋体" w:hAnsi="宋体" w:cs="宋体" w:eastAsia="宋体" w:hint="default"/>
                            <w:sz w:val="18"/>
                            <w:szCs w:val="18"/>
                          </w:rPr>
                        </w:r>
                      </w:p>
                    </w:tc>
                  </w:tr>
                  <w:tr>
                    <w:trPr>
                      <w:trHeight w:val="31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告、课表、调课信息、科研服务，教学评价等信息。这些信息实现都能</w:t>
                        </w:r>
                      </w:p>
                    </w:tc>
                  </w:tr>
                  <w:tr>
                    <w:trPr>
                      <w:trHeight w:val="312" w:hRule="exact"/>
                    </w:trPr>
                    <w:tc>
                      <w:tcPr>
                        <w:tcW w:w="577" w:type="dxa"/>
                        <w:tcBorders>
                          <w:top w:val="nil" w:sz="6" w:space="0" w:color="auto"/>
                          <w:left w:val="single" w:sz="6" w:space="0" w:color="000000"/>
                          <w:bottom w:val="nil" w:sz="6" w:space="0" w:color="auto"/>
                          <w:right w:val="single" w:sz="6" w:space="0" w:color="000000"/>
                        </w:tcBorders>
                      </w:tcPr>
                      <w:p>
                        <w:pPr/>
                      </w:p>
                    </w:tc>
                    <w:tc>
                      <w:tcPr>
                        <w:tcW w:w="2689"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2399" w:type="dxa"/>
                        <w:tcBorders>
                          <w:top w:val="nil" w:sz="6" w:space="0" w:color="auto"/>
                          <w:left w:val="single" w:sz="6" w:space="0" w:color="000000"/>
                          <w:bottom w:val="nil" w:sz="6" w:space="0" w:color="auto"/>
                          <w:right w:val="single" w:sz="6" w:space="0" w:color="000000"/>
                        </w:tcBorders>
                      </w:tcPr>
                      <w:p>
                        <w:pPr/>
                      </w:p>
                    </w:tc>
                    <w:tc>
                      <w:tcPr>
                        <w:tcW w:w="1532" w:type="dxa"/>
                        <w:tcBorders>
                          <w:top w:val="nil" w:sz="6" w:space="0" w:color="auto"/>
                          <w:left w:val="single" w:sz="6" w:space="0" w:color="000000"/>
                          <w:bottom w:val="nil" w:sz="6" w:space="0" w:color="auto"/>
                          <w:right w:val="single" w:sz="6" w:space="0" w:color="000000"/>
                        </w:tcBorders>
                      </w:tcPr>
                      <w:p>
                        <w:pP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通过手机终端完成相关操作。“掌上校园”的应用对教师和学生的自我</w:t>
                        </w:r>
                      </w:p>
                    </w:tc>
                  </w:tr>
                  <w:tr>
                    <w:trPr>
                      <w:trHeight w:val="329" w:hRule="exact"/>
                    </w:trPr>
                    <w:tc>
                      <w:tcPr>
                        <w:tcW w:w="577"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c>
                      <w:tcPr>
                        <w:tcW w:w="1274" w:type="dxa"/>
                        <w:tcBorders>
                          <w:top w:val="nil" w:sz="6" w:space="0" w:color="auto"/>
                          <w:left w:val="single" w:sz="6" w:space="0" w:color="000000"/>
                          <w:bottom w:val="single" w:sz="6" w:space="0" w:color="000000"/>
                          <w:right w:val="single" w:sz="6" w:space="0" w:color="000000"/>
                        </w:tcBorders>
                      </w:tcPr>
                      <w:p>
                        <w:pPr/>
                      </w:p>
                    </w:tc>
                    <w:tc>
                      <w:tcPr>
                        <w:tcW w:w="2399" w:type="dxa"/>
                        <w:tcBorders>
                          <w:top w:val="nil" w:sz="6" w:space="0" w:color="auto"/>
                          <w:left w:val="single" w:sz="6" w:space="0" w:color="000000"/>
                          <w:bottom w:val="single" w:sz="6" w:space="0" w:color="000000"/>
                          <w:right w:val="single" w:sz="6" w:space="0" w:color="000000"/>
                        </w:tcBorders>
                      </w:tcPr>
                      <w:p>
                        <w:pPr/>
                      </w:p>
                    </w:tc>
                    <w:tc>
                      <w:tcPr>
                        <w:tcW w:w="1532" w:type="dxa"/>
                        <w:tcBorders>
                          <w:top w:val="nil" w:sz="6" w:space="0" w:color="auto"/>
                          <w:left w:val="single" w:sz="6" w:space="0" w:color="000000"/>
                          <w:bottom w:val="single" w:sz="6" w:space="0" w:color="000000"/>
                          <w:right w:val="single" w:sz="6" w:space="0" w:color="000000"/>
                        </w:tcBorders>
                      </w:tcPr>
                      <w:p>
                        <w:pPr/>
                      </w:p>
                    </w:tc>
                    <w:tc>
                      <w:tcPr>
                        <w:tcW w:w="55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信息管理都将带来很大的便利。</w:t>
                        </w:r>
                      </w:p>
                    </w:tc>
                  </w:tr>
                  <w:tr>
                    <w:trPr>
                      <w:trHeight w:val="330" w:hRule="exact"/>
                    </w:trPr>
                    <w:tc>
                      <w:tcPr>
                        <w:tcW w:w="577"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c>
                      <w:tcPr>
                        <w:tcW w:w="1274" w:type="dxa"/>
                        <w:tcBorders>
                          <w:top w:val="single" w:sz="6" w:space="0" w:color="000000"/>
                          <w:left w:val="single" w:sz="6" w:space="0" w:color="000000"/>
                          <w:bottom w:val="nil" w:sz="6" w:space="0" w:color="auto"/>
                          <w:right w:val="single" w:sz="6" w:space="0" w:color="000000"/>
                        </w:tcBorders>
                      </w:tcPr>
                      <w:p>
                        <w:pPr/>
                      </w:p>
                    </w:tc>
                    <w:tc>
                      <w:tcPr>
                        <w:tcW w:w="2399" w:type="dxa"/>
                        <w:tcBorders>
                          <w:top w:val="single" w:sz="6" w:space="0" w:color="000000"/>
                          <w:left w:val="single" w:sz="6" w:space="0" w:color="000000"/>
                          <w:bottom w:val="nil" w:sz="6" w:space="0" w:color="auto"/>
                          <w:right w:val="single" w:sz="6" w:space="0" w:color="000000"/>
                        </w:tcBorders>
                      </w:tcPr>
                      <w:p>
                        <w:pPr/>
                      </w:p>
                    </w:tc>
                    <w:tc>
                      <w:tcPr>
                        <w:tcW w:w="1532" w:type="dxa"/>
                        <w:tcBorders>
                          <w:top w:val="single" w:sz="6" w:space="0" w:color="000000"/>
                          <w:left w:val="single" w:sz="6" w:space="0" w:color="000000"/>
                          <w:bottom w:val="nil" w:sz="6" w:space="0" w:color="auto"/>
                          <w:right w:val="single" w:sz="6" w:space="0" w:color="000000"/>
                        </w:tcBorders>
                      </w:tcPr>
                      <w:p>
                        <w:pPr/>
                      </w:p>
                    </w:tc>
                    <w:tc>
                      <w:tcPr>
                        <w:tcW w:w="55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pacing w:val="-1"/>
                            <w:sz w:val="18"/>
                            <w:szCs w:val="18"/>
                          </w:rPr>
                          <w:t>本次立项要开发的产品是一系列电子门锁产品，依据项目策划与竞</w:t>
                        </w:r>
                      </w:p>
                    </w:tc>
                  </w:tr>
                  <w:tr>
                    <w:trPr>
                      <w:trHeight w:val="624" w:hRule="exact"/>
                    </w:trPr>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40" w:lineRule="auto" w:before="150"/>
                          <w:ind w:left="2" w:right="0"/>
                          <w:jc w:val="left"/>
                          <w:rPr>
                            <w:rFonts w:ascii="宋体" w:hAnsi="宋体" w:cs="宋体" w:eastAsia="宋体" w:hint="default"/>
                            <w:sz w:val="20"/>
                            <w:szCs w:val="20"/>
                          </w:rPr>
                        </w:pPr>
                        <w:r>
                          <w:rPr>
                            <w:rFonts w:ascii="宋体" w:hAnsi="宋体" w:cs="宋体" w:eastAsia="宋体" w:hint="default"/>
                            <w:sz w:val="20"/>
                            <w:szCs w:val="20"/>
                          </w:rPr>
                          <w:t>无线联网智能卡门锁</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239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532"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2012.4-2013.1</w:t>
                        </w: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30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争产品分析，公司</w:t>
                        </w:r>
                        <w:r>
                          <w:rPr>
                            <w:rFonts w:ascii="Times New Roman" w:hAnsi="Times New Roman" w:cs="Times New Roman" w:eastAsia="Times New Roman" w:hint="default"/>
                            <w:sz w:val="18"/>
                            <w:szCs w:val="18"/>
                          </w:rPr>
                          <w:t>IPMT</w:t>
                        </w:r>
                        <w:r>
                          <w:rPr>
                            <w:rFonts w:ascii="宋体" w:hAnsi="宋体" w:cs="宋体" w:eastAsia="宋体" w:hint="default"/>
                            <w:sz w:val="18"/>
                            <w:szCs w:val="18"/>
                          </w:rPr>
                          <w:t>成员决策，定义我们的智能门锁主攻无线通讯 无线通讯和脱机版的公共部分并行开展，市场定位校园办公、企业办公</w:t>
                        </w:r>
                      </w:p>
                    </w:tc>
                  </w:tr>
                  <w:tr>
                    <w:trPr>
                      <w:trHeight w:val="329" w:hRule="exact"/>
                    </w:trPr>
                    <w:tc>
                      <w:tcPr>
                        <w:tcW w:w="577"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c>
                      <w:tcPr>
                        <w:tcW w:w="1274" w:type="dxa"/>
                        <w:tcBorders>
                          <w:top w:val="nil" w:sz="6" w:space="0" w:color="auto"/>
                          <w:left w:val="single" w:sz="6" w:space="0" w:color="000000"/>
                          <w:bottom w:val="single" w:sz="6" w:space="0" w:color="000000"/>
                          <w:right w:val="single" w:sz="6" w:space="0" w:color="000000"/>
                        </w:tcBorders>
                      </w:tcPr>
                      <w:p>
                        <w:pPr/>
                      </w:p>
                    </w:tc>
                    <w:tc>
                      <w:tcPr>
                        <w:tcW w:w="2399" w:type="dxa"/>
                        <w:tcBorders>
                          <w:top w:val="nil" w:sz="6" w:space="0" w:color="auto"/>
                          <w:left w:val="single" w:sz="6" w:space="0" w:color="000000"/>
                          <w:bottom w:val="single" w:sz="6" w:space="0" w:color="000000"/>
                          <w:right w:val="single" w:sz="6" w:space="0" w:color="000000"/>
                        </w:tcBorders>
                      </w:tcPr>
                      <w:p>
                        <w:pPr/>
                      </w:p>
                    </w:tc>
                    <w:tc>
                      <w:tcPr>
                        <w:tcW w:w="1532" w:type="dxa"/>
                        <w:tcBorders>
                          <w:top w:val="nil" w:sz="6" w:space="0" w:color="auto"/>
                          <w:left w:val="single" w:sz="6" w:space="0" w:color="000000"/>
                          <w:bottom w:val="single" w:sz="6" w:space="0" w:color="000000"/>
                          <w:right w:val="single" w:sz="6" w:space="0" w:color="000000"/>
                        </w:tcBorders>
                      </w:tcPr>
                      <w:p>
                        <w:pPr/>
                      </w:p>
                    </w:tc>
                    <w:tc>
                      <w:tcPr>
                        <w:tcW w:w="55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等领域应用。</w:t>
                        </w:r>
                      </w:p>
                    </w:tc>
                  </w:tr>
                  <w:tr>
                    <w:trPr>
                      <w:trHeight w:val="325" w:hRule="exact"/>
                    </w:trPr>
                    <w:tc>
                      <w:tcPr>
                        <w:tcW w:w="577" w:type="dxa"/>
                        <w:tcBorders>
                          <w:top w:val="single" w:sz="6" w:space="0" w:color="000000"/>
                          <w:left w:val="single" w:sz="6" w:space="0" w:color="000000"/>
                          <w:bottom w:val="nil" w:sz="6" w:space="0" w:color="auto"/>
                          <w:right w:val="single" w:sz="6" w:space="0" w:color="000000"/>
                        </w:tcBorders>
                      </w:tcPr>
                      <w:p>
                        <w:pPr/>
                      </w:p>
                    </w:tc>
                    <w:tc>
                      <w:tcPr>
                        <w:tcW w:w="2689" w:type="dxa"/>
                        <w:tcBorders>
                          <w:top w:val="single" w:sz="6" w:space="0" w:color="000000"/>
                          <w:left w:val="single" w:sz="6" w:space="0" w:color="000000"/>
                          <w:bottom w:val="nil" w:sz="6" w:space="0" w:color="auto"/>
                          <w:right w:val="single" w:sz="6" w:space="0" w:color="000000"/>
                        </w:tcBorders>
                      </w:tcPr>
                      <w:p>
                        <w:pPr/>
                      </w:p>
                    </w:tc>
                    <w:tc>
                      <w:tcPr>
                        <w:tcW w:w="1274" w:type="dxa"/>
                        <w:tcBorders>
                          <w:top w:val="single" w:sz="6" w:space="0" w:color="000000"/>
                          <w:left w:val="single" w:sz="6" w:space="0" w:color="000000"/>
                          <w:bottom w:val="nil" w:sz="6" w:space="0" w:color="auto"/>
                          <w:right w:val="single" w:sz="6" w:space="0" w:color="000000"/>
                        </w:tcBorders>
                      </w:tcPr>
                      <w:p>
                        <w:pPr/>
                      </w:p>
                    </w:tc>
                    <w:tc>
                      <w:tcPr>
                        <w:tcW w:w="2399" w:type="dxa"/>
                        <w:tcBorders>
                          <w:top w:val="single" w:sz="6" w:space="0" w:color="000000"/>
                          <w:left w:val="single" w:sz="6" w:space="0" w:color="000000"/>
                          <w:bottom w:val="nil" w:sz="6" w:space="0" w:color="auto"/>
                          <w:right w:val="single" w:sz="6" w:space="0" w:color="000000"/>
                        </w:tcBorders>
                      </w:tcPr>
                      <w:p>
                        <w:pPr/>
                      </w:p>
                    </w:tc>
                    <w:tc>
                      <w:tcPr>
                        <w:tcW w:w="1532" w:type="dxa"/>
                        <w:tcBorders>
                          <w:top w:val="single" w:sz="6" w:space="0" w:color="000000"/>
                          <w:left w:val="single" w:sz="6" w:space="0" w:color="000000"/>
                          <w:bottom w:val="nil" w:sz="6" w:space="0" w:color="auto"/>
                          <w:right w:val="single" w:sz="6" w:space="0" w:color="000000"/>
                        </w:tcBorders>
                      </w:tcPr>
                      <w:p>
                        <w:pPr/>
                      </w:p>
                    </w:tc>
                    <w:tc>
                      <w:tcPr>
                        <w:tcW w:w="55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pacing w:val="6"/>
                            <w:sz w:val="18"/>
                            <w:szCs w:val="18"/>
                          </w:rPr>
                          <w:t>在线支付平台将提供一个包含支付系统和商务系统两大部分的综</w:t>
                        </w:r>
                        <w:r>
                          <w:rPr>
                            <w:rFonts w:ascii="宋体" w:hAnsi="宋体" w:cs="宋体" w:eastAsia="宋体" w:hint="default"/>
                            <w:sz w:val="18"/>
                            <w:szCs w:val="18"/>
                          </w:rPr>
                        </w:r>
                      </w:p>
                    </w:tc>
                  </w:tr>
                  <w:tr>
                    <w:trPr>
                      <w:trHeight w:val="327" w:hRule="exact"/>
                    </w:trPr>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8</w:t>
                        </w:r>
                      </w:p>
                    </w:tc>
                    <w:tc>
                      <w:tcPr>
                        <w:tcW w:w="268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在线支付平台</w:t>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269"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2399"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发布阶段</w:t>
                        </w:r>
                      </w:p>
                    </w:tc>
                    <w:tc>
                      <w:tcPr>
                        <w:tcW w:w="1532"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sz w:val="20"/>
                          </w:rPr>
                          <w:t>2012.3-2013.7</w:t>
                        </w:r>
                      </w:p>
                    </w:tc>
                    <w:tc>
                      <w:tcPr>
                        <w:tcW w:w="5599"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合解决方案。</w:t>
                        </w:r>
                      </w:p>
                    </w:tc>
                  </w:tr>
                  <w:tr>
                    <w:trPr>
                      <w:trHeight w:val="320" w:hRule="exact"/>
                    </w:trPr>
                    <w:tc>
                      <w:tcPr>
                        <w:tcW w:w="577" w:type="dxa"/>
                        <w:tcBorders>
                          <w:top w:val="nil" w:sz="6" w:space="0" w:color="auto"/>
                          <w:left w:val="single" w:sz="6" w:space="0" w:color="000000"/>
                          <w:bottom w:val="single" w:sz="6" w:space="0" w:color="000000"/>
                          <w:right w:val="single" w:sz="6" w:space="0" w:color="000000"/>
                        </w:tcBorders>
                      </w:tcPr>
                      <w:p>
                        <w:pPr/>
                      </w:p>
                    </w:tc>
                    <w:tc>
                      <w:tcPr>
                        <w:tcW w:w="2689" w:type="dxa"/>
                        <w:tcBorders>
                          <w:top w:val="nil" w:sz="6" w:space="0" w:color="auto"/>
                          <w:left w:val="single" w:sz="6" w:space="0" w:color="000000"/>
                          <w:bottom w:val="single" w:sz="6" w:space="0" w:color="000000"/>
                          <w:right w:val="single" w:sz="6" w:space="0" w:color="000000"/>
                        </w:tcBorders>
                      </w:tcPr>
                      <w:p>
                        <w:pPr/>
                      </w:p>
                    </w:tc>
                    <w:tc>
                      <w:tcPr>
                        <w:tcW w:w="1274" w:type="dxa"/>
                        <w:tcBorders>
                          <w:top w:val="nil" w:sz="6" w:space="0" w:color="auto"/>
                          <w:left w:val="single" w:sz="6" w:space="0" w:color="000000"/>
                          <w:bottom w:val="single" w:sz="6" w:space="0" w:color="000000"/>
                          <w:right w:val="single" w:sz="6" w:space="0" w:color="000000"/>
                        </w:tcBorders>
                      </w:tcPr>
                      <w:p>
                        <w:pPr/>
                      </w:p>
                    </w:tc>
                    <w:tc>
                      <w:tcPr>
                        <w:tcW w:w="2399" w:type="dxa"/>
                        <w:tcBorders>
                          <w:top w:val="nil" w:sz="6" w:space="0" w:color="auto"/>
                          <w:left w:val="single" w:sz="6" w:space="0" w:color="000000"/>
                          <w:bottom w:val="single" w:sz="6" w:space="0" w:color="000000"/>
                          <w:right w:val="single" w:sz="6" w:space="0" w:color="000000"/>
                        </w:tcBorders>
                      </w:tcPr>
                      <w:p>
                        <w:pPr/>
                      </w:p>
                    </w:tc>
                    <w:tc>
                      <w:tcPr>
                        <w:tcW w:w="1532" w:type="dxa"/>
                        <w:tcBorders>
                          <w:top w:val="nil" w:sz="6" w:space="0" w:color="auto"/>
                          <w:left w:val="single" w:sz="6" w:space="0" w:color="000000"/>
                          <w:bottom w:val="single" w:sz="6" w:space="0" w:color="000000"/>
                          <w:right w:val="single" w:sz="6" w:space="0" w:color="000000"/>
                        </w:tcBorders>
                      </w:tcPr>
                      <w:p>
                        <w:pPr/>
                      </w:p>
                    </w:tc>
                    <w:tc>
                      <w:tcPr>
                        <w:tcW w:w="5599"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电子支付系统：提供规范的连接接口，与银行及第三方支付系统建</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spacing w:before="44"/>
        <w:ind w:left="0" w:right="10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44"/>
        <w:ind w:left="0" w:right="12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51" w:footer="978" w:top="1220" w:bottom="1160" w:left="1320" w:right="1140"/>
        </w:sectPr>
      </w:pPr>
    </w:p>
    <w:p>
      <w:pPr>
        <w:spacing w:before="49"/>
        <w:ind w:left="0" w:right="106" w:firstLine="0"/>
        <w:jc w:val="right"/>
        <w:rPr>
          <w:rFonts w:ascii="宋体" w:hAnsi="宋体" w:cs="宋体" w:eastAsia="宋体" w:hint="default"/>
          <w:sz w:val="18"/>
          <w:szCs w:val="18"/>
        </w:rPr>
      </w:pPr>
      <w:r>
        <w:rPr/>
        <w:pict>
          <v:shape style="position:absolute;margin-left:71.630997pt;margin-top:-.358008pt;width:704.65pt;height:386.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7"/>
                    <w:gridCol w:w="2689"/>
                    <w:gridCol w:w="1274"/>
                    <w:gridCol w:w="2399"/>
                    <w:gridCol w:w="1532"/>
                    <w:gridCol w:w="5599"/>
                  </w:tblGrid>
                  <w:tr>
                    <w:trPr>
                      <w:trHeight w:val="2545" w:hRule="exact"/>
                    </w:trPr>
                    <w:tc>
                      <w:tcPr>
                        <w:tcW w:w="577" w:type="dxa"/>
                        <w:tcBorders>
                          <w:top w:val="single" w:sz="12" w:space="0" w:color="000000"/>
                          <w:left w:val="single" w:sz="6" w:space="0" w:color="000000"/>
                          <w:bottom w:val="single" w:sz="6" w:space="0" w:color="000000"/>
                          <w:right w:val="single" w:sz="6" w:space="0" w:color="000000"/>
                        </w:tcBorders>
                      </w:tcPr>
                      <w:p>
                        <w:pPr/>
                      </w:p>
                    </w:tc>
                    <w:tc>
                      <w:tcPr>
                        <w:tcW w:w="2689"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2399" w:type="dxa"/>
                        <w:tcBorders>
                          <w:top w:val="single" w:sz="12" w:space="0" w:color="000000"/>
                          <w:left w:val="single" w:sz="6" w:space="0" w:color="000000"/>
                          <w:bottom w:val="single" w:sz="6" w:space="0" w:color="000000"/>
                          <w:right w:val="single" w:sz="6" w:space="0" w:color="000000"/>
                        </w:tcBorders>
                      </w:tcPr>
                      <w:p>
                        <w:pPr/>
                      </w:p>
                    </w:tc>
                    <w:tc>
                      <w:tcPr>
                        <w:tcW w:w="1532" w:type="dxa"/>
                        <w:tcBorders>
                          <w:top w:val="single" w:sz="12" w:space="0" w:color="000000"/>
                          <w:left w:val="single" w:sz="6" w:space="0" w:color="000000"/>
                          <w:bottom w:val="single" w:sz="6" w:space="0" w:color="000000"/>
                          <w:right w:val="single" w:sz="6" w:space="0" w:color="000000"/>
                        </w:tcBorders>
                      </w:tcPr>
                      <w:p>
                        <w:pP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4"/>
                          <w:ind w:left="2" w:right="0"/>
                          <w:jc w:val="left"/>
                          <w:rPr>
                            <w:rFonts w:ascii="宋体" w:hAnsi="宋体" w:cs="宋体" w:eastAsia="宋体" w:hint="default"/>
                            <w:sz w:val="18"/>
                            <w:szCs w:val="18"/>
                          </w:rPr>
                        </w:pPr>
                        <w:r>
                          <w:rPr>
                            <w:rFonts w:ascii="宋体" w:hAnsi="宋体" w:cs="宋体" w:eastAsia="宋体" w:hint="default"/>
                            <w:spacing w:val="-3"/>
                            <w:sz w:val="18"/>
                            <w:szCs w:val="18"/>
                          </w:rPr>
                          <w:t>立规范连接，为校园、城市以及企业内消费者、商家提供在线货币支付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现金流转、资金清算、查询统计等服务。为校园、企业或者城市一卡通 </w:t>
                        </w:r>
                        <w:r>
                          <w:rPr>
                            <w:rFonts w:ascii="宋体" w:hAnsi="宋体" w:cs="宋体" w:eastAsia="宋体" w:hint="default"/>
                            <w:spacing w:val="-3"/>
                            <w:sz w:val="18"/>
                            <w:szCs w:val="18"/>
                          </w:rPr>
                          <w:t>系统，以及第三方系统提供标准的在线支付接口，提供统一的支付途径</w:t>
                        </w:r>
                        <w:r>
                          <w:rPr>
                            <w:rFonts w:ascii="宋体" w:hAnsi="宋体" w:cs="宋体" w:eastAsia="宋体" w:hint="default"/>
                            <w:sz w:val="18"/>
                            <w:szCs w:val="18"/>
                          </w:rPr>
                          <w:t> 各子系统及用户无需考虑与银行、第三方支付系统的对接方式，解决第 三方系统因为接口不同的问题导致频繁的二次开发。</w:t>
                        </w:r>
                      </w:p>
                      <w:p>
                        <w:pPr>
                          <w:pStyle w:val="TableParagraph"/>
                          <w:spacing w:line="316" w:lineRule="auto" w:before="19"/>
                          <w:ind w:left="2" w:right="0" w:firstLine="360"/>
                          <w:jc w:val="both"/>
                          <w:rPr>
                            <w:rFonts w:ascii="宋体" w:hAnsi="宋体" w:cs="宋体" w:eastAsia="宋体" w:hint="default"/>
                            <w:sz w:val="18"/>
                            <w:szCs w:val="18"/>
                          </w:rPr>
                        </w:pPr>
                        <w:r>
                          <w:rPr>
                            <w:rFonts w:ascii="宋体" w:hAnsi="宋体" w:cs="宋体" w:eastAsia="宋体" w:hint="default"/>
                            <w:sz w:val="18"/>
                            <w:szCs w:val="18"/>
                          </w:rPr>
                          <w:t>电子商务系统：为用户提供一个网上交易（购物）的平台，提供缴 网费、学费、教材费、报名费、考试费，以及在线购物、充值等一站式 服务。</w:t>
                        </w:r>
                      </w:p>
                    </w:tc>
                  </w:tr>
                  <w:tr>
                    <w:trPr>
                      <w:trHeight w:val="1595"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z w:val="18"/>
                          </w:rPr>
                          <w:t>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85" w:lineRule="auto"/>
                          <w:ind w:left="2" w:right="-4"/>
                          <w:jc w:val="left"/>
                          <w:rPr>
                            <w:rFonts w:ascii="宋体" w:hAnsi="宋体" w:cs="宋体" w:eastAsia="宋体" w:hint="default"/>
                            <w:sz w:val="20"/>
                            <w:szCs w:val="20"/>
                          </w:rPr>
                        </w:pPr>
                        <w:r>
                          <w:rPr>
                            <w:rFonts w:ascii="宋体" w:hAnsi="宋体" w:cs="宋体" w:eastAsia="宋体" w:hint="default"/>
                            <w:spacing w:val="4"/>
                            <w:sz w:val="20"/>
                            <w:szCs w:val="20"/>
                          </w:rPr>
                          <w:t>智慧云项目（基于云计算的技</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术架构平台）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2" w:right="0"/>
                          <w:jc w:val="left"/>
                          <w:rPr>
                            <w:rFonts w:ascii="Times New Roman" w:hAnsi="Times New Roman" w:cs="Times New Roman" w:eastAsia="Times New Roman" w:hint="default"/>
                            <w:sz w:val="20"/>
                            <w:szCs w:val="20"/>
                          </w:rPr>
                        </w:pPr>
                        <w:r>
                          <w:rPr>
                            <w:rFonts w:ascii="Times New Roman"/>
                            <w:sz w:val="20"/>
                          </w:rPr>
                          <w:t>2012.6-2013.12</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firstLine="360"/>
                          <w:jc w:val="both"/>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IT</w:t>
                        </w:r>
                        <w:r>
                          <w:rPr>
                            <w:rFonts w:ascii="宋体" w:hAnsi="宋体" w:cs="宋体" w:eastAsia="宋体" w:hint="default"/>
                            <w:sz w:val="18"/>
                            <w:szCs w:val="18"/>
                          </w:rPr>
                          <w:t>架构现状：随着公司规模不断的扩大，</w:t>
                        </w:r>
                        <w:r>
                          <w:rPr>
                            <w:rFonts w:ascii="Times New Roman" w:hAnsi="Times New Roman" w:cs="Times New Roman" w:eastAsia="Times New Roman" w:hint="default"/>
                            <w:sz w:val="18"/>
                            <w:szCs w:val="18"/>
                          </w:rPr>
                          <w:t>IT</w:t>
                        </w:r>
                        <w:r>
                          <w:rPr>
                            <w:rFonts w:ascii="宋体" w:hAnsi="宋体" w:cs="宋体" w:eastAsia="宋体" w:hint="default"/>
                            <w:sz w:val="18"/>
                            <w:szCs w:val="18"/>
                          </w:rPr>
                          <w:t>基础设施呈现出设</w:t>
                        </w:r>
                        <w:r>
                          <w:rPr>
                            <w:rFonts w:ascii="宋体" w:hAnsi="宋体" w:cs="宋体" w:eastAsia="宋体" w:hint="default"/>
                            <w:spacing w:val="1"/>
                            <w:sz w:val="18"/>
                            <w:szCs w:val="18"/>
                          </w:rPr>
                          <w:t> </w:t>
                        </w:r>
                        <w:r>
                          <w:rPr>
                            <w:rFonts w:ascii="宋体" w:hAnsi="宋体" w:cs="宋体" w:eastAsia="宋体" w:hint="default"/>
                            <w:sz w:val="18"/>
                            <w:szCs w:val="18"/>
                          </w:rPr>
                          <w:t>备资源老化、资源不足、资源分布不均匀、设备利用率低、资源采购周</w:t>
                        </w:r>
                        <w:r>
                          <w:rPr>
                            <w:rFonts w:ascii="宋体" w:hAnsi="宋体" w:cs="宋体" w:eastAsia="宋体" w:hint="default"/>
                            <w:sz w:val="18"/>
                            <w:szCs w:val="18"/>
                          </w:rPr>
                          <w:t> 期长、信息系统众多（</w:t>
                        </w:r>
                        <w:r>
                          <w:rPr>
                            <w:rFonts w:ascii="Times New Roman" w:hAnsi="Times New Roman" w:cs="Times New Roman" w:eastAsia="Times New Roman" w:hint="default"/>
                            <w:sz w:val="18"/>
                            <w:szCs w:val="18"/>
                          </w:rPr>
                          <w:t>OA</w:t>
                        </w:r>
                        <w:r>
                          <w:rPr>
                            <w:rFonts w:ascii="宋体" w:hAnsi="宋体" w:cs="宋体" w:eastAsia="宋体" w:hint="default"/>
                            <w:sz w:val="18"/>
                            <w:szCs w:val="18"/>
                          </w:rPr>
                          <w:t>、门户、</w:t>
                        </w:r>
                        <w:r>
                          <w:rPr>
                            <w:rFonts w:ascii="Times New Roman" w:hAnsi="Times New Roman" w:cs="Times New Roman" w:eastAsia="Times New Roman" w:hint="default"/>
                            <w:sz w:val="18"/>
                            <w:szCs w:val="18"/>
                          </w:rPr>
                          <w:t>ERP</w:t>
                        </w:r>
                        <w:r>
                          <w:rPr>
                            <w:rFonts w:ascii="宋体" w:hAnsi="宋体" w:cs="宋体" w:eastAsia="宋体" w:hint="default"/>
                            <w:sz w:val="18"/>
                            <w:szCs w:val="18"/>
                          </w:rPr>
                          <w:t>、</w:t>
                        </w:r>
                        <w:r>
                          <w:rPr>
                            <w:rFonts w:ascii="Times New Roman" w:hAnsi="Times New Roman" w:cs="Times New Roman" w:eastAsia="Times New Roman" w:hint="default"/>
                            <w:sz w:val="18"/>
                            <w:szCs w:val="18"/>
                          </w:rPr>
                          <w:t>CRM</w:t>
                        </w:r>
                        <w:r>
                          <w:rPr>
                            <w:rFonts w:ascii="宋体" w:hAnsi="宋体" w:cs="宋体" w:eastAsia="宋体" w:hint="default"/>
                            <w:sz w:val="18"/>
                            <w:szCs w:val="18"/>
                          </w:rPr>
                          <w:t>、</w:t>
                        </w:r>
                        <w:r>
                          <w:rPr>
                            <w:rFonts w:ascii="Times New Roman" w:hAnsi="Times New Roman" w:cs="Times New Roman" w:eastAsia="Times New Roman" w:hint="default"/>
                            <w:sz w:val="18"/>
                            <w:szCs w:val="18"/>
                          </w:rPr>
                          <w:t>PDM</w:t>
                        </w:r>
                        <w:r>
                          <w:rPr>
                            <w:rFonts w:ascii="宋体" w:hAnsi="宋体" w:cs="宋体" w:eastAsia="宋体" w:hint="default"/>
                            <w:sz w:val="18"/>
                            <w:szCs w:val="18"/>
                          </w:rPr>
                          <w:t>等）、信息化运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维程度低等众多问题，如何充分的管理和利用信息系统和设备，改善公</w:t>
                        </w:r>
                        <w:r>
                          <w:rPr>
                            <w:rFonts w:ascii="宋体" w:hAnsi="宋体" w:cs="宋体" w:eastAsia="宋体" w:hint="default"/>
                            <w:sz w:val="18"/>
                            <w:szCs w:val="18"/>
                          </w:rPr>
                          <w:t> 司</w:t>
                        </w:r>
                        <w:r>
                          <w:rPr>
                            <w:rFonts w:ascii="Times New Roman" w:hAnsi="Times New Roman" w:cs="Times New Roman" w:eastAsia="Times New Roman" w:hint="default"/>
                            <w:sz w:val="18"/>
                            <w:szCs w:val="18"/>
                          </w:rPr>
                          <w:t>IT</w:t>
                        </w:r>
                        <w:r>
                          <w:rPr>
                            <w:rFonts w:ascii="宋体" w:hAnsi="宋体" w:cs="宋体" w:eastAsia="宋体" w:hint="default"/>
                            <w:sz w:val="18"/>
                            <w:szCs w:val="18"/>
                          </w:rPr>
                          <w:t>运营状况急需解决的问题；</w:t>
                        </w:r>
                      </w:p>
                    </w:tc>
                  </w:tr>
                  <w:tr>
                    <w:trPr>
                      <w:trHeight w:val="1595"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z w:val="18"/>
                          </w:rPr>
                          <w:t>10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71" w:lineRule="auto"/>
                          <w:ind w:left="2" w:right="-4"/>
                          <w:jc w:val="left"/>
                          <w:rPr>
                            <w:rFonts w:ascii="宋体" w:hAnsi="宋体" w:cs="宋体" w:eastAsia="宋体" w:hint="default"/>
                            <w:sz w:val="20"/>
                            <w:szCs w:val="20"/>
                          </w:rPr>
                        </w:pPr>
                        <w:r>
                          <w:rPr>
                            <w:rFonts w:ascii="宋体" w:hAnsi="宋体" w:cs="宋体" w:eastAsia="宋体" w:hint="default"/>
                            <w:spacing w:val="4"/>
                            <w:sz w:val="20"/>
                            <w:szCs w:val="20"/>
                          </w:rPr>
                          <w:t>金融</w:t>
                        </w:r>
                        <w:r>
                          <w:rPr>
                            <w:rFonts w:ascii="Times New Roman" w:hAnsi="Times New Roman" w:cs="Times New Roman" w:eastAsia="Times New Roman" w:hint="default"/>
                            <w:spacing w:val="4"/>
                            <w:sz w:val="20"/>
                            <w:szCs w:val="20"/>
                          </w:rPr>
                          <w:t>IC</w:t>
                        </w:r>
                        <w:r>
                          <w:rPr>
                            <w:rFonts w:ascii="宋体" w:hAnsi="宋体" w:cs="宋体" w:eastAsia="宋体" w:hint="default"/>
                            <w:spacing w:val="4"/>
                            <w:sz w:val="20"/>
                            <w:szCs w:val="20"/>
                          </w:rPr>
                          <w:t>卡行业多级密钥管理系</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结项，已经投入使用</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2" w:right="0"/>
                          <w:jc w:val="left"/>
                          <w:rPr>
                            <w:rFonts w:ascii="Times New Roman" w:hAnsi="Times New Roman" w:cs="Times New Roman" w:eastAsia="Times New Roman" w:hint="default"/>
                            <w:sz w:val="20"/>
                            <w:szCs w:val="20"/>
                          </w:rPr>
                        </w:pPr>
                        <w:r>
                          <w:rPr>
                            <w:rFonts w:ascii="Times New Roman"/>
                            <w:sz w:val="20"/>
                          </w:rPr>
                          <w:t>2012.8-2013.6</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0" w:firstLine="360"/>
                          <w:jc w:val="both"/>
                          <w:rPr>
                            <w:rFonts w:ascii="宋体" w:hAnsi="宋体" w:cs="宋体" w:eastAsia="宋体" w:hint="default"/>
                            <w:sz w:val="18"/>
                            <w:szCs w:val="18"/>
                          </w:rPr>
                        </w:pPr>
                        <w:r>
                          <w:rPr>
                            <w:rFonts w:ascii="宋体" w:hAnsi="宋体" w:cs="宋体" w:eastAsia="宋体" w:hint="default"/>
                            <w:sz w:val="18"/>
                            <w:szCs w:val="18"/>
                          </w:rPr>
                          <w:t>本产品分为中心级密钥管理系统和行业级密钥管理系统，中心级密 钥管理系统由湖南省金融</w:t>
                        </w:r>
                        <w:r>
                          <w:rPr>
                            <w:rFonts w:ascii="Times New Roman" w:hAnsi="Times New Roman" w:cs="Times New Roman" w:eastAsia="Times New Roman" w:hint="default"/>
                            <w:sz w:val="18"/>
                            <w:szCs w:val="18"/>
                          </w:rPr>
                          <w:t>IC</w:t>
                        </w:r>
                        <w:r>
                          <w:rPr>
                            <w:rFonts w:ascii="宋体" w:hAnsi="宋体" w:cs="宋体" w:eastAsia="宋体" w:hint="default"/>
                            <w:sz w:val="18"/>
                            <w:szCs w:val="18"/>
                          </w:rPr>
                          <w:t>卡行业应用运营管理平台负责生成和维护， 同时负责无发卡能力的行业应用合作方的发卡；行业级密钥管理系统可 提供行业应用合作方进行发卡，也可以只提供行业主密钥卡，由行业自 建密钥管理系统进行发卡。</w:t>
                        </w:r>
                      </w:p>
                    </w:tc>
                  </w:tr>
                  <w:tr>
                    <w:trPr>
                      <w:trHeight w:val="659"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z w:val="18"/>
                          </w:rPr>
                          <w:t>11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2.4G</w:t>
                        </w:r>
                        <w:r>
                          <w:rPr>
                            <w:rFonts w:ascii="宋体" w:hAnsi="宋体" w:cs="宋体" w:eastAsia="宋体" w:hint="default"/>
                            <w:sz w:val="20"/>
                            <w:szCs w:val="20"/>
                          </w:rPr>
                          <w:t>电子标签及读写器</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试生产阶段</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2012.6-2013.3</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firstLine="360"/>
                          <w:jc w:val="left"/>
                          <w:rPr>
                            <w:rFonts w:ascii="宋体" w:hAnsi="宋体" w:cs="宋体" w:eastAsia="宋体" w:hint="default"/>
                            <w:sz w:val="18"/>
                            <w:szCs w:val="18"/>
                          </w:rPr>
                        </w:pPr>
                        <w:r>
                          <w:rPr>
                            <w:rFonts w:ascii="宋体" w:hAnsi="宋体" w:cs="宋体" w:eastAsia="宋体" w:hint="default"/>
                            <w:sz w:val="18"/>
                            <w:szCs w:val="18"/>
                          </w:rPr>
                          <w:t>通过</w:t>
                        </w:r>
                        <w:r>
                          <w:rPr>
                            <w:rFonts w:ascii="Times New Roman" w:hAnsi="Times New Roman" w:cs="Times New Roman" w:eastAsia="Times New Roman" w:hint="default"/>
                            <w:sz w:val="18"/>
                            <w:szCs w:val="18"/>
                          </w:rPr>
                          <w:t>2.4G</w:t>
                        </w:r>
                        <w:r>
                          <w:rPr>
                            <w:rFonts w:ascii="宋体" w:hAnsi="宋体" w:cs="宋体" w:eastAsia="宋体" w:hint="default"/>
                            <w:sz w:val="18"/>
                            <w:szCs w:val="18"/>
                          </w:rPr>
                          <w:t>射频信号实现远距离识别的技术应用，为客户解决人员识 别、车辆识别以及在此类识别基础的市场化应用。</w:t>
                        </w:r>
                      </w:p>
                    </w:tc>
                  </w:tr>
                  <w:tr>
                    <w:trPr>
                      <w:trHeight w:val="659"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z w:val="18"/>
                          </w:rPr>
                          <w:t>12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hAnsi="宋体" w:cs="宋体" w:eastAsia="宋体" w:hint="default"/>
                            <w:sz w:val="20"/>
                            <w:szCs w:val="20"/>
                          </w:rPr>
                          <w:t>数传网关项目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结项，已经开始销售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2012.3-2013.2</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pacing w:val="6"/>
                            <w:sz w:val="18"/>
                            <w:szCs w:val="18"/>
                          </w:rPr>
                          <w:t>工作在物理层到应用层的通信设备。能够对基于</w:t>
                        </w:r>
                        <w:r>
                          <w:rPr>
                            <w:rFonts w:ascii="Times New Roman" w:hAnsi="Times New Roman" w:cs="Times New Roman" w:eastAsia="Times New Roman" w:hint="default"/>
                            <w:spacing w:val="6"/>
                            <w:sz w:val="18"/>
                            <w:szCs w:val="18"/>
                          </w:rPr>
                          <w:t>RS485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CAN</w:t>
                        </w:r>
                        <w:r>
                          <w:rPr>
                            <w:rFonts w:ascii="宋体" w:hAnsi="宋体" w:cs="宋体" w:eastAsia="宋体" w:hint="default"/>
                            <w:spacing w:val="6"/>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ZigBee</w:t>
                        </w:r>
                        <w:r>
                          <w:rPr>
                            <w:rFonts w:ascii="宋体" w:hAnsi="宋体" w:cs="宋体" w:eastAsia="宋体" w:hint="default"/>
                            <w:sz w:val="18"/>
                            <w:szCs w:val="18"/>
                          </w:rPr>
                          <w:t>、</w:t>
                        </w:r>
                        <w:r>
                          <w:rPr>
                            <w:rFonts w:ascii="Times New Roman" w:hAnsi="Times New Roman" w:cs="Times New Roman" w:eastAsia="Times New Roman" w:hint="default"/>
                            <w:sz w:val="18"/>
                            <w:szCs w:val="18"/>
                          </w:rPr>
                          <w:t>WIFI</w:t>
                        </w:r>
                        <w:r>
                          <w:rPr>
                            <w:rFonts w:ascii="宋体" w:hAnsi="宋体" w:cs="宋体" w:eastAsia="宋体" w:hint="default"/>
                            <w:sz w:val="18"/>
                            <w:szCs w:val="18"/>
                          </w:rPr>
                          <w:t>、</w:t>
                        </w:r>
                        <w:r>
                          <w:rPr>
                            <w:rFonts w:ascii="Times New Roman" w:hAnsi="Times New Roman" w:cs="Times New Roman" w:eastAsia="Times New Roman" w:hint="default"/>
                            <w:sz w:val="18"/>
                            <w:szCs w:val="18"/>
                          </w:rPr>
                          <w:t>TCP/IP</w:t>
                        </w:r>
                        <w:r>
                          <w:rPr>
                            <w:rFonts w:ascii="宋体" w:hAnsi="宋体" w:cs="宋体" w:eastAsia="宋体" w:hint="default"/>
                            <w:sz w:val="18"/>
                            <w:szCs w:val="18"/>
                          </w:rPr>
                          <w:t>等之上的应用层协议进行协议转换。</w:t>
                        </w:r>
                      </w:p>
                    </w:tc>
                  </w:tr>
                  <w:tr>
                    <w:trPr>
                      <w:trHeight w:val="660" w:hRule="exact"/>
                    </w:trPr>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z w:val="18"/>
                          </w:rPr>
                          <w:t>13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Cortex-A8</w:t>
                        </w:r>
                        <w:r>
                          <w:rPr>
                            <w:rFonts w:ascii="宋体" w:hAnsi="宋体" w:cs="宋体" w:eastAsia="宋体" w:hint="default"/>
                            <w:sz w:val="20"/>
                            <w:szCs w:val="20"/>
                          </w:rPr>
                          <w:t>系统平台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研究阶段</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2012.10-2013.9</w:t>
                        </w:r>
                      </w:p>
                    </w:tc>
                    <w:tc>
                      <w:tcPr>
                        <w:tcW w:w="559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91" w:firstLine="360"/>
                          <w:jc w:val="left"/>
                          <w:rPr>
                            <w:rFonts w:ascii="宋体" w:hAnsi="宋体" w:cs="宋体" w:eastAsia="宋体" w:hint="default"/>
                            <w:sz w:val="18"/>
                            <w:szCs w:val="18"/>
                          </w:rPr>
                        </w:pPr>
                        <w:r>
                          <w:rPr>
                            <w:rFonts w:ascii="宋体" w:hAnsi="宋体" w:cs="宋体" w:eastAsia="宋体" w:hint="default"/>
                            <w:spacing w:val="-3"/>
                            <w:sz w:val="18"/>
                            <w:szCs w:val="18"/>
                          </w:rPr>
                          <w:t>适用于公司所有对</w:t>
                        </w:r>
                        <w:r>
                          <w:rPr>
                            <w:rFonts w:ascii="Times New Roman" w:hAnsi="Times New Roman" w:cs="Times New Roman" w:eastAsia="Times New Roman" w:hint="default"/>
                            <w:spacing w:val="-3"/>
                            <w:sz w:val="18"/>
                            <w:szCs w:val="18"/>
                          </w:rPr>
                          <w:t>CPU</w:t>
                        </w:r>
                        <w:r>
                          <w:rPr>
                            <w:rFonts w:ascii="宋体" w:hAnsi="宋体" w:cs="宋体" w:eastAsia="宋体" w:hint="default"/>
                            <w:spacing w:val="-3"/>
                            <w:sz w:val="18"/>
                            <w:szCs w:val="18"/>
                          </w:rPr>
                          <w:t>处理能力要求较高产品，主要应用视频处理</w:t>
                        </w:r>
                        <w:r>
                          <w:rPr>
                            <w:rFonts w:ascii="宋体" w:hAnsi="宋体" w:cs="宋体" w:eastAsia="宋体" w:hint="default"/>
                            <w:sz w:val="18"/>
                            <w:szCs w:val="18"/>
                          </w:rPr>
                          <w:t> 主机下挂多个负载业务流量较大并需要实时数据处理。</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51" w:footer="978" w:top="1220" w:bottom="1160" w:left="1320" w:right="1140"/>
        </w:sectPr>
      </w:pPr>
    </w:p>
    <w:p>
      <w:pPr>
        <w:spacing w:line="240" w:lineRule="auto" w:before="11"/>
        <w:rPr>
          <w:rFonts w:ascii="宋体" w:hAnsi="宋体" w:cs="宋体" w:eastAsia="宋体" w:hint="default"/>
          <w:sz w:val="12"/>
          <w:szCs w:val="12"/>
        </w:rPr>
      </w:pPr>
    </w:p>
    <w:p>
      <w:pPr>
        <w:spacing w:before="44"/>
        <w:ind w:left="153" w:right="84"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14,447,972.80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9,343,384.83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7,250,239.41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tabs>
                <w:tab w:pos="1985" w:val="left" w:leader="none"/>
              </w:tabs>
              <w:spacing w:line="240" w:lineRule="auto" w:before="52"/>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w:t>
            </w:r>
          </w:p>
        </w:tc>
      </w:tr>
    </w:tbl>
    <w:p>
      <w:pPr>
        <w:spacing w:line="240" w:lineRule="auto" w:before="2"/>
        <w:rPr>
          <w:rFonts w:ascii="宋体" w:hAnsi="宋体" w:cs="宋体" w:eastAsia="宋体" w:hint="default"/>
          <w:sz w:val="19"/>
          <w:szCs w:val="19"/>
        </w:rPr>
      </w:pPr>
    </w:p>
    <w:p>
      <w:pPr>
        <w:spacing w:before="35"/>
        <w:ind w:left="154" w:right="84" w:firstLine="0"/>
        <w:jc w:val="left"/>
        <w:rPr>
          <w:rFonts w:ascii="宋体" w:hAnsi="宋体" w:cs="宋体" w:eastAsia="宋体" w:hint="default"/>
          <w:sz w:val="21"/>
          <w:szCs w:val="21"/>
        </w:rPr>
      </w:pPr>
      <w:r>
        <w:rPr/>
        <w:pict>
          <v:group style="position:absolute;margin-left:176.580002pt;margin-top:-33.236023pt;width:117.9pt;height:20.7pt;mso-position-horizontal-relative:page;mso-position-vertical-relative:paragraph;z-index:-885760" coordorigin="3532,-665" coordsize="2358,414">
            <v:group style="position:absolute;left:3543;top:-653;width:2;height:392" coordorigin="3543,-653" coordsize="2,392">
              <v:shape style="position:absolute;left:3543;top:-653;width:2;height:392" coordorigin="3543,-653" coordsize="0,392" path="m3543,-653l3543,-262e" filled="false" stroked="true" strokeweight="1.140pt" strokecolor="#ffffff">
                <v:path arrowok="t"/>
              </v:shape>
            </v:group>
            <v:group style="position:absolute;left:3554;top:-653;width:2336;height:392" coordorigin="3554,-653" coordsize="2336,392">
              <v:shape style="position:absolute;left:3554;top:-653;width:2336;height:392" coordorigin="3554,-653" coordsize="2336,392" path="m3554,-262l5890,-262,5890,-653,3554,-653,3554,-262xe" filled="true" fillcolor="#ffffff"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213,388,369.94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188,545,199.75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197,169,976.15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187,629,103.48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16,218,393.79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916,096.27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1,670.38%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3,284,670.00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1,313,768%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30,428,412.45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19,380,774.70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-27,143,742.45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-19,380,524.70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322,670,907.50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8,972,040.06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43,691,908.99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-8,972,040.06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278,978,998.51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-19,897,388.72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260,514,570.08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-107.64%</w:t>
            </w:r>
          </w:p>
        </w:tc>
      </w:tr>
    </w:tbl>
    <w:p>
      <w:pPr>
        <w:spacing w:before="51"/>
        <w:ind w:left="154" w:right="8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40" w:lineRule="auto" w:before="130"/>
        <w:ind w:right="84" w:firstLine="480"/>
        <w:jc w:val="left"/>
      </w:pPr>
      <w:r>
        <w:rPr/>
        <w:t>①收到其他与经营活动有关的现金</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10,563,070.87</w:t>
      </w:r>
      <w:r>
        <w:rPr/>
        <w:t>元，比上年数增加 </w:t>
      </w:r>
      <w:r>
        <w:rPr>
          <w:rFonts w:ascii="Times New Roman" w:hAnsi="Times New Roman" w:cs="Times New Roman" w:eastAsia="Times New Roman" w:hint="default"/>
        </w:rPr>
        <w:t>80.28%</w:t>
      </w:r>
      <w:r>
        <w:rPr/>
        <w:t>，其主要原因是：公司暂未使用的募集资金存储产生的利息收入增长影响。②经营活 动产生的现金流量净额</w:t>
      </w:r>
      <w:r>
        <w:rPr>
          <w:rFonts w:ascii="Times New Roman" w:hAnsi="Times New Roman" w:cs="Times New Roman" w:eastAsia="Times New Roman" w:hint="default"/>
        </w:rPr>
        <w:t>2012</w:t>
      </w:r>
      <w:r>
        <w:rPr/>
        <w:t>年度金额为</w:t>
      </w:r>
      <w:r>
        <w:rPr>
          <w:rFonts w:ascii="Times New Roman" w:hAnsi="Times New Roman" w:cs="Times New Roman" w:eastAsia="Times New Roman" w:hint="default"/>
        </w:rPr>
        <w:t>16,218,393.79</w:t>
      </w:r>
      <w:r>
        <w:rPr/>
        <w:t>元，较上年增加</w:t>
      </w:r>
      <w:r>
        <w:rPr>
          <w:rFonts w:ascii="Times New Roman" w:hAnsi="Times New Roman" w:cs="Times New Roman" w:eastAsia="Times New Roman" w:hint="default"/>
        </w:rPr>
        <w:t>1630.78%</w:t>
      </w:r>
      <w:r>
        <w:rPr/>
        <w:t>，原因为：</w:t>
      </w:r>
      <w:r>
        <w:rPr>
          <w:rFonts w:ascii="Times New Roman" w:hAnsi="Times New Roman" w:cs="Times New Roman" w:eastAsia="Times New Roman" w:hint="default"/>
        </w:rPr>
        <w:t>a</w:t>
      </w:r>
      <w:r>
        <w:rPr/>
        <w:t>、 </w:t>
      </w:r>
      <w:r>
        <w:rPr>
          <w:spacing w:val="-3"/>
        </w:rPr>
        <w:t>随主营业务收入增加，销售商品、提供劳务收到的现金同比增加</w:t>
      </w:r>
      <w:r>
        <w:rPr>
          <w:rFonts w:ascii="Times New Roman" w:hAnsi="Times New Roman" w:cs="Times New Roman" w:eastAsia="Times New Roman" w:hint="default"/>
          <w:spacing w:val="-3"/>
        </w:rPr>
        <w:t>13.18%</w:t>
      </w:r>
      <w:r>
        <w:rPr>
          <w:spacing w:val="-3"/>
        </w:rPr>
        <w:t>；</w:t>
      </w:r>
      <w:r>
        <w:rPr>
          <w:rFonts w:ascii="Times New Roman" w:hAnsi="Times New Roman" w:cs="Times New Roman" w:eastAsia="Times New Roman" w:hint="default"/>
          <w:spacing w:val="-3"/>
        </w:rPr>
        <w:t>b</w:t>
      </w:r>
      <w:r>
        <w:rPr>
          <w:spacing w:val="-3"/>
        </w:rPr>
        <w:t>、虽然本年度支付</w:t>
      </w:r>
      <w:r>
        <w:rPr>
          <w:spacing w:val="-94"/>
        </w:rPr>
        <w:t> </w:t>
      </w:r>
      <w:r>
        <w:rPr>
          <w:spacing w:val="-94"/>
        </w:rPr>
      </w:r>
      <w:r>
        <w:rPr/>
        <w:t>给职工以及为职工支付的现金较上年增加</w:t>
      </w:r>
      <w:r>
        <w:rPr>
          <w:rFonts w:ascii="Times New Roman" w:hAnsi="Times New Roman" w:cs="Times New Roman" w:eastAsia="Times New Roman" w:hint="default"/>
        </w:rPr>
        <w:t>30.48%</w:t>
      </w:r>
      <w:r>
        <w:rPr/>
        <w:t>，但购买商品、提供劳务支付的现金较上年 </w:t>
      </w:r>
      <w:r>
        <w:rPr>
          <w:spacing w:val="-3"/>
        </w:rPr>
        <w:t>度略有下降，总体使经营活动现金流出量较上年同比增加</w:t>
      </w:r>
      <w:r>
        <w:rPr>
          <w:rFonts w:ascii="Times New Roman" w:hAnsi="Times New Roman" w:cs="Times New Roman" w:eastAsia="Times New Roman" w:hint="default"/>
          <w:spacing w:val="-3"/>
        </w:rPr>
        <w:t>5.08%</w:t>
      </w:r>
      <w:r>
        <w:rPr>
          <w:spacing w:val="-3"/>
        </w:rPr>
        <w:t>。③支付给职工以及为职工支</w:t>
      </w:r>
      <w:r>
        <w:rPr/>
        <w:t> 付的现金</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49,397,310.20</w:t>
      </w:r>
      <w:r>
        <w:rPr/>
        <w:t>元，比上年数增加</w:t>
      </w:r>
      <w:r>
        <w:rPr>
          <w:rFonts w:ascii="Times New Roman" w:hAnsi="Times New Roman" w:cs="Times New Roman" w:eastAsia="Times New Roman" w:hint="default"/>
        </w:rPr>
        <w:t>30.48%</w:t>
      </w:r>
      <w:r>
        <w:rPr/>
        <w:t>，其主要原因是：公司本 年度员工增加及薪金调整，使人工成本有较大幅度的增长影响。④购建固定资产、无形资产 和其他长期资产支付的现金</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30,428,412.45</w:t>
      </w:r>
      <w:r>
        <w:rPr/>
        <w:t>元，比上年数增加</w:t>
      </w:r>
      <w:r>
        <w:rPr>
          <w:rFonts w:ascii="Times New Roman" w:hAnsi="Times New Roman" w:cs="Times New Roman" w:eastAsia="Times New Roman" w:hint="default"/>
        </w:rPr>
        <w:t>57.00%</w:t>
      </w:r>
      <w:r>
        <w:rPr/>
        <w:t>，其主 要原因是：公司本年度科研大楼及生产中心项目持续投入增加，及新增商标权影响。⑤支付</w:t>
      </w:r>
    </w:p>
    <w:p>
      <w:pPr>
        <w:spacing w:after="0" w:line="340" w:lineRule="auto"/>
        <w:jc w:val="left"/>
        <w:sectPr>
          <w:headerReference w:type="default" r:id="rId14"/>
          <w:footerReference w:type="default" r:id="rId15"/>
          <w:pgSz w:w="11910" w:h="16840"/>
          <w:pgMar w:header="851" w:footer="982" w:top="1220" w:bottom="1180" w:left="980" w:right="1000"/>
          <w:pgNumType w:start="20"/>
        </w:sectPr>
      </w:pPr>
    </w:p>
    <w:p>
      <w:pPr>
        <w:spacing w:line="240" w:lineRule="auto" w:before="5"/>
        <w:rPr>
          <w:rFonts w:ascii="宋体" w:hAnsi="宋体" w:cs="宋体" w:eastAsia="宋体" w:hint="default"/>
          <w:sz w:val="16"/>
          <w:szCs w:val="16"/>
        </w:rPr>
      </w:pPr>
    </w:p>
    <w:p>
      <w:pPr>
        <w:pStyle w:val="BodyText"/>
        <w:spacing w:line="338" w:lineRule="auto" w:before="26"/>
        <w:ind w:right="231"/>
        <w:jc w:val="left"/>
      </w:pPr>
      <w:r>
        <w:rPr/>
        <w:t>其他与筹资活动有关的现金</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52,040.06</w:t>
      </w:r>
      <w:r>
        <w:rPr/>
        <w:t>元，比上年数减少</w:t>
      </w:r>
      <w:r>
        <w:rPr>
          <w:rFonts w:ascii="Times New Roman" w:hAnsi="Times New Roman" w:cs="Times New Roman" w:eastAsia="Times New Roman" w:hint="default"/>
        </w:rPr>
        <w:t>99.33%</w:t>
      </w:r>
      <w:r>
        <w:rPr/>
        <w:t>，其主要原 因是：公司上年度支付的发行股票手续费及宣传费较大影响。</w:t>
      </w:r>
    </w:p>
    <w:p>
      <w:pPr>
        <w:spacing w:line="240" w:lineRule="auto" w:before="12"/>
        <w:rPr>
          <w:rFonts w:ascii="宋体" w:hAnsi="宋体" w:cs="宋体" w:eastAsia="宋体" w:hint="default"/>
          <w:sz w:val="28"/>
          <w:szCs w:val="28"/>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）公司主要供应商、客户情况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23,321,041.96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4" w:right="82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18,434,963.09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1"/>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22.16%</w:t>
            </w:r>
          </w:p>
        </w:tc>
      </w:tr>
    </w:tbl>
    <w:p>
      <w:pPr>
        <w:spacing w:before="51"/>
        <w:ind w:left="154" w:right="95" w:firstLine="0"/>
        <w:jc w:val="left"/>
        <w:rPr>
          <w:rFonts w:ascii="宋体" w:hAnsi="宋体" w:cs="宋体" w:eastAsia="宋体" w:hint="default"/>
          <w:sz w:val="18"/>
          <w:szCs w:val="18"/>
        </w:rPr>
      </w:pPr>
      <w:r>
        <w:rPr/>
        <w:pict>
          <v:group style="position:absolute;margin-left:269.820007pt;margin-top:-20.68799pt;width:263.9pt;height:20.8pt;mso-position-horizontal-relative:page;mso-position-vertical-relative:paragraph;z-index:-885736"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）公司未来发展与规划延续至报告期的说明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before="116"/>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45" w:lineRule="auto" w:before="130"/>
        <w:ind w:right="228" w:firstLine="480"/>
        <w:jc w:val="both"/>
      </w:pPr>
      <w:r>
        <w:rPr>
          <w:spacing w:val="-1"/>
        </w:rPr>
        <w:t>报告期内，公司坚持</w:t>
      </w:r>
      <w:r>
        <w:rPr>
          <w:rFonts w:ascii="Times New Roman" w:hAnsi="Times New Roman" w:cs="Times New Roman" w:eastAsia="Times New Roman" w:hint="default"/>
          <w:spacing w:val="-1"/>
        </w:rPr>
        <w:t>“</w:t>
      </w:r>
      <w:r>
        <w:rPr>
          <w:spacing w:val="-1"/>
        </w:rPr>
        <w:t>规模化个性定制</w:t>
      </w:r>
      <w:r>
        <w:rPr>
          <w:rFonts w:ascii="Times New Roman" w:hAnsi="Times New Roman" w:cs="Times New Roman" w:eastAsia="Times New Roman" w:hint="default"/>
          <w:spacing w:val="-1"/>
        </w:rPr>
        <w:t>”</w:t>
      </w:r>
      <w:r>
        <w:rPr>
          <w:spacing w:val="-1"/>
        </w:rPr>
        <w:t>的经营模式，并采取</w:t>
      </w:r>
      <w:r>
        <w:rPr>
          <w:rFonts w:ascii="Times New Roman" w:hAnsi="Times New Roman" w:cs="Times New Roman" w:eastAsia="Times New Roman" w:hint="default"/>
          <w:spacing w:val="-1"/>
        </w:rPr>
        <w:t>“</w:t>
      </w:r>
      <w:r>
        <w:rPr>
          <w:spacing w:val="-1"/>
        </w:rPr>
        <w:t>差异化竞争战略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成本领</w:t>
      </w:r>
      <w:r>
        <w:rPr/>
        <w:t> </w:t>
      </w:r>
      <w:r>
        <w:rPr>
          <w:spacing w:val="-3"/>
        </w:rPr>
        <w:t>先竞争战略</w:t>
      </w:r>
      <w:r>
        <w:rPr>
          <w:rFonts w:ascii="Times New Roman" w:hAnsi="Times New Roman" w:cs="Times New Roman" w:eastAsia="Times New Roman" w:hint="default"/>
          <w:spacing w:val="-3"/>
        </w:rPr>
        <w:t>”</w:t>
      </w:r>
      <w:r>
        <w:rPr>
          <w:spacing w:val="-3"/>
        </w:rPr>
        <w:t>，完善产品结构，优化市场布局，积极与运营商、银行保持密切合作，在巩固并</w:t>
      </w:r>
      <w:r>
        <w:rPr>
          <w:spacing w:val="-97"/>
        </w:rPr>
        <w:t> </w:t>
      </w:r>
      <w:r>
        <w:rPr>
          <w:spacing w:val="-97"/>
        </w:rPr>
      </w:r>
      <w:r>
        <w:rPr/>
        <w:t>扩大校园一卡通市场份额的基础上，大力拓展城市一卡通市场领域，积极拓展企事业一卡通</w:t>
      </w:r>
      <w:r>
        <w:rPr>
          <w:spacing w:val="-83"/>
        </w:rPr>
        <w:t> </w:t>
      </w:r>
      <w:r>
        <w:rPr>
          <w:spacing w:val="-83"/>
        </w:rPr>
      </w:r>
      <w:r>
        <w:rPr/>
        <w:t>市场，同时努力增强自主研发和技术创新能力，支持公司未来可持续发展。</w:t>
      </w:r>
    </w:p>
    <w:p>
      <w:pPr>
        <w:pStyle w:val="BodyText"/>
        <w:spacing w:line="357" w:lineRule="auto" w:before="48"/>
        <w:ind w:right="228" w:firstLine="480"/>
        <w:jc w:val="both"/>
      </w:pPr>
      <w:r>
        <w:rPr/>
        <w:t>报告期内，公司加强了大型平台软件、定制化功能系统软件的开发能力以及全系列智能</w:t>
      </w:r>
      <w:r>
        <w:rPr>
          <w:spacing w:val="1"/>
        </w:rPr>
        <w:t> </w:t>
      </w:r>
      <w:r>
        <w:rPr/>
        <w:t>终端机具的研制水平和综合生产能力，提升了公司对学校、城市、企业等社区型客户整体解</w:t>
      </w:r>
      <w:r>
        <w:rPr>
          <w:spacing w:val="-83"/>
        </w:rPr>
        <w:t> </w:t>
      </w:r>
      <w:r>
        <w:rPr>
          <w:spacing w:val="-83"/>
        </w:rPr>
      </w:r>
      <w:r>
        <w:rPr/>
        <w:t>决方案及个性化定制开发及服务的提供能力和技术水平。</w:t>
      </w:r>
    </w:p>
    <w:p>
      <w:pPr>
        <w:pStyle w:val="BodyText"/>
        <w:spacing w:line="352" w:lineRule="auto" w:before="36"/>
        <w:ind w:right="93" w:firstLine="480"/>
        <w:jc w:val="left"/>
      </w:pPr>
      <w:r>
        <w:rPr/>
        <w:t>在校园领域，公司营业收入较上年增长</w:t>
      </w:r>
      <w:r>
        <w:rPr>
          <w:rFonts w:ascii="Times New Roman" w:hAnsi="Times New Roman" w:cs="Times New Roman" w:eastAsia="Times New Roman" w:hint="default"/>
        </w:rPr>
        <w:t>10.54%</w:t>
      </w:r>
      <w:r>
        <w:rPr/>
        <w:t>，公司在巩固智能一卡通业务的同时，继 续紧随手机一卡通业务、卡片升级需求，并随着校园信息化建设的发展趋势，大力拓展新校</w:t>
      </w:r>
      <w:r>
        <w:rPr>
          <w:spacing w:val="-83"/>
        </w:rPr>
        <w:t> </w:t>
      </w:r>
      <w:r>
        <w:rPr>
          <w:spacing w:val="-83"/>
        </w:rPr>
      </w:r>
      <w:r>
        <w:rPr/>
        <w:t>园客户及产品的多功能应用，充分利用公司在校园领域多年积累的宝贵经验和客户忠诚度，</w:t>
      </w:r>
      <w:r>
        <w:rPr>
          <w:spacing w:val="-83"/>
        </w:rPr>
        <w:t> </w:t>
      </w:r>
      <w:r>
        <w:rPr>
          <w:spacing w:val="-83"/>
        </w:rPr>
      </w:r>
      <w:r>
        <w:rPr>
          <w:spacing w:val="-2"/>
        </w:rPr>
        <w:t>积极推广公司具备核心优势的整体化解决方案及定制产品，提升校园一卡通业务层次和规模，</w:t>
      </w:r>
      <w:r>
        <w:rPr/>
        <w:t> 致力于建设数字校园、智慧校园。</w:t>
      </w:r>
    </w:p>
    <w:p>
      <w:pPr>
        <w:spacing w:after="0" w:line="352"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48" w:lineRule="auto" w:before="26"/>
        <w:ind w:right="95" w:firstLine="480"/>
        <w:jc w:val="left"/>
      </w:pPr>
      <w:r>
        <w:rPr>
          <w:spacing w:val="-3"/>
        </w:rPr>
        <w:t>报告期内，公司三大电信运营商及银联进行更全面深入的合作，积极拓展城市公共交通、</w:t>
      </w:r>
      <w:r>
        <w:rPr/>
        <w:t> 商户小额消费以及企事业领域的手机一卡通的应用。</w:t>
      </w:r>
      <w:r>
        <w:rPr>
          <w:rFonts w:ascii="Times New Roman" w:hAnsi="Times New Roman" w:cs="Times New Roman" w:eastAsia="Times New Roman" w:hint="default"/>
        </w:rPr>
        <w:t>2012</w:t>
      </w:r>
      <w:r>
        <w:rPr/>
        <w:t>年公司在城市领域营业收入较上年</w:t>
      </w:r>
      <w:r>
        <w:rPr>
          <w:spacing w:val="-83"/>
        </w:rPr>
        <w:t> </w:t>
      </w:r>
      <w:r>
        <w:rPr/>
        <w:t>同期增长的</w:t>
      </w:r>
      <w:r>
        <w:rPr>
          <w:rFonts w:ascii="Times New Roman" w:hAnsi="Times New Roman" w:cs="Times New Roman" w:eastAsia="Times New Roman" w:hint="default"/>
        </w:rPr>
        <w:t>142.53%</w:t>
      </w:r>
      <w:r>
        <w:rPr/>
        <w:t>。</w:t>
      </w:r>
    </w:p>
    <w:p>
      <w:pPr>
        <w:pStyle w:val="BodyText"/>
        <w:spacing w:line="352" w:lineRule="auto" w:before="16"/>
        <w:ind w:left="154" w:right="95" w:firstLine="480"/>
        <w:jc w:val="left"/>
      </w:pPr>
      <w:r>
        <w:rPr/>
        <w:t>在企事业应用领域，公司针对企事业一卡通市场的特点，着力开发大型企业整体化一卡</w:t>
      </w:r>
      <w:r>
        <w:rPr>
          <w:spacing w:val="1"/>
        </w:rPr>
        <w:t> </w:t>
      </w:r>
      <w:r>
        <w:rPr>
          <w:spacing w:val="-3"/>
        </w:rPr>
        <w:t>通需求，并以企业一卡通为基础，实现向企业智能管控平台业务的延伸，取得了长足的进展。</w:t>
      </w:r>
      <w:r>
        <w:rPr>
          <w:spacing w:val="-81"/>
        </w:rPr>
        <w:t> </w:t>
      </w:r>
      <w:r>
        <w:rPr>
          <w:spacing w:val="-81"/>
        </w:rPr>
      </w:r>
      <w:r>
        <w:rPr/>
        <w:t>同时，充分利用公司品牌影响力，采用经销或网络营销等方式，大力推广考勤系统、门禁系</w:t>
      </w:r>
      <w:r>
        <w:rPr>
          <w:spacing w:val="-83"/>
        </w:rPr>
        <w:t> </w:t>
      </w:r>
      <w:r>
        <w:rPr>
          <w:spacing w:val="-83"/>
        </w:rPr>
      </w:r>
      <w:r>
        <w:rPr/>
        <w:t>统、门锁系统、餐饮收费系统、预付费水电系统等单功能或少功能的标准化一卡通产品；面</w:t>
      </w:r>
      <w:r>
        <w:rPr>
          <w:spacing w:val="-83"/>
        </w:rPr>
        <w:t> </w:t>
      </w:r>
      <w:r>
        <w:rPr>
          <w:spacing w:val="-83"/>
        </w:rPr>
      </w:r>
      <w:r>
        <w:rPr/>
        <w:t>向运营商，积极推广中小企业手机一卡通产品。</w:t>
      </w:r>
      <w:r>
        <w:rPr>
          <w:rFonts w:ascii="Times New Roman" w:hAnsi="Times New Roman" w:cs="Times New Roman" w:eastAsia="Times New Roman" w:hint="default"/>
        </w:rPr>
        <w:t>2012</w:t>
      </w:r>
      <w:r>
        <w:rPr/>
        <w:t>年公司在该领域营业收入较上年年同期</w:t>
      </w:r>
      <w:r>
        <w:rPr>
          <w:spacing w:val="-102"/>
        </w:rPr>
        <w:t> </w:t>
      </w:r>
      <w:r>
        <w:rPr/>
        <w:t>增长</w:t>
      </w:r>
      <w:r>
        <w:rPr>
          <w:rFonts w:ascii="Times New Roman" w:hAnsi="Times New Roman" w:cs="Times New Roman" w:eastAsia="Times New Roman" w:hint="default"/>
        </w:rPr>
        <w:t>22.23%</w:t>
      </w:r>
      <w:r>
        <w:rPr/>
        <w:t>。</w:t>
      </w:r>
    </w:p>
    <w:p>
      <w:pPr>
        <w:pStyle w:val="BodyText"/>
        <w:spacing w:line="348" w:lineRule="auto" w:before="11"/>
        <w:ind w:right="228" w:firstLine="480"/>
        <w:jc w:val="both"/>
      </w:pPr>
      <w:r>
        <w:rPr/>
        <w:t>报告期内，公司加大对行业前端技术的投入和研发力度，培育公司新的利润增长点。公</w:t>
      </w:r>
      <w:r>
        <w:rPr>
          <w:spacing w:val="1"/>
        </w:rPr>
        <w:t> </w:t>
      </w:r>
      <w:r>
        <w:rPr/>
        <w:t>司开发了多功能金融类终端，实现银行磁条卡、银行芯片卡、市民卡、校园卡或企事业卡一</w:t>
      </w:r>
      <w:r>
        <w:rPr>
          <w:spacing w:val="-83"/>
        </w:rPr>
        <w:t> </w:t>
      </w:r>
      <w:r>
        <w:rPr>
          <w:spacing w:val="-83"/>
        </w:rPr>
      </w:r>
      <w:r>
        <w:rPr/>
        <w:t>机兼容功能，并抓住银行磁条卡正在全面升级为金融</w:t>
      </w:r>
      <w:r>
        <w:rPr>
          <w:rFonts w:ascii="Times New Roman" w:hAnsi="Times New Roman" w:cs="Times New Roman" w:eastAsia="Times New Roman" w:hint="default"/>
        </w:rPr>
        <w:t>IC</w:t>
      </w:r>
      <w:r>
        <w:rPr/>
        <w:t>卡的历史性机遇，加快金融</w:t>
      </w:r>
      <w:r>
        <w:rPr>
          <w:rFonts w:ascii="Times New Roman" w:hAnsi="Times New Roman" w:cs="Times New Roman" w:eastAsia="Times New Roman" w:hint="default"/>
        </w:rPr>
        <w:t>IC</w:t>
      </w:r>
      <w:r>
        <w:rPr/>
        <w:t>卡多行</w:t>
      </w:r>
      <w:r>
        <w:rPr>
          <w:spacing w:val="-94"/>
        </w:rPr>
        <w:t> </w:t>
      </w:r>
      <w:r>
        <w:rPr/>
        <w:t>业应用的推进力度。公司加快对</w:t>
      </w:r>
      <w:r>
        <w:rPr>
          <w:rFonts w:ascii="Times New Roman" w:hAnsi="Times New Roman" w:cs="Times New Roman" w:eastAsia="Times New Roman" w:hint="default"/>
        </w:rPr>
        <w:t>900MHz</w:t>
      </w:r>
      <w:r>
        <w:rPr/>
        <w:t>、</w:t>
      </w:r>
      <w:r>
        <w:rPr>
          <w:rFonts w:ascii="Times New Roman" w:hAnsi="Times New Roman" w:cs="Times New Roman" w:eastAsia="Times New Roman" w:hint="default"/>
        </w:rPr>
        <w:t>2.4GHz</w:t>
      </w:r>
      <w:r>
        <w:rPr/>
        <w:t>、</w:t>
      </w:r>
      <w:r>
        <w:rPr>
          <w:rFonts w:ascii="Times New Roman" w:hAnsi="Times New Roman" w:cs="Times New Roman" w:eastAsia="Times New Roman" w:hint="default"/>
        </w:rPr>
        <w:t>5.8GHz</w:t>
      </w:r>
      <w:r>
        <w:rPr/>
        <w:t>等高频、超高频的</w:t>
      </w:r>
      <w:r>
        <w:rPr>
          <w:rFonts w:ascii="Times New Roman" w:hAnsi="Times New Roman" w:cs="Times New Roman" w:eastAsia="Times New Roman" w:hint="default"/>
        </w:rPr>
        <w:t>RFID</w:t>
      </w:r>
      <w:r>
        <w:rPr/>
        <w:t>技术的研 究，拓展在人员定位、车辆管理等行业的智能识别技术应用。</w:t>
      </w:r>
    </w:p>
    <w:p>
      <w:pPr>
        <w:pStyle w:val="BodyText"/>
        <w:spacing w:line="357" w:lineRule="auto" w:before="46"/>
        <w:ind w:right="95" w:firstLine="480"/>
        <w:jc w:val="left"/>
      </w:pPr>
      <w:r>
        <w:rPr/>
        <w:t>报告期内，公司进一步加大在研发领域的投入，在提升面向客户的研究设计能力同时做</w:t>
      </w:r>
      <w:r>
        <w:rPr>
          <w:spacing w:val="1"/>
        </w:rPr>
        <w:t> </w:t>
      </w:r>
      <w:r>
        <w:rPr/>
        <w:t>好基础研究工作。通过高端研发人员的引进，努力打造一流的研发团队。</w:t>
      </w:r>
    </w:p>
    <w:p>
      <w:pPr>
        <w:pStyle w:val="BodyText"/>
        <w:spacing w:line="348" w:lineRule="auto" w:before="36"/>
        <w:ind w:right="99" w:firstLine="48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日，公司在全国已设立有</w:t>
      </w:r>
      <w:r>
        <w:rPr>
          <w:rFonts w:ascii="Times New Roman" w:hAnsi="Times New Roman" w:cs="Times New Roman" w:eastAsia="Times New Roman" w:hint="default"/>
          <w:spacing w:val="-2"/>
        </w:rPr>
        <w:t>30</w:t>
      </w:r>
      <w:r>
        <w:rPr>
          <w:spacing w:val="-2"/>
        </w:rPr>
        <w:t>余个技术服务机构，为客户提供更加高效、</w:t>
      </w:r>
      <w:r>
        <w:rPr/>
        <w:t> 及时、专业的技术支持和服务，进一步提高公司产品在国内市场的覆盖率，使客户的个性化</w:t>
      </w:r>
      <w:r>
        <w:rPr>
          <w:spacing w:val="-83"/>
        </w:rPr>
        <w:t> </w:t>
      </w:r>
      <w:r>
        <w:rPr>
          <w:spacing w:val="-83"/>
        </w:rPr>
      </w:r>
      <w:r>
        <w:rPr/>
        <w:t>需求得到满足，提升客户满意度。</w:t>
      </w:r>
    </w:p>
    <w:p>
      <w:pPr>
        <w:pStyle w:val="BodyText"/>
        <w:spacing w:line="348" w:lineRule="auto" w:before="86"/>
        <w:ind w:right="228" w:firstLine="480"/>
        <w:jc w:val="both"/>
      </w:pPr>
      <w:r>
        <w:rPr/>
        <w:t>公司上市以来，积极建设募集资金投资项目，公司募投项目中涉及的土建工程原计划于</w:t>
      </w:r>
      <w:r>
        <w:rPr>
          <w:spacing w:val="1"/>
        </w:rPr>
        <w:t> </w:t>
      </w:r>
      <w:r>
        <w:rPr>
          <w:rFonts w:ascii="Times New Roman" w:hAnsi="Times New Roman" w:cs="Times New Roman" w:eastAsia="Times New Roman" w:hint="default"/>
        </w:rPr>
        <w:t>2010</w:t>
      </w:r>
      <w:r>
        <w:rPr/>
        <w:t>年完成相关手续，但实际情况是公司于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日取得郑州市国土资源局颁发的</w:t>
      </w:r>
      <w:r>
        <w:rPr>
          <w:rFonts w:ascii="Times New Roman" w:hAnsi="Times New Roman" w:cs="Times New Roman" w:eastAsia="Times New Roman" w:hint="default"/>
        </w:rPr>
        <w:t>“</w:t>
      </w:r>
      <w:r>
        <w:rPr/>
        <w:t>郑</w:t>
      </w:r>
      <w:r>
        <w:rPr>
          <w:spacing w:val="-82"/>
        </w:rPr>
        <w:t> </w:t>
      </w:r>
      <w:r>
        <w:rPr>
          <w:spacing w:val="-2"/>
        </w:rPr>
        <w:t>国用（</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0168</w:t>
      </w:r>
      <w:r>
        <w:rPr>
          <w:spacing w:val="-2"/>
        </w:rPr>
        <w:t>号</w:t>
      </w:r>
      <w:r>
        <w:rPr>
          <w:rFonts w:ascii="Times New Roman" w:hAnsi="Times New Roman" w:cs="Times New Roman" w:eastAsia="Times New Roman" w:hint="default"/>
          <w:spacing w:val="-2"/>
        </w:rPr>
        <w:t>”</w:t>
      </w:r>
      <w:r>
        <w:rPr>
          <w:spacing w:val="-2"/>
        </w:rPr>
        <w:t>土地使用权证书，并于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月完成建筑规划审批及建筑商招投标</w:t>
      </w:r>
      <w:r>
        <w:rPr>
          <w:spacing w:val="-93"/>
        </w:rPr>
        <w:t> </w:t>
      </w:r>
      <w:r>
        <w:rPr/>
        <w:t>手续，</w:t>
      </w:r>
      <w:r>
        <w:rPr>
          <w:spacing w:val="-79"/>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月才正式开工建设，因此无法在原计划工期内完成项目的基本建设，故公司 对募集资金投资项目实施进度进行必要的调整，调整后，智能一卡通整体解决方案技术升级</w:t>
      </w:r>
      <w:r>
        <w:rPr>
          <w:spacing w:val="-83"/>
        </w:rPr>
        <w:t> </w:t>
      </w:r>
      <w:r>
        <w:rPr>
          <w:spacing w:val="-83"/>
        </w:rPr>
      </w:r>
      <w:r>
        <w:rPr/>
        <w:t>及产业化项目、研发中心升级扩建项目和营销与客服网络扩建项目达到预定可使用状态的日</w:t>
      </w:r>
      <w:r>
        <w:rPr>
          <w:spacing w:val="-83"/>
        </w:rPr>
        <w:t> </w:t>
      </w:r>
      <w:r>
        <w:rPr>
          <w:spacing w:val="-83"/>
        </w:rPr>
      </w:r>
      <w:r>
        <w:rPr/>
        <w:t>期均延期调整至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日，公司募投项目还未实现经济效益。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line="240" w:lineRule="auto" w:before="13"/>
        <w:rPr>
          <w:rFonts w:ascii="宋体" w:hAnsi="宋体" w:cs="宋体" w:eastAsia="宋体" w:hint="default"/>
          <w:sz w:val="16"/>
          <w:szCs w:val="16"/>
        </w:rPr>
      </w:pPr>
    </w:p>
    <w:p>
      <w:pPr>
        <w:pStyle w:val="BodyText"/>
        <w:spacing w:line="240" w:lineRule="auto"/>
        <w:ind w:left="634" w:right="95"/>
        <w:jc w:val="left"/>
      </w:pPr>
      <w:r>
        <w:rPr>
          <w:rFonts w:ascii="Times New Roman" w:hAnsi="Times New Roman" w:cs="Times New Roman" w:eastAsia="Times New Roman" w:hint="default"/>
        </w:rPr>
        <w:t>2012</w:t>
      </w:r>
      <w:r>
        <w:rPr/>
        <w:t>年，公司按照发展规划和经营计划，继续实施市场战略、质量战略、产品战略、人</w:t>
      </w:r>
    </w:p>
    <w:p>
      <w:pPr>
        <w:spacing w:after="0" w:line="240"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48" w:lineRule="auto" w:before="26"/>
        <w:ind w:right="148"/>
        <w:jc w:val="both"/>
      </w:pPr>
      <w:r>
        <w:rPr/>
        <w:t>才战略，努力稳定和扩大市场占有率，持续改善和提升产品质量，加快研发各类新产品，注 重人才队伍建设，强化和完善基础管理，取得了一定的经营成效。</w:t>
      </w:r>
      <w:r>
        <w:rPr>
          <w:rFonts w:ascii="Times New Roman" w:hAnsi="Times New Roman" w:cs="Times New Roman" w:eastAsia="Times New Roman" w:hint="default"/>
        </w:rPr>
        <w:t>2012</w:t>
      </w:r>
      <w:r>
        <w:rPr/>
        <w:t>年智能一卡通行业竞 争加剧，使得公司业绩未实现大幅增长，同时由于公司加大了研发、营销、管理投入，相应 的经营管理费用有所提高，加之</w:t>
      </w:r>
      <w:r>
        <w:rPr>
          <w:rFonts w:ascii="Times New Roman" w:hAnsi="Times New Roman" w:cs="Times New Roman" w:eastAsia="Times New Roman" w:hint="default"/>
        </w:rPr>
        <w:t>2012</w:t>
      </w:r>
      <w:r>
        <w:rPr/>
        <w:t>年度未收到增值说退税等因素影响，使得公司营业外收 入比上年同期减少</w:t>
      </w:r>
      <w:r>
        <w:rPr>
          <w:rFonts w:ascii="Times New Roman" w:hAnsi="Times New Roman" w:cs="Times New Roman" w:eastAsia="Times New Roman" w:hint="default"/>
        </w:rPr>
        <w:t>70.15%</w:t>
      </w:r>
      <w:r>
        <w:rPr/>
        <w:t>，因此，未能达到年初制定的经营目标。</w:t>
      </w:r>
    </w:p>
    <w:p>
      <w:pPr>
        <w:spacing w:before="27"/>
        <w:ind w:left="154"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、主营业务分部报告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107,003,805.07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44,080,229.79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30,346,071.75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12,956,271.02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8,555,007.37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3,084,723.52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63,531,896.88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36,415,669.90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17,982,970.45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6,150,803.99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48,752,530.68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18,916,083.78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38,897,274.71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21,887,458.36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103,804,005.23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49,582,548.10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78,163,703.91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35,865,965.82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42,903,838.01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20,980,113.20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26,146,588.28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11,919,566.27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27,157,337.19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10,185,653.49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15,245,844.54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9,253,771.06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15,102,239.24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6,282,178.39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4,717,229.90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2,049,646.00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年按报告期末口径调整后的主营业务数据</w:t>
      </w:r>
    </w:p>
    <w:p>
      <w:pPr>
        <w:spacing w:before="103"/>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、资产、负债状况分析</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37"/>
        <w:gridCol w:w="901"/>
        <w:gridCol w:w="1195"/>
        <w:gridCol w:w="1063"/>
        <w:gridCol w:w="798"/>
        <w:gridCol w:w="2917"/>
      </w:tblGrid>
      <w:tr>
        <w:trPr>
          <w:trHeight w:val="207" w:hRule="exact"/>
        </w:trPr>
        <w:tc>
          <w:tcPr>
            <w:tcW w:w="1345" w:type="dxa"/>
            <w:vMerge w:val="restart"/>
            <w:tcBorders>
              <w:top w:val="single" w:sz="4" w:space="0" w:color="000000"/>
              <w:left w:val="single" w:sz="4" w:space="0" w:color="000000"/>
              <w:right w:val="single" w:sz="4" w:space="0" w:color="000000"/>
            </w:tcBorders>
            <w:shd w:val="clear" w:color="auto" w:fill="D3D3D3"/>
          </w:tcPr>
          <w:p>
            <w:pPr/>
          </w:p>
        </w:tc>
        <w:tc>
          <w:tcPr>
            <w:tcW w:w="223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2239"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337" w:type="dxa"/>
            <w:tcBorders>
              <w:top w:val="single" w:sz="4" w:space="0" w:color="000000"/>
              <w:left w:val="single" w:sz="4" w:space="0" w:color="000000"/>
              <w:bottom w:val="nil" w:sz="6" w:space="0" w:color="auto"/>
              <w:right w:val="single" w:sz="4" w:space="0" w:color="000000"/>
            </w:tcBorders>
            <w:shd w:val="clear" w:color="auto" w:fill="D3D3D3"/>
          </w:tcPr>
          <w:p>
            <w:pPr/>
          </w:p>
        </w:tc>
        <w:tc>
          <w:tcPr>
            <w:tcW w:w="9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2" w:right="-2"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337" w:type="dxa"/>
            <w:vMerge/>
            <w:tcBorders>
              <w:left w:val="single" w:sz="4" w:space="0" w:color="000000"/>
              <w:bottom w:val="nil" w:sz="6" w:space="0" w:color="auto"/>
              <w:right w:val="single" w:sz="4" w:space="0" w:color="000000"/>
            </w:tcBorders>
            <w:shd w:val="clear" w:color="auto" w:fill="D3D3D3"/>
          </w:tcPr>
          <w:p>
            <w:pPr/>
          </w:p>
        </w:tc>
        <w:tc>
          <w:tcPr>
            <w:tcW w:w="901"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45" w:type="dxa"/>
            <w:vMerge/>
            <w:tcBorders>
              <w:left w:val="single" w:sz="4" w:space="0" w:color="000000"/>
              <w:bottom w:val="single" w:sz="4" w:space="0" w:color="000000"/>
              <w:right w:val="single" w:sz="4" w:space="0" w:color="000000"/>
            </w:tcBorders>
            <w:shd w:val="clear" w:color="auto" w:fill="D3D3D3"/>
          </w:tcPr>
          <w:p>
            <w:pPr/>
          </w:p>
        </w:tc>
        <w:tc>
          <w:tcPr>
            <w:tcW w:w="1337" w:type="dxa"/>
            <w:tcBorders>
              <w:top w:val="nil" w:sz="6" w:space="0" w:color="auto"/>
              <w:left w:val="single" w:sz="4" w:space="0" w:color="000000"/>
              <w:bottom w:val="single" w:sz="4" w:space="0" w:color="000000"/>
              <w:right w:val="single" w:sz="4" w:space="0" w:color="000000"/>
            </w:tcBorders>
            <w:shd w:val="clear" w:color="auto" w:fill="D3D3D3"/>
          </w:tcPr>
          <w:p>
            <w:pPr/>
          </w:p>
        </w:tc>
        <w:tc>
          <w:tcPr>
            <w:tcW w:w="901"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277,253,940.96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297,151,329.68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129,608,517.88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94,525,068.72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51,871,911.37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53,973,741.81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27,836,182.28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26,223,190.88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27,271,816.72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4,779,550.59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line="252" w:lineRule="auto" w:before="0"/>
        <w:ind w:left="634" w:right="61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）注册商标：</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报告期内，公司持续重视对商标权的保护力度，新获得第</w:t>
      </w:r>
      <w:r>
        <w:rPr>
          <w:rFonts w:ascii="Times New Roman" w:hAnsi="Times New Roman" w:cs="Times New Roman" w:eastAsia="Times New Roman" w:hint="default"/>
          <w:sz w:val="24"/>
          <w:szCs w:val="24"/>
        </w:rPr>
        <w:t>4613891</w:t>
      </w:r>
      <w:r>
        <w:rPr>
          <w:rFonts w:ascii="宋体" w:hAnsi="宋体" w:cs="宋体" w:eastAsia="宋体" w:hint="default"/>
          <w:sz w:val="24"/>
          <w:szCs w:val="24"/>
        </w:rPr>
        <w:t>号</w:t>
      </w:r>
      <w:r>
        <w:rPr>
          <w:rFonts w:ascii="宋体" w:hAnsi="宋体" w:cs="宋体" w:eastAsia="宋体" w:hint="default"/>
          <w:sz w:val="21"/>
          <w:szCs w:val="21"/>
        </w:rPr>
        <w:t>“</w:t>
      </w:r>
      <w:r>
        <w:rPr>
          <w:rFonts w:ascii="宋体" w:hAnsi="宋体" w:cs="宋体" w:eastAsia="宋体" w:hint="default"/>
          <w:sz w:val="21"/>
          <w:szCs w:val="21"/>
        </w:rPr>
        <w:drawing>
          <wp:inline distT="0" distB="0" distL="0" distR="0">
            <wp:extent cx="591312" cy="352043"/>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6" cstate="print"/>
                    <a:stretch>
                      <a:fillRect/>
                    </a:stretch>
                  </pic:blipFill>
                  <pic:spPr>
                    <a:xfrm>
                      <a:off x="0" y="0"/>
                      <a:ext cx="591312" cy="352043"/>
                    </a:xfrm>
                    <a:prstGeom prst="rect">
                      <a:avLst/>
                    </a:prstGeom>
                  </pic:spPr>
                </pic:pic>
              </a:graphicData>
            </a:graphic>
          </wp:inline>
        </w:drawing>
      </w:r>
      <w:r>
        <w:rPr>
          <w:rFonts w:ascii="宋体" w:hAnsi="宋体" w:cs="宋体" w:eastAsia="宋体" w:hint="default"/>
          <w:sz w:val="21"/>
          <w:szCs w:val="21"/>
        </w:rPr>
      </w:r>
      <w:r>
        <w:rPr>
          <w:rFonts w:ascii="宋体" w:hAnsi="宋体" w:cs="宋体" w:eastAsia="宋体" w:hint="default"/>
          <w:sz w:val="21"/>
          <w:szCs w:val="21"/>
        </w:rPr>
        <w:t>”</w:t>
      </w:r>
      <w:r>
        <w:rPr>
          <w:rFonts w:ascii="宋体" w:hAnsi="宋体" w:cs="宋体" w:eastAsia="宋体" w:hint="default"/>
          <w:sz w:val="24"/>
          <w:szCs w:val="24"/>
        </w:rPr>
        <w:t>及第</w:t>
      </w:r>
    </w:p>
    <w:p>
      <w:pPr>
        <w:pStyle w:val="BodyText"/>
        <w:spacing w:line="297" w:lineRule="auto" w:before="101"/>
        <w:ind w:right="94"/>
        <w:jc w:val="left"/>
      </w:pPr>
      <w:r>
        <w:rPr>
          <w:rFonts w:ascii="Times New Roman" w:hAnsi="Times New Roman" w:cs="Times New Roman" w:eastAsia="Times New Roman" w:hint="default"/>
        </w:rPr>
        <w:t>4896957</w:t>
      </w:r>
      <w:r>
        <w:rPr/>
        <w:t>号</w:t>
      </w:r>
      <w:r>
        <w:rPr>
          <w:sz w:val="21"/>
          <w:szCs w:val="21"/>
        </w:rPr>
        <w:t>“ </w:t>
      </w:r>
      <w:r>
        <w:rPr>
          <w:spacing w:val="-1"/>
          <w:sz w:val="21"/>
          <w:szCs w:val="21"/>
        </w:rPr>
        <w:drawing>
          <wp:inline distT="0" distB="0" distL="0" distR="0">
            <wp:extent cx="548741" cy="207263"/>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7" cstate="print"/>
                    <a:stretch>
                      <a:fillRect/>
                    </a:stretch>
                  </pic:blipFill>
                  <pic:spPr>
                    <a:xfrm>
                      <a:off x="0" y="0"/>
                      <a:ext cx="548741" cy="207263"/>
                    </a:xfrm>
                    <a:prstGeom prst="rect">
                      <a:avLst/>
                    </a:prstGeom>
                  </pic:spPr>
                </pic:pic>
              </a:graphicData>
            </a:graphic>
          </wp:inline>
        </w:drawing>
      </w:r>
      <w:r>
        <w:rPr>
          <w:spacing w:val="-1"/>
          <w:sz w:val="21"/>
          <w:szCs w:val="21"/>
        </w:rPr>
      </w:r>
      <w:r>
        <w:rPr>
          <w:spacing w:val="-1"/>
          <w:sz w:val="21"/>
          <w:szCs w:val="21"/>
        </w:rPr>
        <w:t>”</w:t>
      </w:r>
      <w:r>
        <w:rPr>
          <w:spacing w:val="-1"/>
        </w:rPr>
        <w:t>两项注册商标。截至本报告期末，公司拥有</w:t>
      </w:r>
      <w:r>
        <w:rPr>
          <w:rFonts w:ascii="Times New Roman" w:hAnsi="Times New Roman" w:cs="Times New Roman" w:eastAsia="Times New Roman" w:hint="default"/>
          <w:spacing w:val="-1"/>
        </w:rPr>
        <w:t>14</w:t>
      </w:r>
      <w:r>
        <w:rPr>
          <w:spacing w:val="-1"/>
        </w:rPr>
        <w:t>项注册商标，具体情况</w:t>
      </w:r>
      <w:r>
        <w:rPr>
          <w:spacing w:val="-113"/>
        </w:rPr>
        <w:t> </w:t>
      </w:r>
      <w:r>
        <w:rPr>
          <w:spacing w:val="-113"/>
        </w:rPr>
      </w:r>
      <w:r>
        <w:rPr/>
        <w:t>如下：</w:t>
      </w:r>
    </w:p>
    <w:tbl>
      <w:tblPr>
        <w:tblW w:w="0" w:type="auto"/>
        <w:jc w:val="left"/>
        <w:tblInd w:w="588" w:type="dxa"/>
        <w:tblLayout w:type="fixed"/>
        <w:tblCellMar>
          <w:top w:w="0" w:type="dxa"/>
          <w:left w:w="0" w:type="dxa"/>
          <w:bottom w:w="0" w:type="dxa"/>
          <w:right w:w="0" w:type="dxa"/>
        </w:tblCellMar>
        <w:tblLook w:val="01E0"/>
      </w:tblPr>
      <w:tblGrid>
        <w:gridCol w:w="1112"/>
        <w:gridCol w:w="2059"/>
        <w:gridCol w:w="1114"/>
        <w:gridCol w:w="2347"/>
        <w:gridCol w:w="1016"/>
        <w:gridCol w:w="1106"/>
      </w:tblGrid>
      <w:tr>
        <w:trPr>
          <w:trHeight w:val="521" w:hRule="exact"/>
        </w:trPr>
        <w:tc>
          <w:tcPr>
            <w:tcW w:w="111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5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商标</w:t>
            </w:r>
            <w:r>
              <w:rPr>
                <w:rFonts w:ascii="宋体" w:hAnsi="宋体" w:cs="宋体" w:eastAsia="宋体" w:hint="default"/>
                <w:sz w:val="18"/>
                <w:szCs w:val="18"/>
              </w:rPr>
            </w:r>
          </w:p>
        </w:tc>
        <w:tc>
          <w:tcPr>
            <w:tcW w:w="111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注册证号</w:t>
            </w:r>
            <w:r>
              <w:rPr>
                <w:rFonts w:ascii="宋体" w:hAnsi="宋体" w:cs="宋体" w:eastAsia="宋体" w:hint="default"/>
                <w:sz w:val="18"/>
                <w:szCs w:val="18"/>
              </w:rPr>
            </w:r>
          </w:p>
        </w:tc>
        <w:tc>
          <w:tcPr>
            <w:tcW w:w="234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01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商标权人</w:t>
            </w:r>
            <w:r>
              <w:rPr>
                <w:rFonts w:ascii="宋体" w:hAnsi="宋体" w:cs="宋体" w:eastAsia="宋体" w:hint="default"/>
                <w:sz w:val="18"/>
                <w:szCs w:val="18"/>
              </w:rPr>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4"/>
                <w:szCs w:val="4"/>
              </w:rPr>
            </w:pPr>
          </w:p>
          <w:p>
            <w:pPr>
              <w:pStyle w:val="TableParagraph"/>
              <w:spacing w:line="490" w:lineRule="exact"/>
              <w:ind w:left="685"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26677" cy="311276"/>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8" cstate="print"/>
                          <a:stretch>
                            <a:fillRect/>
                          </a:stretch>
                        </pic:blipFill>
                        <pic:spPr>
                          <a:xfrm>
                            <a:off x="0" y="0"/>
                            <a:ext cx="426677" cy="311276"/>
                          </a:xfrm>
                          <a:prstGeom prst="rect">
                            <a:avLst/>
                          </a:prstGeom>
                        </pic:spPr>
                      </pic:pic>
                    </a:graphicData>
                  </a:graphic>
                </wp:inline>
              </w:drawing>
            </w:r>
            <w:r>
              <w:rPr>
                <w:rFonts w:ascii="宋体" w:hAnsi="宋体" w:cs="宋体" w:eastAsia="宋体" w:hint="default"/>
                <w:position w:val="-9"/>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4915654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2008.10.14</w:t>
            </w:r>
            <w:r>
              <w:rPr>
                <w:rFonts w:ascii="宋体" w:hAnsi="宋体" w:cs="宋体" w:eastAsia="宋体" w:hint="default"/>
                <w:sz w:val="18"/>
                <w:szCs w:val="18"/>
              </w:rPr>
              <w:t>至</w:t>
            </w:r>
            <w:r>
              <w:rPr>
                <w:rFonts w:ascii="Times New Roman" w:hAnsi="Times New Roman" w:cs="Times New Roman" w:eastAsia="Times New Roman" w:hint="default"/>
                <w:sz w:val="18"/>
                <w:szCs w:val="18"/>
              </w:rPr>
              <w:t>2018.10.13</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376" w:lineRule="exact"/>
              <w:ind w:left="69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18628" cy="238887"/>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9" cstate="print"/>
                          <a:stretch>
                            <a:fillRect/>
                          </a:stretch>
                        </pic:blipFill>
                        <pic:spPr>
                          <a:xfrm>
                            <a:off x="0" y="0"/>
                            <a:ext cx="418628"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2010.04.14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2020.04.13</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376" w:lineRule="exact"/>
              <w:ind w:left="69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18628" cy="238887"/>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9" cstate="print"/>
                          <a:stretch>
                            <a:fillRect/>
                          </a:stretch>
                        </pic:blipFill>
                        <pic:spPr>
                          <a:xfrm>
                            <a:off x="0" y="0"/>
                            <a:ext cx="418628"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5930385</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2009.12.28</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2019.12.27</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11</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60"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376" w:lineRule="exact"/>
              <w:ind w:left="69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17286" cy="238887"/>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9" cstate="print"/>
                          <a:stretch>
                            <a:fillRect/>
                          </a:stretch>
                        </pic:blipFill>
                        <pic:spPr>
                          <a:xfrm>
                            <a:off x="0" y="0"/>
                            <a:ext cx="417286"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5930386</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2009.11.07</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2019.11.06</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7</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376" w:lineRule="exact"/>
              <w:ind w:left="69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18628" cy="238887"/>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9" cstate="print"/>
                          <a:stretch>
                            <a:fillRect/>
                          </a:stretch>
                        </pic:blipFill>
                        <pic:spPr>
                          <a:xfrm>
                            <a:off x="0" y="0"/>
                            <a:ext cx="418628"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5930387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2009.12.28</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2019.12.27</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376" w:lineRule="exact"/>
              <w:ind w:left="65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77005" cy="238887"/>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20" cstate="print"/>
                          <a:stretch>
                            <a:fillRect/>
                          </a:stretch>
                        </pic:blipFill>
                        <pic:spPr>
                          <a:xfrm>
                            <a:off x="0" y="0"/>
                            <a:ext cx="477005"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6753058</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2010.06.14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2020.06.13</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11</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376" w:lineRule="exact"/>
              <w:ind w:left="65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477005" cy="238887"/>
                  <wp:effectExtent l="0" t="0" r="0" b="0"/>
                  <wp:docPr id="19" name="image8.jpeg" descr=""/>
                  <wp:cNvGraphicFramePr>
                    <a:graphicFrameLocks noChangeAspect="1"/>
                  </wp:cNvGraphicFramePr>
                  <a:graphic>
                    <a:graphicData uri="http://schemas.openxmlformats.org/drawingml/2006/picture">
                      <pic:pic>
                        <pic:nvPicPr>
                          <pic:cNvPr id="20" name="image8.jpeg"/>
                          <pic:cNvPicPr/>
                        </pic:nvPicPr>
                        <pic:blipFill>
                          <a:blip r:embed="rId20" cstate="print"/>
                          <a:stretch>
                            <a:fillRect/>
                          </a:stretch>
                        </pic:blipFill>
                        <pic:spPr>
                          <a:xfrm>
                            <a:off x="0" y="0"/>
                            <a:ext cx="477005" cy="238887"/>
                          </a:xfrm>
                          <a:prstGeom prst="rect">
                            <a:avLst/>
                          </a:prstGeom>
                        </pic:spPr>
                      </pic:pic>
                    </a:graphicData>
                  </a:graphic>
                </wp:inline>
              </w:drawing>
            </w:r>
            <w:r>
              <w:rPr>
                <w:rFonts w:ascii="宋体" w:hAnsi="宋体" w:cs="宋体" w:eastAsia="宋体" w:hint="default"/>
                <w:position w:val="-7"/>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6753057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2010.09.28</w:t>
            </w:r>
            <w:r>
              <w:rPr>
                <w:rFonts w:ascii="宋体" w:hAnsi="宋体" w:cs="宋体" w:eastAsia="宋体" w:hint="default"/>
                <w:sz w:val="18"/>
                <w:szCs w:val="18"/>
              </w:rPr>
              <w:t>至</w:t>
            </w:r>
            <w:r>
              <w:rPr>
                <w:rFonts w:ascii="Times New Roman" w:hAnsi="Times New Roman" w:cs="Times New Roman" w:eastAsia="Times New Roman" w:hint="default"/>
                <w:sz w:val="18"/>
                <w:szCs w:val="18"/>
              </w:rPr>
              <w:t>2020.09.27</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r>
        <w:trPr>
          <w:trHeight w:val="660"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316" w:lineRule="exact"/>
              <w:ind w:left="42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71655" cy="201168"/>
                  <wp:effectExtent l="0" t="0" r="0" b="0"/>
                  <wp:docPr id="21" name="image9.jpeg" descr=""/>
                  <wp:cNvGraphicFramePr>
                    <a:graphicFrameLocks noChangeAspect="1"/>
                  </wp:cNvGraphicFramePr>
                  <a:graphic>
                    <a:graphicData uri="http://schemas.openxmlformats.org/drawingml/2006/picture">
                      <pic:pic>
                        <pic:nvPicPr>
                          <pic:cNvPr id="22" name="image9.jpeg"/>
                          <pic:cNvPicPr/>
                        </pic:nvPicPr>
                        <pic:blipFill>
                          <a:blip r:embed="rId21" cstate="print"/>
                          <a:stretch>
                            <a:fillRect/>
                          </a:stretch>
                        </pic:blipFill>
                        <pic:spPr>
                          <a:xfrm>
                            <a:off x="0" y="0"/>
                            <a:ext cx="771655" cy="201168"/>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sz w:val="14"/>
                <w:szCs w:val="14"/>
              </w:rPr>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7480704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2010.12.14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2020.12.13</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新开普</w:t>
            </w:r>
          </w:p>
        </w:tc>
      </w:tr>
    </w:tbl>
    <w:p>
      <w:pPr>
        <w:spacing w:after="0" w:line="240" w:lineRule="auto"/>
        <w:jc w:val="center"/>
        <w:rPr>
          <w:rFonts w:ascii="宋体" w:hAnsi="宋体" w:cs="宋体" w:eastAsia="宋体"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588" w:type="dxa"/>
        <w:tblLayout w:type="fixed"/>
        <w:tblCellMar>
          <w:top w:w="0" w:type="dxa"/>
          <w:left w:w="0" w:type="dxa"/>
          <w:bottom w:w="0" w:type="dxa"/>
          <w:right w:w="0" w:type="dxa"/>
        </w:tblCellMar>
        <w:tblLook w:val="01E0"/>
      </w:tblPr>
      <w:tblGrid>
        <w:gridCol w:w="1112"/>
        <w:gridCol w:w="2059"/>
        <w:gridCol w:w="1114"/>
        <w:gridCol w:w="2347"/>
        <w:gridCol w:w="1016"/>
        <w:gridCol w:w="1106"/>
      </w:tblGrid>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9</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exact"/>
              <w:ind w:left="42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71655" cy="201168"/>
                  <wp:effectExtent l="0" t="0" r="0" b="0"/>
                  <wp:docPr id="23" name="image9.jpeg" descr=""/>
                  <wp:cNvGraphicFramePr>
                    <a:graphicFrameLocks noChangeAspect="1"/>
                  </wp:cNvGraphicFramePr>
                  <a:graphic>
                    <a:graphicData uri="http://schemas.openxmlformats.org/drawingml/2006/picture">
                      <pic:pic>
                        <pic:nvPicPr>
                          <pic:cNvPr id="24" name="image9.jpeg"/>
                          <pic:cNvPicPr/>
                        </pic:nvPicPr>
                        <pic:blipFill>
                          <a:blip r:embed="rId21" cstate="print"/>
                          <a:stretch>
                            <a:fillRect/>
                          </a:stretch>
                        </pic:blipFill>
                        <pic:spPr>
                          <a:xfrm>
                            <a:off x="0" y="0"/>
                            <a:ext cx="771655" cy="201168"/>
                          </a:xfrm>
                          <a:prstGeom prst="rect">
                            <a:avLst/>
                          </a:prstGeom>
                        </pic:spPr>
                      </pic:pic>
                    </a:graphicData>
                  </a:graphic>
                </wp:inline>
              </w:drawing>
            </w:r>
            <w:r>
              <w:rPr>
                <w:rFonts w:ascii="宋体" w:hAnsi="宋体" w:cs="宋体" w:eastAsia="宋体" w:hint="default"/>
                <w:position w:val="-5"/>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7493256</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2011.01.28</w:t>
            </w:r>
            <w:r>
              <w:rPr>
                <w:rFonts w:ascii="宋体" w:hAnsi="宋体" w:cs="宋体" w:eastAsia="宋体" w:hint="default"/>
                <w:sz w:val="18"/>
                <w:szCs w:val="18"/>
              </w:rPr>
              <w:t>至</w:t>
            </w:r>
            <w:r>
              <w:rPr>
                <w:rFonts w:ascii="Times New Roman" w:hAnsi="Times New Roman" w:cs="Times New Roman" w:eastAsia="Times New Roman" w:hint="default"/>
                <w:sz w:val="18"/>
                <w:szCs w:val="18"/>
              </w:rPr>
              <w:t>2021.01.27</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10</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exact"/>
              <w:ind w:left="42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71655" cy="201168"/>
                  <wp:effectExtent l="0" t="0" r="0" b="0"/>
                  <wp:docPr id="25" name="image9.jpeg" descr=""/>
                  <wp:cNvGraphicFramePr>
                    <a:graphicFrameLocks noChangeAspect="1"/>
                  </wp:cNvGraphicFramePr>
                  <a:graphic>
                    <a:graphicData uri="http://schemas.openxmlformats.org/drawingml/2006/picture">
                      <pic:pic>
                        <pic:nvPicPr>
                          <pic:cNvPr id="26" name="image9.jpeg"/>
                          <pic:cNvPicPr/>
                        </pic:nvPicPr>
                        <pic:blipFill>
                          <a:blip r:embed="rId21" cstate="print"/>
                          <a:stretch>
                            <a:fillRect/>
                          </a:stretch>
                        </pic:blipFill>
                        <pic:spPr>
                          <a:xfrm>
                            <a:off x="0" y="0"/>
                            <a:ext cx="771655" cy="201168"/>
                          </a:xfrm>
                          <a:prstGeom prst="rect">
                            <a:avLst/>
                          </a:prstGeom>
                        </pic:spPr>
                      </pic:pic>
                    </a:graphicData>
                  </a:graphic>
                </wp:inline>
              </w:drawing>
            </w:r>
            <w:r>
              <w:rPr>
                <w:rFonts w:ascii="宋体" w:hAnsi="宋体" w:cs="宋体" w:eastAsia="宋体" w:hint="default"/>
                <w:position w:val="-5"/>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7480661</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2011.02.07</w:t>
            </w:r>
            <w:r>
              <w:rPr>
                <w:rFonts w:ascii="宋体" w:hAnsi="宋体" w:cs="宋体" w:eastAsia="宋体" w:hint="default"/>
                <w:sz w:val="18"/>
                <w:szCs w:val="18"/>
              </w:rPr>
              <w:t>至</w:t>
            </w:r>
            <w:r>
              <w:rPr>
                <w:rFonts w:ascii="Times New Roman" w:hAnsi="Times New Roman" w:cs="Times New Roman" w:eastAsia="Times New Roman" w:hint="default"/>
                <w:sz w:val="18"/>
                <w:szCs w:val="18"/>
              </w:rPr>
              <w:t>2021.02.06</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11</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11</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8" w:lineRule="exact"/>
              <w:ind w:left="856" w:right="0"/>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219456" cy="24383"/>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22" cstate="print"/>
                          <a:stretch>
                            <a:fillRect/>
                          </a:stretch>
                        </pic:blipFill>
                        <pic:spPr>
                          <a:xfrm>
                            <a:off x="0" y="0"/>
                            <a:ext cx="219456" cy="24383"/>
                          </a:xfrm>
                          <a:prstGeom prst="rect">
                            <a:avLst/>
                          </a:prstGeom>
                        </pic:spPr>
                      </pic:pic>
                    </a:graphicData>
                  </a:graphic>
                </wp:inline>
              </w:drawing>
            </w:r>
            <w:r>
              <w:rPr>
                <w:rFonts w:ascii="宋体" w:hAnsi="宋体" w:cs="宋体" w:eastAsia="宋体" w:hint="default"/>
                <w:position w:val="0"/>
                <w:sz w:val="3"/>
                <w:szCs w:val="3"/>
              </w:rPr>
            </w:r>
          </w:p>
          <w:p>
            <w:pPr>
              <w:pStyle w:val="TableParagraph"/>
              <w:spacing w:line="240" w:lineRule="exact"/>
              <w:ind w:left="847"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225552" cy="152400"/>
                  <wp:effectExtent l="0" t="0" r="0" b="0"/>
                  <wp:docPr id="29" name="image11.png" descr=""/>
                  <wp:cNvGraphicFramePr>
                    <a:graphicFrameLocks noChangeAspect="1"/>
                  </wp:cNvGraphicFramePr>
                  <a:graphic>
                    <a:graphicData uri="http://schemas.openxmlformats.org/drawingml/2006/picture">
                      <pic:pic>
                        <pic:nvPicPr>
                          <pic:cNvPr id="30" name="image11.png"/>
                          <pic:cNvPicPr/>
                        </pic:nvPicPr>
                        <pic:blipFill>
                          <a:blip r:embed="rId23" cstate="print"/>
                          <a:stretch>
                            <a:fillRect/>
                          </a:stretch>
                        </pic:blipFill>
                        <pic:spPr>
                          <a:xfrm>
                            <a:off x="0" y="0"/>
                            <a:ext cx="225552" cy="152400"/>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before="8"/>
              <w:ind w:right="0"/>
              <w:jc w:val="left"/>
              <w:rPr>
                <w:rFonts w:ascii="宋体" w:hAnsi="宋体" w:cs="宋体" w:eastAsia="宋体" w:hint="default"/>
                <w:sz w:val="14"/>
                <w:szCs w:val="14"/>
              </w:rPr>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4896958</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2008.09.07</w:t>
            </w:r>
            <w:r>
              <w:rPr>
                <w:rFonts w:ascii="宋体" w:hAnsi="宋体" w:cs="宋体" w:eastAsia="宋体" w:hint="default"/>
                <w:sz w:val="18"/>
                <w:szCs w:val="18"/>
              </w:rPr>
              <w:t>至</w:t>
            </w:r>
            <w:r>
              <w:rPr>
                <w:rFonts w:ascii="Times New Roman" w:hAnsi="Times New Roman" w:cs="Times New Roman" w:eastAsia="Times New Roman" w:hint="default"/>
                <w:sz w:val="18"/>
                <w:szCs w:val="18"/>
              </w:rPr>
              <w:t>2018.09.06</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新开普</w:t>
            </w:r>
          </w:p>
        </w:tc>
      </w:tr>
      <w:tr>
        <w:trPr>
          <w:trHeight w:val="348"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8" w:right="0"/>
              <w:jc w:val="left"/>
              <w:rPr>
                <w:rFonts w:ascii="Times New Roman" w:hAnsi="Times New Roman" w:cs="Times New Roman" w:eastAsia="Times New Roman" w:hint="default"/>
                <w:sz w:val="18"/>
                <w:szCs w:val="18"/>
              </w:rPr>
            </w:pPr>
            <w:r>
              <w:rPr>
                <w:rFonts w:ascii="Times New Roman"/>
                <w:sz w:val="18"/>
              </w:rPr>
              <w:t>12</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left="188"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068412" cy="198024"/>
                  <wp:effectExtent l="0" t="0" r="0" b="0"/>
                  <wp:docPr id="31" name="image12.png" descr=""/>
                  <wp:cNvGraphicFramePr>
                    <a:graphicFrameLocks noChangeAspect="1"/>
                  </wp:cNvGraphicFramePr>
                  <a:graphic>
                    <a:graphicData uri="http://schemas.openxmlformats.org/drawingml/2006/picture">
                      <pic:pic>
                        <pic:nvPicPr>
                          <pic:cNvPr id="32" name="image12.png"/>
                          <pic:cNvPicPr/>
                        </pic:nvPicPr>
                        <pic:blipFill>
                          <a:blip r:embed="rId24" cstate="print"/>
                          <a:stretch>
                            <a:fillRect/>
                          </a:stretch>
                        </pic:blipFill>
                        <pic:spPr>
                          <a:xfrm>
                            <a:off x="0" y="0"/>
                            <a:ext cx="1068412" cy="198024"/>
                          </a:xfrm>
                          <a:prstGeom prst="rect">
                            <a:avLst/>
                          </a:prstGeom>
                        </pic:spPr>
                      </pic:pic>
                    </a:graphicData>
                  </a:graphic>
                </wp:inline>
              </w:drawing>
            </w:r>
            <w:r>
              <w:rPr>
                <w:rFonts w:ascii="宋体" w:hAnsi="宋体" w:cs="宋体" w:eastAsia="宋体" w:hint="default"/>
                <w:position w:val="-5"/>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4613890</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2008.02.14</w:t>
            </w:r>
            <w:r>
              <w:rPr>
                <w:rFonts w:ascii="宋体" w:hAnsi="宋体" w:cs="宋体" w:eastAsia="宋体" w:hint="default"/>
                <w:sz w:val="18"/>
                <w:szCs w:val="18"/>
              </w:rPr>
              <w:t>至</w:t>
            </w:r>
            <w:r>
              <w:rPr>
                <w:rFonts w:ascii="Times New Roman" w:hAnsi="Times New Roman" w:cs="Times New Roman" w:eastAsia="Times New Roman" w:hint="default"/>
                <w:sz w:val="18"/>
                <w:szCs w:val="18"/>
              </w:rPr>
              <w:t>2018.02.13</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5"/>
              <w:jc w:val="right"/>
              <w:rPr>
                <w:rFonts w:ascii="宋体" w:hAnsi="宋体" w:cs="宋体" w:eastAsia="宋体" w:hint="default"/>
                <w:sz w:val="18"/>
                <w:szCs w:val="18"/>
              </w:rPr>
            </w:pPr>
            <w:r>
              <w:rPr>
                <w:rFonts w:ascii="宋体" w:hAnsi="宋体" w:cs="宋体" w:eastAsia="宋体" w:hint="default"/>
                <w:sz w:val="18"/>
                <w:szCs w:val="18"/>
              </w:rPr>
              <w:t>新开普</w:t>
            </w:r>
          </w:p>
        </w:tc>
      </w:tr>
      <w:tr>
        <w:trPr>
          <w:trHeight w:val="971"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58" w:right="0"/>
              <w:jc w:val="left"/>
              <w:rPr>
                <w:rFonts w:ascii="Times New Roman" w:hAnsi="Times New Roman" w:cs="Times New Roman" w:eastAsia="Times New Roman" w:hint="default"/>
                <w:sz w:val="18"/>
                <w:szCs w:val="18"/>
              </w:rPr>
            </w:pPr>
            <w:r>
              <w:rPr>
                <w:rFonts w:ascii="Times New Roman"/>
                <w:sz w:val="18"/>
              </w:rPr>
              <w:t>13</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806" w:lineRule="exact"/>
              <w:ind w:left="370"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827531" cy="512064"/>
                  <wp:effectExtent l="0" t="0" r="0" b="0"/>
                  <wp:docPr id="33" name="image13.jpeg" descr=""/>
                  <wp:cNvGraphicFramePr>
                    <a:graphicFrameLocks noChangeAspect="1"/>
                  </wp:cNvGraphicFramePr>
                  <a:graphic>
                    <a:graphicData uri="http://schemas.openxmlformats.org/drawingml/2006/picture">
                      <pic:pic>
                        <pic:nvPicPr>
                          <pic:cNvPr id="34" name="image13.jpeg"/>
                          <pic:cNvPicPr/>
                        </pic:nvPicPr>
                        <pic:blipFill>
                          <a:blip r:embed="rId25" cstate="print"/>
                          <a:stretch>
                            <a:fillRect/>
                          </a:stretch>
                        </pic:blipFill>
                        <pic:spPr>
                          <a:xfrm>
                            <a:off x="0" y="0"/>
                            <a:ext cx="827531" cy="512064"/>
                          </a:xfrm>
                          <a:prstGeom prst="rect">
                            <a:avLst/>
                          </a:prstGeom>
                        </pic:spPr>
                      </pic:pic>
                    </a:graphicData>
                  </a:graphic>
                </wp:inline>
              </w:drawing>
            </w:r>
            <w:r>
              <w:rPr>
                <w:rFonts w:ascii="宋体" w:hAnsi="宋体" w:cs="宋体" w:eastAsia="宋体" w:hint="default"/>
                <w:position w:val="-15"/>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4613891</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2008.05.07</w:t>
            </w:r>
            <w:r>
              <w:rPr>
                <w:rFonts w:ascii="宋体" w:hAnsi="宋体" w:cs="宋体" w:eastAsia="宋体" w:hint="default"/>
                <w:sz w:val="18"/>
                <w:szCs w:val="18"/>
              </w:rPr>
              <w:t>至</w:t>
            </w:r>
            <w:r>
              <w:rPr>
                <w:rFonts w:ascii="Times New Roman" w:hAnsi="Times New Roman" w:cs="Times New Roman" w:eastAsia="Times New Roman" w:hint="default"/>
                <w:sz w:val="18"/>
                <w:szCs w:val="18"/>
              </w:rPr>
              <w:t>2018.05.06</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新开普</w:t>
            </w:r>
          </w:p>
        </w:tc>
      </w:tr>
      <w:tr>
        <w:trPr>
          <w:trHeight w:val="6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14</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7"/>
                <w:szCs w:val="7"/>
              </w:rPr>
            </w:pPr>
          </w:p>
          <w:p>
            <w:pPr>
              <w:pStyle w:val="TableParagraph"/>
              <w:spacing w:line="451" w:lineRule="exact"/>
              <w:ind w:left="438"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47216" cy="286511"/>
                  <wp:effectExtent l="0" t="0" r="0" b="0"/>
                  <wp:docPr id="35" name="image14.jpeg" descr=""/>
                  <wp:cNvGraphicFramePr>
                    <a:graphicFrameLocks noChangeAspect="1"/>
                  </wp:cNvGraphicFramePr>
                  <a:graphic>
                    <a:graphicData uri="http://schemas.openxmlformats.org/drawingml/2006/picture">
                      <pic:pic>
                        <pic:nvPicPr>
                          <pic:cNvPr id="36" name="image14.jpeg"/>
                          <pic:cNvPicPr/>
                        </pic:nvPicPr>
                        <pic:blipFill>
                          <a:blip r:embed="rId26" cstate="print"/>
                          <a:stretch>
                            <a:fillRect/>
                          </a:stretch>
                        </pic:blipFill>
                        <pic:spPr>
                          <a:xfrm>
                            <a:off x="0" y="0"/>
                            <a:ext cx="747216" cy="286511"/>
                          </a:xfrm>
                          <a:prstGeom prst="rect">
                            <a:avLst/>
                          </a:prstGeom>
                        </pic:spPr>
                      </pic:pic>
                    </a:graphicData>
                  </a:graphic>
                </wp:inline>
              </w:drawing>
            </w:r>
            <w:r>
              <w:rPr>
                <w:rFonts w:ascii="宋体" w:hAnsi="宋体" w:cs="宋体" w:eastAsia="宋体" w:hint="default"/>
                <w:position w:val="-8"/>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4896957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2008.11.28</w:t>
            </w:r>
            <w:r>
              <w:rPr>
                <w:rFonts w:ascii="宋体" w:hAnsi="宋体" w:cs="宋体" w:eastAsia="宋体" w:hint="default"/>
                <w:sz w:val="18"/>
                <w:szCs w:val="18"/>
              </w:rPr>
              <w:t>至</w:t>
            </w:r>
            <w:r>
              <w:rPr>
                <w:rFonts w:ascii="Times New Roman" w:hAnsi="Times New Roman" w:cs="Times New Roman" w:eastAsia="Times New Roman" w:hint="default"/>
                <w:sz w:val="18"/>
                <w:szCs w:val="18"/>
              </w:rPr>
              <w:t>2018.11.27</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新开普</w:t>
            </w:r>
          </w:p>
        </w:tc>
      </w:tr>
    </w:tbl>
    <w:p>
      <w:pPr>
        <w:spacing w:line="240" w:lineRule="auto" w:before="0"/>
        <w:rPr>
          <w:rFonts w:ascii="宋体" w:hAnsi="宋体" w:cs="宋体" w:eastAsia="宋体" w:hint="default"/>
          <w:sz w:val="13"/>
          <w:szCs w:val="13"/>
        </w:rPr>
      </w:pPr>
    </w:p>
    <w:p>
      <w:pPr>
        <w:pStyle w:val="BodyText"/>
        <w:spacing w:line="338" w:lineRule="auto" w:before="26"/>
        <w:ind w:left="634" w:right="94"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）专利权</w:t>
      </w:r>
      <w:r>
        <w:rPr>
          <w:rFonts w:ascii="宋体" w:hAnsi="宋体" w:cs="宋体" w:eastAsia="宋体" w:hint="default"/>
          <w:b/>
          <w:bCs/>
          <w:w w:val="99"/>
        </w:rPr>
        <w:t> </w:t>
      </w:r>
      <w:r>
        <w:rPr>
          <w:spacing w:val="-2"/>
        </w:rPr>
        <w:t>截至本报告期末，公司拥有</w:t>
      </w:r>
      <w:r>
        <w:rPr>
          <w:rFonts w:ascii="Times New Roman" w:hAnsi="Times New Roman" w:cs="Times New Roman" w:eastAsia="Times New Roman" w:hint="default"/>
          <w:spacing w:val="-2"/>
        </w:rPr>
        <w:t>32</w:t>
      </w:r>
      <w:r>
        <w:rPr>
          <w:spacing w:val="-2"/>
        </w:rPr>
        <w:t>项已授权的专利，其中实用新型专利</w:t>
      </w:r>
      <w:r>
        <w:rPr>
          <w:rFonts w:ascii="Times New Roman" w:hAnsi="Times New Roman" w:cs="Times New Roman" w:eastAsia="Times New Roman" w:hint="default"/>
          <w:spacing w:val="-2"/>
        </w:rPr>
        <w:t>21</w:t>
      </w:r>
      <w:r>
        <w:rPr>
          <w:spacing w:val="-2"/>
        </w:rPr>
        <w:t>项，外观专利</w:t>
      </w:r>
      <w:r>
        <w:rPr>
          <w:rFonts w:ascii="Times New Roman" w:hAnsi="Times New Roman" w:cs="Times New Roman" w:eastAsia="Times New Roman" w:hint="default"/>
          <w:spacing w:val="-2"/>
        </w:rPr>
        <w:t>11</w:t>
      </w:r>
      <w:r>
        <w:rPr>
          <w:spacing w:val="-2"/>
        </w:rPr>
        <w:t>项，</w:t>
      </w:r>
    </w:p>
    <w:p>
      <w:pPr>
        <w:pStyle w:val="BodyText"/>
        <w:spacing w:line="240" w:lineRule="auto" w:before="27"/>
        <w:ind w:right="95"/>
        <w:jc w:val="left"/>
      </w:pPr>
      <w:r>
        <w:rPr/>
        <w:t>具体情况如下：</w:t>
      </w:r>
    </w:p>
    <w:p>
      <w:pPr>
        <w:spacing w:line="240" w:lineRule="auto" w:before="10"/>
        <w:rPr>
          <w:rFonts w:ascii="宋体" w:hAnsi="宋体" w:cs="宋体" w:eastAsia="宋体" w:hint="default"/>
          <w:sz w:val="8"/>
          <w:szCs w:val="8"/>
        </w:rPr>
      </w:pPr>
    </w:p>
    <w:tbl>
      <w:tblPr>
        <w:tblW w:w="0" w:type="auto"/>
        <w:jc w:val="left"/>
        <w:tblInd w:w="594" w:type="dxa"/>
        <w:tblLayout w:type="fixed"/>
        <w:tblCellMar>
          <w:top w:w="0" w:type="dxa"/>
          <w:left w:w="0" w:type="dxa"/>
          <w:bottom w:w="0" w:type="dxa"/>
          <w:right w:w="0" w:type="dxa"/>
        </w:tblCellMar>
        <w:tblLook w:val="01E0"/>
      </w:tblPr>
      <w:tblGrid>
        <w:gridCol w:w="686"/>
        <w:gridCol w:w="2686"/>
        <w:gridCol w:w="1967"/>
        <w:gridCol w:w="985"/>
        <w:gridCol w:w="1187"/>
        <w:gridCol w:w="1231"/>
      </w:tblGrid>
      <w:tr>
        <w:trPr>
          <w:trHeight w:val="571" w:hRule="exact"/>
        </w:trPr>
        <w:tc>
          <w:tcPr>
            <w:tcW w:w="6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6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9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33"/>
              <w:ind w:left="123"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18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33"/>
              <w:ind w:left="224"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1</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非接触智能卡自助洗衣机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ZL200520030648.X</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2006.09.27</w:t>
            </w:r>
          </w:p>
        </w:tc>
      </w:tr>
      <w:tr>
        <w:trPr>
          <w:trHeight w:val="660"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0"/>
                <w:sz w:val="20"/>
              </w:rPr>
              <w:t>2</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0"/>
              <w:jc w:val="left"/>
              <w:rPr>
                <w:rFonts w:ascii="宋体" w:hAnsi="宋体" w:cs="宋体" w:eastAsia="宋体" w:hint="default"/>
                <w:sz w:val="20"/>
                <w:szCs w:val="20"/>
              </w:rPr>
            </w:pPr>
            <w:r>
              <w:rPr>
                <w:rFonts w:ascii="宋体" w:hAnsi="宋体" w:cs="宋体" w:eastAsia="宋体" w:hint="default"/>
                <w:spacing w:val="3"/>
                <w:sz w:val="20"/>
                <w:szCs w:val="20"/>
              </w:rPr>
              <w:t>瞬时电流相位纯电阻负载识别</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控制器装置</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ZL200520032525.X</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2006.11.08</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w w:val="100"/>
                <w:sz w:val="20"/>
              </w:rPr>
              <w:t>3</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非接触智能卡水控器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ZL200520030647.5</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2006.05.17</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4</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智能卡车载消费终端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ZL200930117728.2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2010.02.03</w:t>
            </w:r>
          </w:p>
        </w:tc>
      </w:tr>
      <w:tr>
        <w:trPr>
          <w:trHeight w:val="659"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0"/>
                <w:sz w:val="20"/>
              </w:rPr>
              <w:t>5</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0"/>
              <w:jc w:val="left"/>
              <w:rPr>
                <w:rFonts w:ascii="宋体" w:hAnsi="宋体" w:cs="宋体" w:eastAsia="宋体" w:hint="default"/>
                <w:sz w:val="20"/>
                <w:szCs w:val="20"/>
              </w:rPr>
            </w:pPr>
            <w:r>
              <w:rPr>
                <w:rFonts w:ascii="宋体" w:hAnsi="宋体" w:cs="宋体" w:eastAsia="宋体" w:hint="default"/>
                <w:spacing w:val="3"/>
                <w:sz w:val="20"/>
                <w:szCs w:val="20"/>
              </w:rPr>
              <w:t>具有监测信息本地存储的电能</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计量控制模块</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ZL200920091836.1</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2010.03.31</w:t>
            </w:r>
          </w:p>
        </w:tc>
      </w:tr>
      <w:tr>
        <w:trPr>
          <w:trHeight w:val="659"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0"/>
                <w:sz w:val="20"/>
              </w:rPr>
              <w:t>6</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0"/>
              <w:jc w:val="left"/>
              <w:rPr>
                <w:rFonts w:ascii="宋体" w:hAnsi="宋体" w:cs="宋体" w:eastAsia="宋体" w:hint="default"/>
                <w:sz w:val="20"/>
                <w:szCs w:val="20"/>
              </w:rPr>
            </w:pPr>
            <w:r>
              <w:rPr>
                <w:rFonts w:ascii="宋体" w:hAnsi="宋体" w:cs="宋体" w:eastAsia="宋体" w:hint="default"/>
                <w:spacing w:val="3"/>
                <w:sz w:val="20"/>
                <w:szCs w:val="20"/>
              </w:rPr>
              <w:t>具有检测信息报警功能的电能</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计量控制模块</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ZL200920091837.6</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2010.03.31</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7</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多功能电能计量控制模块</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ZL200920091835.7</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2010.03.31</w:t>
            </w:r>
          </w:p>
        </w:tc>
      </w:tr>
      <w:tr>
        <w:trPr>
          <w:trHeight w:val="660"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0"/>
                <w:sz w:val="20"/>
              </w:rPr>
              <w:t>8</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0"/>
              <w:jc w:val="left"/>
              <w:rPr>
                <w:rFonts w:ascii="宋体" w:hAnsi="宋体" w:cs="宋体" w:eastAsia="宋体" w:hint="default"/>
                <w:sz w:val="20"/>
                <w:szCs w:val="20"/>
              </w:rPr>
            </w:pPr>
            <w:r>
              <w:rPr>
                <w:rFonts w:ascii="宋体" w:hAnsi="宋体" w:cs="宋体" w:eastAsia="宋体" w:hint="default"/>
                <w:spacing w:val="3"/>
                <w:sz w:val="20"/>
                <w:szCs w:val="20"/>
              </w:rPr>
              <w:t>具有恶性负载识别功能的电能</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计量控制模块</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ZL200920091838.0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2010.03.31</w:t>
            </w:r>
          </w:p>
        </w:tc>
      </w:tr>
      <w:tr>
        <w:trPr>
          <w:trHeight w:val="659"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0"/>
                <w:sz w:val="20"/>
              </w:rPr>
              <w:t>9</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0"/>
              <w:jc w:val="left"/>
              <w:rPr>
                <w:rFonts w:ascii="宋体" w:hAnsi="宋体" w:cs="宋体" w:eastAsia="宋体" w:hint="default"/>
                <w:sz w:val="20"/>
                <w:szCs w:val="20"/>
              </w:rPr>
            </w:pPr>
            <w:r>
              <w:rPr>
                <w:rFonts w:ascii="宋体" w:hAnsi="宋体" w:cs="宋体" w:eastAsia="宋体" w:hint="default"/>
                <w:spacing w:val="3"/>
                <w:sz w:val="20"/>
                <w:szCs w:val="20"/>
              </w:rPr>
              <w:t>具有防雷击浪涌功能的电能计</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量控制模块</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ZL200920091839.5</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2010.03.31</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超高频无源标签读写器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ZL 2010 2</w:t>
            </w:r>
            <w:r>
              <w:rPr>
                <w:rFonts w:ascii="Times New Roman"/>
                <w:spacing w:val="-10"/>
                <w:sz w:val="20"/>
              </w:rPr>
              <w:t> </w:t>
            </w:r>
            <w:r>
              <w:rPr>
                <w:rFonts w:ascii="Times New Roman"/>
                <w:sz w:val="20"/>
              </w:rPr>
              <w:t>0275486.7</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2011.01.05</w:t>
            </w:r>
          </w:p>
        </w:tc>
      </w:tr>
      <w:tr>
        <w:trPr>
          <w:trHeight w:val="659"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11</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0"/>
              <w:jc w:val="left"/>
              <w:rPr>
                <w:rFonts w:ascii="宋体" w:hAnsi="宋体" w:cs="宋体" w:eastAsia="宋体" w:hint="default"/>
                <w:sz w:val="20"/>
                <w:szCs w:val="20"/>
              </w:rPr>
            </w:pPr>
            <w:r>
              <w:rPr>
                <w:rFonts w:ascii="宋体" w:hAnsi="宋体" w:cs="宋体" w:eastAsia="宋体" w:hint="default"/>
                <w:spacing w:val="2"/>
                <w:sz w:val="20"/>
                <w:szCs w:val="20"/>
              </w:rPr>
              <w:t>基于</w:t>
            </w:r>
            <w:r>
              <w:rPr>
                <w:rFonts w:ascii="Times New Roman" w:hAnsi="Times New Roman" w:cs="Times New Roman" w:eastAsia="Times New Roman" w:hint="default"/>
                <w:spacing w:val="2"/>
                <w:sz w:val="20"/>
                <w:szCs w:val="20"/>
              </w:rPr>
              <w:t>FRAM</w:t>
            </w:r>
            <w:r>
              <w:rPr>
                <w:rFonts w:ascii="宋体" w:hAnsi="宋体" w:cs="宋体" w:eastAsia="宋体" w:hint="default"/>
                <w:spacing w:val="2"/>
                <w:sz w:val="20"/>
                <w:szCs w:val="20"/>
              </w:rPr>
              <w:t>和</w:t>
            </w:r>
            <w:r>
              <w:rPr>
                <w:rFonts w:ascii="Times New Roman" w:hAnsi="Times New Roman" w:cs="Times New Roman" w:eastAsia="Times New Roman" w:hint="default"/>
                <w:spacing w:val="2"/>
                <w:sz w:val="20"/>
                <w:szCs w:val="20"/>
              </w:rPr>
              <w:t>Flash</w:t>
            </w:r>
            <w:r>
              <w:rPr>
                <w:rFonts w:ascii="宋体" w:hAnsi="宋体" w:cs="宋体" w:eastAsia="宋体" w:hint="default"/>
                <w:spacing w:val="2"/>
                <w:sz w:val="20"/>
                <w:szCs w:val="20"/>
              </w:rPr>
              <w:t>的文件系统</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管理模块</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ZL2010 2</w:t>
            </w:r>
            <w:r>
              <w:rPr>
                <w:rFonts w:ascii="Times New Roman"/>
                <w:spacing w:val="-9"/>
                <w:sz w:val="20"/>
              </w:rPr>
              <w:t> </w:t>
            </w:r>
            <w:r>
              <w:rPr>
                <w:rFonts w:ascii="Times New Roman"/>
                <w:sz w:val="20"/>
              </w:rPr>
              <w:t>0275479.7</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2011.01.05</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12</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超高频无源标签读写器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ZL201020275487.1</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2011.01.19</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13</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水控器防水机壳</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201020275477.8</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2011.02.23</w:t>
            </w:r>
          </w:p>
        </w:tc>
      </w:tr>
      <w:tr>
        <w:trPr>
          <w:trHeight w:val="348"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14</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计流水控器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201020280295.X</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2011.03.02</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Times New Roman" w:hAnsi="Times New Roman" w:cs="Times New Roman" w:eastAsia="Times New Roman" w:hint="default"/>
                <w:sz w:val="20"/>
                <w:szCs w:val="20"/>
              </w:rPr>
            </w:pPr>
            <w:r>
              <w:rPr>
                <w:rFonts w:ascii="Times New Roman"/>
                <w:sz w:val="20"/>
              </w:rPr>
              <w:t>15</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单相电子式预付费双控电能表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ZL201020275476.3</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2011.03.02</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16</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多通道流量采集水表系统</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ZL201020275478.2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2011.03.02</w:t>
            </w:r>
          </w:p>
        </w:tc>
      </w:tr>
      <w:tr>
        <w:trPr>
          <w:trHeight w:val="348"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17</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无障碍通道机（</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201030258430.6</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2011.03.02</w:t>
            </w:r>
          </w:p>
        </w:tc>
      </w:tr>
    </w:tbl>
    <w:p>
      <w:pPr>
        <w:spacing w:after="0" w:line="240" w:lineRule="auto"/>
        <w:jc w:val="center"/>
        <w:rPr>
          <w:rFonts w:ascii="Times New Roman" w:hAnsi="Times New Roman" w:cs="Times New Roman" w:eastAsia="Times New Roman" w:hint="default"/>
          <w:sz w:val="20"/>
          <w:szCs w:val="20"/>
        </w:rPr>
        <w:sectPr>
          <w:pgSz w:w="11910" w:h="16840"/>
          <w:pgMar w:header="851" w:footer="982" w:top="1220" w:bottom="1180" w:left="980" w:right="900"/>
        </w:sectPr>
      </w:pPr>
    </w:p>
    <w:p>
      <w:pPr>
        <w:spacing w:line="240" w:lineRule="auto" w:before="4"/>
        <w:rPr>
          <w:rFonts w:ascii="宋体" w:hAnsi="宋体" w:cs="宋体" w:eastAsia="宋体" w:hint="default"/>
          <w:sz w:val="15"/>
          <w:szCs w:val="15"/>
        </w:rPr>
      </w:pPr>
    </w:p>
    <w:tbl>
      <w:tblPr>
        <w:tblW w:w="0" w:type="auto"/>
        <w:jc w:val="left"/>
        <w:tblInd w:w="594" w:type="dxa"/>
        <w:tblLayout w:type="fixed"/>
        <w:tblCellMar>
          <w:top w:w="0" w:type="dxa"/>
          <w:left w:w="0" w:type="dxa"/>
          <w:bottom w:w="0" w:type="dxa"/>
          <w:right w:w="0" w:type="dxa"/>
        </w:tblCellMar>
        <w:tblLook w:val="01E0"/>
      </w:tblPr>
      <w:tblGrid>
        <w:gridCol w:w="686"/>
        <w:gridCol w:w="2686"/>
        <w:gridCol w:w="1967"/>
        <w:gridCol w:w="985"/>
        <w:gridCol w:w="1187"/>
        <w:gridCol w:w="1231"/>
      </w:tblGrid>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18</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无障碍通道机（</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201030258405.8</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2011.03.16</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19</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水控器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201020280291.1</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6"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2011.03.16</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20</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基于时间槽的半双工通信模块</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201020280275.2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2011.04.13</w:t>
            </w:r>
          </w:p>
        </w:tc>
      </w:tr>
      <w:tr>
        <w:trPr>
          <w:trHeight w:val="348"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21</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一控四门禁控制器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201120027892.6</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2011.08.31</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Times New Roman" w:hAnsi="Times New Roman" w:cs="Times New Roman" w:eastAsia="Times New Roman" w:hint="default"/>
                <w:sz w:val="20"/>
                <w:szCs w:val="20"/>
              </w:rPr>
            </w:pPr>
            <w:r>
              <w:rPr>
                <w:rFonts w:ascii="Times New Roman"/>
                <w:sz w:val="20"/>
              </w:rPr>
              <w:t>22</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智能卡</w:t>
            </w:r>
            <w:r>
              <w:rPr>
                <w:rFonts w:ascii="Times New Roman" w:hAnsi="Times New Roman" w:cs="Times New Roman" w:eastAsia="Times New Roman" w:hint="default"/>
                <w:sz w:val="20"/>
                <w:szCs w:val="20"/>
              </w:rPr>
              <w:t>-</w:t>
            </w:r>
            <w:r>
              <w:rPr>
                <w:rFonts w:ascii="宋体" w:hAnsi="宋体" w:cs="宋体" w:eastAsia="宋体" w:hint="default"/>
                <w:sz w:val="20"/>
                <w:szCs w:val="20"/>
              </w:rPr>
              <w:t>语音</w:t>
            </w:r>
            <w:r>
              <w:rPr>
                <w:rFonts w:ascii="Times New Roman" w:hAnsi="Times New Roman" w:cs="Times New Roman" w:eastAsia="Times New Roman" w:hint="default"/>
                <w:sz w:val="20"/>
                <w:szCs w:val="20"/>
              </w:rPr>
              <w:t>-</w:t>
            </w:r>
            <w:r>
              <w:rPr>
                <w:rFonts w:ascii="宋体" w:hAnsi="宋体" w:cs="宋体" w:eastAsia="宋体" w:hint="default"/>
                <w:sz w:val="20"/>
                <w:szCs w:val="20"/>
              </w:rPr>
              <w:t>指纹考勤机</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201120027894.5</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2011.08.31</w:t>
            </w:r>
          </w:p>
        </w:tc>
      </w:tr>
      <w:tr>
        <w:trPr>
          <w:trHeight w:val="659"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23</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0"/>
              <w:jc w:val="left"/>
              <w:rPr>
                <w:rFonts w:ascii="宋体" w:hAnsi="宋体" w:cs="宋体" w:eastAsia="宋体" w:hint="default"/>
                <w:sz w:val="20"/>
                <w:szCs w:val="20"/>
              </w:rPr>
            </w:pPr>
            <w:r>
              <w:rPr>
                <w:rFonts w:ascii="宋体" w:hAnsi="宋体" w:cs="宋体" w:eastAsia="宋体" w:hint="default"/>
                <w:spacing w:val="3"/>
                <w:sz w:val="20"/>
                <w:szCs w:val="20"/>
              </w:rPr>
              <w:t>带有授权名单完整控制器功能</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的</w:t>
            </w:r>
            <w:r>
              <w:rPr>
                <w:rFonts w:ascii="Times New Roman" w:hAnsi="Times New Roman" w:cs="Times New Roman" w:eastAsia="Times New Roman" w:hint="default"/>
                <w:sz w:val="20"/>
                <w:szCs w:val="20"/>
              </w:rPr>
              <w:t>UHF</w:t>
            </w:r>
            <w:r>
              <w:rPr>
                <w:rFonts w:ascii="宋体" w:hAnsi="宋体" w:cs="宋体" w:eastAsia="宋体" w:hint="default"/>
                <w:sz w:val="20"/>
                <w:szCs w:val="20"/>
              </w:rPr>
              <w:t>远距离读写器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201120027893.0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2011.08.31</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24</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超高频无源标签读写器</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2"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201120027895.X</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实用新型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2011.09.28</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25</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智能卡支付终端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201130095303.3</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6"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2011.10.19</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26</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金融</w:t>
            </w:r>
            <w:r>
              <w:rPr>
                <w:rFonts w:ascii="Times New Roman" w:hAnsi="Times New Roman" w:cs="Times New Roman" w:eastAsia="Times New Roman" w:hint="default"/>
                <w:sz w:val="20"/>
                <w:szCs w:val="20"/>
              </w:rPr>
              <w:t>POS</w:t>
            </w:r>
            <w:r>
              <w:rPr>
                <w:rFonts w:ascii="宋体" w:hAnsi="宋体" w:cs="宋体" w:eastAsia="宋体" w:hint="default"/>
                <w:sz w:val="20"/>
                <w:szCs w:val="20"/>
              </w:rPr>
              <w:t>终端</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201130095305.2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2011.10.19</w:t>
            </w:r>
          </w:p>
        </w:tc>
      </w:tr>
      <w:tr>
        <w:trPr>
          <w:trHeight w:val="348"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27</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门禁读头（</w:t>
            </w:r>
            <w:r>
              <w:rPr>
                <w:rFonts w:ascii="Times New Roman" w:hAnsi="Times New Roman" w:cs="Times New Roman" w:eastAsia="Times New Roman" w:hint="default"/>
                <w:sz w:val="20"/>
                <w:szCs w:val="20"/>
              </w:rPr>
              <w:t>F921</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201130356555.7</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2012.02.08</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Times New Roman" w:hAnsi="Times New Roman" w:cs="Times New Roman" w:eastAsia="Times New Roman" w:hint="default"/>
                <w:sz w:val="20"/>
                <w:szCs w:val="20"/>
              </w:rPr>
            </w:pPr>
            <w:r>
              <w:rPr>
                <w:rFonts w:ascii="Times New Roman"/>
                <w:sz w:val="20"/>
              </w:rPr>
              <w:t>28</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智能读卡器（</w:t>
            </w:r>
            <w:r>
              <w:rPr>
                <w:rFonts w:ascii="Times New Roman" w:hAnsi="Times New Roman" w:cs="Times New Roman" w:eastAsia="Times New Roman" w:hint="default"/>
                <w:sz w:val="20"/>
                <w:szCs w:val="20"/>
              </w:rPr>
              <w:t>E701</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201130356543.4</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86"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2012.02.08</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29</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门禁读头（</w:t>
            </w:r>
            <w:r>
              <w:rPr>
                <w:rFonts w:ascii="Times New Roman" w:hAnsi="Times New Roman" w:cs="Times New Roman" w:eastAsia="Times New Roman" w:hint="default"/>
                <w:sz w:val="20"/>
                <w:szCs w:val="20"/>
              </w:rPr>
              <w:t>F901</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201130356546.8</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2012.02.15</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30</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智能读卡器（</w:t>
            </w:r>
            <w:r>
              <w:rPr>
                <w:rFonts w:ascii="Times New Roman" w:hAnsi="Times New Roman" w:cs="Times New Roman" w:eastAsia="Times New Roman" w:hint="default"/>
                <w:sz w:val="20"/>
                <w:szCs w:val="20"/>
              </w:rPr>
              <w:t>E711</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201130356534.5</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6"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2012.02.15</w:t>
            </w:r>
          </w:p>
        </w:tc>
      </w:tr>
      <w:tr>
        <w:trPr>
          <w:trHeight w:val="347"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31</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门禁读头（</w:t>
            </w:r>
            <w:r>
              <w:rPr>
                <w:rFonts w:ascii="Times New Roman" w:hAnsi="Times New Roman" w:cs="Times New Roman" w:eastAsia="Times New Roman" w:hint="default"/>
                <w:sz w:val="20"/>
                <w:szCs w:val="20"/>
              </w:rPr>
              <w:t>F931</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201130356553.8</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5"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2012.02.15</w:t>
            </w:r>
          </w:p>
        </w:tc>
      </w:tr>
      <w:tr>
        <w:trPr>
          <w:trHeight w:val="348" w:hRule="exact"/>
        </w:trPr>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32</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考勤机（</w:t>
            </w:r>
            <w:r>
              <w:rPr>
                <w:rFonts w:ascii="Times New Roman" w:hAnsi="Times New Roman" w:cs="Times New Roman" w:eastAsia="Times New Roman" w:hint="default"/>
                <w:sz w:val="20"/>
                <w:szCs w:val="20"/>
              </w:rPr>
              <w:t>C901</w:t>
            </w:r>
            <w:r>
              <w:rPr>
                <w:rFonts w:ascii="宋体" w:hAnsi="宋体" w:cs="宋体" w:eastAsia="宋体" w:hint="default"/>
                <w:sz w:val="20"/>
                <w:szCs w:val="20"/>
              </w:rPr>
              <w:t>）</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54"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201130494580.1</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4"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6"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2012.07.04</w:t>
            </w:r>
          </w:p>
        </w:tc>
      </w:tr>
    </w:tbl>
    <w:p>
      <w:pPr>
        <w:spacing w:line="240" w:lineRule="auto" w:before="12"/>
        <w:rPr>
          <w:rFonts w:ascii="宋体" w:hAnsi="宋体" w:cs="宋体" w:eastAsia="宋体" w:hint="default"/>
          <w:sz w:val="6"/>
          <w:szCs w:val="6"/>
        </w:rPr>
      </w:pPr>
    </w:p>
    <w:p>
      <w:pPr>
        <w:pStyle w:val="BodyText"/>
        <w:spacing w:line="312" w:lineRule="exact" w:before="56"/>
        <w:ind w:right="94" w:firstLine="480"/>
        <w:jc w:val="left"/>
      </w:pPr>
      <w:r>
        <w:rPr/>
        <w:t>同时，公司于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月取得</w:t>
      </w:r>
      <w:r>
        <w:rPr>
          <w:rFonts w:ascii="Times New Roman" w:hAnsi="Times New Roman" w:cs="Times New Roman" w:eastAsia="Times New Roman" w:hint="default"/>
        </w:rPr>
        <w:t>2</w:t>
      </w:r>
      <w:r>
        <w:rPr/>
        <w:t>项国家知识产权局颁发的外观设计专利证书。具体情况如</w:t>
      </w:r>
      <w:r>
        <w:rPr>
          <w:spacing w:val="1"/>
        </w:rPr>
        <w:t> </w:t>
      </w:r>
      <w:r>
        <w:rPr/>
        <w:t>下：</w:t>
      </w:r>
    </w:p>
    <w:tbl>
      <w:tblPr>
        <w:tblW w:w="0" w:type="auto"/>
        <w:jc w:val="left"/>
        <w:tblInd w:w="572" w:type="dxa"/>
        <w:tblLayout w:type="fixed"/>
        <w:tblCellMar>
          <w:top w:w="0" w:type="dxa"/>
          <w:left w:w="0" w:type="dxa"/>
          <w:bottom w:w="0" w:type="dxa"/>
          <w:right w:w="0" w:type="dxa"/>
        </w:tblCellMar>
        <w:tblLook w:val="01E0"/>
      </w:tblPr>
      <w:tblGrid>
        <w:gridCol w:w="708"/>
        <w:gridCol w:w="2694"/>
        <w:gridCol w:w="1984"/>
        <w:gridCol w:w="992"/>
        <w:gridCol w:w="1134"/>
        <w:gridCol w:w="1276"/>
      </w:tblGrid>
      <w:tr>
        <w:trPr>
          <w:trHeight w:val="495" w:hRule="exact"/>
        </w:trPr>
        <w:tc>
          <w:tcPr>
            <w:tcW w:w="70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8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128"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b/>
                <w:bCs/>
                <w:sz w:val="18"/>
                <w:szCs w:val="18"/>
              </w:rPr>
              <w:t>授权日</w:t>
            </w:r>
            <w:r>
              <w:rPr>
                <w:rFonts w:ascii="宋体" w:hAnsi="宋体" w:cs="宋体" w:eastAsia="宋体" w:hint="default"/>
                <w:sz w:val="18"/>
                <w:szCs w:val="18"/>
              </w:rPr>
            </w:r>
          </w:p>
        </w:tc>
      </w:tr>
      <w:tr>
        <w:trPr>
          <w:trHeight w:val="34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出租车智能支付终端（</w:t>
            </w:r>
            <w:r>
              <w:rPr>
                <w:rFonts w:ascii="Times New Roman" w:hAnsi="Times New Roman" w:cs="Times New Roman" w:eastAsia="Times New Roman" w:hint="default"/>
                <w:sz w:val="20"/>
                <w:szCs w:val="20"/>
              </w:rPr>
              <w:t>B301</w:t>
            </w:r>
            <w:r>
              <w:rPr>
                <w:rFonts w:ascii="宋体" w:hAnsi="宋体" w:cs="宋体" w:eastAsia="宋体" w:hint="default"/>
                <w:sz w:val="20"/>
                <w:szCs w:val="20"/>
              </w:rPr>
              <w:t>）</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201230473105.0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9"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2013.01.06</w:t>
            </w: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智能卡支付终端（</w:t>
            </w:r>
            <w:r>
              <w:rPr>
                <w:rFonts w:ascii="Times New Roman" w:hAnsi="Times New Roman" w:cs="Times New Roman" w:eastAsia="Times New Roman" w:hint="default"/>
                <w:sz w:val="20"/>
                <w:szCs w:val="20"/>
              </w:rPr>
              <w:t>A701</w:t>
            </w:r>
            <w:r>
              <w:rPr>
                <w:rFonts w:ascii="宋体" w:hAnsi="宋体" w:cs="宋体" w:eastAsia="宋体" w:hint="default"/>
                <w:sz w:val="20"/>
                <w:szCs w:val="20"/>
              </w:rPr>
              <w:t>）</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ZL</w:t>
            </w:r>
            <w:r>
              <w:rPr>
                <w:rFonts w:ascii="Times New Roman"/>
                <w:spacing w:val="-9"/>
                <w:sz w:val="20"/>
              </w:rPr>
              <w:t> </w:t>
            </w:r>
            <w:r>
              <w:rPr>
                <w:rFonts w:ascii="Times New Roman"/>
                <w:sz w:val="20"/>
              </w:rPr>
              <w:t>201230472849.0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9" w:right="0"/>
              <w:jc w:val="left"/>
              <w:rPr>
                <w:rFonts w:ascii="宋体" w:hAnsi="宋体" w:cs="宋体" w:eastAsia="宋体" w:hint="default"/>
                <w:sz w:val="20"/>
                <w:szCs w:val="20"/>
              </w:rPr>
            </w:pPr>
            <w:r>
              <w:rPr>
                <w:rFonts w:ascii="宋体" w:hAnsi="宋体" w:cs="宋体" w:eastAsia="宋体" w:hint="default"/>
                <w:sz w:val="20"/>
                <w:szCs w:val="20"/>
              </w:rPr>
              <w:t>新开普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2013.01.06</w:t>
            </w:r>
          </w:p>
        </w:tc>
      </w:tr>
    </w:tbl>
    <w:p>
      <w:pPr>
        <w:spacing w:line="240" w:lineRule="auto" w:before="9"/>
        <w:rPr>
          <w:rFonts w:ascii="宋体" w:hAnsi="宋体" w:cs="宋体" w:eastAsia="宋体" w:hint="default"/>
          <w:sz w:val="13"/>
          <w:szCs w:val="13"/>
        </w:rPr>
      </w:pPr>
    </w:p>
    <w:p>
      <w:pPr>
        <w:pStyle w:val="BodyText"/>
        <w:spacing w:line="338" w:lineRule="auto" w:before="26"/>
        <w:ind w:left="634" w:right="61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）软件著作权</w:t>
      </w:r>
      <w:r>
        <w:rPr>
          <w:rFonts w:ascii="宋体" w:hAnsi="宋体" w:cs="宋体" w:eastAsia="宋体" w:hint="default"/>
          <w:b/>
          <w:bCs/>
          <w:spacing w:val="1"/>
          <w:w w:val="99"/>
        </w:rPr>
        <w:t> </w:t>
      </w:r>
      <w:r>
        <w:rPr/>
        <w:t>截至本报告期末，公司及其全资子公司目前拥有</w:t>
      </w:r>
      <w:r>
        <w:rPr>
          <w:rFonts w:ascii="Times New Roman" w:hAnsi="Times New Roman" w:cs="Times New Roman" w:eastAsia="Times New Roman" w:hint="default"/>
        </w:rPr>
        <w:t>81</w:t>
      </w:r>
      <w:r>
        <w:rPr/>
        <w:t>项软件著作权，具体情况如下：</w:t>
      </w:r>
    </w:p>
    <w:tbl>
      <w:tblPr>
        <w:tblW w:w="0" w:type="auto"/>
        <w:jc w:val="left"/>
        <w:tblInd w:w="572" w:type="dxa"/>
        <w:tblLayout w:type="fixed"/>
        <w:tblCellMar>
          <w:top w:w="0" w:type="dxa"/>
          <w:left w:w="0" w:type="dxa"/>
          <w:bottom w:w="0" w:type="dxa"/>
          <w:right w:w="0" w:type="dxa"/>
        </w:tblCellMar>
        <w:tblLook w:val="01E0"/>
      </w:tblPr>
      <w:tblGrid>
        <w:gridCol w:w="708"/>
        <w:gridCol w:w="2149"/>
        <w:gridCol w:w="1379"/>
        <w:gridCol w:w="1337"/>
        <w:gridCol w:w="1026"/>
        <w:gridCol w:w="1003"/>
        <w:gridCol w:w="1186"/>
      </w:tblGrid>
      <w:tr>
        <w:trPr>
          <w:trHeight w:val="613" w:hRule="exact"/>
        </w:trPr>
        <w:tc>
          <w:tcPr>
            <w:tcW w:w="70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4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1"/>
              <w:ind w:left="434" w:right="0"/>
              <w:jc w:val="left"/>
              <w:rPr>
                <w:rFonts w:ascii="宋体" w:hAnsi="宋体" w:cs="宋体" w:eastAsia="宋体" w:hint="default"/>
                <w:sz w:val="18"/>
                <w:szCs w:val="18"/>
              </w:rPr>
            </w:pPr>
            <w:r>
              <w:rPr>
                <w:rFonts w:ascii="宋体" w:hAnsi="宋体" w:cs="宋体" w:eastAsia="宋体" w:hint="default"/>
                <w:b/>
                <w:bCs/>
                <w:sz w:val="18"/>
                <w:szCs w:val="18"/>
              </w:rPr>
              <w:t>软件著作权名称</w:t>
            </w:r>
            <w:r>
              <w:rPr>
                <w:rFonts w:ascii="宋体" w:hAnsi="宋体" w:cs="宋体" w:eastAsia="宋体" w:hint="default"/>
                <w:sz w:val="18"/>
                <w:szCs w:val="18"/>
              </w:rPr>
            </w:r>
          </w:p>
        </w:tc>
        <w:tc>
          <w:tcPr>
            <w:tcW w:w="137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1"/>
              <w:ind w:left="229" w:right="0"/>
              <w:jc w:val="left"/>
              <w:rPr>
                <w:rFonts w:ascii="宋体" w:hAnsi="宋体" w:cs="宋体" w:eastAsia="宋体" w:hint="default"/>
                <w:sz w:val="18"/>
                <w:szCs w:val="18"/>
              </w:rPr>
            </w:pPr>
            <w:r>
              <w:rPr>
                <w:rFonts w:ascii="宋体" w:hAnsi="宋体" w:cs="宋体" w:eastAsia="宋体" w:hint="default"/>
                <w:b/>
                <w:bCs/>
                <w:sz w:val="18"/>
                <w:szCs w:val="18"/>
              </w:rPr>
              <w:t>登记证书号</w:t>
            </w:r>
            <w:r>
              <w:rPr>
                <w:rFonts w:ascii="宋体" w:hAnsi="宋体" w:cs="宋体" w:eastAsia="宋体" w:hint="default"/>
                <w:sz w:val="18"/>
                <w:szCs w:val="18"/>
              </w:rPr>
            </w:r>
          </w:p>
        </w:tc>
        <w:tc>
          <w:tcPr>
            <w:tcW w:w="13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02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1"/>
              <w:ind w:right="143"/>
              <w:jc w:val="right"/>
              <w:rPr>
                <w:rFonts w:ascii="宋体" w:hAnsi="宋体" w:cs="宋体" w:eastAsia="宋体" w:hint="default"/>
                <w:sz w:val="18"/>
                <w:szCs w:val="18"/>
              </w:rPr>
            </w:pPr>
            <w:r>
              <w:rPr>
                <w:rFonts w:ascii="宋体" w:hAnsi="宋体" w:cs="宋体" w:eastAsia="宋体" w:hint="default"/>
                <w:b/>
                <w:bCs/>
                <w:w w:val="95"/>
                <w:sz w:val="18"/>
                <w:szCs w:val="18"/>
              </w:rPr>
              <w:t>权利范围</w:t>
            </w:r>
            <w:r>
              <w:rPr>
                <w:rFonts w:ascii="宋体" w:hAnsi="宋体" w:cs="宋体" w:eastAsia="宋体" w:hint="default"/>
                <w:sz w:val="18"/>
                <w:szCs w:val="18"/>
              </w:rPr>
            </w:r>
          </w:p>
        </w:tc>
        <w:tc>
          <w:tcPr>
            <w:tcW w:w="100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1"/>
              <w:ind w:left="224"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9"/>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射频智能卡网络版考勤管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理系统</w:t>
            </w:r>
            <w:r>
              <w:rPr>
                <w:rFonts w:ascii="Times New Roman" w:hAnsi="Times New Roman" w:cs="Times New Roman" w:eastAsia="Times New Roman" w:hint="default"/>
                <w:sz w:val="18"/>
                <w:szCs w:val="18"/>
              </w:rPr>
              <w:t>V2000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0009729</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2001SR2796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射频智能卡网络版预付费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收费集成管理系统</w:t>
            </w:r>
            <w:r>
              <w:rPr>
                <w:rFonts w:ascii="Times New Roman" w:hAnsi="Times New Roman" w:cs="Times New Roman" w:eastAsia="Times New Roman" w:hint="default"/>
                <w:sz w:val="18"/>
                <w:szCs w:val="18"/>
              </w:rPr>
              <w:t>V2000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0009739</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2001SR2806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正普终端授权软件</w:t>
            </w:r>
            <w:r>
              <w:rPr>
                <w:rFonts w:ascii="Times New Roman" w:hAnsi="Times New Roman" w:cs="Times New Roman" w:eastAsia="Times New Roman" w:hint="default"/>
                <w:sz w:val="18"/>
                <w:szCs w:val="18"/>
              </w:rPr>
              <w:t>V3.0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073849</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2007SR07854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新开普智能卡综合信息管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理系统</w:t>
            </w:r>
            <w:r>
              <w:rPr>
                <w:rFonts w:ascii="Times New Roman" w:hAnsi="Times New Roman" w:cs="Times New Roman" w:eastAsia="Times New Roman" w:hint="default"/>
                <w:sz w:val="18"/>
                <w:szCs w:val="18"/>
              </w:rPr>
              <w:t>V2.0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073850</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2007SR07855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正普数字化集成平台系统</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073851</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2007SR07856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center"/>
              <w:rPr>
                <w:rFonts w:ascii="Times New Roman" w:hAnsi="Times New Roman" w:cs="Times New Roman" w:eastAsia="Times New Roman" w:hint="default"/>
                <w:sz w:val="18"/>
                <w:szCs w:val="18"/>
              </w:rPr>
            </w:pPr>
            <w:r>
              <w:rPr>
                <w:rFonts w:ascii="Times New Roman"/>
                <w:sz w:val="18"/>
              </w:rPr>
              <w:t>6</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正普智能卡授权软件</w:t>
            </w:r>
            <w:r>
              <w:rPr>
                <w:rFonts w:ascii="Times New Roman" w:hAnsi="Times New Roman" w:cs="Times New Roman" w:eastAsia="Times New Roman" w:hint="default"/>
                <w:sz w:val="18"/>
                <w:szCs w:val="18"/>
              </w:rPr>
              <w:t>V2.0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073852</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2007SR07857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32"/>
              <w:jc w:val="left"/>
              <w:rPr>
                <w:rFonts w:ascii="宋体" w:hAnsi="宋体" w:cs="宋体" w:eastAsia="宋体" w:hint="default"/>
                <w:sz w:val="18"/>
                <w:szCs w:val="18"/>
              </w:rPr>
            </w:pPr>
            <w:r>
              <w:rPr>
                <w:rFonts w:ascii="宋体" w:hAnsi="宋体" w:cs="宋体" w:eastAsia="宋体" w:hint="default"/>
                <w:spacing w:val="24"/>
                <w:sz w:val="18"/>
                <w:szCs w:val="18"/>
              </w:rPr>
              <w:t>新开普</w:t>
            </w:r>
            <w:r>
              <w:rPr>
                <w:rFonts w:ascii="宋体" w:hAnsi="宋体" w:cs="宋体" w:eastAsia="宋体" w:hint="default"/>
                <w:spacing w:val="-53"/>
                <w:sz w:val="18"/>
                <w:szCs w:val="18"/>
              </w:rPr>
              <w:t> </w:t>
            </w:r>
            <w:r>
              <w:rPr>
                <w:rFonts w:ascii="宋体" w:hAnsi="宋体" w:cs="宋体" w:eastAsia="宋体" w:hint="default"/>
                <w:spacing w:val="18"/>
                <w:sz w:val="18"/>
                <w:szCs w:val="18"/>
              </w:rPr>
              <w:t>一卡</w:t>
            </w:r>
            <w:r>
              <w:rPr>
                <w:rFonts w:ascii="宋体" w:hAnsi="宋体" w:cs="宋体" w:eastAsia="宋体" w:hint="default"/>
                <w:spacing w:val="-53"/>
                <w:sz w:val="18"/>
                <w:szCs w:val="18"/>
              </w:rPr>
              <w:t> </w:t>
            </w:r>
            <w:r>
              <w:rPr>
                <w:rFonts w:ascii="宋体" w:hAnsi="宋体" w:cs="宋体" w:eastAsia="宋体" w:hint="default"/>
                <w:spacing w:val="24"/>
                <w:sz w:val="18"/>
                <w:szCs w:val="18"/>
              </w:rPr>
              <w:t>通管理</w:t>
            </w:r>
            <w:r>
              <w:rPr>
                <w:rFonts w:ascii="宋体" w:hAnsi="宋体" w:cs="宋体" w:eastAsia="宋体" w:hint="default"/>
                <w:spacing w:val="-53"/>
                <w:sz w:val="18"/>
                <w:szCs w:val="18"/>
              </w:rPr>
              <w:t> </w:t>
            </w:r>
            <w:r>
              <w:rPr>
                <w:rFonts w:ascii="宋体" w:hAnsi="宋体" w:cs="宋体" w:eastAsia="宋体" w:hint="default"/>
                <w:spacing w:val="18"/>
                <w:sz w:val="18"/>
                <w:szCs w:val="18"/>
              </w:rPr>
              <w:t>系统</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073853</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2007SR07858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572" w:type="dxa"/>
        <w:tblLayout w:type="fixed"/>
        <w:tblCellMar>
          <w:top w:w="0" w:type="dxa"/>
          <w:left w:w="0" w:type="dxa"/>
          <w:bottom w:w="0" w:type="dxa"/>
          <w:right w:w="0" w:type="dxa"/>
        </w:tblCellMar>
        <w:tblLook w:val="01E0"/>
      </w:tblPr>
      <w:tblGrid>
        <w:gridCol w:w="708"/>
        <w:gridCol w:w="2149"/>
        <w:gridCol w:w="1379"/>
        <w:gridCol w:w="1337"/>
        <w:gridCol w:w="1026"/>
        <w:gridCol w:w="1003"/>
        <w:gridCol w:w="1186"/>
      </w:tblGrid>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新开普用电计量单元嵌入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式程序</w:t>
            </w:r>
            <w:r>
              <w:rPr>
                <w:rFonts w:ascii="Times New Roman" w:hAnsi="Times New Roman" w:cs="Times New Roman" w:eastAsia="Times New Roman" w:hint="default"/>
                <w:sz w:val="18"/>
                <w:szCs w:val="18"/>
              </w:rPr>
              <w:t>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0141776</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2009SR014776</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新开普洗衣机控制器嵌入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式程序</w:t>
            </w:r>
            <w:r>
              <w:rPr>
                <w:rFonts w:ascii="Times New Roman" w:hAnsi="Times New Roman" w:cs="Times New Roman" w:eastAsia="Times New Roman" w:hint="default"/>
                <w:sz w:val="18"/>
                <w:szCs w:val="18"/>
              </w:rPr>
              <w:t>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0141778</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2009SR014778</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新开普预付费电表嵌入式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程序</w:t>
            </w:r>
            <w:r>
              <w:rPr>
                <w:rFonts w:ascii="Times New Roman" w:hAnsi="Times New Roman" w:cs="Times New Roman" w:eastAsia="Times New Roman" w:hint="default"/>
                <w:sz w:val="18"/>
                <w:szCs w:val="18"/>
              </w:rPr>
              <w:t>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0141779</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2009SR014779</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新开普预付费水表嵌入式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程序</w:t>
            </w:r>
            <w:r>
              <w:rPr>
                <w:rFonts w:ascii="Times New Roman" w:hAnsi="Times New Roman" w:cs="Times New Roman" w:eastAsia="Times New Roman" w:hint="default"/>
                <w:sz w:val="18"/>
                <w:szCs w:val="18"/>
              </w:rPr>
              <w:t>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0141780</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2009SR014780</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新开普水控器嵌入式程序</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0141781</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2009SR014781</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新开普洗衣机嵌入式程序</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0141782</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2009SR014782</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新开普考勤机嵌入式程序</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0141783</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2009SR014783</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新开普圈存机嵌入式程序</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0141784</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2009SR014784</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3" w:right="43" w:hanging="270"/>
              <w:jc w:val="left"/>
              <w:rPr>
                <w:rFonts w:ascii="宋体" w:hAnsi="宋体" w:cs="宋体" w:eastAsia="宋体" w:hint="default"/>
                <w:sz w:val="18"/>
                <w:szCs w:val="18"/>
              </w:rPr>
            </w:pPr>
            <w:r>
              <w:rPr>
                <w:rFonts w:ascii="宋体" w:hAnsi="宋体" w:cs="宋体" w:eastAsia="宋体" w:hint="default"/>
                <w:sz w:val="18"/>
                <w:szCs w:val="18"/>
              </w:rPr>
              <w:t>新开普和子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新开普无障碍通道机嵌入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式程序</w:t>
            </w:r>
            <w:r>
              <w:rPr>
                <w:rFonts w:ascii="Times New Roman" w:hAnsi="Times New Roman" w:cs="Times New Roman" w:eastAsia="Times New Roman" w:hint="default"/>
                <w:sz w:val="18"/>
                <w:szCs w:val="18"/>
              </w:rPr>
              <w:t>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0141785</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2009SR014785</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3" w:right="43" w:hanging="270"/>
              <w:jc w:val="left"/>
              <w:rPr>
                <w:rFonts w:ascii="宋体" w:hAnsi="宋体" w:cs="宋体" w:eastAsia="宋体" w:hint="default"/>
                <w:sz w:val="18"/>
                <w:szCs w:val="18"/>
              </w:rPr>
            </w:pPr>
            <w:r>
              <w:rPr>
                <w:rFonts w:ascii="宋体" w:hAnsi="宋体" w:cs="宋体" w:eastAsia="宋体" w:hint="default"/>
                <w:sz w:val="18"/>
                <w:szCs w:val="18"/>
              </w:rPr>
              <w:t>新开普和子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新开普电控管理机嵌入式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程序</w:t>
            </w:r>
            <w:r>
              <w:rPr>
                <w:rFonts w:ascii="Times New Roman" w:hAnsi="Times New Roman" w:cs="Times New Roman" w:eastAsia="Times New Roman" w:hint="default"/>
                <w:sz w:val="18"/>
                <w:szCs w:val="18"/>
              </w:rPr>
              <w:t>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0141786</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2009SR014786</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3" w:right="43" w:hanging="270"/>
              <w:jc w:val="left"/>
              <w:rPr>
                <w:rFonts w:ascii="宋体" w:hAnsi="宋体" w:cs="宋体" w:eastAsia="宋体" w:hint="default"/>
                <w:sz w:val="18"/>
                <w:szCs w:val="18"/>
              </w:rPr>
            </w:pPr>
            <w:r>
              <w:rPr>
                <w:rFonts w:ascii="宋体" w:hAnsi="宋体" w:cs="宋体" w:eastAsia="宋体" w:hint="default"/>
                <w:sz w:val="18"/>
                <w:szCs w:val="18"/>
              </w:rPr>
              <w:t>新开普和子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新开普门禁控制器嵌入式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程序</w:t>
            </w:r>
            <w:r>
              <w:rPr>
                <w:rFonts w:ascii="Times New Roman" w:hAnsi="Times New Roman" w:cs="Times New Roman" w:eastAsia="Times New Roman" w:hint="default"/>
                <w:sz w:val="18"/>
                <w:szCs w:val="18"/>
              </w:rPr>
              <w:t>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0141787</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2009SR014787</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3" w:right="43" w:hanging="270"/>
              <w:jc w:val="left"/>
              <w:rPr>
                <w:rFonts w:ascii="宋体" w:hAnsi="宋体" w:cs="宋体" w:eastAsia="宋体" w:hint="default"/>
                <w:sz w:val="18"/>
                <w:szCs w:val="18"/>
              </w:rPr>
            </w:pPr>
            <w:r>
              <w:rPr>
                <w:rFonts w:ascii="宋体" w:hAnsi="宋体" w:cs="宋体" w:eastAsia="宋体" w:hint="default"/>
                <w:sz w:val="18"/>
                <w:szCs w:val="18"/>
              </w:rPr>
              <w:t>新开普和子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新开普射频卡读写器（发卡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器）嵌入式程序</w:t>
            </w:r>
            <w:r>
              <w:rPr>
                <w:rFonts w:ascii="Times New Roman" w:hAnsi="Times New Roman" w:cs="Times New Roman" w:eastAsia="Times New Roman" w:hint="default"/>
                <w:sz w:val="18"/>
                <w:szCs w:val="18"/>
              </w:rPr>
              <w:t>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0141790</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2009SR014790</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3" w:right="43" w:hanging="270"/>
              <w:jc w:val="left"/>
              <w:rPr>
                <w:rFonts w:ascii="宋体" w:hAnsi="宋体" w:cs="宋体" w:eastAsia="宋体" w:hint="default"/>
                <w:sz w:val="18"/>
                <w:szCs w:val="18"/>
              </w:rPr>
            </w:pPr>
            <w:r>
              <w:rPr>
                <w:rFonts w:ascii="宋体" w:hAnsi="宋体" w:cs="宋体" w:eastAsia="宋体" w:hint="default"/>
                <w:sz w:val="18"/>
                <w:szCs w:val="18"/>
              </w:rPr>
              <w:t>新开普和子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新开普射频卡计费终端</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营</w:t>
            </w:r>
            <w:r>
              <w:rPr>
                <w:rFonts w:ascii="宋体" w:hAnsi="宋体" w:cs="宋体" w:eastAsia="宋体" w:hint="default"/>
                <w:sz w:val="18"/>
                <w:szCs w:val="18"/>
              </w:rPr>
              <w:t> 业机</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嵌入式程序</w:t>
            </w:r>
            <w:r>
              <w:rPr>
                <w:rFonts w:ascii="Times New Roman" w:hAnsi="Times New Roman" w:cs="Times New Roman" w:eastAsia="Times New Roman" w:hint="default"/>
                <w:sz w:val="18"/>
                <w:szCs w:val="18"/>
              </w:rPr>
              <w:t>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0141795</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2009SR014795</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3" w:right="43" w:hanging="270"/>
              <w:jc w:val="left"/>
              <w:rPr>
                <w:rFonts w:ascii="宋体" w:hAnsi="宋体" w:cs="宋体" w:eastAsia="宋体" w:hint="default"/>
                <w:sz w:val="18"/>
                <w:szCs w:val="18"/>
              </w:rPr>
            </w:pPr>
            <w:r>
              <w:rPr>
                <w:rFonts w:ascii="宋体" w:hAnsi="宋体" w:cs="宋体" w:eastAsia="宋体" w:hint="default"/>
                <w:sz w:val="18"/>
                <w:szCs w:val="18"/>
              </w:rPr>
              <w:t>新开普和子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正普银校通自助服务终端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0256514</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2010SR068241</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正普数</w:t>
            </w:r>
            <w:r>
              <w:rPr>
                <w:rFonts w:ascii="宋体" w:hAnsi="宋体" w:cs="宋体" w:eastAsia="宋体" w:hint="default"/>
                <w:spacing w:val="-53"/>
                <w:sz w:val="18"/>
                <w:szCs w:val="18"/>
              </w:rPr>
              <w:t> </w:t>
            </w:r>
            <w:r>
              <w:rPr>
                <w:rFonts w:ascii="宋体" w:hAnsi="宋体" w:cs="宋体" w:eastAsia="宋体" w:hint="default"/>
                <w:spacing w:val="18"/>
                <w:sz w:val="18"/>
                <w:szCs w:val="18"/>
              </w:rPr>
              <w:t>据交</w:t>
            </w:r>
            <w:r>
              <w:rPr>
                <w:rFonts w:ascii="宋体" w:hAnsi="宋体" w:cs="宋体" w:eastAsia="宋体" w:hint="default"/>
                <w:spacing w:val="-53"/>
                <w:sz w:val="18"/>
                <w:szCs w:val="18"/>
              </w:rPr>
              <w:t> </w:t>
            </w:r>
            <w:r>
              <w:rPr>
                <w:rFonts w:ascii="宋体" w:hAnsi="宋体" w:cs="宋体" w:eastAsia="宋体" w:hint="default"/>
                <w:spacing w:val="24"/>
                <w:sz w:val="18"/>
                <w:szCs w:val="18"/>
              </w:rPr>
              <w:t>换中心</w:t>
            </w:r>
            <w:r>
              <w:rPr>
                <w:rFonts w:ascii="宋体" w:hAnsi="宋体" w:cs="宋体" w:eastAsia="宋体" w:hint="default"/>
                <w:spacing w:val="-53"/>
                <w:sz w:val="18"/>
                <w:szCs w:val="18"/>
              </w:rPr>
              <w:t> </w:t>
            </w:r>
            <w:r>
              <w:rPr>
                <w:rFonts w:ascii="宋体" w:hAnsi="宋体" w:cs="宋体" w:eastAsia="宋体" w:hint="default"/>
                <w:spacing w:val="18"/>
                <w:sz w:val="18"/>
                <w:szCs w:val="18"/>
              </w:rPr>
              <w:t>平台</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0256516</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2010SR068243</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正普统</w:t>
            </w:r>
            <w:r>
              <w:rPr>
                <w:rFonts w:ascii="宋体" w:hAnsi="宋体" w:cs="宋体" w:eastAsia="宋体" w:hint="default"/>
                <w:spacing w:val="-53"/>
                <w:sz w:val="18"/>
                <w:szCs w:val="18"/>
              </w:rPr>
              <w:t> </w:t>
            </w:r>
            <w:r>
              <w:rPr>
                <w:rFonts w:ascii="宋体" w:hAnsi="宋体" w:cs="宋体" w:eastAsia="宋体" w:hint="default"/>
                <w:spacing w:val="18"/>
                <w:sz w:val="18"/>
                <w:szCs w:val="18"/>
              </w:rPr>
              <w:t>一身</w:t>
            </w:r>
            <w:r>
              <w:rPr>
                <w:rFonts w:ascii="宋体" w:hAnsi="宋体" w:cs="宋体" w:eastAsia="宋体" w:hint="default"/>
                <w:spacing w:val="-53"/>
                <w:sz w:val="18"/>
                <w:szCs w:val="18"/>
              </w:rPr>
              <w:t> </w:t>
            </w:r>
            <w:r>
              <w:rPr>
                <w:rFonts w:ascii="宋体" w:hAnsi="宋体" w:cs="宋体" w:eastAsia="宋体" w:hint="default"/>
                <w:spacing w:val="24"/>
                <w:sz w:val="18"/>
                <w:szCs w:val="18"/>
              </w:rPr>
              <w:t>份认证</w:t>
            </w:r>
            <w:r>
              <w:rPr>
                <w:rFonts w:ascii="宋体" w:hAnsi="宋体" w:cs="宋体" w:eastAsia="宋体" w:hint="default"/>
                <w:spacing w:val="-53"/>
                <w:sz w:val="18"/>
                <w:szCs w:val="18"/>
              </w:rPr>
              <w:t> </w:t>
            </w:r>
            <w:r>
              <w:rPr>
                <w:rFonts w:ascii="宋体" w:hAnsi="宋体" w:cs="宋体" w:eastAsia="宋体" w:hint="default"/>
                <w:spacing w:val="18"/>
                <w:sz w:val="18"/>
                <w:szCs w:val="18"/>
              </w:rPr>
              <w:t>平台</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0256536</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2010SR068263</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正普统</w:t>
            </w:r>
            <w:r>
              <w:rPr>
                <w:rFonts w:ascii="宋体" w:hAnsi="宋体" w:cs="宋体" w:eastAsia="宋体" w:hint="default"/>
                <w:spacing w:val="-53"/>
                <w:sz w:val="18"/>
                <w:szCs w:val="18"/>
              </w:rPr>
              <w:t> </w:t>
            </w:r>
            <w:r>
              <w:rPr>
                <w:rFonts w:ascii="宋体" w:hAnsi="宋体" w:cs="宋体" w:eastAsia="宋体" w:hint="default"/>
                <w:spacing w:val="18"/>
                <w:sz w:val="18"/>
                <w:szCs w:val="18"/>
              </w:rPr>
              <w:t>一信</w:t>
            </w:r>
            <w:r>
              <w:rPr>
                <w:rFonts w:ascii="宋体" w:hAnsi="宋体" w:cs="宋体" w:eastAsia="宋体" w:hint="default"/>
                <w:spacing w:val="-53"/>
                <w:sz w:val="18"/>
                <w:szCs w:val="18"/>
              </w:rPr>
              <w:t> </w:t>
            </w:r>
            <w:r>
              <w:rPr>
                <w:rFonts w:ascii="宋体" w:hAnsi="宋体" w:cs="宋体" w:eastAsia="宋体" w:hint="default"/>
                <w:spacing w:val="24"/>
                <w:sz w:val="18"/>
                <w:szCs w:val="18"/>
              </w:rPr>
              <w:t>息门户</w:t>
            </w:r>
            <w:r>
              <w:rPr>
                <w:rFonts w:ascii="宋体" w:hAnsi="宋体" w:cs="宋体" w:eastAsia="宋体" w:hint="default"/>
                <w:spacing w:val="-53"/>
                <w:sz w:val="18"/>
                <w:szCs w:val="18"/>
              </w:rPr>
              <w:t> </w:t>
            </w:r>
            <w:r>
              <w:rPr>
                <w:rFonts w:ascii="宋体" w:hAnsi="宋体" w:cs="宋体" w:eastAsia="宋体" w:hint="default"/>
                <w:spacing w:val="18"/>
                <w:sz w:val="18"/>
                <w:szCs w:val="18"/>
              </w:rPr>
              <w:t>平台</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V3.0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0256518</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2010SR068245</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正普智能卡车载嵌入式程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序</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0256534</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2010SR068261</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8"/>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正普</w:t>
            </w:r>
            <w:r>
              <w:rPr>
                <w:rFonts w:ascii="Times New Roman" w:hAnsi="Times New Roman" w:cs="Times New Roman" w:eastAsia="Times New Roman" w:hint="default"/>
                <w:spacing w:val="8"/>
                <w:sz w:val="18"/>
                <w:szCs w:val="18"/>
              </w:rPr>
              <w:t>ARM</w:t>
            </w:r>
            <w:r>
              <w:rPr>
                <w:rFonts w:ascii="宋体" w:hAnsi="宋体" w:cs="宋体" w:eastAsia="宋体" w:hint="default"/>
                <w:spacing w:val="8"/>
                <w:sz w:val="18"/>
                <w:szCs w:val="18"/>
              </w:rPr>
              <w:t>台式机嵌入式程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序</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0256814</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2010SR068541</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8"/>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正普基于</w:t>
            </w:r>
            <w:r>
              <w:rPr>
                <w:rFonts w:ascii="Times New Roman" w:hAnsi="Times New Roman" w:cs="Times New Roman" w:eastAsia="Times New Roman" w:hint="default"/>
                <w:spacing w:val="8"/>
                <w:sz w:val="18"/>
                <w:szCs w:val="18"/>
              </w:rPr>
              <w:t>ARM</w:t>
            </w:r>
            <w:r>
              <w:rPr>
                <w:rFonts w:ascii="宋体" w:hAnsi="宋体" w:cs="宋体" w:eastAsia="宋体" w:hint="default"/>
                <w:spacing w:val="8"/>
                <w:sz w:val="18"/>
                <w:szCs w:val="18"/>
              </w:rPr>
              <w:t>的嵌入式城</w:t>
            </w:r>
            <w:r>
              <w:rPr>
                <w:rFonts w:ascii="宋体" w:hAnsi="宋体" w:cs="宋体" w:eastAsia="宋体" w:hint="default"/>
                <w:spacing w:val="-85"/>
                <w:sz w:val="18"/>
                <w:szCs w:val="18"/>
              </w:rPr>
              <w:t> </w:t>
            </w:r>
            <w:r>
              <w:rPr>
                <w:rFonts w:ascii="宋体" w:hAnsi="宋体" w:cs="宋体" w:eastAsia="宋体" w:hint="default"/>
                <w:sz w:val="18"/>
                <w:szCs w:val="18"/>
              </w:rPr>
              <w:t>市消费终端软件</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0256836</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2010SR068563</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正普汉显门禁读头嵌入式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程序</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0256816</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2010SR068543</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572" w:type="dxa"/>
        <w:tblLayout w:type="fixed"/>
        <w:tblCellMar>
          <w:top w:w="0" w:type="dxa"/>
          <w:left w:w="0" w:type="dxa"/>
          <w:bottom w:w="0" w:type="dxa"/>
          <w:right w:w="0" w:type="dxa"/>
        </w:tblCellMar>
        <w:tblLook w:val="01E0"/>
      </w:tblPr>
      <w:tblGrid>
        <w:gridCol w:w="708"/>
        <w:gridCol w:w="2149"/>
        <w:gridCol w:w="1379"/>
        <w:gridCol w:w="1337"/>
        <w:gridCol w:w="1026"/>
        <w:gridCol w:w="1003"/>
        <w:gridCol w:w="1186"/>
      </w:tblGrid>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正普手</w:t>
            </w:r>
            <w:r>
              <w:rPr>
                <w:rFonts w:ascii="宋体" w:hAnsi="宋体" w:cs="宋体" w:eastAsia="宋体" w:hint="default"/>
                <w:spacing w:val="-53"/>
                <w:sz w:val="18"/>
                <w:szCs w:val="18"/>
              </w:rPr>
              <w:t> </w:t>
            </w:r>
            <w:r>
              <w:rPr>
                <w:rFonts w:ascii="宋体" w:hAnsi="宋体" w:cs="宋体" w:eastAsia="宋体" w:hint="default"/>
                <w:spacing w:val="18"/>
                <w:sz w:val="18"/>
                <w:szCs w:val="18"/>
              </w:rPr>
              <w:t>持机</w:t>
            </w:r>
            <w:r>
              <w:rPr>
                <w:rFonts w:ascii="宋体" w:hAnsi="宋体" w:cs="宋体" w:eastAsia="宋体" w:hint="default"/>
                <w:spacing w:val="-53"/>
                <w:sz w:val="18"/>
                <w:szCs w:val="18"/>
              </w:rPr>
              <w:t> </w:t>
            </w:r>
            <w:r>
              <w:rPr>
                <w:rFonts w:ascii="宋体" w:hAnsi="宋体" w:cs="宋体" w:eastAsia="宋体" w:hint="default"/>
                <w:spacing w:val="24"/>
                <w:sz w:val="18"/>
                <w:szCs w:val="18"/>
              </w:rPr>
              <w:t>嵌入式</w:t>
            </w:r>
            <w:r>
              <w:rPr>
                <w:rFonts w:ascii="宋体" w:hAnsi="宋体" w:cs="宋体" w:eastAsia="宋体" w:hint="default"/>
                <w:spacing w:val="-53"/>
                <w:sz w:val="18"/>
                <w:szCs w:val="18"/>
              </w:rPr>
              <w:t> </w:t>
            </w:r>
            <w:r>
              <w:rPr>
                <w:rFonts w:ascii="宋体" w:hAnsi="宋体" w:cs="宋体" w:eastAsia="宋体" w:hint="default"/>
                <w:spacing w:val="18"/>
                <w:sz w:val="18"/>
                <w:szCs w:val="18"/>
              </w:rPr>
              <w:t>程序</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2010SR068545</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0256818</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正普指纹手持机嵌入式程</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2010SR068455</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V2.0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0256728</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正普短信运维平台</w:t>
            </w:r>
            <w:r>
              <w:rPr>
                <w:rFonts w:ascii="Times New Roman" w:hAnsi="Times New Roman" w:cs="Times New Roman" w:eastAsia="Times New Roman" w:hint="default"/>
                <w:sz w:val="18"/>
                <w:szCs w:val="18"/>
              </w:rPr>
              <w:t>V2.0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0256820</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2010SR068547</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正普智能卡门禁管理系统</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2010SR068549</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0256822</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正普智能卡密钥管理系统</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2010SR068550</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0256823</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正普电</w:t>
            </w:r>
            <w:r>
              <w:rPr>
                <w:rFonts w:ascii="宋体" w:hAnsi="宋体" w:cs="宋体" w:eastAsia="宋体" w:hint="default"/>
                <w:spacing w:val="-53"/>
                <w:sz w:val="18"/>
                <w:szCs w:val="18"/>
              </w:rPr>
              <w:t> </w:t>
            </w:r>
            <w:r>
              <w:rPr>
                <w:rFonts w:ascii="宋体" w:hAnsi="宋体" w:cs="宋体" w:eastAsia="宋体" w:hint="default"/>
                <w:spacing w:val="18"/>
                <w:sz w:val="18"/>
                <w:szCs w:val="18"/>
              </w:rPr>
              <w:t>信支</w:t>
            </w:r>
            <w:r>
              <w:rPr>
                <w:rFonts w:ascii="宋体" w:hAnsi="宋体" w:cs="宋体" w:eastAsia="宋体" w:hint="default"/>
                <w:spacing w:val="-53"/>
                <w:sz w:val="18"/>
                <w:szCs w:val="18"/>
              </w:rPr>
              <w:t> </w:t>
            </w:r>
            <w:r>
              <w:rPr>
                <w:rFonts w:ascii="宋体" w:hAnsi="宋体" w:cs="宋体" w:eastAsia="宋体" w:hint="default"/>
                <w:spacing w:val="24"/>
                <w:sz w:val="18"/>
                <w:szCs w:val="18"/>
              </w:rPr>
              <w:t>付管理</w:t>
            </w:r>
            <w:r>
              <w:rPr>
                <w:rFonts w:ascii="宋体" w:hAnsi="宋体" w:cs="宋体" w:eastAsia="宋体" w:hint="default"/>
                <w:spacing w:val="-53"/>
                <w:sz w:val="18"/>
                <w:szCs w:val="18"/>
              </w:rPr>
              <w:t> </w:t>
            </w:r>
            <w:r>
              <w:rPr>
                <w:rFonts w:ascii="宋体" w:hAnsi="宋体" w:cs="宋体" w:eastAsia="宋体" w:hint="default"/>
                <w:spacing w:val="18"/>
                <w:sz w:val="18"/>
                <w:szCs w:val="18"/>
              </w:rPr>
              <w:t>系统</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2010SR068456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0256729</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正普移</w:t>
            </w:r>
            <w:r>
              <w:rPr>
                <w:rFonts w:ascii="宋体" w:hAnsi="宋体" w:cs="宋体" w:eastAsia="宋体" w:hint="default"/>
                <w:spacing w:val="-53"/>
                <w:sz w:val="18"/>
                <w:szCs w:val="18"/>
              </w:rPr>
              <w:t> </w:t>
            </w:r>
            <w:r>
              <w:rPr>
                <w:rFonts w:ascii="宋体" w:hAnsi="宋体" w:cs="宋体" w:eastAsia="宋体" w:hint="default"/>
                <w:spacing w:val="18"/>
                <w:sz w:val="18"/>
                <w:szCs w:val="18"/>
              </w:rPr>
              <w:t>动支</w:t>
            </w:r>
            <w:r>
              <w:rPr>
                <w:rFonts w:ascii="宋体" w:hAnsi="宋体" w:cs="宋体" w:eastAsia="宋体" w:hint="default"/>
                <w:spacing w:val="-53"/>
                <w:sz w:val="18"/>
                <w:szCs w:val="18"/>
              </w:rPr>
              <w:t> </w:t>
            </w:r>
            <w:r>
              <w:rPr>
                <w:rFonts w:ascii="宋体" w:hAnsi="宋体" w:cs="宋体" w:eastAsia="宋体" w:hint="default"/>
                <w:spacing w:val="24"/>
                <w:sz w:val="18"/>
                <w:szCs w:val="18"/>
              </w:rPr>
              <w:t>付管理</w:t>
            </w:r>
            <w:r>
              <w:rPr>
                <w:rFonts w:ascii="宋体" w:hAnsi="宋体" w:cs="宋体" w:eastAsia="宋体" w:hint="default"/>
                <w:spacing w:val="-53"/>
                <w:sz w:val="18"/>
                <w:szCs w:val="18"/>
              </w:rPr>
              <w:t> </w:t>
            </w:r>
            <w:r>
              <w:rPr>
                <w:rFonts w:ascii="宋体" w:hAnsi="宋体" w:cs="宋体" w:eastAsia="宋体" w:hint="default"/>
                <w:spacing w:val="18"/>
                <w:sz w:val="18"/>
                <w:szCs w:val="18"/>
              </w:rPr>
              <w:t>系统</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2010SR068596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0256869</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3"/>
                <w:sz w:val="18"/>
                <w:szCs w:val="18"/>
              </w:rPr>
              <w:t>正普智能</w:t>
            </w:r>
            <w:r>
              <w:rPr>
                <w:rFonts w:ascii="Times New Roman" w:hAnsi="Times New Roman" w:cs="Times New Roman" w:eastAsia="Times New Roman" w:hint="default"/>
                <w:spacing w:val="13"/>
                <w:sz w:val="18"/>
                <w:szCs w:val="18"/>
              </w:rPr>
              <w:t>IC</w:t>
            </w:r>
            <w:r>
              <w:rPr>
                <w:rFonts w:ascii="宋体" w:hAnsi="宋体" w:cs="宋体" w:eastAsia="宋体" w:hint="default"/>
                <w:spacing w:val="13"/>
                <w:sz w:val="18"/>
                <w:szCs w:val="18"/>
              </w:rPr>
              <w:t>卡公共交通管</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2010SR068597</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理系统</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0256870</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正普城市小额消费统一结</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2010SR068599</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算支付平台</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0256872</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正普企业一卡通管理系统</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2011SR005766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0269440</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39</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正普无障碍通道管理系统</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2011SR005767</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0269441</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正普数</w:t>
            </w:r>
            <w:r>
              <w:rPr>
                <w:rFonts w:ascii="宋体" w:hAnsi="宋体" w:cs="宋体" w:eastAsia="宋体" w:hint="default"/>
                <w:spacing w:val="-53"/>
                <w:sz w:val="18"/>
                <w:szCs w:val="18"/>
              </w:rPr>
              <w:t> </w:t>
            </w:r>
            <w:r>
              <w:rPr>
                <w:rFonts w:ascii="宋体" w:hAnsi="宋体" w:cs="宋体" w:eastAsia="宋体" w:hint="default"/>
                <w:spacing w:val="18"/>
                <w:sz w:val="18"/>
                <w:szCs w:val="18"/>
              </w:rPr>
              <w:t>字迎</w:t>
            </w:r>
            <w:r>
              <w:rPr>
                <w:rFonts w:ascii="宋体" w:hAnsi="宋体" w:cs="宋体" w:eastAsia="宋体" w:hint="default"/>
                <w:spacing w:val="-53"/>
                <w:sz w:val="18"/>
                <w:szCs w:val="18"/>
              </w:rPr>
              <w:t> </w:t>
            </w:r>
            <w:r>
              <w:rPr>
                <w:rFonts w:ascii="宋体" w:hAnsi="宋体" w:cs="宋体" w:eastAsia="宋体" w:hint="default"/>
                <w:spacing w:val="24"/>
                <w:sz w:val="18"/>
                <w:szCs w:val="18"/>
              </w:rPr>
              <w:t>新管理</w:t>
            </w:r>
            <w:r>
              <w:rPr>
                <w:rFonts w:ascii="宋体" w:hAnsi="宋体" w:cs="宋体" w:eastAsia="宋体" w:hint="default"/>
                <w:spacing w:val="-53"/>
                <w:sz w:val="18"/>
                <w:szCs w:val="18"/>
              </w:rPr>
              <w:t> </w:t>
            </w:r>
            <w:r>
              <w:rPr>
                <w:rFonts w:ascii="宋体" w:hAnsi="宋体" w:cs="宋体" w:eastAsia="宋体" w:hint="default"/>
                <w:spacing w:val="18"/>
                <w:sz w:val="18"/>
                <w:szCs w:val="18"/>
              </w:rPr>
              <w:t>系统</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2011SR005760</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V2.0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0269434</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正普电</w:t>
            </w:r>
            <w:r>
              <w:rPr>
                <w:rFonts w:ascii="宋体" w:hAnsi="宋体" w:cs="宋体" w:eastAsia="宋体" w:hint="default"/>
                <w:spacing w:val="-53"/>
                <w:sz w:val="18"/>
                <w:szCs w:val="18"/>
              </w:rPr>
              <w:t> </w:t>
            </w:r>
            <w:r>
              <w:rPr>
                <w:rFonts w:ascii="宋体" w:hAnsi="宋体" w:cs="宋体" w:eastAsia="宋体" w:hint="default"/>
                <w:spacing w:val="18"/>
                <w:sz w:val="18"/>
                <w:szCs w:val="18"/>
              </w:rPr>
              <w:t>子离</w:t>
            </w:r>
            <w:r>
              <w:rPr>
                <w:rFonts w:ascii="宋体" w:hAnsi="宋体" w:cs="宋体" w:eastAsia="宋体" w:hint="default"/>
                <w:spacing w:val="-53"/>
                <w:sz w:val="18"/>
                <w:szCs w:val="18"/>
              </w:rPr>
              <w:t> </w:t>
            </w:r>
            <w:r>
              <w:rPr>
                <w:rFonts w:ascii="宋体" w:hAnsi="宋体" w:cs="宋体" w:eastAsia="宋体" w:hint="default"/>
                <w:spacing w:val="24"/>
                <w:sz w:val="18"/>
                <w:szCs w:val="18"/>
              </w:rPr>
              <w:t>校管理</w:t>
            </w:r>
            <w:r>
              <w:rPr>
                <w:rFonts w:ascii="宋体" w:hAnsi="宋体" w:cs="宋体" w:eastAsia="宋体" w:hint="default"/>
                <w:spacing w:val="-53"/>
                <w:sz w:val="18"/>
                <w:szCs w:val="18"/>
              </w:rPr>
              <w:t> </w:t>
            </w:r>
            <w:r>
              <w:rPr>
                <w:rFonts w:ascii="宋体" w:hAnsi="宋体" w:cs="宋体" w:eastAsia="宋体" w:hint="default"/>
                <w:spacing w:val="18"/>
                <w:sz w:val="18"/>
                <w:szCs w:val="18"/>
              </w:rPr>
              <w:t>系统</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2011SR005762</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0269436</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正普增值服务综合管理系</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2011SR005772</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0269446</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WAP</w:t>
            </w:r>
            <w:r>
              <w:rPr>
                <w:rFonts w:ascii="宋体" w:hAnsi="宋体" w:cs="宋体" w:eastAsia="宋体" w:hint="default"/>
                <w:sz w:val="18"/>
                <w:szCs w:val="18"/>
              </w:rPr>
              <w:t>门户系统</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0269449</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2011SR005775</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正普双频收费机嵌入式程</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2011SR005774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(ECARD-M)</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0269448</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正普双频充值机嵌入式程</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2011SR005761</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(ECARD-T)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0269435</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正普双频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20"/>
                <w:sz w:val="18"/>
                <w:szCs w:val="18"/>
              </w:rPr>
              <w:t> </w:t>
            </w:r>
            <w:r>
              <w:rPr>
                <w:rFonts w:ascii="宋体" w:hAnsi="宋体" w:cs="宋体" w:eastAsia="宋体" w:hint="default"/>
                <w:spacing w:val="12"/>
                <w:sz w:val="18"/>
                <w:szCs w:val="18"/>
              </w:rPr>
              <w:t>车载</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POS</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2011SR005764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16" w:hRule="exact"/>
        </w:trPr>
        <w:tc>
          <w:tcPr>
            <w:tcW w:w="708"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pacing w:val="49"/>
                <w:sz w:val="18"/>
                <w:szCs w:val="18"/>
              </w:rPr>
              <w:t>嵌入式程</w:t>
            </w:r>
            <w:r>
              <w:rPr>
                <w:rFonts w:ascii="宋体" w:hAnsi="宋体" w:cs="宋体" w:eastAsia="宋体" w:hint="default"/>
                <w:spacing w:val="-25"/>
                <w:sz w:val="18"/>
                <w:szCs w:val="18"/>
              </w:rPr>
              <w:t> </w:t>
            </w:r>
            <w:r>
              <w:rPr>
                <w:rFonts w:ascii="宋体" w:hAnsi="宋体" w:cs="宋体" w:eastAsia="宋体" w:hint="default"/>
                <w:sz w:val="18"/>
                <w:szCs w:val="18"/>
              </w:rPr>
              <w:t>序</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(ECARD-T)</w:t>
            </w:r>
          </w:p>
        </w:tc>
        <w:tc>
          <w:tcPr>
            <w:tcW w:w="137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0269438</w:t>
            </w:r>
            <w:r>
              <w:rPr>
                <w:rFonts w:ascii="宋体" w:hAnsi="宋体" w:cs="宋体" w:eastAsia="宋体" w:hint="default"/>
                <w:sz w:val="18"/>
                <w:szCs w:val="18"/>
              </w:rPr>
              <w:t>号</w:t>
            </w:r>
          </w:p>
        </w:tc>
        <w:tc>
          <w:tcPr>
            <w:tcW w:w="133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03"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正普一控四门禁控制器嵌</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2011SR005770</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入式程序</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0269444</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pacing w:val="18"/>
                <w:sz w:val="18"/>
                <w:szCs w:val="18"/>
              </w:rPr>
              <w:t>正普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考</w:t>
            </w:r>
            <w:r>
              <w:rPr>
                <w:rFonts w:ascii="宋体" w:hAnsi="宋体" w:cs="宋体" w:eastAsia="宋体" w:hint="default"/>
                <w:spacing w:val="-52"/>
                <w:sz w:val="18"/>
                <w:szCs w:val="18"/>
              </w:rPr>
              <w:t> </w:t>
            </w:r>
            <w:r>
              <w:rPr>
                <w:rFonts w:ascii="宋体" w:hAnsi="宋体" w:cs="宋体" w:eastAsia="宋体" w:hint="default"/>
                <w:spacing w:val="28"/>
                <w:sz w:val="18"/>
                <w:szCs w:val="18"/>
              </w:rPr>
              <w:t>勤管理系统</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2011SR007732</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0271406</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48"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正普考试管理系统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2011SR007728</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572" w:type="dxa"/>
        <w:tblLayout w:type="fixed"/>
        <w:tblCellMar>
          <w:top w:w="0" w:type="dxa"/>
          <w:left w:w="0" w:type="dxa"/>
          <w:bottom w:w="0" w:type="dxa"/>
          <w:right w:w="0" w:type="dxa"/>
        </w:tblCellMar>
        <w:tblLook w:val="01E0"/>
      </w:tblPr>
      <w:tblGrid>
        <w:gridCol w:w="708"/>
        <w:gridCol w:w="2149"/>
        <w:gridCol w:w="1379"/>
        <w:gridCol w:w="1337"/>
        <w:gridCol w:w="1026"/>
        <w:gridCol w:w="1003"/>
        <w:gridCol w:w="1186"/>
      </w:tblGrid>
      <w:tr>
        <w:trPr>
          <w:trHeight w:val="347" w:hRule="exact"/>
        </w:trPr>
        <w:tc>
          <w:tcPr>
            <w:tcW w:w="70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0271402</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2"/>
              <w:jc w:val="left"/>
              <w:rPr>
                <w:rFonts w:ascii="宋体" w:hAnsi="宋体" w:cs="宋体" w:eastAsia="宋体" w:hint="default"/>
                <w:sz w:val="18"/>
                <w:szCs w:val="18"/>
              </w:rPr>
            </w:pPr>
            <w:r>
              <w:rPr>
                <w:rFonts w:ascii="宋体" w:hAnsi="宋体" w:cs="宋体" w:eastAsia="宋体" w:hint="default"/>
                <w:spacing w:val="24"/>
                <w:sz w:val="18"/>
                <w:szCs w:val="18"/>
              </w:rPr>
              <w:t>正普人</w:t>
            </w:r>
            <w:r>
              <w:rPr>
                <w:rFonts w:ascii="宋体" w:hAnsi="宋体" w:cs="宋体" w:eastAsia="宋体" w:hint="default"/>
                <w:spacing w:val="-53"/>
                <w:sz w:val="18"/>
                <w:szCs w:val="18"/>
              </w:rPr>
              <w:t> </w:t>
            </w:r>
            <w:r>
              <w:rPr>
                <w:rFonts w:ascii="宋体" w:hAnsi="宋体" w:cs="宋体" w:eastAsia="宋体" w:hint="default"/>
                <w:spacing w:val="18"/>
                <w:sz w:val="18"/>
                <w:szCs w:val="18"/>
              </w:rPr>
              <w:t>事信</w:t>
            </w:r>
            <w:r>
              <w:rPr>
                <w:rFonts w:ascii="宋体" w:hAnsi="宋体" w:cs="宋体" w:eastAsia="宋体" w:hint="default"/>
                <w:spacing w:val="-53"/>
                <w:sz w:val="18"/>
                <w:szCs w:val="18"/>
              </w:rPr>
              <w:t> </w:t>
            </w:r>
            <w:r>
              <w:rPr>
                <w:rFonts w:ascii="宋体" w:hAnsi="宋体" w:cs="宋体" w:eastAsia="宋体" w:hint="default"/>
                <w:spacing w:val="24"/>
                <w:sz w:val="18"/>
                <w:szCs w:val="18"/>
              </w:rPr>
              <w:t>息管理</w:t>
            </w:r>
            <w:r>
              <w:rPr>
                <w:rFonts w:ascii="宋体" w:hAnsi="宋体" w:cs="宋体" w:eastAsia="宋体" w:hint="default"/>
                <w:spacing w:val="-53"/>
                <w:sz w:val="18"/>
                <w:szCs w:val="18"/>
              </w:rPr>
              <w:t> </w:t>
            </w:r>
            <w:r>
              <w:rPr>
                <w:rFonts w:ascii="宋体" w:hAnsi="宋体" w:cs="宋体" w:eastAsia="宋体" w:hint="default"/>
                <w:spacing w:val="18"/>
                <w:sz w:val="18"/>
                <w:szCs w:val="18"/>
              </w:rPr>
              <w:t>系统</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2011SR007730</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0271404</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正普增值服务集团客户端</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2011SR007736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0271410</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WEB/WAP</w:t>
            </w:r>
            <w:r>
              <w:rPr>
                <w:rFonts w:ascii="宋体" w:hAnsi="宋体" w:cs="宋体" w:eastAsia="宋体" w:hint="default"/>
                <w:sz w:val="18"/>
                <w:szCs w:val="18"/>
              </w:rPr>
              <w:t>内容管理系</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2011SR007735</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0271409</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53</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正普双频收费机嵌入式软</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2011SR007734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(ECARD-T)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0271408</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正普双频</w:t>
            </w:r>
            <w:r>
              <w:rPr>
                <w:rFonts w:ascii="Times New Roman" w:hAnsi="Times New Roman" w:cs="Times New Roman" w:eastAsia="Times New Roman" w:hint="default"/>
                <w:spacing w:val="4"/>
                <w:sz w:val="18"/>
                <w:szCs w:val="18"/>
              </w:rPr>
              <w:t>ZIGBEE</w:t>
            </w:r>
            <w:r>
              <w:rPr>
                <w:rFonts w:ascii="宋体" w:hAnsi="宋体" w:cs="宋体" w:eastAsia="宋体" w:hint="default"/>
                <w:spacing w:val="4"/>
                <w:sz w:val="18"/>
                <w:szCs w:val="18"/>
              </w:rPr>
              <w:t>车载</w:t>
            </w:r>
            <w:r>
              <w:rPr>
                <w:rFonts w:ascii="Times New Roman" w:hAnsi="Times New Roman" w:cs="Times New Roman" w:eastAsia="Times New Roman" w:hint="default"/>
                <w:spacing w:val="4"/>
                <w:sz w:val="18"/>
                <w:szCs w:val="18"/>
              </w:rPr>
              <w:t>POS</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2011SR007724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16" w:hRule="exact"/>
        </w:trPr>
        <w:tc>
          <w:tcPr>
            <w:tcW w:w="708"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pacing w:val="49"/>
                <w:sz w:val="18"/>
                <w:szCs w:val="18"/>
              </w:rPr>
              <w:t>嵌入式软</w:t>
            </w:r>
            <w:r>
              <w:rPr>
                <w:rFonts w:ascii="宋体" w:hAnsi="宋体" w:cs="宋体" w:eastAsia="宋体" w:hint="default"/>
                <w:spacing w:val="-25"/>
                <w:sz w:val="18"/>
                <w:szCs w:val="18"/>
              </w:rPr>
              <w:t> </w:t>
            </w:r>
            <w:r>
              <w:rPr>
                <w:rFonts w:ascii="宋体" w:hAnsi="宋体" w:cs="宋体" w:eastAsia="宋体" w:hint="default"/>
                <w:sz w:val="18"/>
                <w:szCs w:val="18"/>
              </w:rPr>
              <w:t>件</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(ECARD-T)</w:t>
            </w:r>
          </w:p>
        </w:tc>
        <w:tc>
          <w:tcPr>
            <w:tcW w:w="137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0271398</w:t>
            </w:r>
            <w:r>
              <w:rPr>
                <w:rFonts w:ascii="宋体" w:hAnsi="宋体" w:cs="宋体" w:eastAsia="宋体" w:hint="default"/>
                <w:sz w:val="18"/>
                <w:szCs w:val="18"/>
              </w:rPr>
              <w:t>号</w:t>
            </w:r>
          </w:p>
        </w:tc>
        <w:tc>
          <w:tcPr>
            <w:tcW w:w="133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03"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7"/>
              <w:jc w:val="left"/>
              <w:rPr>
                <w:rFonts w:ascii="宋体" w:hAnsi="宋体" w:cs="宋体" w:eastAsia="宋体" w:hint="default"/>
                <w:sz w:val="18"/>
                <w:szCs w:val="18"/>
              </w:rPr>
            </w:pPr>
            <w:r>
              <w:rPr>
                <w:rFonts w:ascii="宋体" w:hAnsi="宋体" w:cs="宋体" w:eastAsia="宋体" w:hint="default"/>
                <w:spacing w:val="14"/>
                <w:sz w:val="18"/>
                <w:szCs w:val="18"/>
              </w:rPr>
              <w:t>正普双频</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29"/>
                <w:sz w:val="18"/>
                <w:szCs w:val="18"/>
              </w:rPr>
              <w:t> </w:t>
            </w:r>
            <w:r>
              <w:rPr>
                <w:rFonts w:ascii="宋体" w:hAnsi="宋体" w:cs="宋体" w:eastAsia="宋体" w:hint="default"/>
                <w:spacing w:val="14"/>
                <w:sz w:val="18"/>
                <w:szCs w:val="18"/>
              </w:rPr>
              <w:t>收费机嵌</w:t>
            </w:r>
            <w:r>
              <w:rPr>
                <w:rFonts w:ascii="宋体" w:hAnsi="宋体" w:cs="宋体" w:eastAsia="宋体" w:hint="default"/>
                <w:spacing w:val="-71"/>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2011SR007726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入式软件</w:t>
            </w:r>
            <w:r>
              <w:rPr>
                <w:rFonts w:ascii="Times New Roman" w:hAnsi="Times New Roman" w:cs="Times New Roman" w:eastAsia="Times New Roman" w:hint="default"/>
                <w:sz w:val="18"/>
                <w:szCs w:val="18"/>
              </w:rPr>
              <w:t>(ECARD-T) 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0271400</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正普便携收费机嵌入式软</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2011SR007727</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0271401</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2"/>
              <w:jc w:val="left"/>
              <w:rPr>
                <w:rFonts w:ascii="宋体" w:hAnsi="宋体" w:cs="宋体" w:eastAsia="宋体" w:hint="default"/>
                <w:sz w:val="18"/>
                <w:szCs w:val="18"/>
              </w:rPr>
            </w:pPr>
            <w:r>
              <w:rPr>
                <w:rFonts w:ascii="宋体" w:hAnsi="宋体" w:cs="宋体" w:eastAsia="宋体" w:hint="default"/>
                <w:spacing w:val="11"/>
                <w:sz w:val="18"/>
                <w:szCs w:val="18"/>
              </w:rPr>
              <w:t>正普</w:t>
            </w:r>
            <w:r>
              <w:rPr>
                <w:rFonts w:ascii="Times New Roman" w:hAnsi="Times New Roman" w:cs="Times New Roman" w:eastAsia="Times New Roman" w:hint="default"/>
                <w:spacing w:val="11"/>
                <w:sz w:val="18"/>
                <w:szCs w:val="18"/>
              </w:rPr>
              <w:t>2.4G</w:t>
            </w:r>
            <w:r>
              <w:rPr>
                <w:rFonts w:ascii="宋体" w:hAnsi="宋体" w:cs="宋体" w:eastAsia="宋体" w:hint="default"/>
                <w:spacing w:val="11"/>
                <w:sz w:val="18"/>
                <w:szCs w:val="18"/>
              </w:rPr>
              <w:t>分体水控器嵌入</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2011SR007722</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式软件（</w:t>
            </w:r>
            <w:r>
              <w:rPr>
                <w:rFonts w:ascii="Times New Roman" w:hAnsi="Times New Roman" w:cs="Times New Roman" w:eastAsia="Times New Roman" w:hint="default"/>
                <w:sz w:val="18"/>
                <w:szCs w:val="18"/>
              </w:rPr>
              <w:t>ECARD-T</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0271396</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正普一卡通数据采集系统</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2011SR008550</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V3.0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0272224</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59</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正普标准版车载嵌入式软</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2011SR008553</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0272227</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6"/>
              <w:jc w:val="left"/>
              <w:rPr>
                <w:rFonts w:ascii="宋体" w:hAnsi="宋体" w:cs="宋体" w:eastAsia="宋体" w:hint="default"/>
                <w:sz w:val="18"/>
                <w:szCs w:val="18"/>
              </w:rPr>
            </w:pPr>
            <w:r>
              <w:rPr>
                <w:rFonts w:ascii="宋体" w:hAnsi="宋体" w:cs="宋体" w:eastAsia="宋体" w:hint="default"/>
                <w:spacing w:val="9"/>
                <w:sz w:val="18"/>
                <w:szCs w:val="18"/>
              </w:rPr>
              <w:t>正普</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9"/>
                <w:sz w:val="18"/>
                <w:szCs w:val="18"/>
              </w:rPr>
              <w:t> </w:t>
            </w:r>
            <w:r>
              <w:rPr>
                <w:rFonts w:ascii="宋体" w:hAnsi="宋体" w:cs="宋体" w:eastAsia="宋体" w:hint="default"/>
                <w:spacing w:val="15"/>
                <w:sz w:val="18"/>
                <w:szCs w:val="18"/>
              </w:rPr>
              <w:t>智能发卡器嵌入</w:t>
            </w:r>
            <w:r>
              <w:rPr>
                <w:rFonts w:ascii="宋体" w:hAnsi="宋体" w:cs="宋体" w:eastAsia="宋体" w:hint="default"/>
                <w:spacing w:val="-72"/>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2011SR008545</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式软件</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0272219</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正普双频充值机嵌入式软</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2011SR008544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(ECARD-M)</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0272218</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正普无障碍通道机嵌入式</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2011SR008549</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V2.0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0272223</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正普读卡身份认证终端嵌</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2011SR008551</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入式软件</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0272225</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64</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7"/>
              <w:jc w:val="left"/>
              <w:rPr>
                <w:rFonts w:ascii="宋体" w:hAnsi="宋体" w:cs="宋体" w:eastAsia="宋体" w:hint="default"/>
                <w:sz w:val="18"/>
                <w:szCs w:val="18"/>
              </w:rPr>
            </w:pPr>
            <w:r>
              <w:rPr>
                <w:rFonts w:ascii="宋体" w:hAnsi="宋体" w:cs="宋体" w:eastAsia="宋体" w:hint="default"/>
                <w:spacing w:val="9"/>
                <w:sz w:val="18"/>
                <w:szCs w:val="18"/>
              </w:rPr>
              <w:t>正普</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27"/>
                <w:sz w:val="18"/>
                <w:szCs w:val="18"/>
              </w:rPr>
              <w:t> </w:t>
            </w:r>
            <w:r>
              <w:rPr>
                <w:rFonts w:ascii="宋体" w:hAnsi="宋体" w:cs="宋体" w:eastAsia="宋体" w:hint="default"/>
                <w:spacing w:val="15"/>
                <w:sz w:val="18"/>
                <w:szCs w:val="18"/>
              </w:rPr>
              <w:t>考勤机嵌入式</w:t>
            </w:r>
            <w:r>
              <w:rPr>
                <w:rFonts w:ascii="宋体" w:hAnsi="宋体" w:cs="宋体" w:eastAsia="宋体" w:hint="default"/>
                <w:spacing w:val="-71"/>
                <w:sz w:val="18"/>
                <w:szCs w:val="18"/>
              </w:rPr>
              <w:t> </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2011SR008552</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0272226</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65</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正普双频考勤机嵌入式软</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2011SR008548</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ECARD-T</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0272222</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正普三相四线电子式预付</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2011SR008546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费电能表嵌入式软件</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0272220</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正普联网型单相电子式预</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2011SR008547</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17" w:hRule="exact"/>
        </w:trPr>
        <w:tc>
          <w:tcPr>
            <w:tcW w:w="708"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32"/>
              <w:jc w:val="left"/>
              <w:rPr>
                <w:rFonts w:ascii="宋体" w:hAnsi="宋体" w:cs="宋体" w:eastAsia="宋体" w:hint="default"/>
                <w:sz w:val="18"/>
                <w:szCs w:val="18"/>
              </w:rPr>
            </w:pPr>
            <w:r>
              <w:rPr>
                <w:rFonts w:ascii="宋体" w:hAnsi="宋体" w:cs="宋体" w:eastAsia="宋体" w:hint="default"/>
                <w:spacing w:val="24"/>
                <w:sz w:val="18"/>
                <w:szCs w:val="18"/>
              </w:rPr>
              <w:t>付费电</w:t>
            </w:r>
            <w:r>
              <w:rPr>
                <w:rFonts w:ascii="宋体" w:hAnsi="宋体" w:cs="宋体" w:eastAsia="宋体" w:hint="default"/>
                <w:spacing w:val="-53"/>
                <w:sz w:val="18"/>
                <w:szCs w:val="18"/>
              </w:rPr>
              <w:t> </w:t>
            </w:r>
            <w:r>
              <w:rPr>
                <w:rFonts w:ascii="宋体" w:hAnsi="宋体" w:cs="宋体" w:eastAsia="宋体" w:hint="default"/>
                <w:spacing w:val="18"/>
                <w:sz w:val="18"/>
                <w:szCs w:val="18"/>
              </w:rPr>
              <w:t>能表</w:t>
            </w:r>
            <w:r>
              <w:rPr>
                <w:rFonts w:ascii="宋体" w:hAnsi="宋体" w:cs="宋体" w:eastAsia="宋体" w:hint="default"/>
                <w:spacing w:val="-53"/>
                <w:sz w:val="18"/>
                <w:szCs w:val="18"/>
              </w:rPr>
              <w:t> </w:t>
            </w:r>
            <w:r>
              <w:rPr>
                <w:rFonts w:ascii="宋体" w:hAnsi="宋体" w:cs="宋体" w:eastAsia="宋体" w:hint="default"/>
                <w:spacing w:val="24"/>
                <w:sz w:val="18"/>
                <w:szCs w:val="18"/>
              </w:rPr>
              <w:t>嵌入式</w:t>
            </w:r>
            <w:r>
              <w:rPr>
                <w:rFonts w:ascii="宋体" w:hAnsi="宋体" w:cs="宋体" w:eastAsia="宋体" w:hint="default"/>
                <w:spacing w:val="-53"/>
                <w:sz w:val="18"/>
                <w:szCs w:val="18"/>
              </w:rPr>
              <w:t> </w:t>
            </w:r>
            <w:r>
              <w:rPr>
                <w:rFonts w:ascii="宋体" w:hAnsi="宋体" w:cs="宋体" w:eastAsia="宋体" w:hint="default"/>
                <w:spacing w:val="18"/>
                <w:sz w:val="18"/>
                <w:szCs w:val="18"/>
              </w:rPr>
              <w:t>软件</w:t>
            </w:r>
            <w:r>
              <w:rPr>
                <w:rFonts w:ascii="宋体" w:hAnsi="宋体" w:cs="宋体" w:eastAsia="宋体" w:hint="default"/>
                <w:spacing w:val="-54"/>
                <w:sz w:val="18"/>
                <w:szCs w:val="18"/>
              </w:rPr>
              <w:t> </w:t>
            </w:r>
            <w:r>
              <w:rPr>
                <w:rFonts w:ascii="宋体" w:hAnsi="宋体" w:cs="宋体" w:eastAsia="宋体" w:hint="default"/>
                <w:sz w:val="18"/>
                <w:szCs w:val="18"/>
              </w:rPr>
            </w:r>
          </w:p>
        </w:tc>
        <w:tc>
          <w:tcPr>
            <w:tcW w:w="13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0272221</w:t>
            </w:r>
            <w:r>
              <w:rPr>
                <w:rFonts w:ascii="宋体" w:hAnsi="宋体" w:cs="宋体" w:eastAsia="宋体" w:hint="default"/>
                <w:sz w:val="18"/>
                <w:szCs w:val="18"/>
              </w:rPr>
              <w:t>号</w:t>
            </w:r>
          </w:p>
        </w:tc>
        <w:tc>
          <w:tcPr>
            <w:tcW w:w="133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03"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18"/>
                <w:szCs w:val="18"/>
              </w:rPr>
            </w:pPr>
            <w:r>
              <w:rPr>
                <w:rFonts w:ascii="Times New Roman"/>
                <w:sz w:val="18"/>
              </w:rPr>
              <w:t>V1.0</w:t>
            </w:r>
          </w:p>
        </w:tc>
        <w:tc>
          <w:tcPr>
            <w:tcW w:w="1379" w:type="dxa"/>
            <w:tcBorders>
              <w:top w:val="nil" w:sz="6" w:space="0" w:color="auto"/>
              <w:left w:val="single" w:sz="6" w:space="0" w:color="000000"/>
              <w:bottom w:val="single" w:sz="6" w:space="0" w:color="000000"/>
              <w:right w:val="single" w:sz="6" w:space="0" w:color="000000"/>
            </w:tcBorders>
          </w:tcPr>
          <w:p>
            <w:pP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68</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正普预付费水电管理系统</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2011SR082674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13" w:hRule="exact"/>
        </w:trPr>
        <w:tc>
          <w:tcPr>
            <w:tcW w:w="708"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简称</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7"/>
                <w:sz w:val="18"/>
                <w:szCs w:val="18"/>
              </w:rPr>
              <w:t>预付费水电管理系</w:t>
            </w:r>
            <w:r>
              <w:rPr>
                <w:rFonts w:ascii="宋体" w:hAnsi="宋体" w:cs="宋体" w:eastAsia="宋体" w:hint="default"/>
                <w:spacing w:val="-70"/>
                <w:sz w:val="18"/>
                <w:szCs w:val="18"/>
              </w:rPr>
              <w:t> </w:t>
            </w:r>
            <w:r>
              <w:rPr>
                <w:rFonts w:ascii="宋体" w:hAnsi="宋体" w:cs="宋体" w:eastAsia="宋体" w:hint="default"/>
                <w:sz w:val="18"/>
                <w:szCs w:val="18"/>
              </w:rPr>
            </w:r>
          </w:p>
        </w:tc>
        <w:tc>
          <w:tcPr>
            <w:tcW w:w="13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0346348</w:t>
            </w:r>
            <w:r>
              <w:rPr>
                <w:rFonts w:ascii="宋体" w:hAnsi="宋体" w:cs="宋体" w:eastAsia="宋体" w:hint="default"/>
                <w:sz w:val="18"/>
                <w:szCs w:val="18"/>
              </w:rPr>
              <w:t>号</w:t>
            </w:r>
          </w:p>
        </w:tc>
        <w:tc>
          <w:tcPr>
            <w:tcW w:w="133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03"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w:t>
            </w:r>
            <w:r>
              <w:rPr>
                <w:rFonts w:ascii="Times New Roman" w:hAnsi="Times New Roman" w:cs="Times New Roman" w:eastAsia="Times New Roman" w:hint="default"/>
                <w:sz w:val="18"/>
                <w:szCs w:val="18"/>
              </w:rPr>
              <w:t>]V2.0</w:t>
            </w:r>
          </w:p>
        </w:tc>
        <w:tc>
          <w:tcPr>
            <w:tcW w:w="1379" w:type="dxa"/>
            <w:tcBorders>
              <w:top w:val="nil" w:sz="6" w:space="0" w:color="auto"/>
              <w:left w:val="single" w:sz="6" w:space="0" w:color="000000"/>
              <w:bottom w:val="single" w:sz="6" w:space="0" w:color="000000"/>
              <w:right w:val="single" w:sz="6" w:space="0" w:color="000000"/>
            </w:tcBorders>
          </w:tcPr>
          <w:p>
            <w:pP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r>
        <w:rPr/>
        <w:pict>
          <v:group style="position:absolute;margin-left:221.339996pt;margin-top:253.619995pt;width:68pt;height:15.6pt;mso-position-horizontal-relative:page;mso-position-vertical-relative:page;z-index:-885712" coordorigin="4427,5072" coordsize="1360,312">
            <v:shape style="position:absolute;left:4427;top:5072;width:1360;height:312" coordorigin="4427,5072" coordsize="1360,312" path="m4427,5384l5786,5384,5786,5072,4427,5072,4427,5384xe" filled="true" fillcolor="#ffffff" stroked="false">
              <v:path arrowok="t"/>
              <v:fill type="solid"/>
            </v:shape>
            <w10:wrap type="none"/>
          </v:group>
        </w:pict>
      </w:r>
    </w:p>
    <w:tbl>
      <w:tblPr>
        <w:tblW w:w="0" w:type="auto"/>
        <w:jc w:val="left"/>
        <w:tblInd w:w="572" w:type="dxa"/>
        <w:tblLayout w:type="fixed"/>
        <w:tblCellMar>
          <w:top w:w="0" w:type="dxa"/>
          <w:left w:w="0" w:type="dxa"/>
          <w:bottom w:w="0" w:type="dxa"/>
          <w:right w:w="0" w:type="dxa"/>
        </w:tblCellMar>
        <w:tblLook w:val="01E0"/>
      </w:tblPr>
      <w:tblGrid>
        <w:gridCol w:w="708"/>
        <w:gridCol w:w="2149"/>
        <w:gridCol w:w="1379"/>
        <w:gridCol w:w="1337"/>
        <w:gridCol w:w="1026"/>
        <w:gridCol w:w="1003"/>
        <w:gridCol w:w="1186"/>
      </w:tblGrid>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69</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能源监管系统</w:t>
            </w:r>
            <w:r>
              <w:rPr>
                <w:rFonts w:ascii="Times New Roman" w:hAnsi="Times New Roman" w:cs="Times New Roman" w:eastAsia="Times New Roman" w:hint="default"/>
                <w:sz w:val="18"/>
                <w:szCs w:val="18"/>
              </w:rPr>
              <w:t>V2.0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0346350</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2011SR082676</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掌上校园系统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掌上校</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2012SR055958</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园</w:t>
            </w:r>
            <w:r>
              <w:rPr>
                <w:rFonts w:ascii="Times New Roman" w:hAnsi="Times New Roman" w:cs="Times New Roman" w:eastAsia="Times New Roman" w:hint="default"/>
                <w:sz w:val="18"/>
                <w:szCs w:val="18"/>
              </w:rPr>
              <w:t>]V3.0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0423994</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659"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校情分析系统</w:t>
            </w:r>
            <w:r>
              <w:rPr>
                <w:rFonts w:ascii="Times New Roman" w:hAnsi="Times New Roman" w:cs="Times New Roman" w:eastAsia="Times New Roman" w:hint="default"/>
                <w:sz w:val="18"/>
                <w:szCs w:val="18"/>
              </w:rPr>
              <w:t>V1.0</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0423996</w:t>
            </w:r>
            <w:r>
              <w:rPr>
                <w:rFonts w:ascii="宋体" w:hAnsi="宋体" w:cs="宋体" w:eastAsia="宋体" w:hint="default"/>
                <w:sz w:val="18"/>
                <w:szCs w:val="18"/>
              </w:rPr>
              <w:t>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2012SR055960</w:t>
            </w:r>
            <w:r>
              <w:rPr>
                <w:rFonts w:ascii="Times New Roman"/>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新开普校友服务系统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2012SR056021</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校友服务系统</w:t>
            </w:r>
            <w:r>
              <w:rPr>
                <w:rFonts w:ascii="Times New Roman" w:hAnsi="Times New Roman" w:cs="Times New Roman" w:eastAsia="Times New Roman" w:hint="default"/>
                <w:sz w:val="18"/>
                <w:szCs w:val="18"/>
              </w:rPr>
              <w:t>]V2.0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0424057</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73</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就业服务管理系统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就</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2012SR056092</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业系统</w:t>
            </w:r>
            <w:r>
              <w:rPr>
                <w:rFonts w:ascii="Times New Roman" w:hAnsi="Times New Roman" w:cs="Times New Roman" w:eastAsia="Times New Roman" w:hint="default"/>
                <w:sz w:val="18"/>
                <w:szCs w:val="18"/>
              </w:rPr>
              <w:t>]V3.0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0424128</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74</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0"/>
              <w:jc w:val="left"/>
              <w:rPr>
                <w:rFonts w:ascii="宋体" w:hAnsi="宋体" w:cs="宋体" w:eastAsia="宋体" w:hint="default"/>
                <w:sz w:val="18"/>
                <w:szCs w:val="18"/>
              </w:rPr>
            </w:pPr>
            <w:r>
              <w:rPr>
                <w:rFonts w:ascii="宋体" w:hAnsi="宋体" w:cs="宋体" w:eastAsia="宋体" w:hint="default"/>
                <w:spacing w:val="14"/>
                <w:sz w:val="18"/>
                <w:szCs w:val="18"/>
              </w:rPr>
              <w:t>新开普宿舍信息管理系统</w:t>
            </w:r>
            <w:r>
              <w:rPr>
                <w:rFonts w:ascii="宋体" w:hAnsi="宋体" w:cs="宋体" w:eastAsia="宋体" w:hint="default"/>
                <w:sz w:val="18"/>
                <w:szCs w:val="18"/>
              </w:rPr>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2012SR056094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13" w:hRule="exact"/>
        </w:trPr>
        <w:tc>
          <w:tcPr>
            <w:tcW w:w="708" w:type="dxa"/>
            <w:tcBorders>
              <w:top w:val="nil" w:sz="6" w:space="0" w:color="auto"/>
              <w:left w:val="single" w:sz="6" w:space="0" w:color="000000"/>
              <w:bottom w:val="nil" w:sz="6" w:space="0" w:color="auto"/>
              <w:right w:val="single" w:sz="6" w:space="0" w:color="000000"/>
            </w:tcBorders>
          </w:tcPr>
          <w:p>
            <w:pPr/>
          </w:p>
        </w:tc>
        <w:tc>
          <w:tcPr>
            <w:tcW w:w="214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pacing w:val="32"/>
                <w:sz w:val="18"/>
                <w:szCs w:val="18"/>
              </w:rPr>
              <w:t>简称</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新</w:t>
            </w:r>
            <w:r>
              <w:rPr>
                <w:rFonts w:ascii="宋体" w:hAnsi="宋体" w:cs="宋体" w:eastAsia="宋体" w:hint="default"/>
                <w:spacing w:val="-27"/>
                <w:sz w:val="18"/>
                <w:szCs w:val="18"/>
              </w:rPr>
              <w:t> </w:t>
            </w:r>
            <w:r>
              <w:rPr>
                <w:rFonts w:ascii="宋体" w:hAnsi="宋体" w:cs="宋体" w:eastAsia="宋体" w:hint="default"/>
                <w:sz w:val="18"/>
                <w:szCs w:val="18"/>
              </w:rPr>
              <w:t>开</w:t>
            </w:r>
            <w:r>
              <w:rPr>
                <w:rFonts w:ascii="宋体" w:hAnsi="宋体" w:cs="宋体" w:eastAsia="宋体" w:hint="default"/>
                <w:spacing w:val="-27"/>
                <w:sz w:val="18"/>
                <w:szCs w:val="18"/>
              </w:rPr>
              <w:t> </w:t>
            </w:r>
            <w:r>
              <w:rPr>
                <w:rFonts w:ascii="宋体" w:hAnsi="宋体" w:cs="宋体" w:eastAsia="宋体" w:hint="default"/>
                <w:spacing w:val="48"/>
                <w:sz w:val="18"/>
                <w:szCs w:val="18"/>
              </w:rPr>
              <w:t>普宿管系</w:t>
            </w:r>
            <w:r>
              <w:rPr>
                <w:rFonts w:ascii="宋体" w:hAnsi="宋体" w:cs="宋体" w:eastAsia="宋体" w:hint="default"/>
                <w:spacing w:val="-26"/>
                <w:sz w:val="18"/>
                <w:szCs w:val="18"/>
              </w:rPr>
              <w:t> </w:t>
            </w:r>
            <w:r>
              <w:rPr>
                <w:rFonts w:ascii="宋体" w:hAnsi="宋体" w:cs="宋体" w:eastAsia="宋体" w:hint="default"/>
                <w:sz w:val="18"/>
                <w:szCs w:val="18"/>
              </w:rPr>
            </w:r>
          </w:p>
        </w:tc>
        <w:tc>
          <w:tcPr>
            <w:tcW w:w="1379"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0424130</w:t>
            </w:r>
            <w:r>
              <w:rPr>
                <w:rFonts w:ascii="宋体" w:hAnsi="宋体" w:cs="宋体" w:eastAsia="宋体" w:hint="default"/>
                <w:sz w:val="18"/>
                <w:szCs w:val="18"/>
              </w:rPr>
              <w:t>号</w:t>
            </w:r>
          </w:p>
        </w:tc>
        <w:tc>
          <w:tcPr>
            <w:tcW w:w="1337"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1003" w:type="dxa"/>
            <w:tcBorders>
              <w:top w:val="nil" w:sz="6" w:space="0" w:color="auto"/>
              <w:left w:val="single" w:sz="6" w:space="0" w:color="000000"/>
              <w:bottom w:val="nil" w:sz="6" w:space="0" w:color="auto"/>
              <w:right w:val="single" w:sz="6" w:space="0" w:color="000000"/>
            </w:tcBorders>
          </w:tcPr>
          <w:p>
            <w:pPr/>
          </w:p>
        </w:tc>
        <w:tc>
          <w:tcPr>
            <w:tcW w:w="1186" w:type="dxa"/>
            <w:tcBorders>
              <w:top w:val="nil" w:sz="6" w:space="0" w:color="auto"/>
              <w:left w:val="single" w:sz="6" w:space="0" w:color="000000"/>
              <w:bottom w:val="nil" w:sz="6" w:space="0" w:color="auto"/>
              <w:right w:val="single" w:sz="6" w:space="0" w:color="000000"/>
            </w:tcBorders>
          </w:tcPr>
          <w:p>
            <w:pP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w:t>
            </w:r>
            <w:r>
              <w:rPr>
                <w:rFonts w:ascii="Times New Roman" w:hAnsi="Times New Roman" w:cs="Times New Roman" w:eastAsia="Times New Roman" w:hint="default"/>
                <w:sz w:val="18"/>
                <w:szCs w:val="18"/>
              </w:rPr>
              <w:t>]V2.0</w:t>
            </w:r>
          </w:p>
        </w:tc>
        <w:tc>
          <w:tcPr>
            <w:tcW w:w="1379" w:type="dxa"/>
            <w:tcBorders>
              <w:top w:val="nil" w:sz="6" w:space="0" w:color="auto"/>
              <w:left w:val="single" w:sz="6" w:space="0" w:color="000000"/>
              <w:bottom w:val="single" w:sz="6" w:space="0" w:color="000000"/>
              <w:right w:val="single" w:sz="6" w:space="0" w:color="000000"/>
            </w:tcBorders>
          </w:tcPr>
          <w:p>
            <w:pP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预约报销管理系统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预</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2012SR056103</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约报销系统</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0424139</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76</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学生收费管理系统</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3"/>
                <w:sz w:val="18"/>
                <w:szCs w:val="18"/>
              </w:rPr>
              <w:t>简称</w:t>
            </w:r>
            <w:r>
              <w:rPr>
                <w:rFonts w:ascii="Times New Roman" w:hAnsi="Times New Roman" w:cs="Times New Roman" w:eastAsia="Times New Roman" w:hint="default"/>
                <w:spacing w:val="13"/>
                <w:sz w:val="18"/>
                <w:szCs w:val="18"/>
              </w:rPr>
              <w:t>:</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2012SR056106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18"/>
                <w:szCs w:val="18"/>
              </w:rPr>
            </w:pPr>
            <w:r>
              <w:rPr>
                <w:rFonts w:ascii="Times New Roman"/>
                <w:sz w:val="18"/>
              </w:rPr>
              <w:t>eCampus-XSSF]V1.0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0424142</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77</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新开普招生管理系统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2012SR056134</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招生管理系统</w:t>
            </w:r>
            <w:r>
              <w:rPr>
                <w:rFonts w:ascii="Times New Roman" w:hAnsi="Times New Roman" w:cs="Times New Roman" w:eastAsia="Times New Roman" w:hint="default"/>
                <w:sz w:val="18"/>
                <w:szCs w:val="18"/>
              </w:rPr>
              <w:t>]V1.0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0424170</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78</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学生工作管理系统</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3"/>
                <w:sz w:val="18"/>
                <w:szCs w:val="18"/>
              </w:rPr>
              <w:t>简称</w:t>
            </w:r>
            <w:r>
              <w:rPr>
                <w:rFonts w:ascii="Times New Roman" w:hAnsi="Times New Roman" w:cs="Times New Roman" w:eastAsia="Times New Roman" w:hint="default"/>
                <w:spacing w:val="13"/>
                <w:sz w:val="18"/>
                <w:szCs w:val="18"/>
              </w:rPr>
              <w:t>:</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2012SR056225</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18"/>
                <w:szCs w:val="18"/>
              </w:rPr>
            </w:pPr>
            <w:r>
              <w:rPr>
                <w:rFonts w:ascii="Times New Roman"/>
                <w:sz w:val="18"/>
              </w:rPr>
              <w:t>eCampus-XGGL]V2.0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0424261</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79</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新开普自主招生系统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2012SR056259</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自主招生系统</w:t>
            </w:r>
            <w:r>
              <w:rPr>
                <w:rFonts w:ascii="Times New Roman" w:hAnsi="Times New Roman" w:cs="Times New Roman" w:eastAsia="Times New Roman" w:hint="default"/>
                <w:sz w:val="18"/>
                <w:szCs w:val="18"/>
              </w:rPr>
              <w:t>]V2.0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0424295</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学生发费管理系统</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3"/>
                <w:sz w:val="18"/>
                <w:szCs w:val="18"/>
              </w:rPr>
              <w:t>简称</w:t>
            </w:r>
            <w:r>
              <w:rPr>
                <w:rFonts w:ascii="Times New Roman" w:hAnsi="Times New Roman" w:cs="Times New Roman" w:eastAsia="Times New Roman" w:hint="default"/>
                <w:spacing w:val="13"/>
                <w:sz w:val="18"/>
                <w:szCs w:val="18"/>
              </w:rPr>
              <w:t>:</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2012SR056262</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4"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18"/>
                <w:szCs w:val="18"/>
              </w:rPr>
            </w:pPr>
            <w:r>
              <w:rPr>
                <w:rFonts w:ascii="Times New Roman"/>
                <w:sz w:val="18"/>
              </w:rPr>
              <w:t>eCampus-FFGL]V1.0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0424298</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81</w:t>
            </w:r>
          </w:p>
        </w:tc>
        <w:tc>
          <w:tcPr>
            <w:tcW w:w="21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7"/>
                <w:sz w:val="18"/>
                <w:szCs w:val="18"/>
              </w:rPr>
              <w:t>新开普智能卡操作系统</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简</w:t>
            </w:r>
          </w:p>
        </w:tc>
        <w:tc>
          <w:tcPr>
            <w:tcW w:w="1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软著登字第</w:t>
            </w:r>
          </w:p>
        </w:tc>
        <w:tc>
          <w:tcPr>
            <w:tcW w:w="13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2012SR089976</w:t>
            </w:r>
            <w:r>
              <w:rPr>
                <w:rFonts w:ascii="Times New Roman"/>
                <w:sz w:val="18"/>
              </w:rPr>
            </w:r>
          </w:p>
        </w:tc>
        <w:tc>
          <w:tcPr>
            <w:tcW w:w="10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全部权利</w:t>
            </w: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原始取得</w:t>
            </w:r>
          </w:p>
        </w:tc>
      </w:tr>
      <w:tr>
        <w:trPr>
          <w:trHeight w:val="325"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4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NCAPCos]V1.0</w:t>
            </w:r>
          </w:p>
        </w:tc>
        <w:tc>
          <w:tcPr>
            <w:tcW w:w="1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0458012</w:t>
            </w:r>
            <w:r>
              <w:rPr>
                <w:rFonts w:ascii="宋体" w:hAnsi="宋体" w:cs="宋体" w:eastAsia="宋体" w:hint="default"/>
                <w:sz w:val="18"/>
                <w:szCs w:val="18"/>
              </w:rPr>
              <w:t>号</w:t>
            </w:r>
          </w:p>
        </w:tc>
        <w:tc>
          <w:tcPr>
            <w:tcW w:w="1337"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186" w:type="dxa"/>
            <w:tcBorders>
              <w:top w:val="nil" w:sz="6" w:space="0" w:color="auto"/>
              <w:left w:val="single" w:sz="6" w:space="0" w:color="000000"/>
              <w:bottom w:val="single" w:sz="6" w:space="0" w:color="000000"/>
              <w:right w:val="single" w:sz="6" w:space="0" w:color="000000"/>
            </w:tcBorders>
          </w:tcPr>
          <w:p>
            <w:pPr/>
          </w:p>
        </w:tc>
      </w:tr>
    </w:tbl>
    <w:p>
      <w:pPr>
        <w:spacing w:line="240" w:lineRule="auto" w:before="9"/>
        <w:rPr>
          <w:rFonts w:ascii="Times New Roman" w:hAnsi="Times New Roman" w:cs="Times New Roman" w:eastAsia="Times New Roman" w:hint="default"/>
          <w:sz w:val="14"/>
          <w:szCs w:val="14"/>
        </w:rPr>
      </w:pPr>
    </w:p>
    <w:p>
      <w:pPr>
        <w:spacing w:line="338" w:lineRule="auto" w:before="26"/>
        <w:ind w:left="634" w:right="39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）软件登记产品</w:t>
      </w:r>
      <w:r>
        <w:rPr>
          <w:rFonts w:ascii="宋体" w:hAnsi="宋体" w:cs="宋体" w:eastAsia="宋体" w:hint="default"/>
          <w:b/>
          <w:bCs/>
          <w:spacing w:val="1"/>
          <w:w w:val="99"/>
          <w:sz w:val="24"/>
          <w:szCs w:val="24"/>
        </w:rPr>
        <w:t> </w:t>
      </w:r>
      <w:r>
        <w:rPr>
          <w:rFonts w:ascii="宋体" w:hAnsi="宋体" w:cs="宋体" w:eastAsia="宋体" w:hint="default"/>
          <w:sz w:val="24"/>
          <w:szCs w:val="24"/>
        </w:rPr>
        <w:t>截至本报告期末，公司及其全资子公司目前已登记的软件产品共</w:t>
      </w:r>
      <w:r>
        <w:rPr>
          <w:rFonts w:ascii="Times New Roman" w:hAnsi="Times New Roman" w:cs="Times New Roman" w:eastAsia="Times New Roman" w:hint="default"/>
          <w:sz w:val="24"/>
          <w:szCs w:val="24"/>
        </w:rPr>
        <w:t>44</w:t>
      </w:r>
      <w:r>
        <w:rPr>
          <w:rFonts w:ascii="宋体" w:hAnsi="宋体" w:cs="宋体" w:eastAsia="宋体" w:hint="default"/>
          <w:sz w:val="24"/>
          <w:szCs w:val="24"/>
        </w:rPr>
        <w:t>项，具体情况如下：</w:t>
      </w:r>
    </w:p>
    <w:tbl>
      <w:tblPr>
        <w:tblW w:w="0" w:type="auto"/>
        <w:jc w:val="left"/>
        <w:tblInd w:w="146" w:type="dxa"/>
        <w:tblLayout w:type="fixed"/>
        <w:tblCellMar>
          <w:top w:w="0" w:type="dxa"/>
          <w:left w:w="0" w:type="dxa"/>
          <w:bottom w:w="0" w:type="dxa"/>
          <w:right w:w="0" w:type="dxa"/>
        </w:tblCellMar>
        <w:tblLook w:val="01E0"/>
      </w:tblPr>
      <w:tblGrid>
        <w:gridCol w:w="648"/>
        <w:gridCol w:w="4205"/>
        <w:gridCol w:w="940"/>
        <w:gridCol w:w="1850"/>
        <w:gridCol w:w="1001"/>
        <w:gridCol w:w="1246"/>
      </w:tblGrid>
      <w:tr>
        <w:trPr>
          <w:trHeight w:val="506" w:hRule="exact"/>
        </w:trPr>
        <w:tc>
          <w:tcPr>
            <w:tcW w:w="64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0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94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b/>
                <w:bCs/>
                <w:sz w:val="18"/>
                <w:szCs w:val="18"/>
              </w:rPr>
              <w:t>所有者</w:t>
            </w:r>
            <w:r>
              <w:rPr>
                <w:rFonts w:ascii="宋体" w:hAnsi="宋体" w:cs="宋体" w:eastAsia="宋体" w:hint="default"/>
                <w:sz w:val="18"/>
                <w:szCs w:val="18"/>
              </w:rPr>
            </w:r>
          </w:p>
        </w:tc>
        <w:tc>
          <w:tcPr>
            <w:tcW w:w="185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00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新开普射频智能卡网络版考勤管理系统</w:t>
            </w:r>
            <w:r>
              <w:rPr>
                <w:rFonts w:ascii="Times New Roman" w:hAnsi="Times New Roman" w:cs="Times New Roman" w:eastAsia="Times New Roman" w:hint="default"/>
                <w:sz w:val="18"/>
                <w:szCs w:val="18"/>
              </w:rPr>
              <w:t>V2000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DGY-2002-0031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Times New Roman" w:hAnsi="Times New Roman" w:cs="Times New Roman" w:eastAsia="Times New Roman" w:hint="default"/>
                <w:sz w:val="20"/>
                <w:szCs w:val="20"/>
              </w:rPr>
            </w:pPr>
            <w:r>
              <w:rPr>
                <w:rFonts w:ascii="Times New Roman"/>
                <w:sz w:val="20"/>
              </w:rPr>
              <w:t>2008.09.19</w:t>
            </w:r>
          </w:p>
        </w:tc>
      </w:tr>
      <w:tr>
        <w:trPr>
          <w:trHeight w:val="659"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10"/>
              <w:jc w:val="left"/>
              <w:rPr>
                <w:rFonts w:ascii="宋体" w:hAnsi="宋体" w:cs="宋体" w:eastAsia="宋体" w:hint="default"/>
                <w:sz w:val="18"/>
                <w:szCs w:val="18"/>
              </w:rPr>
            </w:pPr>
            <w:r>
              <w:rPr>
                <w:rFonts w:ascii="宋体" w:hAnsi="宋体" w:cs="宋体" w:eastAsia="宋体" w:hint="default"/>
                <w:spacing w:val="10"/>
                <w:sz w:val="18"/>
                <w:szCs w:val="18"/>
              </w:rPr>
              <w:t>新开普射频智能卡网络版预付费收费集成管理系统</w:t>
            </w:r>
            <w:r>
              <w:rPr>
                <w:rFonts w:ascii="宋体" w:hAnsi="宋体" w:cs="宋体" w:eastAsia="宋体" w:hint="default"/>
                <w:sz w:val="18"/>
                <w:szCs w:val="18"/>
              </w:rPr>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V2000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DGY-2002-0032</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0"/>
                <w:szCs w:val="20"/>
              </w:rPr>
            </w:pPr>
            <w:r>
              <w:rPr>
                <w:rFonts w:ascii="Times New Roman"/>
                <w:sz w:val="20"/>
              </w:rPr>
              <w:t>2008.09.19</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正普终端授权软件</w:t>
            </w:r>
            <w:r>
              <w:rPr>
                <w:rFonts w:ascii="Times New Roman" w:hAnsi="Times New Roman" w:cs="Times New Roman" w:eastAsia="Times New Roman" w:hint="default"/>
                <w:sz w:val="18"/>
                <w:szCs w:val="18"/>
              </w:rPr>
              <w:t>V3.0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DGY-2007-0033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0"/>
                <w:szCs w:val="20"/>
              </w:rPr>
            </w:pPr>
            <w:r>
              <w:rPr>
                <w:rFonts w:ascii="Times New Roman"/>
                <w:sz w:val="20"/>
              </w:rPr>
              <w:t>2009.12.24</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4</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正普数字化集成平台系统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DGY-2007-0034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Times New Roman" w:hAnsi="Times New Roman" w:cs="Times New Roman" w:eastAsia="Times New Roman" w:hint="default"/>
                <w:sz w:val="20"/>
                <w:szCs w:val="20"/>
              </w:rPr>
            </w:pPr>
            <w:r>
              <w:rPr>
                <w:rFonts w:ascii="Times New Roman"/>
                <w:sz w:val="20"/>
              </w:rPr>
              <w:t>2009.12.24</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正普智能卡授权软件</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DGY-2007-0035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0"/>
                <w:szCs w:val="20"/>
              </w:rPr>
            </w:pPr>
            <w:r>
              <w:rPr>
                <w:rFonts w:ascii="Times New Roman"/>
                <w:sz w:val="20"/>
              </w:rPr>
              <w:t>2009.12.24</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新开普一卡通管理系统</w:t>
            </w:r>
            <w:r>
              <w:rPr>
                <w:rFonts w:ascii="Times New Roman" w:hAnsi="Times New Roman" w:cs="Times New Roman" w:eastAsia="Times New Roman" w:hint="default"/>
                <w:sz w:val="18"/>
                <w:szCs w:val="18"/>
              </w:rPr>
              <w:t>V3.0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DGY-2007-0036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0"/>
                <w:szCs w:val="20"/>
              </w:rPr>
            </w:pPr>
            <w:r>
              <w:rPr>
                <w:rFonts w:ascii="Times New Roman"/>
                <w:sz w:val="20"/>
              </w:rPr>
              <w:t>2008.09.19</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新开普智能卡综合信息管理系统</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DGY-2007-0037</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0"/>
                <w:szCs w:val="20"/>
              </w:rPr>
            </w:pPr>
            <w:r>
              <w:rPr>
                <w:rFonts w:ascii="Times New Roman"/>
                <w:sz w:val="20"/>
              </w:rPr>
              <w:t>2008.09.19</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新开普射频卡计费终端（营业机）嵌入式程序</w:t>
            </w:r>
            <w:r>
              <w:rPr>
                <w:rFonts w:ascii="Times New Roman" w:hAnsi="Times New Roman" w:cs="Times New Roman" w:eastAsia="Times New Roman" w:hint="default"/>
                <w:sz w:val="18"/>
                <w:szCs w:val="18"/>
              </w:rPr>
              <w:t>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DGY-2009-0069</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新开普预付费水表嵌入式程序</w:t>
            </w:r>
            <w:r>
              <w:rPr>
                <w:rFonts w:ascii="Times New Roman" w:hAnsi="Times New Roman" w:cs="Times New Roman" w:eastAsia="Times New Roman" w:hint="default"/>
                <w:sz w:val="18"/>
                <w:szCs w:val="18"/>
              </w:rPr>
              <w:t>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0"/>
                <w:szCs w:val="20"/>
              </w:rPr>
            </w:pPr>
            <w:r>
              <w:rPr>
                <w:rFonts w:ascii="Times New Roman"/>
                <w:sz w:val="20"/>
              </w:rPr>
              <w:t>2009.06.26</w:t>
            </w:r>
          </w:p>
        </w:tc>
      </w:tr>
    </w:tbl>
    <w:p>
      <w:pPr>
        <w:spacing w:after="0" w:line="240" w:lineRule="auto"/>
        <w:jc w:val="left"/>
        <w:rPr>
          <w:rFonts w:ascii="Times New Roman" w:hAnsi="Times New Roman" w:cs="Times New Roman" w:eastAsia="Times New Roman" w:hint="default"/>
          <w:sz w:val="20"/>
          <w:szCs w:val="20"/>
        </w:rPr>
        <w:sectPr>
          <w:pgSz w:w="11910" w:h="16840"/>
          <w:pgMar w:header="851" w:footer="982" w:top="1220" w:bottom="1180" w:left="980" w:right="760"/>
        </w:sectPr>
      </w:pPr>
    </w:p>
    <w:p>
      <w:pPr>
        <w:spacing w:line="240" w:lineRule="auto" w:before="5"/>
        <w:rPr>
          <w:rFonts w:ascii="Times New Roman" w:hAnsi="Times New Roman" w:cs="Times New Roman" w:eastAsia="Times New Roman"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648"/>
        <w:gridCol w:w="4205"/>
        <w:gridCol w:w="940"/>
        <w:gridCol w:w="1850"/>
        <w:gridCol w:w="1001"/>
        <w:gridCol w:w="1246"/>
      </w:tblGrid>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新开普电控管理机嵌入式程序</w:t>
            </w:r>
            <w:r>
              <w:rPr>
                <w:rFonts w:ascii="Times New Roman" w:hAnsi="Times New Roman" w:cs="Times New Roman" w:eastAsia="Times New Roman" w:hint="default"/>
                <w:sz w:val="18"/>
                <w:szCs w:val="18"/>
              </w:rPr>
              <w:t>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DGY-2009-0067</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新开普预付费电表嵌入式程序</w:t>
            </w:r>
            <w:r>
              <w:rPr>
                <w:rFonts w:ascii="Times New Roman" w:hAnsi="Times New Roman" w:cs="Times New Roman" w:eastAsia="Times New Roman" w:hint="default"/>
                <w:sz w:val="18"/>
                <w:szCs w:val="18"/>
              </w:rPr>
              <w:t>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新开普圈存机嵌入式程序</w:t>
            </w:r>
            <w:r>
              <w:rPr>
                <w:rFonts w:ascii="Times New Roman" w:hAnsi="Times New Roman" w:cs="Times New Roman" w:eastAsia="Times New Roman" w:hint="default"/>
                <w:sz w:val="18"/>
                <w:szCs w:val="18"/>
              </w:rPr>
              <w:t>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新开普射频卡读写器（发卡器）嵌入式程序</w:t>
            </w:r>
            <w:r>
              <w:rPr>
                <w:rFonts w:ascii="Times New Roman" w:hAnsi="Times New Roman" w:cs="Times New Roman" w:eastAsia="Times New Roman" w:hint="default"/>
                <w:sz w:val="18"/>
                <w:szCs w:val="18"/>
              </w:rPr>
              <w:t>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DGY-2009-0068</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新开普门禁控制器嵌入式程序</w:t>
            </w:r>
            <w:r>
              <w:rPr>
                <w:rFonts w:ascii="Times New Roman" w:hAnsi="Times New Roman" w:cs="Times New Roman" w:eastAsia="Times New Roman" w:hint="default"/>
                <w:sz w:val="18"/>
                <w:szCs w:val="18"/>
              </w:rPr>
              <w:t>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新开普无障碍通道机嵌入式程序</w:t>
            </w:r>
            <w:r>
              <w:rPr>
                <w:rFonts w:ascii="Times New Roman" w:hAnsi="Times New Roman" w:cs="Times New Roman" w:eastAsia="Times New Roman" w:hint="default"/>
                <w:sz w:val="18"/>
                <w:szCs w:val="18"/>
              </w:rPr>
              <w:t>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新开普用电计量单元嵌入式程序</w:t>
            </w:r>
            <w:r>
              <w:rPr>
                <w:rFonts w:ascii="Times New Roman" w:hAnsi="Times New Roman" w:cs="Times New Roman" w:eastAsia="Times New Roman" w:hint="default"/>
                <w:sz w:val="18"/>
                <w:szCs w:val="18"/>
              </w:rPr>
              <w:t>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DGY-2009-0072</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新开普水控器嵌入式程序</w:t>
            </w:r>
            <w:r>
              <w:rPr>
                <w:rFonts w:ascii="Times New Roman" w:hAnsi="Times New Roman" w:cs="Times New Roman" w:eastAsia="Times New Roman" w:hint="default"/>
                <w:sz w:val="18"/>
                <w:szCs w:val="18"/>
              </w:rPr>
              <w:t>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新开普洗衣机控制器嵌入式程序</w:t>
            </w:r>
            <w:r>
              <w:rPr>
                <w:rFonts w:ascii="Times New Roman" w:hAnsi="Times New Roman" w:cs="Times New Roman" w:eastAsia="Times New Roman" w:hint="default"/>
                <w:sz w:val="18"/>
                <w:szCs w:val="18"/>
              </w:rPr>
              <w:t>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新开普洗衣机嵌入式程序</w:t>
            </w:r>
            <w:r>
              <w:rPr>
                <w:rFonts w:ascii="Times New Roman" w:hAnsi="Times New Roman" w:cs="Times New Roman" w:eastAsia="Times New Roman" w:hint="default"/>
                <w:sz w:val="18"/>
                <w:szCs w:val="18"/>
              </w:rPr>
              <w:t>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新开普考勤机嵌入式程序</w:t>
            </w:r>
            <w:r>
              <w:rPr>
                <w:rFonts w:ascii="Times New Roman" w:hAnsi="Times New Roman" w:cs="Times New Roman" w:eastAsia="Times New Roman" w:hint="default"/>
                <w:sz w:val="18"/>
                <w:szCs w:val="18"/>
              </w:rPr>
              <w:t>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DGY-2009-0076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sz w:val="20"/>
              </w:rPr>
              <w:t>2009.06.26</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正普统一身份认证平台</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正普统一信息门户平台</w:t>
            </w:r>
            <w:r>
              <w:rPr>
                <w:rFonts w:ascii="Times New Roman" w:hAnsi="Times New Roman" w:cs="Times New Roman" w:eastAsia="Times New Roman" w:hint="default"/>
                <w:sz w:val="18"/>
                <w:szCs w:val="18"/>
              </w:rPr>
              <w:t>V3.0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DGY-2012-0022</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正普智能卡车载嵌入式程序</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正普汉显门禁读头嵌入式程序</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正普手持机嵌入式程序</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正普智能卡门禁管理系统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正普智能卡密钥管理系统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DGY-2012-0027</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正普城市小额消费统一结算支付平台</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DGY-2012-0028</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正普智能</w:t>
            </w:r>
            <w:r>
              <w:rPr>
                <w:rFonts w:ascii="Times New Roman" w:hAnsi="Times New Roman" w:cs="Times New Roman" w:eastAsia="Times New Roman" w:hint="default"/>
                <w:sz w:val="18"/>
                <w:szCs w:val="18"/>
              </w:rPr>
              <w:t>IC</w:t>
            </w:r>
            <w:r>
              <w:rPr>
                <w:rFonts w:ascii="宋体" w:hAnsi="宋体" w:cs="宋体" w:eastAsia="宋体" w:hint="default"/>
                <w:sz w:val="18"/>
                <w:szCs w:val="18"/>
              </w:rPr>
              <w:t>卡公共交通管理系统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DGY-2012-0029</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正普无障碍通道管理系统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正普数字迎新管理系统</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32</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正普增值服务综合管理系统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DGY-2012-0032</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w:t>
            </w:r>
            <w:r>
              <w:rPr>
                <w:rFonts w:ascii="Times New Roman" w:hAnsi="Times New Roman" w:cs="Times New Roman" w:eastAsia="Times New Roman" w:hint="default"/>
                <w:sz w:val="18"/>
                <w:szCs w:val="18"/>
              </w:rPr>
              <w:t>WEB</w:t>
            </w:r>
            <w:r>
              <w:rPr>
                <w:rFonts w:ascii="宋体" w:hAnsi="宋体" w:cs="宋体" w:eastAsia="宋体" w:hint="default"/>
                <w:sz w:val="18"/>
                <w:szCs w:val="18"/>
              </w:rPr>
              <w:t>考勤管理系统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正普便携收费机嵌入式软件</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正普双频充值机嵌入式软件</w:t>
            </w:r>
            <w:r>
              <w:rPr>
                <w:rFonts w:ascii="Times New Roman" w:hAnsi="Times New Roman" w:cs="Times New Roman" w:eastAsia="Times New Roman" w:hint="default"/>
                <w:sz w:val="18"/>
                <w:szCs w:val="18"/>
              </w:rPr>
              <w:t>(ECARD-M)V1.0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正普读卡身份认证终端嵌入式软件</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DGY-2012-0036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2012.06.28</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新开普校友服务系统</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DGY-2012-0421</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2012.12.25</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新开普能源监管系统</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DGY-2012-0422</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sz w:val="20"/>
              </w:rPr>
              <w:t>2012.12.25</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新开普掌上校园系统</w:t>
            </w:r>
            <w:r>
              <w:rPr>
                <w:rFonts w:ascii="Times New Roman" w:hAnsi="Times New Roman" w:cs="Times New Roman" w:eastAsia="Times New Roman" w:hint="default"/>
                <w:sz w:val="18"/>
                <w:szCs w:val="18"/>
              </w:rPr>
              <w:t>V3.0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DGY-2012-0423</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2012.12.25</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新开普就业服务管理系统</w:t>
            </w:r>
            <w:r>
              <w:rPr>
                <w:rFonts w:ascii="Times New Roman" w:hAnsi="Times New Roman" w:cs="Times New Roman" w:eastAsia="Times New Roman" w:hint="default"/>
                <w:sz w:val="18"/>
                <w:szCs w:val="18"/>
              </w:rPr>
              <w:t>V3.0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DGY-2012-0424</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2012.12.25</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新开普学生收费管理系统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2012.12.25</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新开普学生工作管理系统</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DGY-2012-0426</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2012.12.25</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新开普智能卡操作系统</w:t>
            </w:r>
            <w:r>
              <w:rPr>
                <w:rFonts w:ascii="Times New Roman" w:hAnsi="Times New Roman" w:cs="Times New Roman" w:eastAsia="Times New Roman" w:hint="default"/>
                <w:sz w:val="18"/>
                <w:szCs w:val="18"/>
              </w:rPr>
              <w:t>V1.0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DGY-2012-0427</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2012.12.25</w:t>
            </w:r>
          </w:p>
        </w:tc>
      </w:tr>
      <w:tr>
        <w:trPr>
          <w:trHeight w:val="347"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44</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新开普宿舍信息管理系统</w:t>
            </w:r>
            <w:r>
              <w:rPr>
                <w:rFonts w:ascii="Times New Roman" w:hAnsi="Times New Roman" w:cs="Times New Roman" w:eastAsia="Times New Roman" w:hint="default"/>
                <w:sz w:val="18"/>
                <w:szCs w:val="18"/>
              </w:rPr>
              <w:t>V2.0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DGY-2012-0428</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left"/>
              <w:rPr>
                <w:rFonts w:ascii="Times New Roman" w:hAnsi="Times New Roman" w:cs="Times New Roman" w:eastAsia="Times New Roman" w:hint="default"/>
                <w:sz w:val="20"/>
                <w:szCs w:val="20"/>
              </w:rPr>
            </w:pPr>
            <w:r>
              <w:rPr>
                <w:rFonts w:ascii="Times New Roman"/>
                <w:sz w:val="20"/>
              </w:rPr>
              <w:t>2012.12.25</w:t>
            </w:r>
          </w:p>
        </w:tc>
      </w:tr>
    </w:tbl>
    <w:p>
      <w:pPr>
        <w:spacing w:after="0" w:line="240" w:lineRule="auto"/>
        <w:jc w:val="left"/>
        <w:rPr>
          <w:rFonts w:ascii="Times New Roman" w:hAnsi="Times New Roman" w:cs="Times New Roman" w:eastAsia="Times New Roman" w:hint="default"/>
          <w:sz w:val="20"/>
          <w:szCs w:val="20"/>
        </w:rPr>
        <w:sectPr>
          <w:pgSz w:w="11910" w:h="16840"/>
          <w:pgMar w:header="851" w:footer="982" w:top="1220" w:bottom="1180" w:left="980" w:right="760"/>
        </w:sectPr>
      </w:pPr>
    </w:p>
    <w:p>
      <w:pPr>
        <w:spacing w:line="240" w:lineRule="auto" w:before="0"/>
        <w:rPr>
          <w:rFonts w:ascii="Times New Roman" w:hAnsi="Times New Roman" w:cs="Times New Roman" w:eastAsia="Times New Roman" w:hint="default"/>
          <w:sz w:val="20"/>
          <w:szCs w:val="20"/>
        </w:rPr>
      </w:pPr>
    </w:p>
    <w:p>
      <w:pPr>
        <w:spacing w:line="451" w:lineRule="auto" w:before="166"/>
        <w:ind w:left="153" w:right="3371" w:firstLine="0"/>
        <w:jc w:val="left"/>
        <w:rPr>
          <w:rFonts w:ascii="宋体" w:hAnsi="宋体" w:cs="宋体" w:eastAsia="宋体" w:hint="default"/>
          <w:sz w:val="24"/>
          <w:szCs w:val="24"/>
        </w:rPr>
      </w:pPr>
      <w:r>
        <w:rPr/>
        <w:pict>
          <v:shape style="position:absolute;margin-left:65.459999pt;margin-top:60.935894pt;width:464.8pt;height:66.6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4"/>
                    <w:gridCol w:w="992"/>
                    <w:gridCol w:w="1417"/>
                    <w:gridCol w:w="1134"/>
                    <w:gridCol w:w="851"/>
                    <w:gridCol w:w="1385"/>
                    <w:gridCol w:w="1118"/>
                    <w:gridCol w:w="992"/>
                  </w:tblGrid>
                  <w:tr>
                    <w:trPr>
                      <w:trHeight w:val="658" w:hRule="exact"/>
                    </w:trPr>
                    <w:tc>
                      <w:tcPr>
                        <w:tcW w:w="138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宗地坐落</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使用权类型</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13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316" w:lineRule="auto" w:before="20"/>
                          <w:ind w:left="503" w:right="1" w:hanging="502"/>
                          <w:jc w:val="left"/>
                          <w:rPr>
                            <w:rFonts w:ascii="宋体" w:hAnsi="宋体" w:cs="宋体" w:eastAsia="宋体" w:hint="default"/>
                            <w:sz w:val="18"/>
                            <w:szCs w:val="18"/>
                          </w:rPr>
                        </w:pPr>
                        <w:r>
                          <w:rPr>
                            <w:rFonts w:ascii="宋体" w:hAnsi="宋体" w:cs="宋体" w:eastAsia="宋体" w:hint="default"/>
                            <w:b/>
                            <w:bCs/>
                            <w:spacing w:val="-10"/>
                            <w:w w:val="99"/>
                            <w:sz w:val="18"/>
                            <w:szCs w:val="18"/>
                          </w:rPr>
                          <w:t>使用年限（终止日</w:t>
                        </w:r>
                        <w:r>
                          <w:rPr>
                            <w:rFonts w:ascii="宋体" w:hAnsi="宋体" w:cs="宋体" w:eastAsia="宋体" w:hint="default"/>
                            <w:b/>
                            <w:bCs/>
                            <w:spacing w:val="-88"/>
                            <w:w w:val="99"/>
                            <w:sz w:val="18"/>
                            <w:szCs w:val="18"/>
                          </w:rPr>
                          <w:t> </w:t>
                        </w:r>
                        <w:r>
                          <w:rPr>
                            <w:rFonts w:ascii="宋体" w:hAnsi="宋体" w:cs="宋体" w:eastAsia="宋体" w:hint="default"/>
                            <w:b/>
                            <w:bCs/>
                            <w:spacing w:val="-88"/>
                            <w:w w:val="99"/>
                            <w:sz w:val="18"/>
                            <w:szCs w:val="18"/>
                          </w:rPr>
                        </w:r>
                        <w:r>
                          <w:rPr>
                            <w:rFonts w:ascii="宋体" w:hAnsi="宋体" w:cs="宋体" w:eastAsia="宋体" w:hint="default"/>
                            <w:b/>
                            <w:bCs/>
                            <w:sz w:val="18"/>
                            <w:szCs w:val="18"/>
                          </w:rPr>
                          <w:t>期）</w:t>
                        </w:r>
                        <w:r>
                          <w:rPr>
                            <w:rFonts w:ascii="宋体" w:hAnsi="宋体" w:cs="宋体" w:eastAsia="宋体" w:hint="default"/>
                            <w:sz w:val="18"/>
                            <w:szCs w:val="18"/>
                          </w:rPr>
                        </w:r>
                      </w:p>
                    </w:tc>
                    <w:tc>
                      <w:tcPr>
                        <w:tcW w:w="111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使用权人</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他项权利</w:t>
                        </w:r>
                        <w:r>
                          <w:rPr>
                            <w:rFonts w:ascii="宋体" w:hAnsi="宋体" w:cs="宋体" w:eastAsia="宋体" w:hint="default"/>
                            <w:sz w:val="18"/>
                            <w:szCs w:val="18"/>
                          </w:rPr>
                        </w:r>
                      </w:p>
                    </w:tc>
                  </w:tr>
                  <w:tr>
                    <w:trPr>
                      <w:trHeight w:val="6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5"/>
                          <w:jc w:val="center"/>
                          <w:rPr>
                            <w:rFonts w:ascii="宋体" w:hAnsi="宋体" w:cs="宋体" w:eastAsia="宋体" w:hint="default"/>
                            <w:sz w:val="18"/>
                            <w:szCs w:val="18"/>
                          </w:rPr>
                        </w:pPr>
                        <w:r>
                          <w:rPr>
                            <w:rFonts w:ascii="宋体" w:hAnsi="宋体" w:cs="宋体" w:eastAsia="宋体" w:hint="default"/>
                            <w:spacing w:val="-12"/>
                            <w:sz w:val="18"/>
                            <w:szCs w:val="18"/>
                          </w:rPr>
                          <w:t>郑国用（</w:t>
                        </w:r>
                        <w:r>
                          <w:rPr>
                            <w:rFonts w:ascii="Times New Roman" w:hAnsi="Times New Roman" w:cs="Times New Roman" w:eastAsia="Times New Roman" w:hint="default"/>
                            <w:spacing w:val="-12"/>
                            <w:sz w:val="18"/>
                            <w:szCs w:val="18"/>
                          </w:rPr>
                          <w:t>2011</w:t>
                        </w:r>
                        <w:r>
                          <w:rPr>
                            <w:rFonts w:ascii="宋体" w:hAnsi="宋体" w:cs="宋体" w:eastAsia="宋体" w:hint="default"/>
                            <w:spacing w:val="-12"/>
                            <w:sz w:val="18"/>
                            <w:szCs w:val="18"/>
                          </w:rPr>
                          <w:t>）第</w:t>
                        </w:r>
                        <w:r>
                          <w:rPr>
                            <w:rFonts w:ascii="宋体" w:hAnsi="宋体" w:cs="宋体" w:eastAsia="宋体" w:hint="default"/>
                            <w:sz w:val="18"/>
                            <w:szCs w:val="18"/>
                          </w:rPr>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0168</w:t>
                        </w:r>
                        <w:r>
                          <w:rPr>
                            <w:rFonts w:ascii="宋体" w:hAnsi="宋体" w:cs="宋体" w:eastAsia="宋体" w:hint="default"/>
                            <w:sz w:val="18"/>
                            <w:szCs w:val="18"/>
                          </w:rPr>
                          <w:t>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8" w:right="37" w:hanging="90"/>
                          <w:jc w:val="left"/>
                          <w:rPr>
                            <w:rFonts w:ascii="宋体" w:hAnsi="宋体" w:cs="宋体" w:eastAsia="宋体" w:hint="default"/>
                            <w:sz w:val="18"/>
                            <w:szCs w:val="18"/>
                          </w:rPr>
                        </w:pPr>
                        <w:r>
                          <w:rPr>
                            <w:rFonts w:ascii="宋体" w:hAnsi="宋体" w:cs="宋体" w:eastAsia="宋体" w:hint="default"/>
                            <w:sz w:val="18"/>
                            <w:szCs w:val="18"/>
                          </w:rPr>
                          <w:t>迎春街北、 金梭路西</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11,498.20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出让</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2061.2.8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）土地使用权</w:t>
      </w:r>
      <w:r>
        <w:rPr>
          <w:rFonts w:ascii="宋体" w:hAnsi="宋体" w:cs="宋体" w:eastAsia="宋体" w:hint="default"/>
          <w:b/>
          <w:bCs/>
          <w:spacing w:val="1"/>
          <w:w w:val="99"/>
          <w:sz w:val="24"/>
          <w:szCs w:val="24"/>
        </w:rPr>
        <w:t> </w:t>
      </w:r>
      <w:r>
        <w:rPr>
          <w:rFonts w:ascii="宋体" w:hAnsi="宋体" w:cs="宋体" w:eastAsia="宋体" w:hint="default"/>
          <w:sz w:val="24"/>
          <w:szCs w:val="24"/>
        </w:rPr>
        <w:t>截至本报告期末，公司拥有土地使用权一宗，具体情况如下：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2"/>
        <w:spacing w:line="240" w:lineRule="auto" w:before="26"/>
        <w:ind w:left="636" w:right="95"/>
        <w:jc w:val="left"/>
        <w:rPr>
          <w:b w:val="0"/>
          <w:bCs w:val="0"/>
        </w:rPr>
      </w:pPr>
      <w:r>
        <w:rPr/>
        <w:t>（</w:t>
      </w:r>
      <w:r>
        <w:rPr>
          <w:rFonts w:ascii="Times New Roman" w:hAnsi="Times New Roman" w:cs="Times New Roman" w:eastAsia="Times New Roman" w:hint="default"/>
        </w:rPr>
        <w:t>6</w:t>
      </w:r>
      <w:r>
        <w:rPr/>
        <w:t>）公司核心竞争力</w:t>
      </w:r>
      <w:r>
        <w:rPr>
          <w:b w:val="0"/>
          <w:bCs w:val="0"/>
        </w:rPr>
      </w:r>
    </w:p>
    <w:p>
      <w:pPr>
        <w:pStyle w:val="BodyText"/>
        <w:spacing w:line="357" w:lineRule="auto" w:before="174"/>
        <w:ind w:left="633" w:right="95"/>
        <w:jc w:val="left"/>
      </w:pPr>
      <w:r>
        <w:rPr/>
        <w:t>①整体解决与定制能力的提升 公司拥有自主研发的全系列智能化硬件终端产品线、多功能应用子系统以及强大集成能</w:t>
      </w:r>
    </w:p>
    <w:p>
      <w:pPr>
        <w:pStyle w:val="BodyText"/>
        <w:spacing w:line="357" w:lineRule="auto" w:before="36"/>
        <w:ind w:right="111"/>
        <w:jc w:val="both"/>
      </w:pPr>
      <w:r>
        <w:rPr/>
        <w:t>力的系统平台，并在全国主要城市建立了技术支持和客户服务网点，能够为客户提供符合个</w:t>
      </w:r>
      <w:r>
        <w:rPr>
          <w:spacing w:val="-83"/>
        </w:rPr>
        <w:t> </w:t>
      </w:r>
      <w:r>
        <w:rPr>
          <w:spacing w:val="-83"/>
        </w:rPr>
      </w:r>
      <w:r>
        <w:rPr/>
        <w:t>性化需求、多功能实现、一站式服务的整体解决方案。报告期内，公司努力提升全面技术水</w:t>
      </w:r>
      <w:r>
        <w:rPr>
          <w:spacing w:val="-83"/>
        </w:rPr>
        <w:t> </w:t>
      </w:r>
      <w:r>
        <w:rPr>
          <w:spacing w:val="-83"/>
        </w:rPr>
      </w:r>
      <w:r>
        <w:rPr/>
        <w:t>平，更加贴近了解客户具体业务流程和实际需求，通过更全面的产品线、更高的研发平台、</w:t>
      </w:r>
      <w:r>
        <w:rPr>
          <w:spacing w:val="-83"/>
        </w:rPr>
        <w:t> </w:t>
      </w:r>
      <w:r>
        <w:rPr>
          <w:spacing w:val="-83"/>
        </w:rPr>
      </w:r>
      <w:r>
        <w:rPr/>
        <w:t>更丰富的业务功能、更强的集成能力，进一步增加自主研发产品、核心技术产品在解决方案</w:t>
      </w:r>
      <w:r>
        <w:rPr>
          <w:spacing w:val="-83"/>
        </w:rPr>
        <w:t> </w:t>
      </w:r>
      <w:r>
        <w:rPr>
          <w:spacing w:val="-83"/>
        </w:rPr>
      </w:r>
      <w:r>
        <w:rPr/>
        <w:t>中的比例，在满足客户个性化需求的前提下，为客户提供多功能实现的整体解决方案和一站</w:t>
      </w:r>
      <w:r>
        <w:rPr>
          <w:spacing w:val="-83"/>
        </w:rPr>
        <w:t> </w:t>
      </w:r>
      <w:r>
        <w:rPr>
          <w:spacing w:val="-83"/>
        </w:rPr>
      </w:r>
      <w:r>
        <w:rPr>
          <w:spacing w:val="-3"/>
        </w:rPr>
        <w:t>式的客户服务，以增加公司产品和服务的经济附加值、不断增强客户黏性、扩大品牌影响度。</w:t>
      </w:r>
    </w:p>
    <w:p>
      <w:pPr>
        <w:pStyle w:val="BodyText"/>
        <w:spacing w:line="357" w:lineRule="auto" w:before="36"/>
        <w:ind w:left="633" w:right="95"/>
        <w:jc w:val="left"/>
      </w:pPr>
      <w:r>
        <w:rPr/>
        <w:t>②强化自主研发和创新优势 </w:t>
      </w:r>
      <w:r>
        <w:rPr>
          <w:spacing w:val="-6"/>
        </w:rPr>
        <w:t>公司“以技术为依托、以市场为导向、以最大化满足更多客户的差异化定制需求为目标”</w:t>
      </w:r>
    </w:p>
    <w:p>
      <w:pPr>
        <w:pStyle w:val="BodyText"/>
        <w:spacing w:line="357" w:lineRule="auto" w:before="36"/>
        <w:ind w:right="228"/>
        <w:jc w:val="both"/>
      </w:pPr>
      <w:r>
        <w:rPr/>
        <w:t>的经营模式使得持续的技术升级和不断的产品创新成为保持增长、增强竞争力的必要条件。</w:t>
      </w:r>
      <w:r>
        <w:rPr>
          <w:spacing w:val="-83"/>
        </w:rPr>
        <w:t> </w:t>
      </w:r>
      <w:r>
        <w:rPr>
          <w:spacing w:val="-83"/>
        </w:rPr>
      </w:r>
      <w:r>
        <w:rPr/>
        <w:t>公司的无线通信技术、智能卡应用技术、嵌入式产品设计开发技术、智能识别与控制技术、</w:t>
      </w:r>
      <w:r>
        <w:rPr>
          <w:spacing w:val="-83"/>
        </w:rPr>
        <w:t> </w:t>
      </w:r>
      <w:r>
        <w:rPr>
          <w:spacing w:val="-83"/>
        </w:rPr>
      </w:r>
      <w:r>
        <w:rPr/>
        <w:t>信息集成等核心技术均为自主研发、集成创新，均源于公司多年的行业积累与定制经验。公</w:t>
      </w:r>
      <w:r>
        <w:rPr>
          <w:spacing w:val="-83"/>
        </w:rPr>
        <w:t> </w:t>
      </w:r>
      <w:r>
        <w:rPr>
          <w:spacing w:val="-83"/>
        </w:rPr>
      </w:r>
      <w:r>
        <w:rPr/>
        <w:t>司始终紧跟信息技术发展前沿，将技术创新的着眼点立足于符合客户需求、符合公司资源现</w:t>
      </w:r>
      <w:r>
        <w:rPr>
          <w:spacing w:val="-83"/>
        </w:rPr>
        <w:t> </w:t>
      </w:r>
      <w:r>
        <w:rPr>
          <w:spacing w:val="-83"/>
        </w:rPr>
      </w:r>
      <w:r>
        <w:rPr/>
        <w:t>状、符合行业特点的应用技术创新上，在努力提升产品性能、降低生产成本的同时，更加突</w:t>
      </w:r>
      <w:r>
        <w:rPr>
          <w:spacing w:val="-83"/>
        </w:rPr>
        <w:t> </w:t>
      </w:r>
      <w:r>
        <w:rPr>
          <w:spacing w:val="-83"/>
        </w:rPr>
      </w:r>
      <w:r>
        <w:rPr/>
        <w:t>出市场需求对产品研发和服务的导向作用，强调集成创新和研发成果的转化及应用，持续开</w:t>
      </w:r>
      <w:r>
        <w:rPr>
          <w:spacing w:val="-83"/>
        </w:rPr>
        <w:t> </w:t>
      </w:r>
      <w:r>
        <w:rPr>
          <w:spacing w:val="-83"/>
        </w:rPr>
      </w:r>
      <w:r>
        <w:rPr/>
        <w:t>发出具备行业先进性、具有公司特色和富有市场竞争力的产品。</w:t>
      </w:r>
    </w:p>
    <w:p>
      <w:pPr>
        <w:pStyle w:val="BodyText"/>
        <w:spacing w:line="357" w:lineRule="auto" w:before="36"/>
        <w:ind w:left="633" w:right="95"/>
        <w:jc w:val="left"/>
      </w:pPr>
      <w:r>
        <w:rPr/>
        <w:t>③业务快速复制及拓展能力强 在学校、企事业、城市三大“社区型”一卡通建设领域中，公司在校园领域积累了丰富</w:t>
      </w:r>
    </w:p>
    <w:p>
      <w:pPr>
        <w:pStyle w:val="BodyText"/>
        <w:spacing w:line="357" w:lineRule="auto" w:before="36"/>
        <w:ind w:right="228"/>
        <w:jc w:val="both"/>
      </w:pPr>
      <w:r>
        <w:rPr/>
        <w:t>的智能一卡通建设经验并形成了较强的竞争优势。近年来，企事业和城市领域的一卡通建设</w:t>
      </w:r>
      <w:r>
        <w:rPr>
          <w:spacing w:val="-83"/>
        </w:rPr>
        <w:t> </w:t>
      </w:r>
      <w:r>
        <w:rPr>
          <w:spacing w:val="-83"/>
        </w:rPr>
      </w:r>
      <w:r>
        <w:rPr/>
        <w:t>加速发展，其中，企事业主要需求在于身份识别以及资源管控功能，而城市应用主要来自智</w:t>
      </w:r>
      <w:r>
        <w:rPr>
          <w:spacing w:val="-83"/>
        </w:rPr>
        <w:t> </w:t>
      </w:r>
      <w:r>
        <w:rPr>
          <w:spacing w:val="-83"/>
        </w:rPr>
      </w:r>
      <w:r>
        <w:rPr/>
        <w:t>慧城市建设在综合交通、商户消费以及公用事业缴费等领域对于一卡通的小额支付功能的大</w:t>
      </w:r>
      <w:r>
        <w:rPr>
          <w:spacing w:val="-83"/>
        </w:rPr>
        <w:t> </w:t>
      </w:r>
      <w:r>
        <w:rPr>
          <w:spacing w:val="-83"/>
        </w:rPr>
      </w:r>
      <w:r>
        <w:rPr/>
        <w:t>量需求。公司基于校园领域经验，以核心技术为基础，结合较强的研发创新能力，已经具备</w:t>
      </w:r>
    </w:p>
    <w:p>
      <w:pPr>
        <w:spacing w:after="0" w:line="357" w:lineRule="auto"/>
        <w:jc w:val="both"/>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right="228"/>
        <w:jc w:val="both"/>
      </w:pPr>
      <w:r>
        <w:rPr/>
        <w:t>了将目前的智能一卡通业务成功扩展、复制到更广阔的企事业、城市等领域的能力。报告期</w:t>
      </w:r>
      <w:r>
        <w:rPr>
          <w:spacing w:val="-83"/>
        </w:rPr>
        <w:t> </w:t>
      </w:r>
      <w:r>
        <w:rPr>
          <w:spacing w:val="-83"/>
        </w:rPr>
      </w:r>
      <w:r>
        <w:rPr/>
        <w:t>内，公司在城市领域取得了快速的增长，业务拓展也较为顺利，并将在未来继续利用快速复</w:t>
      </w:r>
      <w:r>
        <w:rPr>
          <w:spacing w:val="-83"/>
        </w:rPr>
        <w:t> </w:t>
      </w:r>
      <w:r>
        <w:rPr>
          <w:spacing w:val="-83"/>
        </w:rPr>
      </w:r>
      <w:r>
        <w:rPr/>
        <w:t>制优势进一步强化各领域业务能力。</w:t>
      </w:r>
    </w:p>
    <w:p>
      <w:pPr>
        <w:pStyle w:val="BodyText"/>
        <w:spacing w:line="357" w:lineRule="auto" w:before="36"/>
        <w:ind w:left="633" w:right="95"/>
        <w:jc w:val="left"/>
      </w:pPr>
      <w:r>
        <w:rPr/>
        <w:t>④团队价值与公司文化优势 公司长期坚持</w:t>
      </w:r>
      <w:r>
        <w:rPr>
          <w:rFonts w:ascii="Times New Roman" w:hAnsi="Times New Roman" w:cs="Times New Roman" w:eastAsia="Times New Roman" w:hint="default"/>
        </w:rPr>
        <w:t>“</w:t>
      </w:r>
      <w:r>
        <w:rPr/>
        <w:t>创造价值、共享成功</w:t>
      </w:r>
      <w:r>
        <w:rPr>
          <w:rFonts w:ascii="Times New Roman" w:hAnsi="Times New Roman" w:cs="Times New Roman" w:eastAsia="Times New Roman" w:hint="default"/>
        </w:rPr>
        <w:t>”</w:t>
      </w:r>
      <w:r>
        <w:rPr/>
        <w:t>的企业价值观，引进人才。公司的创业团队具有较</w:t>
      </w:r>
    </w:p>
    <w:p>
      <w:pPr>
        <w:pStyle w:val="BodyText"/>
        <w:spacing w:line="357" w:lineRule="auto" w:before="5"/>
        <w:ind w:left="154" w:right="228"/>
        <w:jc w:val="both"/>
      </w:pPr>
      <w:r>
        <w:rPr/>
        <w:t>强的创新意识、学习能力和执行能力，多年来专注于智能一卡通领域并积累了丰富的行业经</w:t>
      </w:r>
      <w:r>
        <w:rPr>
          <w:spacing w:val="-83"/>
        </w:rPr>
        <w:t> </w:t>
      </w:r>
      <w:r>
        <w:rPr>
          <w:spacing w:val="-83"/>
        </w:rPr>
      </w:r>
      <w:r>
        <w:rPr/>
        <w:t>验，对客户的差异化需求有着非常深刻的理解，对市场发展有着前瞻性的把握，能够敏锐地</w:t>
      </w:r>
      <w:r>
        <w:rPr>
          <w:spacing w:val="-83"/>
        </w:rPr>
        <w:t> </w:t>
      </w:r>
      <w:r>
        <w:rPr>
          <w:spacing w:val="-83"/>
        </w:rPr>
      </w:r>
      <w:r>
        <w:rPr/>
        <w:t>捕捉到行业发展的机会，对业务模式进行了大胆创新，从而形成了公司独特的规模化个性定</w:t>
      </w:r>
      <w:r>
        <w:rPr>
          <w:spacing w:val="-83"/>
        </w:rPr>
        <w:t> </w:t>
      </w:r>
      <w:r>
        <w:rPr>
          <w:spacing w:val="-83"/>
        </w:rPr>
      </w:r>
      <w:r>
        <w:rPr/>
        <w:t>制的经营模式及多项竞争优势，为公司快速发展奠定了坚实的基础。</w:t>
      </w:r>
    </w:p>
    <w:p>
      <w:pPr>
        <w:pStyle w:val="Heading2"/>
        <w:spacing w:line="240" w:lineRule="auto" w:before="78"/>
        <w:ind w:left="636" w:right="95"/>
        <w:jc w:val="left"/>
        <w:rPr>
          <w:b w:val="0"/>
          <w:bCs w:val="0"/>
        </w:rPr>
      </w:pPr>
      <w:r>
        <w:rPr/>
        <w:t>（</w:t>
      </w:r>
      <w:r>
        <w:rPr>
          <w:rFonts w:ascii="Times New Roman" w:hAnsi="Times New Roman" w:cs="Times New Roman" w:eastAsia="Times New Roman" w:hint="default"/>
        </w:rPr>
        <w:t>7</w:t>
      </w:r>
      <w:r>
        <w:rPr/>
        <w:t>）公司研发与技术创新情况</w:t>
      </w:r>
      <w:r>
        <w:rPr>
          <w:b w:val="0"/>
          <w:bCs w:val="0"/>
        </w:rPr>
      </w:r>
    </w:p>
    <w:p>
      <w:pPr>
        <w:pStyle w:val="BodyText"/>
        <w:spacing w:line="357" w:lineRule="auto" w:before="213"/>
        <w:ind w:left="634" w:right="95"/>
        <w:jc w:val="left"/>
      </w:pPr>
      <w:r>
        <w:rPr/>
        <w:t>①技术创新战略方向 公司将技术创新的着眼点立足于符合需求、符合公司资源现状、符合行业特点的应用技</w:t>
      </w:r>
    </w:p>
    <w:p>
      <w:pPr>
        <w:pStyle w:val="BodyText"/>
        <w:spacing w:line="357" w:lineRule="auto" w:before="36"/>
        <w:ind w:left="154" w:right="228"/>
        <w:jc w:val="both"/>
      </w:pPr>
      <w:r>
        <w:rPr/>
        <w:t>术创新上，不单纯追求产品性能的提高、成本的降低，而更加突出市场需求对产品研发和服</w:t>
      </w:r>
      <w:r>
        <w:rPr>
          <w:spacing w:val="-83"/>
        </w:rPr>
        <w:t> </w:t>
      </w:r>
      <w:r>
        <w:rPr>
          <w:spacing w:val="-83"/>
        </w:rPr>
      </w:r>
      <w:r>
        <w:rPr/>
        <w:t>务的导向作用，突出集成创新和成果的转化应用，努力制造出具有行业特点、公司特色和富</w:t>
      </w:r>
      <w:r>
        <w:rPr>
          <w:spacing w:val="-83"/>
        </w:rPr>
        <w:t> </w:t>
      </w:r>
      <w:r>
        <w:rPr>
          <w:spacing w:val="-83"/>
        </w:rPr>
      </w:r>
      <w:r>
        <w:rPr/>
        <w:t>有竞争力的产品。</w:t>
      </w:r>
    </w:p>
    <w:p>
      <w:pPr>
        <w:pStyle w:val="BodyText"/>
        <w:spacing w:line="357" w:lineRule="auto" w:before="36"/>
        <w:ind w:left="154" w:right="228" w:firstLine="480"/>
        <w:jc w:val="both"/>
      </w:pPr>
      <w:r>
        <w:rPr/>
        <w:t>公司努力完善“目标明晰、职能明确、管理科学、运行高效”的科技创新体系，公司努</w:t>
      </w:r>
      <w:r>
        <w:rPr>
          <w:spacing w:val="1"/>
        </w:rPr>
        <w:t> </w:t>
      </w:r>
      <w:r>
        <w:rPr/>
        <w:t>力健全“以市场为导向、产品为中心、客户需求为目的”的应用技术研发机制。进一步深化</w:t>
      </w:r>
      <w:r>
        <w:rPr>
          <w:spacing w:val="-83"/>
        </w:rPr>
        <w:t> </w:t>
      </w:r>
      <w:r>
        <w:rPr>
          <w:spacing w:val="-83"/>
        </w:rPr>
      </w:r>
      <w:r>
        <w:rPr>
          <w:spacing w:val="-5"/>
        </w:rPr>
        <w:t>技术创新机制改革，建立健全以“满足市场需求、获得自主知识产权及对企业竞争力贡献度”</w:t>
      </w:r>
      <w:r>
        <w:rPr>
          <w:spacing w:val="-117"/>
        </w:rPr>
        <w:t> </w:t>
      </w:r>
      <w:r>
        <w:rPr>
          <w:spacing w:val="-117"/>
        </w:rPr>
      </w:r>
      <w:r>
        <w:rPr/>
        <w:t>为主要指标的评价激励机制，使之成为“多出成果、快出成果、出好成果”的内在动力。</w:t>
      </w:r>
    </w:p>
    <w:p>
      <w:pPr>
        <w:pStyle w:val="BodyText"/>
        <w:spacing w:line="357" w:lineRule="auto" w:before="36"/>
        <w:ind w:left="634" w:right="95"/>
        <w:jc w:val="left"/>
      </w:pPr>
      <w:r>
        <w:rPr/>
        <w:t>②研发体系建设 为持续巩固公司在行业内的技术领先优势，实施公司产业链的延伸，推动公司新技术与</w:t>
      </w:r>
    </w:p>
    <w:p>
      <w:pPr>
        <w:pStyle w:val="BodyText"/>
        <w:spacing w:line="357" w:lineRule="auto" w:before="36"/>
        <w:ind w:left="154" w:right="92"/>
        <w:jc w:val="left"/>
      </w:pPr>
      <w:r>
        <w:rPr/>
        <w:t>研发流程管理快速提升，创建持续的创新体系，公司继续深化研发体制改革，形成以产品研</w:t>
      </w:r>
      <w:r>
        <w:rPr>
          <w:spacing w:val="-83"/>
        </w:rPr>
        <w:t> </w:t>
      </w:r>
      <w:r>
        <w:rPr>
          <w:spacing w:val="-83"/>
        </w:rPr>
      </w:r>
      <w:r>
        <w:rPr>
          <w:spacing w:val="-2"/>
        </w:rPr>
        <w:t>究中心、技术研究中心为主导核心的研发体系建设。产品研究中心负责产品线的新产品策划、</w:t>
      </w:r>
      <w:r>
        <w:rPr/>
        <w:t> 开发、定制化开发、持续改进及产品生命周期管理，以及面向营销中心提供所负责产品线的</w:t>
      </w:r>
      <w:r>
        <w:rPr>
          <w:spacing w:val="-83"/>
        </w:rPr>
        <w:t> </w:t>
      </w:r>
      <w:r>
        <w:rPr>
          <w:spacing w:val="-83"/>
        </w:rPr>
      </w:r>
      <w:r>
        <w:rPr/>
        <w:t>产品解决方案及产品销售支持和培训的功能整合，产品研究中心下设校企一卡通、城市一卡</w:t>
      </w:r>
      <w:r>
        <w:rPr>
          <w:spacing w:val="-83"/>
        </w:rPr>
        <w:t> </w:t>
      </w:r>
      <w:r>
        <w:rPr>
          <w:spacing w:val="-83"/>
        </w:rPr>
      </w:r>
      <w:r>
        <w:rPr/>
        <w:t>通、信息集成、增值业务、智能识别、电子支付及能源管控七个产品事业部，对其所属产品</w:t>
      </w:r>
      <w:r>
        <w:rPr>
          <w:spacing w:val="-83"/>
        </w:rPr>
        <w:t> </w:t>
      </w:r>
      <w:r>
        <w:rPr>
          <w:spacing w:val="-83"/>
        </w:rPr>
      </w:r>
      <w:r>
        <w:rPr>
          <w:spacing w:val="-3"/>
        </w:rPr>
        <w:t>线的产品竞争力、可靠性及经济效益负责，并向其他产品事业部提供产品、开发支持与保障。</w:t>
      </w:r>
      <w:r>
        <w:rPr>
          <w:spacing w:val="-81"/>
        </w:rPr>
        <w:t> </w:t>
      </w:r>
      <w:r>
        <w:rPr>
          <w:spacing w:val="-81"/>
        </w:rPr>
      </w:r>
      <w:r>
        <w:rPr/>
        <w:t>公司将负责新技术研究、建立公共技术平台、公共产品平台、技术标准及共用模块开发的功</w:t>
      </w:r>
      <w:r>
        <w:rPr>
          <w:spacing w:val="-83"/>
        </w:rPr>
        <w:t> </w:t>
      </w:r>
      <w:r>
        <w:rPr>
          <w:spacing w:val="-83"/>
        </w:rPr>
      </w:r>
      <w:r>
        <w:rPr/>
        <w:t>能进行整合，成立技术研究中心，下设软件技术、硬件技术、商密技术、通讯技术、</w:t>
      </w:r>
      <w:r>
        <w:rPr>
          <w:rFonts w:ascii="Times New Roman" w:hAnsi="Times New Roman" w:cs="Times New Roman" w:eastAsia="Times New Roman" w:hint="default"/>
        </w:rPr>
        <w:t>RFID</w:t>
      </w:r>
      <w:r>
        <w:rPr/>
        <w:t>技</w:t>
      </w:r>
    </w:p>
    <w:p>
      <w:pPr>
        <w:spacing w:after="0" w:line="357"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left="633" w:right="94" w:hanging="480"/>
        <w:jc w:val="left"/>
      </w:pPr>
      <w:r>
        <w:rPr/>
        <w:t>术研究部以及研发管理部和系统测试部。 随着公司整体业务规模的逐步扩大，产品体系的不断完善和丰富，公司将逐步加大研发</w:t>
      </w:r>
    </w:p>
    <w:p>
      <w:pPr>
        <w:pStyle w:val="BodyText"/>
        <w:spacing w:line="364" w:lineRule="auto" w:before="36"/>
        <w:ind w:right="94"/>
        <w:jc w:val="left"/>
      </w:pPr>
      <w:r>
        <w:rPr/>
        <w:t>管理体系的投入，以提高研发创新体系管理水平。 公司通过外部引进、内部培养等多种手段，不断强化技术力量，形成了强有力的技术团队。</w:t>
      </w:r>
      <w:r>
        <w:rPr>
          <w:spacing w:val="-83"/>
        </w:rPr>
        <w:t> </w:t>
      </w:r>
      <w:r>
        <w:rPr>
          <w:spacing w:val="-83"/>
        </w:rPr>
      </w:r>
      <w:r>
        <w:rPr/>
        <w:t>同时，公司建立了一套完整的激励机制和科技人才发展规划，通过提供优厚的薪酬福利待遇</w:t>
      </w:r>
      <w:r>
        <w:rPr>
          <w:spacing w:val="-83"/>
        </w:rPr>
        <w:t> </w:t>
      </w:r>
      <w:r>
        <w:rPr>
          <w:spacing w:val="-83"/>
        </w:rPr>
      </w:r>
      <w:r>
        <w:rPr/>
        <w:t>为科技人员创造优越的研发环境，充分调动了研发人员的积极性。同时公司引入竞争机制，</w:t>
      </w:r>
      <w:r>
        <w:rPr>
          <w:spacing w:val="-83"/>
        </w:rPr>
        <w:t> </w:t>
      </w:r>
      <w:r>
        <w:rPr>
          <w:spacing w:val="-83"/>
        </w:rPr>
      </w:r>
      <w:r>
        <w:rPr/>
        <w:t>设定科技人才发展平台，使其在明确的发展路径下通过竞争和努力实现员工与企业的共赢。</w:t>
      </w:r>
    </w:p>
    <w:p>
      <w:pPr>
        <w:spacing w:line="240" w:lineRule="auto" w:before="12"/>
        <w:rPr>
          <w:rFonts w:ascii="宋体" w:hAnsi="宋体" w:cs="宋体" w:eastAsia="宋体" w:hint="default"/>
          <w:sz w:val="20"/>
          <w:szCs w:val="2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、投资状况分析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83"/>
        <w:gridCol w:w="5485"/>
      </w:tblGrid>
      <w:tr>
        <w:trPr>
          <w:trHeight w:val="402"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29,902.66</w:t>
            </w:r>
          </w:p>
        </w:tc>
      </w:tr>
      <w:tr>
        <w:trPr>
          <w:trHeight w:val="402"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3,480.42</w:t>
            </w:r>
          </w:p>
        </w:tc>
      </w:tr>
      <w:tr>
        <w:trPr>
          <w:trHeight w:val="402"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8,529.67</w:t>
            </w:r>
          </w:p>
        </w:tc>
      </w:tr>
      <w:tr>
        <w:trPr>
          <w:trHeight w:val="402"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67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48" w:lineRule="auto" w:before="50"/>
              <w:ind w:left="442" w:right="83" w:firstLine="2"/>
              <w:jc w:val="left"/>
              <w:rPr>
                <w:rFonts w:ascii="宋体" w:hAnsi="宋体" w:cs="宋体" w:eastAsia="宋体" w:hint="default"/>
                <w:sz w:val="21"/>
                <w:szCs w:val="21"/>
              </w:rPr>
            </w:pPr>
            <w:r>
              <w:rPr>
                <w:rFonts w:ascii="宋体" w:hAnsi="宋体" w:cs="宋体" w:eastAsia="宋体" w:hint="default"/>
                <w:b/>
                <w:bCs/>
                <w:sz w:val="21"/>
                <w:szCs w:val="21"/>
              </w:rPr>
              <w:t>①募集资金金额及到位情况 ：</w:t>
            </w:r>
            <w:r>
              <w:rPr>
                <w:rFonts w:ascii="宋体" w:hAnsi="宋体" w:cs="宋体" w:eastAsia="宋体" w:hint="default"/>
                <w:b/>
                <w:bCs/>
                <w:w w:val="99"/>
                <w:sz w:val="21"/>
                <w:szCs w:val="21"/>
              </w:rPr>
              <w:t> </w:t>
            </w:r>
            <w:r>
              <w:rPr>
                <w:rFonts w:ascii="宋体" w:hAnsi="宋体" w:cs="宋体" w:eastAsia="宋体" w:hint="default"/>
                <w:sz w:val="21"/>
                <w:szCs w:val="21"/>
              </w:rPr>
              <w:t>中国证监会监督管理委员会《关于核准郑州新开普电子股份有限公司首次公开发行股票并在创业板</w:t>
            </w:r>
          </w:p>
          <w:p>
            <w:pPr>
              <w:pStyle w:val="TableParagraph"/>
              <w:spacing w:line="295" w:lineRule="auto"/>
              <w:ind w:left="22" w:right="30"/>
              <w:jc w:val="both"/>
              <w:rPr>
                <w:rFonts w:ascii="宋体" w:hAnsi="宋体" w:cs="宋体" w:eastAsia="宋体" w:hint="default"/>
                <w:sz w:val="21"/>
                <w:szCs w:val="21"/>
              </w:rPr>
            </w:pPr>
            <w:r>
              <w:rPr>
                <w:rFonts w:ascii="宋体" w:hAnsi="宋体" w:cs="宋体" w:eastAsia="宋体" w:hint="default"/>
                <w:spacing w:val="-6"/>
                <w:sz w:val="21"/>
                <w:szCs w:val="21"/>
              </w:rPr>
              <w:t>上市的批复》（证监许可</w:t>
            </w:r>
            <w:r>
              <w:rPr>
                <w:rFonts w:ascii="Times New Roman" w:hAnsi="Times New Roman" w:cs="Times New Roman" w:eastAsia="Times New Roman" w:hint="default"/>
                <w:spacing w:val="-6"/>
                <w:sz w:val="21"/>
                <w:szCs w:val="21"/>
              </w:rPr>
              <w:t>[2011]1067</w:t>
            </w:r>
            <w:r>
              <w:rPr>
                <w:rFonts w:ascii="Times New Roman" w:hAnsi="Times New Roman" w:cs="Times New Roman" w:eastAsia="Times New Roman" w:hint="default"/>
                <w:spacing w:val="8"/>
                <w:sz w:val="21"/>
                <w:szCs w:val="21"/>
              </w:rPr>
              <w:t> </w:t>
            </w:r>
            <w:r>
              <w:rPr>
                <w:rFonts w:ascii="宋体" w:hAnsi="宋体" w:cs="宋体" w:eastAsia="宋体" w:hint="default"/>
                <w:spacing w:val="-1"/>
                <w:sz w:val="21"/>
                <w:szCs w:val="21"/>
              </w:rPr>
              <w:t>号）核准，向社会公众发行人民币普通股</w:t>
            </w:r>
            <w:r>
              <w:rPr>
                <w:rFonts w:ascii="宋体" w:hAnsi="宋体" w:cs="宋体" w:eastAsia="宋体" w:hint="default"/>
                <w:spacing w:val="-45"/>
                <w:sz w:val="21"/>
                <w:szCs w:val="21"/>
              </w:rPr>
              <w:t> </w:t>
            </w:r>
            <w:r>
              <w:rPr>
                <w:rFonts w:ascii="Times New Roman" w:hAnsi="Times New Roman" w:cs="Times New Roman" w:eastAsia="Times New Roman" w:hint="default"/>
                <w:spacing w:val="-1"/>
                <w:sz w:val="21"/>
                <w:szCs w:val="21"/>
              </w:rPr>
              <w:t>1,120</w:t>
            </w:r>
            <w:r>
              <w:rPr>
                <w:rFonts w:ascii="Times New Roman" w:hAnsi="Times New Roman" w:cs="Times New Roman" w:eastAsia="Times New Roman" w:hint="default"/>
                <w:spacing w:val="8"/>
                <w:sz w:val="21"/>
                <w:szCs w:val="21"/>
              </w:rPr>
              <w:t> </w:t>
            </w:r>
            <w:r>
              <w:rPr>
                <w:rFonts w:ascii="宋体" w:hAnsi="宋体" w:cs="宋体" w:eastAsia="宋体" w:hint="default"/>
                <w:spacing w:val="-1"/>
                <w:sz w:val="21"/>
                <w:szCs w:val="21"/>
              </w:rPr>
              <w:t>万股，股票面值为人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元，发行价格每股人民币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元，公司募集资金总额为人民币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万元，扣除各项发行费</w:t>
            </w:r>
          </w:p>
          <w:p>
            <w:pPr>
              <w:pStyle w:val="TableParagraph"/>
              <w:spacing w:line="240" w:lineRule="auto" w:before="14"/>
              <w:ind w:left="22" w:right="0"/>
              <w:jc w:val="both"/>
              <w:rPr>
                <w:rFonts w:ascii="宋体" w:hAnsi="宋体" w:cs="宋体" w:eastAsia="宋体" w:hint="default"/>
                <w:sz w:val="21"/>
                <w:szCs w:val="21"/>
              </w:rPr>
            </w:pPr>
            <w:r>
              <w:rPr>
                <w:rFonts w:ascii="宋体" w:hAnsi="宋体" w:cs="宋体" w:eastAsia="宋体" w:hint="default"/>
                <w:sz w:val="21"/>
                <w:szCs w:val="21"/>
              </w:rPr>
              <w:t>用合计人民币</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3,697.34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万元，实际募集资金净额为人民币</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29,902.66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万元，其中其他与主营业务相关的营</w:t>
            </w:r>
          </w:p>
          <w:p>
            <w:pPr>
              <w:pStyle w:val="TableParagraph"/>
              <w:spacing w:line="240" w:lineRule="auto" w:before="68"/>
              <w:ind w:left="22" w:right="0"/>
              <w:jc w:val="both"/>
              <w:rPr>
                <w:rFonts w:ascii="宋体" w:hAnsi="宋体" w:cs="宋体" w:eastAsia="宋体" w:hint="default"/>
                <w:sz w:val="21"/>
                <w:szCs w:val="21"/>
              </w:rPr>
            </w:pPr>
            <w:r>
              <w:rPr>
                <w:rFonts w:ascii="宋体" w:hAnsi="宋体" w:cs="宋体" w:eastAsia="宋体" w:hint="default"/>
                <w:spacing w:val="-3"/>
                <w:sz w:val="21"/>
                <w:szCs w:val="21"/>
              </w:rPr>
              <w:t>运资金（超募资金）人民币</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13,877.56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万元。利安达会计师事务所有限责任公司已对公司首次公开发行股</w:t>
            </w:r>
          </w:p>
          <w:p>
            <w:pPr>
              <w:pStyle w:val="TableParagraph"/>
              <w:spacing w:line="328" w:lineRule="auto" w:before="69"/>
              <w:ind w:left="442" w:right="83" w:hanging="420"/>
              <w:jc w:val="left"/>
              <w:rPr>
                <w:rFonts w:ascii="宋体" w:hAnsi="宋体" w:cs="宋体" w:eastAsia="宋体" w:hint="default"/>
                <w:sz w:val="21"/>
                <w:szCs w:val="21"/>
              </w:rPr>
            </w:pPr>
            <w:r>
              <w:rPr>
                <w:rFonts w:ascii="宋体" w:hAnsi="宋体" w:cs="宋体" w:eastAsia="宋体" w:hint="default"/>
                <w:sz w:val="21"/>
                <w:szCs w:val="21"/>
              </w:rPr>
              <w:t>票的资金到位情况进行了审验，并出具利安达验字</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06</w:t>
            </w:r>
            <w:r>
              <w:rPr>
                <w:rFonts w:ascii="Times New Roman" w:hAnsi="Times New Roman" w:cs="Times New Roman" w:eastAsia="Times New Roman" w:hint="default"/>
                <w:sz w:val="21"/>
                <w:szCs w:val="21"/>
              </w:rPr>
              <w:t>7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验资报告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 根据《深圳证券交易所创业板股票上市规则</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《深圳证券交易所创业板上市公司规范运作指引》等</w:t>
            </w:r>
          </w:p>
          <w:p>
            <w:pPr>
              <w:pStyle w:val="TableParagraph"/>
              <w:spacing w:line="314" w:lineRule="auto" w:before="6"/>
              <w:ind w:left="22" w:right="20"/>
              <w:jc w:val="both"/>
              <w:rPr>
                <w:rFonts w:ascii="宋体" w:hAnsi="宋体" w:cs="宋体" w:eastAsia="宋体" w:hint="default"/>
                <w:sz w:val="21"/>
                <w:szCs w:val="21"/>
              </w:rPr>
            </w:pPr>
            <w:r>
              <w:rPr>
                <w:rFonts w:ascii="宋体" w:hAnsi="宋体" w:cs="宋体" w:eastAsia="宋体" w:hint="default"/>
                <w:sz w:val="21"/>
                <w:szCs w:val="21"/>
              </w:rPr>
              <w:t>相关法律法规，公司与保荐机构南京证券股份有限公司分别与中国银行股份有限公司郑州高新技术开发 </w:t>
            </w:r>
            <w:r>
              <w:rPr>
                <w:rFonts w:ascii="宋体" w:hAnsi="宋体" w:cs="宋体" w:eastAsia="宋体" w:hint="default"/>
                <w:spacing w:val="-4"/>
                <w:sz w:val="21"/>
                <w:szCs w:val="21"/>
              </w:rPr>
              <w:t>区支行、交通银行股份有限公司郑州高新技术开发区支行两家银行签订《募集资金三方监管协议》，对公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司募集资金进行监管，并开设了募集资金专用账户。</w:t>
            </w:r>
          </w:p>
          <w:p>
            <w:pPr>
              <w:pStyle w:val="TableParagraph"/>
              <w:spacing w:line="240" w:lineRule="auto" w:before="58"/>
              <w:ind w:left="445" w:right="0"/>
              <w:jc w:val="left"/>
              <w:rPr>
                <w:rFonts w:ascii="宋体" w:hAnsi="宋体" w:cs="宋体" w:eastAsia="宋体" w:hint="default"/>
                <w:sz w:val="21"/>
                <w:szCs w:val="21"/>
              </w:rPr>
            </w:pPr>
            <w:r>
              <w:rPr>
                <w:rFonts w:ascii="宋体" w:hAnsi="宋体" w:cs="宋体" w:eastAsia="宋体" w:hint="default"/>
                <w:b/>
                <w:bCs/>
                <w:sz w:val="21"/>
                <w:szCs w:val="21"/>
              </w:rPr>
              <w:t>②募集资金的实际使用情况</w:t>
            </w:r>
            <w:r>
              <w:rPr>
                <w:rFonts w:ascii="宋体" w:hAnsi="宋体" w:cs="宋体" w:eastAsia="宋体" w:hint="default"/>
                <w:b/>
                <w:bCs/>
                <w:spacing w:val="-3"/>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40" w:lineRule="auto" w:before="123"/>
              <w:ind w:left="442" w:right="0"/>
              <w:jc w:val="left"/>
              <w:rPr>
                <w:rFonts w:ascii="宋体" w:hAnsi="宋体" w:cs="宋体" w:eastAsia="宋体" w:hint="default"/>
                <w:sz w:val="21"/>
                <w:szCs w:val="21"/>
              </w:rPr>
            </w:pPr>
            <w:r>
              <w:rPr>
                <w:rFonts w:ascii="宋体" w:hAnsi="宋体" w:cs="宋体" w:eastAsia="宋体" w:hint="default"/>
                <w:sz w:val="21"/>
                <w:szCs w:val="21"/>
              </w:rPr>
              <w:t>公司募集资金总额为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29,902.66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万元，报告期投入募集资金总额为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2,980.42</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万元，已累计投入募集资</w:t>
            </w:r>
          </w:p>
          <w:p>
            <w:pPr>
              <w:pStyle w:val="TableParagraph"/>
              <w:spacing w:line="240" w:lineRule="auto" w:before="69"/>
              <w:ind w:left="22" w:right="0"/>
              <w:jc w:val="both"/>
              <w:rPr>
                <w:rFonts w:ascii="宋体" w:hAnsi="宋体" w:cs="宋体" w:eastAsia="宋体" w:hint="default"/>
                <w:sz w:val="21"/>
                <w:szCs w:val="21"/>
              </w:rPr>
            </w:pPr>
            <w:r>
              <w:rPr>
                <w:rFonts w:ascii="宋体" w:hAnsi="宋体" w:cs="宋体" w:eastAsia="宋体" w:hint="default"/>
                <w:sz w:val="21"/>
                <w:szCs w:val="21"/>
              </w:rPr>
              <w:t>金总额为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8,529.67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40" w:lineRule="auto" w:before="107"/>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日，募投项目使用情况：</w:t>
            </w:r>
          </w:p>
        </w:tc>
      </w:tr>
    </w:tbl>
    <w:p>
      <w:pPr>
        <w:spacing w:after="0" w:line="240" w:lineRule="auto"/>
        <w:jc w:val="left"/>
        <w:rPr>
          <w:rFonts w:ascii="宋体" w:hAnsi="宋体" w:cs="宋体" w:eastAsia="宋体" w:hint="default"/>
          <w:sz w:val="21"/>
          <w:szCs w:val="21"/>
        </w:rPr>
        <w:sectPr>
          <w:pgSz w:w="11910" w:h="16840"/>
          <w:pgMar w:header="851" w:footer="982" w:top="1220" w:bottom="1180" w:left="980" w:right="1020"/>
        </w:sectPr>
      </w:pPr>
    </w:p>
    <w:p>
      <w:pPr>
        <w:spacing w:line="240" w:lineRule="auto" w:before="2"/>
        <w:rPr>
          <w:rFonts w:ascii="宋体" w:hAnsi="宋体" w:cs="宋体" w:eastAsia="宋体" w:hint="default"/>
          <w:sz w:val="14"/>
          <w:szCs w:val="14"/>
        </w:rPr>
      </w:pPr>
    </w:p>
    <w:p>
      <w:pPr>
        <w:spacing w:before="35"/>
        <w:ind w:left="601" w:right="610" w:firstLine="0"/>
        <w:jc w:val="left"/>
        <w:rPr>
          <w:rFonts w:ascii="宋体" w:hAnsi="宋体" w:cs="宋体" w:eastAsia="宋体" w:hint="default"/>
          <w:sz w:val="21"/>
          <w:szCs w:val="21"/>
        </w:rPr>
      </w:pPr>
      <w:r>
        <w:rPr/>
        <w:pict>
          <v:group style="position:absolute;margin-left:56.219978pt;margin-top:.513922pt;width:479.35pt;height:545.8pt;mso-position-horizontal-relative:page;mso-position-vertical-relative:paragraph;z-index:-885664" coordorigin="1124,10" coordsize="9587,10916">
            <v:group style="position:absolute;left:1129;top:20;width:9578;height:2" coordorigin="1129,20" coordsize="9578,2">
              <v:shape style="position:absolute;left:1129;top:20;width:9578;height:2" coordorigin="1129,20" coordsize="9578,0" path="m1129,20l10706,20e" filled="false" stroked="true" strokeweight=".48004pt" strokecolor="#000000">
                <v:path arrowok="t"/>
              </v:shape>
            </v:group>
            <v:group style="position:absolute;left:1134;top:15;width:2;height:10906" coordorigin="1134,15" coordsize="2,10906">
              <v:shape style="position:absolute;left:1134;top:15;width:2;height:10906" coordorigin="1134,15" coordsize="0,10906" path="m1134,15l1134,10921e" filled="false" stroked="true" strokeweight=".48001pt" strokecolor="#000000">
                <v:path arrowok="t"/>
              </v:shape>
            </v:group>
            <v:group style="position:absolute;left:1129;top:10916;width:9568;height:2" coordorigin="1129,10916" coordsize="9568,2">
              <v:shape style="position:absolute;left:1129;top:10916;width:9568;height:2" coordorigin="1129,10916" coordsize="9568,0" path="m1129,10916l10697,10916e" filled="false" stroked="true" strokeweight=".48001pt" strokecolor="#000000">
                <v:path arrowok="t"/>
              </v:shape>
            </v:group>
            <v:group style="position:absolute;left:10702;top:15;width:2;height:10906" coordorigin="10702,15" coordsize="2,10906">
              <v:shape style="position:absolute;left:10702;top:15;width:2;height:10906" coordorigin="10702,15" coordsize="0,10906" path="m10702,15l10702,10921e" filled="false" stroked="true" strokeweight=".47998pt" strokecolor="#000000">
                <v:path arrowok="t"/>
              </v:shape>
            </v:group>
            <w10:wrap type="none"/>
          </v:group>
        </w:pict>
      </w:r>
      <w:r>
        <w:rPr>
          <w:rFonts w:ascii="宋体" w:hAnsi="宋体" w:cs="宋体" w:eastAsia="宋体" w:hint="default"/>
          <w:sz w:val="21"/>
          <w:szCs w:val="21"/>
        </w:rPr>
        <w:t>ⅰ</w:t>
      </w:r>
      <w:r>
        <w:rPr>
          <w:rFonts w:ascii="Times New Roman" w:hAnsi="Times New Roman" w:cs="Times New Roman" w:eastAsia="Times New Roman" w:hint="default"/>
          <w:sz w:val="21"/>
          <w:szCs w:val="21"/>
        </w:rPr>
        <w:t>.</w:t>
      </w:r>
      <w:r>
        <w:rPr>
          <w:rFonts w:ascii="宋体" w:hAnsi="宋体" w:cs="宋体" w:eastAsia="宋体" w:hint="default"/>
          <w:sz w:val="21"/>
          <w:szCs w:val="21"/>
        </w:rPr>
        <w:t>智能一卡通整体解决方案技术升级及产业化项目支出为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2,235.74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before="109"/>
        <w:ind w:left="601" w:right="610" w:firstLine="0"/>
        <w:jc w:val="left"/>
        <w:rPr>
          <w:rFonts w:ascii="宋体" w:hAnsi="宋体" w:cs="宋体" w:eastAsia="宋体" w:hint="default"/>
          <w:sz w:val="21"/>
          <w:szCs w:val="21"/>
        </w:rPr>
      </w:pPr>
      <w:r>
        <w:rPr>
          <w:rFonts w:ascii="宋体" w:hAnsi="宋体" w:cs="宋体" w:eastAsia="宋体" w:hint="default"/>
          <w:sz w:val="21"/>
          <w:szCs w:val="21"/>
        </w:rPr>
        <w:t>ⅱ</w:t>
      </w:r>
      <w:r>
        <w:rPr>
          <w:rFonts w:ascii="Times New Roman" w:hAnsi="Times New Roman" w:cs="Times New Roman" w:eastAsia="Times New Roman" w:hint="default"/>
          <w:sz w:val="21"/>
          <w:szCs w:val="21"/>
        </w:rPr>
        <w:t>.</w:t>
      </w:r>
      <w:r>
        <w:rPr>
          <w:rFonts w:ascii="宋体" w:hAnsi="宋体" w:cs="宋体" w:eastAsia="宋体" w:hint="default"/>
          <w:sz w:val="21"/>
          <w:szCs w:val="21"/>
        </w:rPr>
        <w:t>研发中心升级扩建项目支出为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783.17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07"/>
        <w:ind w:left="601" w:right="610" w:firstLine="0"/>
        <w:jc w:val="left"/>
        <w:rPr>
          <w:rFonts w:ascii="宋体" w:hAnsi="宋体" w:cs="宋体" w:eastAsia="宋体" w:hint="default"/>
          <w:sz w:val="21"/>
          <w:szCs w:val="21"/>
        </w:rPr>
      </w:pPr>
      <w:r>
        <w:rPr>
          <w:rFonts w:ascii="宋体" w:hAnsi="宋体" w:cs="宋体" w:eastAsia="宋体" w:hint="default"/>
          <w:sz w:val="21"/>
          <w:szCs w:val="21"/>
        </w:rPr>
        <w:t>ⅲ</w:t>
      </w:r>
      <w:r>
        <w:rPr>
          <w:rFonts w:ascii="Times New Roman" w:hAnsi="Times New Roman" w:cs="Times New Roman" w:eastAsia="Times New Roman" w:hint="default"/>
          <w:sz w:val="21"/>
          <w:szCs w:val="21"/>
        </w:rPr>
        <w:t>.</w:t>
      </w:r>
      <w:r>
        <w:rPr>
          <w:rFonts w:ascii="宋体" w:hAnsi="宋体" w:cs="宋体" w:eastAsia="宋体" w:hint="default"/>
          <w:sz w:val="21"/>
          <w:szCs w:val="21"/>
        </w:rPr>
        <w:t>营销与客服网络扩建项目支出为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510.76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07"/>
        <w:ind w:left="601" w:right="6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日，超募资金使用情况：</w:t>
      </w:r>
    </w:p>
    <w:p>
      <w:pPr>
        <w:spacing w:before="107"/>
        <w:ind w:left="601" w:right="94" w:firstLine="0"/>
        <w:jc w:val="left"/>
        <w:rPr>
          <w:rFonts w:ascii="宋体" w:hAnsi="宋体" w:cs="宋体" w:eastAsia="宋体" w:hint="default"/>
          <w:sz w:val="21"/>
          <w:szCs w:val="21"/>
        </w:rPr>
      </w:pPr>
      <w:r>
        <w:rPr>
          <w:rFonts w:ascii="宋体" w:hAnsi="宋体" w:cs="宋体" w:eastAsia="宋体" w:hint="default"/>
          <w:sz w:val="21"/>
          <w:szCs w:val="21"/>
        </w:rPr>
        <w:t>ⅰ</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日，公司第二届董事会第三次会议及第二届监事会第二次会议审议通过了《关于使</w:t>
      </w:r>
    </w:p>
    <w:p>
      <w:pPr>
        <w:spacing w:line="304" w:lineRule="auto" w:before="68"/>
        <w:ind w:left="181" w:right="209" w:firstLine="0"/>
        <w:jc w:val="both"/>
        <w:rPr>
          <w:rFonts w:ascii="宋体" w:hAnsi="宋体" w:cs="宋体" w:eastAsia="宋体" w:hint="default"/>
          <w:sz w:val="21"/>
          <w:szCs w:val="21"/>
        </w:rPr>
      </w:pPr>
      <w:r>
        <w:rPr>
          <w:rFonts w:ascii="宋体" w:hAnsi="宋体" w:cs="宋体" w:eastAsia="宋体" w:hint="default"/>
          <w:spacing w:val="-4"/>
          <w:sz w:val="21"/>
          <w:szCs w:val="21"/>
        </w:rPr>
        <w:t>用部分超募资金提前偿还银行贷款暨超募资金使用计划的议案》，决定使用</w:t>
      </w:r>
      <w:r>
        <w:rPr>
          <w:rFonts w:ascii="宋体" w:hAnsi="宋体" w:cs="宋体" w:eastAsia="宋体" w:hint="default"/>
          <w:spacing w:val="-39"/>
          <w:sz w:val="21"/>
          <w:szCs w:val="21"/>
        </w:rPr>
        <w:t> </w:t>
      </w:r>
      <w:r>
        <w:rPr>
          <w:rFonts w:ascii="Times New Roman" w:hAnsi="Times New Roman" w:cs="Times New Roman" w:eastAsia="Times New Roman" w:hint="default"/>
          <w:spacing w:val="-1"/>
          <w:sz w:val="21"/>
          <w:szCs w:val="21"/>
        </w:rPr>
        <w:t>2,500</w:t>
      </w:r>
      <w:r>
        <w:rPr>
          <w:rFonts w:ascii="Times New Roman" w:hAnsi="Times New Roman" w:cs="Times New Roman" w:eastAsia="Times New Roman" w:hint="default"/>
          <w:spacing w:val="14"/>
          <w:sz w:val="21"/>
          <w:szCs w:val="21"/>
        </w:rPr>
        <w:t> </w:t>
      </w:r>
      <w:r>
        <w:rPr>
          <w:rFonts w:ascii="宋体" w:hAnsi="宋体" w:cs="宋体" w:eastAsia="宋体" w:hint="default"/>
          <w:spacing w:val="-1"/>
          <w:sz w:val="21"/>
          <w:szCs w:val="21"/>
        </w:rPr>
        <w:t>万元超募资金偿还银行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贷款；剩余超募资金公司将根据自身发展规划及实际生产经营需求，按照中国证券监督管理委员会和深 圳证券交易所的有关规定，围绕主营业务合理规划资金用途，谨慎、认真地制订使用计划；公司在实际 </w:t>
      </w:r>
      <w:r>
        <w:rPr>
          <w:rFonts w:ascii="宋体" w:hAnsi="宋体" w:cs="宋体" w:eastAsia="宋体" w:hint="default"/>
          <w:spacing w:val="-3"/>
          <w:sz w:val="21"/>
          <w:szCs w:val="21"/>
        </w:rPr>
        <w:t>使用超募资金前，将履行相应的董事会、股东大会等审议程序，并及时披露。前述</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万元银行贷款已 全部偿还完毕；</w:t>
      </w:r>
    </w:p>
    <w:p>
      <w:pPr>
        <w:spacing w:before="65"/>
        <w:ind w:left="601" w:right="94" w:firstLine="0"/>
        <w:jc w:val="left"/>
        <w:rPr>
          <w:rFonts w:ascii="宋体" w:hAnsi="宋体" w:cs="宋体" w:eastAsia="宋体" w:hint="default"/>
          <w:sz w:val="21"/>
          <w:szCs w:val="21"/>
        </w:rPr>
      </w:pPr>
      <w:r>
        <w:rPr>
          <w:rFonts w:ascii="宋体" w:hAnsi="宋体" w:cs="宋体" w:eastAsia="宋体" w:hint="default"/>
          <w:sz w:val="21"/>
          <w:szCs w:val="21"/>
        </w:rPr>
        <w:t>ⅱ</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日，公司第二届董事会第三次会议及第二届监事会第二次会议审议通过了《关于使</w:t>
      </w:r>
    </w:p>
    <w:p>
      <w:pPr>
        <w:spacing w:before="68"/>
        <w:ind w:left="181" w:right="0" w:firstLine="0"/>
        <w:jc w:val="both"/>
        <w:rPr>
          <w:rFonts w:ascii="宋体" w:hAnsi="宋体" w:cs="宋体" w:eastAsia="宋体" w:hint="default"/>
          <w:sz w:val="21"/>
          <w:szCs w:val="21"/>
        </w:rPr>
      </w:pPr>
      <w:r>
        <w:rPr>
          <w:rFonts w:ascii="宋体" w:hAnsi="宋体" w:cs="宋体" w:eastAsia="宋体" w:hint="default"/>
          <w:sz w:val="21"/>
          <w:szCs w:val="21"/>
        </w:rPr>
        <w:t>用闲置募集资金暂时补充流动资金的议案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同</w:t>
      </w:r>
      <w:r>
        <w:rPr>
          <w:rFonts w:ascii="宋体" w:hAnsi="宋体" w:cs="宋体" w:eastAsia="宋体" w:hint="default"/>
          <w:sz w:val="21"/>
          <w:szCs w:val="21"/>
        </w:rPr>
        <w:t>意公司使用部分闲置募集资金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万元用于暂时性补充</w:t>
      </w:r>
    </w:p>
    <w:p>
      <w:pPr>
        <w:spacing w:before="68"/>
        <w:ind w:left="181" w:right="0" w:firstLine="0"/>
        <w:jc w:val="both"/>
        <w:rPr>
          <w:rFonts w:ascii="宋体" w:hAnsi="宋体" w:cs="宋体" w:eastAsia="宋体" w:hint="default"/>
          <w:sz w:val="21"/>
          <w:szCs w:val="21"/>
        </w:rPr>
      </w:pPr>
      <w:r>
        <w:rPr>
          <w:rFonts w:ascii="宋体" w:hAnsi="宋体" w:cs="宋体" w:eastAsia="宋体" w:hint="default"/>
          <w:sz w:val="21"/>
          <w:szCs w:val="21"/>
        </w:rPr>
        <w:t>流动资金，补充流动资金使用期限自董事会批准之日起期限不超过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个月，到期前，公司及时、足额将</w:t>
      </w:r>
    </w:p>
    <w:p>
      <w:pPr>
        <w:spacing w:before="68"/>
        <w:ind w:left="181" w:right="0" w:firstLine="0"/>
        <w:jc w:val="both"/>
        <w:rPr>
          <w:rFonts w:ascii="宋体" w:hAnsi="宋体" w:cs="宋体" w:eastAsia="宋体" w:hint="default"/>
          <w:sz w:val="21"/>
          <w:szCs w:val="21"/>
        </w:rPr>
      </w:pPr>
      <w:r>
        <w:rPr>
          <w:rFonts w:ascii="宋体" w:hAnsi="宋体" w:cs="宋体" w:eastAsia="宋体" w:hint="default"/>
          <w:sz w:val="21"/>
          <w:szCs w:val="21"/>
        </w:rPr>
        <w:t>上述资金归还至募集资金专户。</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日，公司已将合计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万元一次性归还至公司募集资金</w:t>
      </w:r>
    </w:p>
    <w:p>
      <w:pPr>
        <w:spacing w:before="69"/>
        <w:ind w:left="181" w:right="0" w:firstLine="0"/>
        <w:jc w:val="both"/>
        <w:rPr>
          <w:rFonts w:ascii="宋体" w:hAnsi="宋体" w:cs="宋体" w:eastAsia="宋体" w:hint="default"/>
          <w:sz w:val="21"/>
          <w:szCs w:val="21"/>
        </w:rPr>
      </w:pPr>
      <w:r>
        <w:rPr>
          <w:rFonts w:ascii="宋体" w:hAnsi="宋体" w:cs="宋体" w:eastAsia="宋体" w:hint="default"/>
          <w:spacing w:val="-5"/>
          <w:sz w:val="21"/>
          <w:szCs w:val="21"/>
        </w:rPr>
        <w:t>专户，并于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日予以公告，同时将上述募集资金的归还情况通知了保荐机构及保荐代表人；</w:t>
      </w:r>
    </w:p>
    <w:p>
      <w:pPr>
        <w:spacing w:before="106"/>
        <w:ind w:left="601" w:right="94" w:firstLine="0"/>
        <w:jc w:val="left"/>
        <w:rPr>
          <w:rFonts w:ascii="宋体" w:hAnsi="宋体" w:cs="宋体" w:eastAsia="宋体" w:hint="default"/>
          <w:sz w:val="21"/>
          <w:szCs w:val="21"/>
        </w:rPr>
      </w:pPr>
      <w:r>
        <w:rPr>
          <w:rFonts w:ascii="宋体" w:hAnsi="宋体" w:cs="宋体" w:eastAsia="宋体" w:hint="default"/>
          <w:sz w:val="21"/>
          <w:szCs w:val="21"/>
        </w:rPr>
        <w:t>ⅲ</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日，公司第二届董事会第六次会议及第二届监事会第四次会议审议通过了《关于</w:t>
      </w:r>
    </w:p>
    <w:p>
      <w:pPr>
        <w:spacing w:before="68"/>
        <w:ind w:left="181" w:right="0" w:firstLine="0"/>
        <w:jc w:val="both"/>
        <w:rPr>
          <w:rFonts w:ascii="宋体" w:hAnsi="宋体" w:cs="宋体" w:eastAsia="宋体" w:hint="default"/>
          <w:sz w:val="21"/>
          <w:szCs w:val="21"/>
        </w:rPr>
      </w:pPr>
      <w:r>
        <w:rPr>
          <w:rFonts w:ascii="宋体" w:hAnsi="宋体" w:cs="宋体" w:eastAsia="宋体" w:hint="default"/>
          <w:sz w:val="21"/>
          <w:szCs w:val="21"/>
        </w:rPr>
        <w:t>继续使用部分闲置募集资金暂时补充流动资金的议案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同</w:t>
      </w:r>
      <w:r>
        <w:rPr>
          <w:rFonts w:ascii="宋体" w:hAnsi="宋体" w:cs="宋体" w:eastAsia="宋体" w:hint="default"/>
          <w:sz w:val="21"/>
          <w:szCs w:val="21"/>
        </w:rPr>
        <w:t>意公司继续使用部分闲置募集资金</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 </w:t>
      </w:r>
      <w:r>
        <w:rPr>
          <w:rFonts w:ascii="宋体" w:hAnsi="宋体" w:cs="宋体" w:eastAsia="宋体" w:hint="default"/>
          <w:sz w:val="21"/>
          <w:szCs w:val="21"/>
        </w:rPr>
        <w:t>万元</w:t>
      </w:r>
    </w:p>
    <w:p>
      <w:pPr>
        <w:spacing w:before="68"/>
        <w:ind w:left="181" w:right="0" w:firstLine="0"/>
        <w:jc w:val="both"/>
        <w:rPr>
          <w:rFonts w:ascii="宋体" w:hAnsi="宋体" w:cs="宋体" w:eastAsia="宋体" w:hint="default"/>
          <w:sz w:val="21"/>
          <w:szCs w:val="21"/>
        </w:rPr>
      </w:pPr>
      <w:r>
        <w:rPr>
          <w:rFonts w:ascii="宋体" w:hAnsi="宋体" w:cs="宋体" w:eastAsia="宋体" w:hint="default"/>
          <w:sz w:val="21"/>
          <w:szCs w:val="21"/>
        </w:rPr>
        <w:t>暂时补充流动资金计划，使用计划自公告之日起开始实施，使用期限不超过六个月。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97" w:lineRule="auto" w:before="68"/>
        <w:ind w:left="181" w:right="209" w:firstLine="0"/>
        <w:jc w:val="both"/>
        <w:rPr>
          <w:rFonts w:ascii="宋体" w:hAnsi="宋体" w:cs="宋体" w:eastAsia="宋体" w:hint="default"/>
          <w:sz w:val="21"/>
          <w:szCs w:val="21"/>
        </w:rPr>
      </w:pPr>
      <w:r>
        <w:rPr>
          <w:rFonts w:ascii="宋体" w:hAnsi="宋体" w:cs="宋体" w:eastAsia="宋体" w:hint="default"/>
          <w:sz w:val="21"/>
          <w:szCs w:val="21"/>
        </w:rPr>
        <w:t>公司将合计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万元人民币一次性归还至公司募集资金专户，并于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日予以公告，同时将</w:t>
      </w:r>
      <w:r>
        <w:rPr>
          <w:rFonts w:ascii="宋体" w:hAnsi="宋体" w:cs="宋体" w:eastAsia="宋体" w:hint="default"/>
          <w:sz w:val="21"/>
          <w:szCs w:val="21"/>
        </w:rPr>
        <w:t> 上述募集资金的归还情况通知了保荐机构及保荐代表人；</w:t>
      </w:r>
    </w:p>
    <w:p>
      <w:pPr>
        <w:spacing w:before="73"/>
        <w:ind w:left="601" w:right="94" w:firstLine="0"/>
        <w:jc w:val="left"/>
        <w:rPr>
          <w:rFonts w:ascii="宋体" w:hAnsi="宋体" w:cs="宋体" w:eastAsia="宋体" w:hint="default"/>
          <w:sz w:val="21"/>
          <w:szCs w:val="21"/>
        </w:rPr>
      </w:pPr>
      <w:r>
        <w:rPr>
          <w:rFonts w:ascii="宋体" w:hAnsi="宋体" w:cs="宋体" w:eastAsia="宋体" w:hint="default"/>
          <w:sz w:val="21"/>
          <w:szCs w:val="21"/>
        </w:rPr>
        <w:t>ⅳ</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日，公司第二届董事会第十二次会议及第二届监事会第七次会议审议通过了《关</w:t>
      </w:r>
    </w:p>
    <w:p>
      <w:pPr>
        <w:spacing w:line="304" w:lineRule="auto" w:before="68"/>
        <w:ind w:left="181" w:right="219" w:firstLine="0"/>
        <w:jc w:val="both"/>
        <w:rPr>
          <w:rFonts w:ascii="宋体" w:hAnsi="宋体" w:cs="宋体" w:eastAsia="宋体" w:hint="default"/>
          <w:sz w:val="21"/>
          <w:szCs w:val="21"/>
        </w:rPr>
      </w:pPr>
      <w:r>
        <w:rPr>
          <w:rFonts w:ascii="宋体" w:hAnsi="宋体" w:cs="宋体" w:eastAsia="宋体" w:hint="default"/>
          <w:spacing w:val="-4"/>
          <w:sz w:val="21"/>
          <w:szCs w:val="21"/>
        </w:rPr>
        <w:t>于使用部分超募资金永久补充流动资金的议案》，同意公司使用部分超募资金</w:t>
      </w:r>
      <w:r>
        <w:rPr>
          <w:rFonts w:ascii="宋体" w:hAnsi="宋体" w:cs="宋体" w:eastAsia="宋体" w:hint="default"/>
          <w:spacing w:val="-39"/>
          <w:sz w:val="21"/>
          <w:szCs w:val="21"/>
        </w:rPr>
        <w:t> </w:t>
      </w:r>
      <w:r>
        <w:rPr>
          <w:rFonts w:ascii="Times New Roman" w:hAnsi="Times New Roman" w:cs="Times New Roman" w:eastAsia="Times New Roman" w:hint="default"/>
          <w:spacing w:val="-1"/>
          <w:sz w:val="21"/>
          <w:szCs w:val="21"/>
        </w:rPr>
        <w:t>2,500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万元用于永久补充流</w:t>
      </w:r>
      <w:r>
        <w:rPr>
          <w:rFonts w:ascii="宋体" w:hAnsi="宋体" w:cs="宋体" w:eastAsia="宋体" w:hint="default"/>
          <w:spacing w:val="-102"/>
          <w:sz w:val="21"/>
          <w:szCs w:val="21"/>
        </w:rPr>
        <w:t> </w:t>
      </w:r>
      <w:r>
        <w:rPr>
          <w:rFonts w:ascii="宋体" w:hAnsi="宋体" w:cs="宋体" w:eastAsia="宋体" w:hint="default"/>
          <w:sz w:val="21"/>
          <w:szCs w:val="21"/>
        </w:rPr>
        <w:t>动资金，剩余超募资金公司将根据自身发展规划及实际生产经营需求，按照中国证券监督管理委员会和 深圳证券交易所的有关规定，围绕主营业务合理规划资金用途，谨慎、认真地制订使用计划。</w:t>
      </w:r>
    </w:p>
    <w:p>
      <w:pPr>
        <w:spacing w:line="348" w:lineRule="auto" w:before="67"/>
        <w:ind w:left="601" w:right="4663" w:firstLine="0"/>
        <w:jc w:val="left"/>
        <w:rPr>
          <w:rFonts w:ascii="宋体" w:hAnsi="宋体" w:cs="宋体" w:eastAsia="宋体" w:hint="default"/>
          <w:sz w:val="21"/>
          <w:szCs w:val="21"/>
        </w:rPr>
      </w:pPr>
      <w:r>
        <w:rPr>
          <w:rFonts w:ascii="宋体" w:hAnsi="宋体" w:cs="宋体" w:eastAsia="宋体" w:hint="default"/>
          <w:b/>
          <w:bCs/>
          <w:sz w:val="21"/>
          <w:szCs w:val="21"/>
        </w:rPr>
        <w:t>③募集资金投向变更情况：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报告期内，公司不存在募集资金投向变更的情形。</w:t>
      </w:r>
    </w:p>
    <w:p>
      <w:pPr>
        <w:spacing w:line="348" w:lineRule="auto" w:before="30"/>
        <w:ind w:left="601" w:right="253" w:firstLine="0"/>
        <w:jc w:val="left"/>
        <w:rPr>
          <w:rFonts w:ascii="宋体" w:hAnsi="宋体" w:cs="宋体" w:eastAsia="宋体" w:hint="default"/>
          <w:sz w:val="21"/>
          <w:szCs w:val="21"/>
        </w:rPr>
      </w:pPr>
      <w:r>
        <w:rPr>
          <w:rFonts w:ascii="宋体" w:hAnsi="宋体" w:cs="宋体" w:eastAsia="宋体" w:hint="default"/>
          <w:b/>
          <w:bCs/>
          <w:sz w:val="21"/>
          <w:szCs w:val="21"/>
        </w:rPr>
        <w:t>④募集资金使用及披露中存在的问题：</w:t>
      </w:r>
      <w:r>
        <w:rPr>
          <w:rFonts w:ascii="宋体" w:hAnsi="宋体" w:cs="宋体" w:eastAsia="宋体" w:hint="default"/>
          <w:b/>
          <w:bCs/>
          <w:w w:val="99"/>
          <w:sz w:val="21"/>
          <w:szCs w:val="21"/>
        </w:rPr>
        <w:t> </w:t>
      </w:r>
      <w:r>
        <w:rPr>
          <w:rFonts w:ascii="宋体" w:hAnsi="宋体" w:cs="宋体" w:eastAsia="宋体" w:hint="default"/>
          <w:sz w:val="21"/>
          <w:szCs w:val="21"/>
        </w:rPr>
        <w:t>报告期内，公司募集资金使用情况的披露与实际使用情况相符，不存在未及时、真实、准确、完整</w:t>
      </w:r>
    </w:p>
    <w:p>
      <w:pPr>
        <w:spacing w:line="266" w:lineRule="exact" w:before="0"/>
        <w:ind w:left="181" w:right="0" w:firstLine="0"/>
        <w:jc w:val="both"/>
        <w:rPr>
          <w:rFonts w:ascii="宋体" w:hAnsi="宋体" w:cs="宋体" w:eastAsia="宋体" w:hint="default"/>
          <w:sz w:val="21"/>
          <w:szCs w:val="21"/>
        </w:rPr>
      </w:pPr>
      <w:r>
        <w:rPr>
          <w:rFonts w:ascii="宋体" w:hAnsi="宋体" w:cs="宋体" w:eastAsia="宋体" w:hint="default"/>
          <w:sz w:val="21"/>
          <w:szCs w:val="21"/>
        </w:rPr>
        <w:t>披露的情况，也不存在募集资金违规使用的情形。</w:t>
      </w:r>
    </w:p>
    <w:p>
      <w:pPr>
        <w:spacing w:after="0" w:line="266" w:lineRule="exact"/>
        <w:jc w:val="both"/>
        <w:rPr>
          <w:rFonts w:ascii="宋体" w:hAnsi="宋体" w:cs="宋体" w:eastAsia="宋体" w:hint="default"/>
          <w:sz w:val="21"/>
          <w:szCs w:val="21"/>
        </w:rPr>
        <w:sectPr>
          <w:pgSz w:w="11910" w:h="16840"/>
          <w:pgMar w:header="851" w:footer="982" w:top="1220" w:bottom="1180" w:left="98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5"/>
        <w:gridCol w:w="784"/>
        <w:gridCol w:w="780"/>
        <w:gridCol w:w="779"/>
        <w:gridCol w:w="784"/>
        <w:gridCol w:w="780"/>
        <w:gridCol w:w="771"/>
        <w:gridCol w:w="789"/>
        <w:gridCol w:w="77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27"/>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47" w:right="0"/>
              <w:jc w:val="left"/>
              <w:rPr>
                <w:rFonts w:ascii="Times New Roman" w:hAnsi="Times New Roman" w:cs="Times New Roman" w:eastAsia="Times New Roman" w:hint="default"/>
                <w:sz w:val="18"/>
                <w:szCs w:val="18"/>
              </w:rPr>
            </w:pPr>
            <w:r>
              <w:rPr>
                <w:rFonts w:ascii="Times New Roman"/>
                <w:sz w:val="18"/>
              </w:rPr>
              <w:t>(2)/(1)</w:t>
            </w: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 w:right="1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智能一卡通整体解决 方案技术升级及产业 化项目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10,286.6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1,887.35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2,235.74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21.73%</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研发中心升级扩建项 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3,466.1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662.58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22.6%</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营销与客服网络扩建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2,272.4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430.49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22.48%</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16,025.1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2,980.42</w:t>
            </w:r>
          </w:p>
        </w:tc>
        <w:tc>
          <w:tcPr>
            <w:tcW w:w="78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3,529.67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w:t>
            </w: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3D3D3"/>
              <w:bottom w:val="single" w:sz="4" w:space="0" w:color="000000"/>
              <w:right w:val="single" w:sz="10" w:space="0" w:color="D3D3D3"/>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2"/>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3D3D3"/>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10" w:space="0" w:color="D3D3D3"/>
            </w:tcBorders>
          </w:tcPr>
          <w:p>
            <w:pP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30"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2"/>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3D3D3"/>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10" w:space="0" w:color="D3D3D3"/>
            </w:tcBorders>
          </w:tcPr>
          <w:p>
            <w:pP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30"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3D3D3"/>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500</w:t>
            </w:r>
          </w:p>
        </w:tc>
        <w:tc>
          <w:tcPr>
            <w:tcW w:w="78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w:t>
            </w: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3D3D3"/>
              <w:bottom w:val="single" w:sz="4" w:space="0" w:color="000000"/>
              <w:right w:val="single" w:sz="10" w:space="0" w:color="D3D3D3"/>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16,025.1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3,480.42</w:t>
            </w:r>
          </w:p>
        </w:tc>
        <w:tc>
          <w:tcPr>
            <w:tcW w:w="78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8,529.67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w:t>
            </w:r>
          </w:p>
        </w:tc>
        <w:tc>
          <w:tcPr>
            <w:tcW w:w="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786"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2"/>
              <w:ind w:left="16" w:right="0"/>
              <w:jc w:val="both"/>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年末，公司三个募投项目的总体投资进度较预计进度有所滞后，其主要原因是公司募投项</w:t>
            </w:r>
          </w:p>
          <w:p>
            <w:pPr>
              <w:pStyle w:val="TableParagraph"/>
              <w:spacing w:line="240" w:lineRule="auto" w:before="61"/>
              <w:ind w:left="16" w:right="0"/>
              <w:jc w:val="both"/>
              <w:rPr>
                <w:rFonts w:ascii="宋体" w:hAnsi="宋体" w:cs="宋体" w:eastAsia="宋体" w:hint="default"/>
                <w:sz w:val="18"/>
                <w:szCs w:val="18"/>
              </w:rPr>
            </w:pPr>
            <w:r>
              <w:rPr>
                <w:rFonts w:ascii="宋体" w:hAnsi="宋体" w:cs="宋体" w:eastAsia="宋体" w:hint="default"/>
                <w:sz w:val="18"/>
                <w:szCs w:val="18"/>
              </w:rPr>
              <w:t>目中涉及的土建工程原计划于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w:t>
            </w:r>
            <w:r>
              <w:rPr>
                <w:rFonts w:ascii="宋体" w:hAnsi="宋体" w:cs="宋体" w:eastAsia="宋体" w:hint="default"/>
                <w:spacing w:val="1"/>
                <w:sz w:val="18"/>
                <w:szCs w:val="18"/>
              </w:rPr>
              <w:t>成</w:t>
            </w:r>
            <w:r>
              <w:rPr>
                <w:rFonts w:ascii="宋体" w:hAnsi="宋体" w:cs="宋体" w:eastAsia="宋体" w:hint="default"/>
                <w:sz w:val="18"/>
                <w:szCs w:val="18"/>
              </w:rPr>
              <w:t>相关手续</w:t>
            </w:r>
            <w:r>
              <w:rPr>
                <w:rFonts w:ascii="宋体" w:hAnsi="宋体" w:cs="宋体" w:eastAsia="宋体" w:hint="default"/>
                <w:spacing w:val="-82"/>
                <w:sz w:val="18"/>
                <w:szCs w:val="18"/>
              </w:rPr>
              <w:t>，</w:t>
            </w:r>
            <w:r>
              <w:rPr>
                <w:rFonts w:ascii="宋体" w:hAnsi="宋体" w:cs="宋体" w:eastAsia="宋体" w:hint="default"/>
                <w:sz w:val="18"/>
                <w:szCs w:val="18"/>
              </w:rPr>
              <w:t>实际情况是公司于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 </w:t>
            </w:r>
            <w:r>
              <w:rPr>
                <w:rFonts w:ascii="宋体" w:hAnsi="宋体" w:cs="宋体" w:eastAsia="宋体" w:hint="default"/>
                <w:sz w:val="18"/>
                <w:szCs w:val="18"/>
              </w:rPr>
              <w:t>日取得郑州</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市国土资源局颁发的</w:t>
            </w:r>
            <w:r>
              <w:rPr>
                <w:rFonts w:ascii="Times New Roman" w:hAnsi="Times New Roman" w:cs="Times New Roman" w:eastAsia="Times New Roman" w:hint="default"/>
                <w:sz w:val="18"/>
                <w:szCs w:val="18"/>
              </w:rPr>
              <w:t>“</w:t>
            </w:r>
            <w:r>
              <w:rPr>
                <w:rFonts w:ascii="宋体" w:hAnsi="宋体" w:cs="宋体" w:eastAsia="宋体" w:hint="default"/>
                <w:sz w:val="18"/>
                <w:szCs w:val="18"/>
              </w:rPr>
              <w:t>郑国用（</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0168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土地使用权证书，于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月完成建筑规划审</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批及建筑商招投标手续，于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月才正式开工建设，因此无法在原计划工期内完成项目的基</w:t>
            </w:r>
          </w:p>
          <w:p>
            <w:pPr>
              <w:pStyle w:val="TableParagraph"/>
              <w:spacing w:line="312" w:lineRule="auto" w:before="63"/>
              <w:ind w:left="16" w:right="23"/>
              <w:jc w:val="both"/>
              <w:rPr>
                <w:rFonts w:ascii="宋体" w:hAnsi="宋体" w:cs="宋体" w:eastAsia="宋体" w:hint="default"/>
                <w:sz w:val="18"/>
                <w:szCs w:val="18"/>
              </w:rPr>
            </w:pPr>
            <w:r>
              <w:rPr>
                <w:rFonts w:ascii="宋体" w:hAnsi="宋体" w:cs="宋体" w:eastAsia="宋体" w:hint="default"/>
                <w:sz w:val="18"/>
                <w:szCs w:val="18"/>
              </w:rPr>
              <w:t>本建设，公司需要对募集资金投资项目实施进度进行必要的调整。</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 届董事会第七次会议及第二届监事会第五次会议审议通过，公司对募集资金项目的投资进度进行了 调整，智能一卡通整体解决方案技术升级及产业化项目、研发中心升级扩建项目和营销与客服网络 扩建项目达到预定可使用状态的日期均延期调整至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15"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3D3D3"/>
              <w:right w:val="single" w:sz="4" w:space="0" w:color="000000"/>
            </w:tcBorders>
          </w:tcPr>
          <w:p>
            <w:pPr/>
          </w:p>
        </w:tc>
      </w:tr>
      <w:tr>
        <w:trPr>
          <w:trHeight w:val="785"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2"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2"/>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公司超募资金金额为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13,877.56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为了提高募集资金使用效率，降低公司财务成本，经</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2011</w:t>
            </w:r>
          </w:p>
          <w:p>
            <w:pPr>
              <w:pStyle w:val="TableParagraph"/>
              <w:spacing w:line="240" w:lineRule="auto" w:before="61"/>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日公司第二届董事会第三次会议及第二届监事会第二次会议审议通过，公司使用超募资金</w:t>
            </w:r>
          </w:p>
          <w:p>
            <w:pPr>
              <w:pStyle w:val="TableParagraph"/>
              <w:spacing w:line="309" w:lineRule="auto" w:before="63"/>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2,500 </w:t>
            </w:r>
            <w:r>
              <w:rPr>
                <w:rFonts w:ascii="宋体" w:hAnsi="宋体" w:cs="宋体" w:eastAsia="宋体" w:hint="default"/>
                <w:sz w:val="18"/>
                <w:szCs w:val="18"/>
              </w:rPr>
              <w:t>万元提前偿还银行贷款；</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为满足公司业务发展的资金需求，合理分配资源，提高募集资金 的使用效率，降低公司财务费用，同时在保证募集资金投资项目的资金需求以及募集资金使用计划 正常进行的前提下，</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日，经公司第二届董事会第十二次会议及第二届监事会第七次</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3D3D3"/>
              <w:right w:val="single" w:sz="4" w:space="0" w:color="000000"/>
            </w:tcBorders>
          </w:tcPr>
          <w:p>
            <w:pPr/>
          </w:p>
        </w:tc>
      </w:tr>
      <w:tr>
        <w:trPr>
          <w:trHeight w:val="654"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0" w:right="238" w:firstLine="0"/>
        <w:jc w:val="right"/>
        <w:rPr>
          <w:rFonts w:ascii="宋体" w:hAnsi="宋体" w:cs="宋体" w:eastAsia="宋体" w:hint="default"/>
          <w:sz w:val="18"/>
          <w:szCs w:val="18"/>
        </w:rPr>
      </w:pPr>
      <w:r>
        <w:rPr/>
        <w:pict>
          <v:shape style="position:absolute;margin-left:56.459999pt;margin-top:-14.408011pt;width:479.1pt;height:400.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986" w:hRule="exact"/>
                    </w:trPr>
                    <w:tc>
                      <w:tcPr>
                        <w:tcW w:w="1770"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会议决议通过，公司使用部分超募资金</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万元用于永久补充流动资金；</w:t>
                        </w:r>
                        <w:r>
                          <w:rPr>
                            <w:rFonts w:ascii="Times New Roman" w:hAnsi="Times New Roman" w:cs="Times New Roman" w:eastAsia="Times New Roman" w:hint="default"/>
                            <w:sz w:val="18"/>
                            <w:szCs w:val="18"/>
                          </w:rPr>
                          <w:t>4.</w:t>
                        </w:r>
                        <w:r>
                          <w:rPr>
                            <w:rFonts w:ascii="宋体" w:hAnsi="宋体" w:cs="宋体" w:eastAsia="宋体" w:hint="default"/>
                            <w:sz w:val="18"/>
                            <w:szCs w:val="18"/>
                          </w:rPr>
                          <w:t>剩余超募资金公司将根 </w:t>
                        </w:r>
                        <w:r>
                          <w:rPr>
                            <w:rFonts w:ascii="宋体" w:hAnsi="宋体" w:cs="宋体" w:eastAsia="宋体" w:hint="default"/>
                            <w:spacing w:val="-3"/>
                            <w:sz w:val="18"/>
                            <w:szCs w:val="18"/>
                          </w:rPr>
                          <w:t>据自身发展规划及实际生产经营需求，按照中国证券监督管理委员会和深圳证券交易所的有关规定</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围绕主营业务合理规划资金用途，谨慎、认真地制订使用计划。</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为节省财务费用，降低经营成本，提高募集资金使用的效率，经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六次会议及第二届监事会第四次会议决议通过，公司决定继续使用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充流动资金，使用期限为自该次董事会审议批准之日起不超过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个月，到期将及时、足额将上述资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金归还至募集资金专户。</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日，公司将合计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万元人民币一次性归还至公司募集资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pacing w:val="-3"/>
                            <w:sz w:val="18"/>
                            <w:szCs w:val="18"/>
                          </w:rPr>
                          <w:t>金专户。至此，公司继续使用闲置募集资金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万元人民币暂时补充流动资金已一次性归还完毕</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尚未使用的募集资金（包括超募资金）均存放于募集资金专户中。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2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5"/>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、主要控股参股公司分析</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388" w:lineRule="auto" w:before="0"/>
        <w:ind w:left="577" w:right="227" w:hanging="424"/>
        <w:jc w:val="left"/>
        <w:rPr>
          <w:rFonts w:ascii="宋体" w:hAnsi="宋体" w:cs="宋体" w:eastAsia="宋体" w:hint="default"/>
          <w:sz w:val="24"/>
          <w:szCs w:val="24"/>
        </w:rPr>
      </w:pPr>
      <w:r>
        <w:rPr>
          <w:rFonts w:ascii="宋体" w:hAnsi="宋体" w:cs="宋体" w:eastAsia="宋体" w:hint="default"/>
          <w:b/>
          <w:bCs/>
          <w:sz w:val="24"/>
          <w:szCs w:val="24"/>
        </w:rPr>
        <w:t>郑州正普软件科技有限公司</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正普软件是公司的全资子公司，注册资本</w:t>
      </w:r>
      <w:r>
        <w:rPr>
          <w:rFonts w:ascii="Times New Roman" w:hAnsi="Times New Roman" w:cs="Times New Roman" w:eastAsia="Times New Roman" w:hint="default"/>
          <w:spacing w:val="-1"/>
          <w:sz w:val="24"/>
          <w:szCs w:val="24"/>
        </w:rPr>
        <w:t>100</w:t>
      </w:r>
      <w:r>
        <w:rPr>
          <w:rFonts w:ascii="宋体" w:hAnsi="宋体" w:cs="宋体" w:eastAsia="宋体" w:hint="default"/>
          <w:spacing w:val="-1"/>
          <w:sz w:val="24"/>
          <w:szCs w:val="24"/>
        </w:rPr>
        <w:t>万元，法定代表人尚卫国；公司住所：郑州</w:t>
      </w:r>
    </w:p>
    <w:p>
      <w:pPr>
        <w:pStyle w:val="BodyText"/>
        <w:spacing w:line="302" w:lineRule="exact"/>
        <w:ind w:right="0"/>
        <w:jc w:val="both"/>
      </w:pPr>
      <w:r>
        <w:rPr>
          <w:spacing w:val="-5"/>
        </w:rPr>
        <w:t>高新开发区翠竹街</w:t>
      </w:r>
      <w:r>
        <w:rPr>
          <w:rFonts w:ascii="Times New Roman" w:hAnsi="Times New Roman" w:cs="Times New Roman" w:eastAsia="Times New Roman" w:hint="default"/>
          <w:spacing w:val="-5"/>
        </w:rPr>
        <w:t>6</w:t>
      </w:r>
      <w:r>
        <w:rPr>
          <w:spacing w:val="-5"/>
        </w:rPr>
        <w:t>号新开普大厦。公司主要经营范围：计算机系统集成、计算机及相关产品、</w:t>
      </w:r>
    </w:p>
    <w:p>
      <w:pPr>
        <w:pStyle w:val="BodyText"/>
        <w:spacing w:line="357" w:lineRule="auto" w:before="135"/>
        <w:ind w:right="228"/>
        <w:jc w:val="both"/>
      </w:pPr>
      <w:r>
        <w:rPr/>
        <w:t>各类智能卡应用产品、智能卡机具、智能卡终端、智能卡节能产品、智能卡家电及软件的设</w:t>
      </w:r>
      <w:r>
        <w:rPr>
          <w:spacing w:val="-83"/>
        </w:rPr>
        <w:t> </w:t>
      </w:r>
      <w:r>
        <w:rPr>
          <w:spacing w:val="-83"/>
        </w:rPr>
      </w:r>
      <w:r>
        <w:rPr/>
        <w:t>计、开发、生产销售、维护。计算机技术咨询、服务（国家法律法规禁止的，不得经营；应</w:t>
      </w:r>
      <w:r>
        <w:rPr>
          <w:spacing w:val="-83"/>
        </w:rPr>
        <w:t> </w:t>
      </w:r>
      <w:r>
        <w:rPr>
          <w:spacing w:val="-83"/>
        </w:rPr>
      </w:r>
      <w:r>
        <w:rPr/>
        <w:t>经审批的未获审批前不得经营）。</w:t>
      </w:r>
    </w:p>
    <w:p>
      <w:pPr>
        <w:pStyle w:val="BodyText"/>
        <w:spacing w:line="357" w:lineRule="auto" w:before="76"/>
        <w:ind w:left="154" w:right="92" w:firstLine="423"/>
        <w:jc w:val="left"/>
      </w:pPr>
      <w:r>
        <w:rPr>
          <w:spacing w:val="2"/>
        </w:rPr>
        <w:t>正普软件定位于从事与智能一卡通行业相关联的纯软件系统的研究与开发，以扩大公司 </w:t>
      </w:r>
      <w:r>
        <w:rPr/>
        <w:t>业务范围、提高软件研发技术水平，并主要承担了数字化集成平台的研发工作。随着校园整</w:t>
      </w:r>
      <w:r>
        <w:rPr>
          <w:spacing w:val="-83"/>
        </w:rPr>
        <w:t> </w:t>
      </w:r>
      <w:r>
        <w:rPr>
          <w:spacing w:val="-83"/>
        </w:rPr>
      </w:r>
      <w:r>
        <w:rPr>
          <w:spacing w:val="-2"/>
        </w:rPr>
        <w:t>体数字化解决方案需求的增长，公司也将数字化校园业务视为带动校园高端市场的重要因素，</w:t>
      </w:r>
      <w:r>
        <w:rPr/>
        <w:t> 因此，正普软件已逐步成为以数字化校园开发为主导的公司数字化集成平台研发核心，并致</w:t>
      </w:r>
    </w:p>
    <w:p>
      <w:pPr>
        <w:spacing w:after="0" w:line="357"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43" w:lineRule="auto" w:before="26"/>
        <w:ind w:left="154" w:right="228"/>
        <w:jc w:val="both"/>
      </w:pPr>
      <w:r>
        <w:rPr/>
        <w:t>力于拓展智能一卡通行业相关联的系统平台研发与技术支持等业务，共推出了针对本专科院</w:t>
      </w:r>
      <w:r>
        <w:rPr>
          <w:spacing w:val="-83"/>
        </w:rPr>
        <w:t> </w:t>
      </w:r>
      <w:r>
        <w:rPr>
          <w:spacing w:val="-83"/>
        </w:rPr>
      </w:r>
      <w:r>
        <w:rPr>
          <w:spacing w:val="-2"/>
        </w:rPr>
        <w:t>校、中专院校、党校三个教育细分行业共</w:t>
      </w:r>
      <w:r>
        <w:rPr>
          <w:rFonts w:ascii="Times New Roman" w:hAnsi="Times New Roman" w:cs="Times New Roman" w:eastAsia="Times New Roman" w:hint="default"/>
          <w:spacing w:val="-2"/>
        </w:rPr>
        <w:t>37</w:t>
      </w:r>
      <w:r>
        <w:rPr>
          <w:spacing w:val="-2"/>
        </w:rPr>
        <w:t>款数字化校园产品，定制化产品</w:t>
      </w:r>
      <w:r>
        <w:rPr>
          <w:rFonts w:ascii="Times New Roman" w:hAnsi="Times New Roman" w:cs="Times New Roman" w:eastAsia="Times New Roman" w:hint="default"/>
          <w:spacing w:val="-2"/>
        </w:rPr>
        <w:t>6</w:t>
      </w:r>
      <w:r>
        <w:rPr>
          <w:spacing w:val="-2"/>
        </w:rPr>
        <w:t>项，并有效抓住</w:t>
      </w:r>
      <w:r>
        <w:rPr/>
        <w:t> 了三大运营商的对高校数字化校园投资的切入点，及时推出了数字化校园</w:t>
      </w:r>
      <w:r>
        <w:rPr>
          <w:rFonts w:ascii="Times New Roman" w:hAnsi="Times New Roman" w:cs="Times New Roman" w:eastAsia="Times New Roman" w:hint="default"/>
        </w:rPr>
        <w:t>—</w:t>
      </w:r>
      <w:r>
        <w:rPr/>
        <w:t>掌上校园产品，</w:t>
      </w:r>
      <w:r>
        <w:rPr>
          <w:spacing w:val="-84"/>
        </w:rPr>
        <w:t> </w:t>
      </w:r>
      <w:r>
        <w:rPr/>
        <w:t>提升了数字化校园产品对运营商的吸引力。本年度新增客户</w:t>
      </w:r>
      <w:r>
        <w:rPr>
          <w:rFonts w:ascii="Times New Roman" w:hAnsi="Times New Roman" w:cs="Times New Roman" w:eastAsia="Times New Roman" w:hint="default"/>
        </w:rPr>
        <w:t>14</w:t>
      </w:r>
      <w:r>
        <w:rPr/>
        <w:t>家，累计客户达</w:t>
      </w:r>
      <w:r>
        <w:rPr>
          <w:rFonts w:ascii="Times New Roman" w:hAnsi="Times New Roman" w:cs="Times New Roman" w:eastAsia="Times New Roman" w:hint="default"/>
        </w:rPr>
        <w:t>26</w:t>
      </w:r>
      <w:r>
        <w:rPr/>
        <w:t>家，为公司</w:t>
      </w:r>
      <w:r>
        <w:rPr>
          <w:spacing w:val="-107"/>
        </w:rPr>
        <w:t> </w:t>
      </w:r>
      <w:r>
        <w:rPr/>
        <w:t>整体业务体系的完善起到了积极的作用。</w:t>
      </w:r>
    </w:p>
    <w:p>
      <w:pPr>
        <w:pStyle w:val="BodyText"/>
        <w:spacing w:line="345" w:lineRule="auto" w:before="89"/>
        <w:ind w:right="230" w:firstLine="480"/>
        <w:jc w:val="both"/>
      </w:pPr>
      <w:r>
        <w:rPr/>
        <w:t>报告期，公司数字化校园业务实现了较大增长。经中瑞岳华会计师事务所（特殊普通合</w:t>
      </w:r>
      <w:r>
        <w:rPr>
          <w:spacing w:val="1"/>
        </w:rPr>
        <w:t> </w:t>
      </w:r>
      <w:r>
        <w:rPr>
          <w:spacing w:val="-2"/>
        </w:rPr>
        <w:t>伙）审计，截至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w:t>
      </w:r>
      <w:r>
        <w:rPr>
          <w:rFonts w:ascii="Times New Roman" w:hAnsi="Times New Roman" w:cs="Times New Roman" w:eastAsia="Times New Roman" w:hint="default"/>
          <w:spacing w:val="-2"/>
        </w:rPr>
        <w:t>702.68</w:t>
      </w:r>
      <w:r>
        <w:rPr>
          <w:spacing w:val="-2"/>
        </w:rPr>
        <w:t>万元，净资产</w:t>
      </w:r>
      <w:r>
        <w:rPr>
          <w:rFonts w:ascii="Times New Roman" w:hAnsi="Times New Roman" w:cs="Times New Roman" w:eastAsia="Times New Roman" w:hint="default"/>
          <w:spacing w:val="-2"/>
        </w:rPr>
        <w:t>699.93</w:t>
      </w:r>
      <w:r>
        <w:rPr>
          <w:spacing w:val="-2"/>
        </w:rPr>
        <w:t>万元，</w:t>
      </w:r>
      <w:r>
        <w:rPr>
          <w:rFonts w:ascii="Times New Roman" w:hAnsi="Times New Roman" w:cs="Times New Roman" w:eastAsia="Times New Roman" w:hint="default"/>
          <w:spacing w:val="-2"/>
        </w:rPr>
        <w:t>2012</w:t>
      </w:r>
      <w:r>
        <w:rPr>
          <w:spacing w:val="-2"/>
        </w:rPr>
        <w:t>年实现</w:t>
      </w:r>
      <w:r>
        <w:rPr>
          <w:spacing w:val="-98"/>
        </w:rPr>
        <w:t> </w:t>
      </w:r>
      <w:r>
        <w:rPr>
          <w:spacing w:val="-2"/>
        </w:rPr>
        <w:t>营业收入</w:t>
      </w:r>
      <w:r>
        <w:rPr>
          <w:rFonts w:ascii="Times New Roman" w:hAnsi="Times New Roman" w:cs="Times New Roman" w:eastAsia="Times New Roman" w:hint="default"/>
          <w:spacing w:val="-2"/>
        </w:rPr>
        <w:t>396.44</w:t>
      </w:r>
      <w:r>
        <w:rPr>
          <w:spacing w:val="-2"/>
        </w:rPr>
        <w:t>万元，实现净利润</w:t>
      </w:r>
      <w:r>
        <w:rPr>
          <w:rFonts w:ascii="Times New Roman" w:hAnsi="Times New Roman" w:cs="Times New Roman" w:eastAsia="Times New Roman" w:hint="default"/>
          <w:spacing w:val="-2"/>
        </w:rPr>
        <w:t>175.82</w:t>
      </w:r>
      <w:r>
        <w:rPr>
          <w:spacing w:val="-2"/>
        </w:rPr>
        <w:t>万元。</w:t>
      </w:r>
      <w:r>
        <w:rPr>
          <w:rFonts w:ascii="Times New Roman" w:hAnsi="Times New Roman" w:cs="Times New Roman" w:eastAsia="Times New Roman" w:hint="default"/>
          <w:spacing w:val="-2"/>
        </w:rPr>
        <w:t>2013</w:t>
      </w:r>
      <w:r>
        <w:rPr>
          <w:spacing w:val="-2"/>
        </w:rPr>
        <w:t>年，正普公司数字化校园业务预期会实现</w:t>
      </w:r>
      <w:r>
        <w:rPr>
          <w:spacing w:val="-106"/>
        </w:rPr>
        <w:t> </w:t>
      </w:r>
      <w:r>
        <w:rPr>
          <w:spacing w:val="-106"/>
        </w:rPr>
      </w:r>
      <w:r>
        <w:rPr/>
        <w:t>稳步增长。</w:t>
      </w:r>
    </w:p>
    <w:p>
      <w:pPr>
        <w:spacing w:line="240" w:lineRule="auto" w:before="9"/>
        <w:rPr>
          <w:rFonts w:ascii="宋体" w:hAnsi="宋体" w:cs="宋体" w:eastAsia="宋体" w:hint="default"/>
          <w:sz w:val="20"/>
          <w:szCs w:val="20"/>
        </w:rPr>
      </w:pPr>
    </w:p>
    <w:p>
      <w:pPr>
        <w:pStyle w:val="Heading2"/>
        <w:spacing w:line="240" w:lineRule="auto"/>
        <w:ind w:left="153" w:right="95"/>
        <w:jc w:val="left"/>
        <w:rPr>
          <w:b w:val="0"/>
          <w:bCs w:val="0"/>
        </w:rPr>
      </w:pPr>
      <w:r>
        <w:rPr/>
        <w:t>三、公司未来发展的展望</w:t>
      </w:r>
      <w:r>
        <w:rPr>
          <w:b w:val="0"/>
          <w:bCs w:val="0"/>
        </w:rPr>
      </w:r>
    </w:p>
    <w:p>
      <w:pPr>
        <w:spacing w:line="240" w:lineRule="auto" w:before="7"/>
        <w:rPr>
          <w:rFonts w:ascii="宋体" w:hAnsi="宋体" w:cs="宋体" w:eastAsia="宋体" w:hint="default"/>
          <w:b/>
          <w:bCs/>
          <w:sz w:val="24"/>
          <w:szCs w:val="24"/>
        </w:rPr>
      </w:pPr>
    </w:p>
    <w:p>
      <w:pPr>
        <w:spacing w:before="0"/>
        <w:ind w:left="566"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、行业发展趋势</w:t>
      </w:r>
      <w:r>
        <w:rPr>
          <w:rFonts w:ascii="宋体" w:hAnsi="宋体" w:cs="宋体" w:eastAsia="宋体" w:hint="default"/>
          <w:sz w:val="21"/>
          <w:szCs w:val="21"/>
        </w:rPr>
      </w:r>
    </w:p>
    <w:p>
      <w:pPr>
        <w:spacing w:line="692" w:lineRule="exact" w:before="23"/>
        <w:ind w:left="577" w:right="95" w:firstLine="4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）物联网、手机支付技术将引领行业持续发展</w:t>
      </w:r>
      <w:r>
        <w:rPr>
          <w:rFonts w:ascii="宋体" w:hAnsi="宋体" w:cs="宋体" w:eastAsia="宋体" w:hint="default"/>
          <w:b/>
          <w:bCs/>
          <w:w w:val="99"/>
          <w:sz w:val="24"/>
          <w:szCs w:val="24"/>
        </w:rPr>
        <w:t> </w:t>
      </w:r>
      <w:r>
        <w:rPr>
          <w:rFonts w:ascii="宋体" w:hAnsi="宋体" w:cs="宋体" w:eastAsia="宋体" w:hint="default"/>
          <w:spacing w:val="2"/>
          <w:sz w:val="24"/>
          <w:szCs w:val="24"/>
        </w:rPr>
        <w:t>公司所处智能一卡通行业属于新一代信息技术产业，随着国家大力推进信息化建设，有</w:t>
      </w:r>
      <w:r>
        <w:rPr>
          <w:rFonts w:ascii="宋体" w:hAnsi="宋体" w:cs="宋体" w:eastAsia="宋体" w:hint="default"/>
          <w:sz w:val="24"/>
          <w:szCs w:val="24"/>
        </w:rPr>
      </w:r>
    </w:p>
    <w:p>
      <w:pPr>
        <w:pStyle w:val="BodyText"/>
        <w:spacing w:line="367" w:lineRule="auto" w:before="50"/>
        <w:ind w:left="577" w:right="95" w:hanging="424"/>
        <w:jc w:val="left"/>
      </w:pPr>
      <w:r>
        <w:rPr/>
        <w:t>关智能化建设、节能化建设、</w:t>
      </w:r>
      <w:r>
        <w:rPr>
          <w:rFonts w:ascii="Times New Roman" w:hAnsi="Times New Roman" w:cs="Times New Roman" w:eastAsia="Times New Roman" w:hint="default"/>
        </w:rPr>
        <w:t>RFID</w:t>
      </w:r>
      <w:r>
        <w:rPr/>
        <w:t>技术的应用和推广等方面均得到国家政策的大力支持。 </w:t>
      </w:r>
      <w:r>
        <w:rPr>
          <w:spacing w:val="2"/>
        </w:rPr>
        <w:t>智能一卡通行业在校园一卡通、城市公交和企业门禁考勤等领域发展较快，随着物联网</w:t>
      </w:r>
      <w:r>
        <w:rPr/>
      </w:r>
    </w:p>
    <w:p>
      <w:pPr>
        <w:pStyle w:val="BodyText"/>
        <w:spacing w:line="348" w:lineRule="auto" w:before="26"/>
        <w:ind w:right="93"/>
        <w:jc w:val="left"/>
      </w:pPr>
      <w:r>
        <w:rPr/>
        <w:t>产业的发展，</w:t>
      </w:r>
      <w:r>
        <w:rPr>
          <w:rFonts w:ascii="Times New Roman" w:hAnsi="Times New Roman" w:cs="Times New Roman" w:eastAsia="Times New Roman" w:hint="default"/>
        </w:rPr>
        <w:t>RFID</w:t>
      </w:r>
      <w:r>
        <w:rPr/>
        <w:t>及智能卡技术应用越来越广泛，以及中国电信、中国移动、中国联通三大 电信运营商和中国银联手机近场支付业务的纷纷推出，以手机为载体的智能一卡通系统需求</w:t>
      </w:r>
      <w:r>
        <w:rPr>
          <w:spacing w:val="-83"/>
        </w:rPr>
        <w:t> </w:t>
      </w:r>
      <w:r>
        <w:rPr>
          <w:spacing w:val="-83"/>
        </w:rPr>
      </w:r>
      <w:r>
        <w:rPr>
          <w:spacing w:val="-2"/>
        </w:rPr>
        <w:t>和建设将成为行业的热点，三大运营商和中国银联通过与国内一卡通解决方案提供商的合作，</w:t>
      </w:r>
      <w:r>
        <w:rPr/>
        <w:t> 以搭建区域运营平台和行业应用为导向快速推广手机一卡通、并提供电信增值服务（</w:t>
      </w:r>
      <w:r>
        <w:rPr>
          <w:rFonts w:ascii="Times New Roman" w:hAnsi="Times New Roman" w:cs="Times New Roman" w:eastAsia="Times New Roman" w:hint="default"/>
        </w:rPr>
        <w:t>SP</w:t>
      </w:r>
      <w:r>
        <w:rPr/>
        <w:t>）等</w:t>
      </w:r>
      <w:r>
        <w:rPr>
          <w:spacing w:val="1"/>
        </w:rPr>
        <w:t> </w:t>
      </w:r>
      <w:r>
        <w:rPr/>
        <w:t>方式来实现其应用范围遍及学校、企业、城市等领域。</w:t>
      </w:r>
    </w:p>
    <w:p>
      <w:pPr>
        <w:pStyle w:val="BodyText"/>
        <w:spacing w:line="345" w:lineRule="auto" w:before="84"/>
        <w:ind w:right="93" w:firstLine="42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月，中国人民银行发布了《中国金融移动支付行业标准》。其认为移动支付是</w:t>
      </w:r>
      <w:r>
        <w:rPr>
          <w:spacing w:val="2"/>
        </w:rPr>
        <w:t> </w:t>
      </w:r>
      <w:r>
        <w:rPr/>
        <w:t>一种涉及多个行业的新兴支付方式，在国内外发展迅速且发展潜力巨大，因此，央行为系统</w:t>
      </w:r>
      <w:r>
        <w:rPr>
          <w:spacing w:val="-83"/>
        </w:rPr>
        <w:t> </w:t>
      </w:r>
      <w:r>
        <w:rPr>
          <w:spacing w:val="-83"/>
        </w:rPr>
      </w:r>
      <w:r>
        <w:rPr>
          <w:spacing w:val="-2"/>
        </w:rPr>
        <w:t>全面的规范移动支付相关内容，制定了该标准。涵盖了目前市场中已经推广应用的近场支付、</w:t>
      </w:r>
      <w:r>
        <w:rPr/>
        <w:t> 非接通讯前端、空中圈存、客户端、智能</w:t>
      </w:r>
      <w:r>
        <w:rPr>
          <w:rFonts w:ascii="Times New Roman" w:hAnsi="Times New Roman" w:cs="Times New Roman" w:eastAsia="Times New Roman" w:hint="default"/>
        </w:rPr>
        <w:t>SD</w:t>
      </w:r>
      <w:r>
        <w:rPr/>
        <w:t>卡、短信支付、短信动态密码等众多概念。包括 </w:t>
      </w:r>
      <w:r>
        <w:rPr>
          <w:spacing w:val="-5"/>
        </w:rPr>
        <w:t>了应用基础、安全保障、设备、支付应用、联网通用</w:t>
      </w:r>
      <w:r>
        <w:rPr>
          <w:rFonts w:ascii="Times New Roman" w:hAnsi="Times New Roman" w:cs="Times New Roman" w:eastAsia="Times New Roman" w:hint="default"/>
          <w:spacing w:val="-5"/>
        </w:rPr>
        <w:t>5</w:t>
      </w:r>
      <w:r>
        <w:rPr>
          <w:spacing w:val="-5"/>
        </w:rPr>
        <w:t>大类</w:t>
      </w:r>
      <w:r>
        <w:rPr>
          <w:rFonts w:ascii="Times New Roman" w:hAnsi="Times New Roman" w:cs="Times New Roman" w:eastAsia="Times New Roman" w:hint="default"/>
          <w:spacing w:val="-5"/>
        </w:rPr>
        <w:t>35</w:t>
      </w:r>
      <w:r>
        <w:rPr>
          <w:spacing w:val="-5"/>
        </w:rPr>
        <w:t>项标准，从产品形态、业务模式、</w:t>
      </w:r>
      <w:r>
        <w:rPr>
          <w:spacing w:val="-109"/>
        </w:rPr>
        <w:t> </w:t>
      </w:r>
      <w:r>
        <w:rPr>
          <w:spacing w:val="-109"/>
        </w:rPr>
      </w:r>
      <w:r>
        <w:rPr/>
        <w:t>联网通用、安全保障等方面明确了系统化的技术要求，覆盖中国金融移动支付各个环节的基</w:t>
      </w:r>
      <w:r>
        <w:rPr>
          <w:spacing w:val="-83"/>
        </w:rPr>
        <w:t> </w:t>
      </w:r>
      <w:r>
        <w:rPr>
          <w:spacing w:val="-83"/>
        </w:rPr>
      </w:r>
      <w:r>
        <w:rPr/>
        <w:t>础要素、安全要求和实现方案，确立了以</w:t>
      </w:r>
      <w:r>
        <w:rPr>
          <w:rFonts w:ascii="Times New Roman" w:hAnsi="Times New Roman" w:cs="Times New Roman" w:eastAsia="Times New Roman" w:hint="default"/>
        </w:rPr>
        <w:t>“</w:t>
      </w:r>
      <w:r>
        <w:rPr/>
        <w:t>联网通用、安全可信</w:t>
      </w:r>
      <w:r>
        <w:rPr>
          <w:rFonts w:ascii="Times New Roman" w:hAnsi="Times New Roman" w:cs="Times New Roman" w:eastAsia="Times New Roman" w:hint="default"/>
        </w:rPr>
        <w:t>”</w:t>
      </w:r>
      <w:r>
        <w:rPr/>
        <w:t>为目标的技术体系架构。这</w:t>
      </w:r>
      <w:r>
        <w:rPr>
          <w:spacing w:val="-79"/>
        </w:rPr>
        <w:t> </w:t>
      </w:r>
      <w:r>
        <w:rPr/>
        <w:t>一标准满足了当前和今后一段时期内我国移动支付发展的技术需求，有利于增强我国移动支</w:t>
      </w:r>
    </w:p>
    <w:p>
      <w:pPr>
        <w:spacing w:after="0" w:line="345"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right="228"/>
        <w:jc w:val="both"/>
      </w:pPr>
      <w:r>
        <w:rPr/>
        <w:t>付安全管理水平和技术风险防范能力，营造产业链各方开放、合作、共赢的良好局面，建立</w:t>
      </w:r>
      <w:r>
        <w:rPr>
          <w:spacing w:val="-83"/>
        </w:rPr>
        <w:t> </w:t>
      </w:r>
      <w:r>
        <w:rPr>
          <w:spacing w:val="-83"/>
        </w:rPr>
      </w:r>
      <w:r>
        <w:rPr/>
        <w:t>和谐的产业生态环境，推动我国移动支付集约化和规模化发展进程，并为业务拓展、产品创</w:t>
      </w:r>
      <w:r>
        <w:rPr>
          <w:spacing w:val="-83"/>
        </w:rPr>
        <w:t> </w:t>
      </w:r>
      <w:r>
        <w:rPr>
          <w:spacing w:val="-83"/>
        </w:rPr>
      </w:r>
      <w:r>
        <w:rPr/>
        <w:t>新和与国际市场接轨预留出广阔的空间。</w:t>
      </w:r>
    </w:p>
    <w:p>
      <w:pPr>
        <w:spacing w:line="768" w:lineRule="exact" w:before="1"/>
        <w:ind w:left="577" w:right="229" w:firstLine="4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）金融</w:t>
      </w:r>
      <w:r>
        <w:rPr>
          <w:rFonts w:ascii="Times New Roman" w:hAnsi="Times New Roman" w:cs="Times New Roman" w:eastAsia="Times New Roman" w:hint="default"/>
          <w:b/>
          <w:bCs/>
          <w:sz w:val="24"/>
          <w:szCs w:val="24"/>
        </w:rPr>
        <w:t>IC</w:t>
      </w:r>
      <w:r>
        <w:rPr>
          <w:rFonts w:ascii="宋体" w:hAnsi="宋体" w:cs="宋体" w:eastAsia="宋体" w:hint="default"/>
          <w:b/>
          <w:bCs/>
          <w:sz w:val="24"/>
          <w:szCs w:val="24"/>
        </w:rPr>
        <w:t>卡将成为智慧城市、城市一卡通的更大推动力</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住房和城乡建设部办公厅</w:t>
      </w:r>
      <w:r>
        <w:rPr>
          <w:rFonts w:ascii="Times New Roman" w:hAnsi="Times New Roman" w:cs="Times New Roman" w:eastAsia="Times New Roman" w:hint="default"/>
          <w:spacing w:val="-1"/>
          <w:sz w:val="24"/>
          <w:szCs w:val="24"/>
        </w:rPr>
        <w:t>2012</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12</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5</w:t>
      </w:r>
      <w:r>
        <w:rPr>
          <w:rFonts w:ascii="宋体" w:hAnsi="宋体" w:cs="宋体" w:eastAsia="宋体" w:hint="default"/>
          <w:spacing w:val="-1"/>
          <w:sz w:val="24"/>
          <w:szCs w:val="24"/>
        </w:rPr>
        <w:t>日发布《国家智慧城市试点暂行管理办法》，其中</w:t>
      </w:r>
    </w:p>
    <w:p>
      <w:pPr>
        <w:pStyle w:val="BodyText"/>
        <w:spacing w:line="357" w:lineRule="auto" w:before="34"/>
        <w:ind w:right="228"/>
        <w:jc w:val="both"/>
      </w:pPr>
      <w:r>
        <w:rPr/>
        <w:t>明确，智慧城市建设是贯彻党中央、国务院关于创新驱动发展、推动新型城镇化、全面建成</w:t>
      </w:r>
      <w:r>
        <w:rPr>
          <w:spacing w:val="-83"/>
        </w:rPr>
        <w:t> </w:t>
      </w:r>
      <w:r>
        <w:rPr>
          <w:spacing w:val="-83"/>
        </w:rPr>
      </w:r>
      <w:r>
        <w:rPr/>
        <w:t>小康社会的重要举措。为加强现代科学技术在城市规划、建设、管理和运行中的综合应用，</w:t>
      </w:r>
      <w:r>
        <w:rPr>
          <w:spacing w:val="-83"/>
        </w:rPr>
        <w:t> </w:t>
      </w:r>
      <w:r>
        <w:rPr>
          <w:spacing w:val="-83"/>
        </w:rPr>
      </w:r>
      <w:r>
        <w:rPr/>
        <w:t>整合信息资源，提升城市管理能力和服务水平，促进产业转型。包括智能交通、智慧能源、</w:t>
      </w:r>
      <w:r>
        <w:rPr>
          <w:spacing w:val="-83"/>
        </w:rPr>
        <w:t> </w:t>
      </w:r>
      <w:r>
        <w:rPr>
          <w:spacing w:val="-83"/>
        </w:rPr>
      </w:r>
      <w:r>
        <w:rPr/>
        <w:t>智慧环保、智慧国土、智慧应急、智慧安全、智慧物流、智慧社区、智能家居、智慧支付和</w:t>
      </w:r>
      <w:r>
        <w:rPr>
          <w:spacing w:val="-83"/>
        </w:rPr>
        <w:t> </w:t>
      </w:r>
      <w:r>
        <w:rPr>
          <w:spacing w:val="-83"/>
        </w:rPr>
      </w:r>
      <w:r>
        <w:rPr/>
        <w:t>智能金融具体十一个专向应用领域。</w:t>
      </w:r>
    </w:p>
    <w:p>
      <w:pPr>
        <w:pStyle w:val="BodyText"/>
        <w:spacing w:line="338" w:lineRule="auto" w:before="74"/>
        <w:ind w:right="107" w:firstLine="543"/>
        <w:jc w:val="left"/>
      </w:pPr>
      <w:r>
        <w:rPr>
          <w:spacing w:val="-1"/>
        </w:rPr>
        <w:t>“十二五”期间，中国众多城市均加大了智慧城市探索和建设力度，预计在未来</w:t>
      </w:r>
      <w:r>
        <w:rPr>
          <w:rFonts w:ascii="Times New Roman" w:hAnsi="Times New Roman" w:cs="Times New Roman" w:eastAsia="Times New Roman" w:hint="default"/>
          <w:spacing w:val="-1"/>
        </w:rPr>
        <w:t>5</w:t>
      </w:r>
      <w:r>
        <w:rPr>
          <w:spacing w:val="-1"/>
        </w:rPr>
        <w:t>年内，</w:t>
      </w:r>
      <w:r>
        <w:rPr/>
        <w:t> 以智能交通、智慧社区为代表的智慧化建设市场在中国将达到更大规模。</w:t>
      </w:r>
      <w:r>
        <w:rPr>
          <w:rFonts w:ascii="Times New Roman" w:hAnsi="Times New Roman" w:cs="Times New Roman" w:eastAsia="Times New Roman" w:hint="default"/>
        </w:rPr>
        <w:t>2012</w:t>
      </w:r>
      <w:r>
        <w:rPr/>
        <w:t>年，全国已有</w:t>
      </w:r>
      <w:r>
        <w:rPr>
          <w:spacing w:val="-85"/>
        </w:rPr>
        <w:t> </w:t>
      </w:r>
      <w:r>
        <w:rPr>
          <w:rFonts w:ascii="Times New Roman" w:hAnsi="Times New Roman" w:cs="Times New Roman" w:eastAsia="Times New Roman" w:hint="default"/>
        </w:rPr>
        <w:t>320</w:t>
      </w:r>
      <w:r>
        <w:rPr/>
        <w:t>个城市在建设智慧城市，共计投入</w:t>
      </w:r>
      <w:r>
        <w:rPr>
          <w:rFonts w:ascii="Times New Roman" w:hAnsi="Times New Roman" w:cs="Times New Roman" w:eastAsia="Times New Roman" w:hint="default"/>
        </w:rPr>
        <w:t>3000</w:t>
      </w:r>
      <w:r>
        <w:rPr/>
        <w:t>亿元。</w:t>
      </w:r>
      <w:r>
        <w:rPr>
          <w:rFonts w:ascii="Times New Roman" w:hAnsi="Times New Roman" w:cs="Times New Roman" w:eastAsia="Times New Roman" w:hint="default"/>
        </w:rPr>
        <w:t>2013</w:t>
      </w:r>
      <w:r>
        <w:rPr/>
        <w:t>年年初，国家住房和城乡建设部公布了</w:t>
      </w:r>
    </w:p>
    <w:p>
      <w:pPr>
        <w:pStyle w:val="BodyText"/>
        <w:spacing w:line="367" w:lineRule="auto" w:before="28"/>
        <w:ind w:left="577" w:right="95" w:hanging="424"/>
        <w:jc w:val="left"/>
      </w:pPr>
      <w:r>
        <w:rPr>
          <w:rFonts w:ascii="Times New Roman" w:hAnsi="Times New Roman" w:cs="Times New Roman" w:eastAsia="Times New Roman" w:hint="default"/>
        </w:rPr>
        <w:t>90 </w:t>
      </w:r>
      <w:r>
        <w:rPr>
          <w:spacing w:val="-6"/>
        </w:rPr>
        <w:t>个首批国家智慧城市试点名单。目前，住建部已经准备启动第二批国家智慧城市试点城市。</w:t>
      </w:r>
      <w:r>
        <w:rPr>
          <w:spacing w:val="-105"/>
        </w:rPr>
        <w:t> </w:t>
      </w:r>
      <w:r>
        <w:rPr>
          <w:spacing w:val="-105"/>
        </w:rPr>
      </w:r>
      <w:r>
        <w:rPr>
          <w:spacing w:val="2"/>
        </w:rPr>
        <w:t>城市一卡通作为智慧城市的一项重要基础设施和科技名片，其发展水平已成为城市信息</w:t>
      </w:r>
      <w:r>
        <w:rPr/>
      </w:r>
    </w:p>
    <w:p>
      <w:pPr>
        <w:pStyle w:val="BodyText"/>
        <w:spacing w:line="345" w:lineRule="auto" w:before="26"/>
        <w:ind w:right="228"/>
        <w:jc w:val="both"/>
      </w:pPr>
      <w:r>
        <w:rPr/>
        <w:t>化和现代化管理水平的重要衡量指标之一，对完善政府为民服务功能、建设节约型社会具有</w:t>
      </w:r>
      <w:r>
        <w:rPr>
          <w:spacing w:val="-83"/>
        </w:rPr>
        <w:t> </w:t>
      </w:r>
      <w:r>
        <w:rPr>
          <w:spacing w:val="-83"/>
        </w:rPr>
      </w:r>
      <w:r>
        <w:rPr>
          <w:spacing w:val="-2"/>
        </w:rPr>
        <w:t>十分重要的现实意义。</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日，人民银行发布《中国人民银行关于推进金融</w:t>
      </w:r>
      <w:r>
        <w:rPr>
          <w:rFonts w:ascii="Times New Roman" w:hAnsi="Times New Roman" w:cs="Times New Roman" w:eastAsia="Times New Roman" w:hint="default"/>
          <w:spacing w:val="-2"/>
        </w:rPr>
        <w:t>IC</w:t>
      </w:r>
      <w:r>
        <w:rPr>
          <w:spacing w:val="-2"/>
        </w:rPr>
        <w:t>卡应用</w:t>
      </w:r>
      <w:r>
        <w:rPr>
          <w:spacing w:val="-115"/>
        </w:rPr>
        <w:t> </w:t>
      </w:r>
      <w:r>
        <w:rPr/>
        <w:t>工作的意见》（银发</w:t>
      </w:r>
      <w:r>
        <w:rPr>
          <w:rFonts w:ascii="Times New Roman" w:hAnsi="Times New Roman" w:cs="Times New Roman" w:eastAsia="Times New Roman" w:hint="default"/>
        </w:rPr>
        <w:t>[2011]64</w:t>
      </w:r>
      <w:r>
        <w:rPr/>
        <w:t>号），决定在全国范围内正式启动银行卡芯片迁移工作，</w:t>
      </w:r>
      <w:r>
        <w:rPr>
          <w:rFonts w:ascii="Times New Roman" w:hAnsi="Times New Roman" w:cs="Times New Roman" w:eastAsia="Times New Roman" w:hint="default"/>
        </w:rPr>
        <w:t>“</w:t>
      </w:r>
      <w:r>
        <w:rPr/>
        <w:t>十二</w:t>
      </w:r>
      <w:r>
        <w:rPr>
          <w:spacing w:val="2"/>
        </w:rPr>
        <w:t> </w:t>
      </w:r>
      <w:r>
        <w:rPr>
          <w:spacing w:val="-2"/>
        </w:rPr>
        <w:t>五</w:t>
      </w:r>
      <w:r>
        <w:rPr>
          <w:rFonts w:ascii="Times New Roman" w:hAnsi="Times New Roman" w:cs="Times New Roman" w:eastAsia="Times New Roman" w:hint="default"/>
          <w:spacing w:val="-2"/>
        </w:rPr>
        <w:t>”</w:t>
      </w:r>
      <w:r>
        <w:rPr>
          <w:spacing w:val="-2"/>
        </w:rPr>
        <w:t>期间将全面推进金融</w:t>
      </w:r>
      <w:r>
        <w:rPr>
          <w:rFonts w:ascii="Times New Roman" w:hAnsi="Times New Roman" w:cs="Times New Roman" w:eastAsia="Times New Roman" w:hint="default"/>
          <w:spacing w:val="-2"/>
        </w:rPr>
        <w:t>IC</w:t>
      </w:r>
      <w:r>
        <w:rPr>
          <w:spacing w:val="-2"/>
        </w:rPr>
        <w:t>卡应用，以促进中国银行卡产业升级和可持续发展。目前，人民银</w:t>
      </w:r>
      <w:r>
        <w:rPr>
          <w:spacing w:val="-106"/>
        </w:rPr>
        <w:t> </w:t>
      </w:r>
      <w:r>
        <w:rPr>
          <w:spacing w:val="-106"/>
        </w:rPr>
      </w:r>
      <w:r>
        <w:rPr>
          <w:spacing w:val="-2"/>
        </w:rPr>
        <w:t>行正在筹备，在全国不同地域选择</w:t>
      </w:r>
      <w:r>
        <w:rPr>
          <w:rFonts w:ascii="Times New Roman" w:hAnsi="Times New Roman" w:cs="Times New Roman" w:eastAsia="Times New Roman" w:hint="default"/>
          <w:spacing w:val="-2"/>
        </w:rPr>
        <w:t>30-40</w:t>
      </w:r>
      <w:r>
        <w:rPr>
          <w:spacing w:val="-2"/>
        </w:rPr>
        <w:t>个城市开展金融</w:t>
      </w:r>
      <w:r>
        <w:rPr>
          <w:rFonts w:ascii="Times New Roman" w:hAnsi="Times New Roman" w:cs="Times New Roman" w:eastAsia="Times New Roman" w:hint="default"/>
          <w:spacing w:val="-2"/>
        </w:rPr>
        <w:t>IC</w:t>
      </w:r>
      <w:r>
        <w:rPr>
          <w:spacing w:val="-2"/>
        </w:rPr>
        <w:t>卡工作扩大试点，配合其城市信息</w:t>
      </w:r>
      <w:r>
        <w:rPr>
          <w:spacing w:val="-103"/>
        </w:rPr>
        <w:t> </w:t>
      </w:r>
      <w:r>
        <w:rPr>
          <w:spacing w:val="-103"/>
        </w:rPr>
      </w:r>
      <w:r>
        <w:rPr/>
        <w:t>化进程，结合其地域经济、文化特征，给予更优惠扶持政策，大力推进试点城市金融</w:t>
      </w:r>
      <w:r>
        <w:rPr>
          <w:rFonts w:ascii="Times New Roman" w:hAnsi="Times New Roman" w:cs="Times New Roman" w:eastAsia="Times New Roman" w:hint="default"/>
        </w:rPr>
        <w:t>IC</w:t>
      </w:r>
      <w:r>
        <w:rPr/>
        <w:t>卡在</w:t>
      </w:r>
      <w:r>
        <w:rPr>
          <w:spacing w:val="-84"/>
        </w:rPr>
        <w:t> </w:t>
      </w:r>
      <w:r>
        <w:rPr/>
        <w:t>公共事业缴费、小额消费、公共交通、个人身份识别、金融服务、医疗社保等众多领域的更</w:t>
      </w:r>
      <w:r>
        <w:rPr>
          <w:spacing w:val="-83"/>
        </w:rPr>
        <w:t> </w:t>
      </w:r>
      <w:r>
        <w:rPr>
          <w:spacing w:val="-83"/>
        </w:rPr>
      </w:r>
      <w:r>
        <w:rPr/>
        <w:t>广泛应用、将与市民密切相关的等功能尽可能通过城市一卡通有效串联，与城市信息化的更</w:t>
      </w:r>
      <w:r>
        <w:rPr>
          <w:spacing w:val="-83"/>
        </w:rPr>
        <w:t> </w:t>
      </w:r>
      <w:r>
        <w:rPr>
          <w:spacing w:val="-83"/>
        </w:rPr>
      </w:r>
      <w:r>
        <w:rPr/>
        <w:t>深度融合，切实实现便民、利民、惠民。未来，以金融</w:t>
      </w:r>
      <w:r>
        <w:rPr>
          <w:rFonts w:ascii="Times New Roman" w:hAnsi="Times New Roman" w:cs="Times New Roman" w:eastAsia="Times New Roman" w:hint="default"/>
        </w:rPr>
        <w:t>IC</w:t>
      </w:r>
      <w:r>
        <w:rPr/>
        <w:t>卡为载体的城市一卡通、智慧城市</w:t>
      </w:r>
      <w:r>
        <w:rPr>
          <w:spacing w:val="-84"/>
        </w:rPr>
        <w:t> </w:t>
      </w:r>
      <w:r>
        <w:rPr/>
        <w:t>领域发展前景广阔。</w:t>
      </w:r>
    </w:p>
    <w:p>
      <w:pPr>
        <w:spacing w:line="240" w:lineRule="auto" w:before="6"/>
        <w:rPr>
          <w:rFonts w:ascii="宋体" w:hAnsi="宋体" w:cs="宋体" w:eastAsia="宋体" w:hint="default"/>
          <w:sz w:val="20"/>
          <w:szCs w:val="20"/>
        </w:rPr>
      </w:pPr>
    </w:p>
    <w:p>
      <w:pPr>
        <w:pStyle w:val="Heading2"/>
        <w:spacing w:line="240" w:lineRule="auto"/>
        <w:ind w:left="625" w:right="95"/>
        <w:jc w:val="left"/>
        <w:rPr>
          <w:b w:val="0"/>
          <w:bCs w:val="0"/>
        </w:rPr>
      </w:pPr>
      <w:r>
        <w:rPr>
          <w:rFonts w:ascii="Times New Roman" w:hAnsi="Times New Roman" w:cs="Times New Roman" w:eastAsia="Times New Roman" w:hint="default"/>
        </w:rPr>
        <w:t>2</w:t>
      </w:r>
      <w:r>
        <w:rPr/>
        <w:t>、公司面临的市场格局和机遇</w:t>
      </w:r>
      <w:r>
        <w:rPr>
          <w:b w:val="0"/>
          <w:bCs w:val="0"/>
        </w:rPr>
      </w:r>
    </w:p>
    <w:p>
      <w:pPr>
        <w:spacing w:line="240" w:lineRule="auto" w:before="5"/>
        <w:rPr>
          <w:rFonts w:ascii="宋体" w:hAnsi="宋体" w:cs="宋体" w:eastAsia="宋体" w:hint="default"/>
          <w:b/>
          <w:bCs/>
          <w:sz w:val="21"/>
          <w:szCs w:val="21"/>
        </w:rPr>
      </w:pPr>
    </w:p>
    <w:p>
      <w:pPr>
        <w:pStyle w:val="Heading2"/>
        <w:spacing w:line="240" w:lineRule="auto"/>
        <w:ind w:left="625" w:right="95"/>
        <w:jc w:val="left"/>
        <w:rPr>
          <w:b w:val="0"/>
          <w:bCs w:val="0"/>
        </w:rPr>
      </w:pPr>
      <w:r>
        <w:rPr/>
        <w:t>（</w:t>
      </w:r>
      <w:r>
        <w:rPr>
          <w:rFonts w:ascii="Times New Roman" w:hAnsi="Times New Roman" w:cs="Times New Roman" w:eastAsia="Times New Roman" w:hint="default"/>
        </w:rPr>
        <w:t>1</w:t>
      </w:r>
      <w:r>
        <w:rPr/>
        <w:t>）市场格局</w:t>
      </w:r>
      <w:r>
        <w:rPr>
          <w:b w:val="0"/>
          <w:bCs w:val="0"/>
        </w:rPr>
      </w:r>
    </w:p>
    <w:p>
      <w:pPr>
        <w:spacing w:after="0" w:line="240" w:lineRule="auto"/>
        <w:jc w:val="left"/>
        <w:sectPr>
          <w:pgSz w:w="11910" w:h="16840"/>
          <w:pgMar w:header="851" w:footer="982" w:top="1220" w:bottom="1180" w:left="980" w:right="900"/>
        </w:sectPr>
      </w:pPr>
    </w:p>
    <w:p>
      <w:pPr>
        <w:spacing w:line="240" w:lineRule="auto" w:before="5"/>
        <w:rPr>
          <w:rFonts w:ascii="宋体" w:hAnsi="宋体" w:cs="宋体" w:eastAsia="宋体" w:hint="default"/>
          <w:b/>
          <w:bCs/>
          <w:sz w:val="16"/>
          <w:szCs w:val="16"/>
        </w:rPr>
      </w:pPr>
    </w:p>
    <w:p>
      <w:pPr>
        <w:pStyle w:val="BodyText"/>
        <w:spacing w:line="357" w:lineRule="auto" w:before="26"/>
        <w:ind w:right="227" w:firstLine="424"/>
        <w:jc w:val="both"/>
      </w:pPr>
      <w:r>
        <w:rPr/>
        <w:t>智能一卡通行业的下游各应用领域主要由学校、企事业、城市三大业务板块构成，随着</w:t>
      </w:r>
      <w:r>
        <w:rPr>
          <w:spacing w:val="2"/>
        </w:rPr>
        <w:t> </w:t>
      </w:r>
      <w:r>
        <w:rPr/>
        <w:t>其信息化建设进程的加快，均不同程度的体现出对智能化、智慧化建设的需求。公司面临着</w:t>
      </w:r>
      <w:r>
        <w:rPr>
          <w:spacing w:val="-83"/>
        </w:rPr>
        <w:t> </w:t>
      </w:r>
      <w:r>
        <w:rPr>
          <w:spacing w:val="-83"/>
        </w:rPr>
      </w:r>
      <w:r>
        <w:rPr/>
        <w:t>良好的产业发展机遇和充分的市场空间。</w:t>
      </w:r>
    </w:p>
    <w:p>
      <w:pPr>
        <w:pStyle w:val="BodyText"/>
        <w:spacing w:line="352" w:lineRule="auto" w:before="74"/>
        <w:ind w:left="154" w:right="228" w:firstLine="423"/>
        <w:jc w:val="both"/>
      </w:pPr>
      <w:r>
        <w:rPr/>
        <w:t>智能一卡通行业主要是</w:t>
      </w:r>
      <w:r>
        <w:rPr>
          <w:rFonts w:ascii="Times New Roman" w:hAnsi="Times New Roman" w:cs="Times New Roman" w:eastAsia="Times New Roman" w:hint="default"/>
        </w:rPr>
        <w:t>RFID</w:t>
      </w:r>
      <w:r>
        <w:rPr/>
        <w:t>及智能卡技术应用业务，是物联网产业的重要环节，市场化 程度较高。总体而言，在门禁、考勤、餐卡、公交卡等传统一卡通业务中，从事企业数量很</w:t>
      </w:r>
      <w:r>
        <w:rPr>
          <w:spacing w:val="-83"/>
        </w:rPr>
        <w:t> </w:t>
      </w:r>
      <w:r>
        <w:rPr>
          <w:spacing w:val="-83"/>
        </w:rPr>
      </w:r>
      <w:r>
        <w:rPr/>
        <w:t>多，市场竞争较为激烈；而在多功能、智能化程度高、技术含量高的新兴一卡通业务（如手</w:t>
      </w:r>
      <w:r>
        <w:rPr>
          <w:spacing w:val="-83"/>
        </w:rPr>
        <w:t> </w:t>
      </w:r>
      <w:r>
        <w:rPr>
          <w:spacing w:val="-83"/>
        </w:rPr>
      </w:r>
      <w:r>
        <w:rPr/>
        <w:t>机一卡通）中，主要以研发设计能力和整体解决方案能力强的行业内优质企业为主，竞争相</w:t>
      </w:r>
      <w:r>
        <w:rPr>
          <w:spacing w:val="-83"/>
        </w:rPr>
        <w:t> </w:t>
      </w:r>
      <w:r>
        <w:rPr>
          <w:spacing w:val="-83"/>
        </w:rPr>
      </w:r>
      <w:r>
        <w:rPr/>
        <w:t>对缓和。随着以电信运营商、银联为主要推动力的手机支付、手机一卡通业务的兴起，未来</w:t>
      </w:r>
      <w:r>
        <w:rPr>
          <w:spacing w:val="-83"/>
        </w:rPr>
        <w:t> </w:t>
      </w:r>
      <w:r>
        <w:rPr>
          <w:spacing w:val="-83"/>
        </w:rPr>
      </w:r>
      <w:r>
        <w:rPr/>
        <w:t>在这方面的竞争将会成为左右企业行业地位的关键。</w:t>
      </w:r>
    </w:p>
    <w:p>
      <w:pPr>
        <w:pStyle w:val="BodyText"/>
        <w:spacing w:line="357" w:lineRule="auto" w:before="80"/>
        <w:ind w:right="226" w:firstLine="423"/>
        <w:jc w:val="both"/>
      </w:pPr>
      <w:r>
        <w:rPr>
          <w:spacing w:val="2"/>
        </w:rPr>
        <w:t>在智能一卡通应用最早、发展最快、功能最全的校园一卡通领域，多年的市场竞争淘汰 </w:t>
      </w:r>
      <w:r>
        <w:rPr/>
        <w:t>了大多数中小一卡通厂商，市场集中度较高。在企事业一卡通应用领域，由于目标客户数量</w:t>
      </w:r>
      <w:r>
        <w:rPr>
          <w:spacing w:val="-83"/>
        </w:rPr>
        <w:t> </w:t>
      </w:r>
      <w:r>
        <w:rPr>
          <w:spacing w:val="-83"/>
        </w:rPr>
      </w:r>
      <w:r>
        <w:rPr/>
        <w:t>巨大，且大部分系统功能较为简单，其市场参与者既包括一卡通整体解决方案提供商，也包</w:t>
      </w:r>
      <w:r>
        <w:rPr>
          <w:spacing w:val="-83"/>
        </w:rPr>
        <w:t> </w:t>
      </w:r>
      <w:r>
        <w:rPr>
          <w:spacing w:val="-83"/>
        </w:rPr>
      </w:r>
      <w:r>
        <w:rPr/>
        <w:t>括门禁、考勤、售饭等众多单系统供应商，呈现出市场空间巨大、参与者众多和竞争较为充</w:t>
      </w:r>
      <w:r>
        <w:rPr>
          <w:spacing w:val="-83"/>
        </w:rPr>
        <w:t> </w:t>
      </w:r>
      <w:r>
        <w:rPr>
          <w:spacing w:val="-83"/>
        </w:rPr>
      </w:r>
      <w:r>
        <w:rPr/>
        <w:t>分的特点。</w:t>
      </w:r>
    </w:p>
    <w:p>
      <w:pPr>
        <w:pStyle w:val="BodyText"/>
        <w:spacing w:line="350" w:lineRule="auto" w:before="74"/>
        <w:ind w:right="95" w:firstLine="423"/>
        <w:jc w:val="left"/>
      </w:pPr>
      <w:r>
        <w:rPr>
          <w:spacing w:val="2"/>
        </w:rPr>
        <w:t>在城市一卡通领域，其涉及面广，持卡群体广泛，项目投资金额较大，可应用于公共交 </w:t>
      </w:r>
      <w:r>
        <w:rPr>
          <w:spacing w:val="-3"/>
        </w:rPr>
        <w:t>通（公交、出租、地铁等）、公用事业（医疗、社保、水电缴费等）、商户小额消费（超市、</w:t>
      </w:r>
      <w:r>
        <w:rPr>
          <w:spacing w:val="-115"/>
        </w:rPr>
        <w:t> </w:t>
      </w:r>
      <w:r>
        <w:rPr>
          <w:spacing w:val="-115"/>
        </w:rPr>
      </w:r>
      <w:r>
        <w:rPr/>
        <w:t>商场等）等众多公共领域。目前在大中型城市一卡通项目建设中一般采用软硬件分别招标的</w:t>
      </w:r>
      <w:r>
        <w:rPr>
          <w:spacing w:val="-83"/>
        </w:rPr>
        <w:t> </w:t>
      </w:r>
      <w:r>
        <w:rPr>
          <w:spacing w:val="-83"/>
        </w:rPr>
      </w:r>
      <w:r>
        <w:rPr/>
        <w:t>模式，而在小型城市一般采用项目整体招标方式。该领域的市场参与者以规模企业为主，其</w:t>
      </w:r>
      <w:r>
        <w:rPr>
          <w:spacing w:val="-83"/>
        </w:rPr>
        <w:t> </w:t>
      </w:r>
      <w:r>
        <w:rPr>
          <w:spacing w:val="-83"/>
        </w:rPr>
      </w:r>
      <w:r>
        <w:rPr>
          <w:spacing w:val="-2"/>
        </w:rPr>
        <w:t>中既包括部分一卡通整体解决方案提供商，也包括大型软件企业、</w:t>
      </w:r>
      <w:r>
        <w:rPr>
          <w:rFonts w:ascii="Times New Roman" w:hAnsi="Times New Roman" w:cs="Times New Roman" w:eastAsia="Times New Roman" w:hint="default"/>
          <w:spacing w:val="-2"/>
        </w:rPr>
        <w:t>POS</w:t>
      </w:r>
      <w:r>
        <w:rPr>
          <w:spacing w:val="-2"/>
        </w:rPr>
        <w:t>机等终端机具制造商、</w:t>
      </w:r>
      <w:r>
        <w:rPr>
          <w:spacing w:val="-82"/>
        </w:rPr>
        <w:t> </w:t>
      </w:r>
      <w:r>
        <w:rPr>
          <w:rFonts w:ascii="Times New Roman" w:hAnsi="Times New Roman" w:cs="Times New Roman" w:eastAsia="Times New Roman" w:hint="default"/>
        </w:rPr>
        <w:t>IC</w:t>
      </w:r>
      <w:r>
        <w:rPr/>
        <w:t>卡芯片制造商、智能卡制造商、系统集成商等众多企业。此外，很多大中型城市均在当地</w:t>
      </w:r>
      <w:r>
        <w:rPr>
          <w:spacing w:val="-84"/>
        </w:rPr>
        <w:t> </w:t>
      </w:r>
      <w:r>
        <w:rPr>
          <w:spacing w:val="-84"/>
        </w:rPr>
      </w:r>
      <w:r>
        <w:rPr/>
        <w:t>政府的主导下成立了城市一卡通公司，专门负责城市一卡通项目的建设、管理和运营。</w:t>
      </w:r>
    </w:p>
    <w:p>
      <w:pPr>
        <w:spacing w:line="240" w:lineRule="auto" w:before="1"/>
        <w:rPr>
          <w:rFonts w:ascii="宋体" w:hAnsi="宋体" w:cs="宋体" w:eastAsia="宋体" w:hint="default"/>
          <w:sz w:val="20"/>
          <w:szCs w:val="20"/>
        </w:rPr>
      </w:pPr>
    </w:p>
    <w:p>
      <w:pPr>
        <w:pStyle w:val="Heading2"/>
        <w:spacing w:line="240" w:lineRule="auto"/>
        <w:ind w:left="625" w:right="95"/>
        <w:jc w:val="left"/>
        <w:rPr>
          <w:b w:val="0"/>
          <w:bCs w:val="0"/>
        </w:rPr>
      </w:pPr>
      <w:r>
        <w:rPr/>
        <w:t>（</w:t>
      </w:r>
      <w:r>
        <w:rPr>
          <w:rFonts w:ascii="Times New Roman" w:hAnsi="Times New Roman" w:cs="Times New Roman" w:eastAsia="Times New Roman" w:hint="default"/>
        </w:rPr>
        <w:t>2</w:t>
      </w:r>
      <w:r>
        <w:rPr/>
        <w:t>）公司机遇</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226" w:firstLine="423"/>
        <w:jc w:val="both"/>
      </w:pPr>
      <w:r>
        <w:rPr>
          <w:spacing w:val="2"/>
        </w:rPr>
        <w:t>当前客户信息化建设需求已经呈现纷繁复杂的多样化、个性化趋势；同时，在满足客户 </w:t>
      </w:r>
      <w:r>
        <w:rPr/>
        <w:t>需求的同时，个性化定制也会给企业带来一定的不确定性和风险，因此，个性化定制能力既</w:t>
      </w:r>
      <w:r>
        <w:rPr>
          <w:spacing w:val="-83"/>
        </w:rPr>
        <w:t> </w:t>
      </w:r>
      <w:r>
        <w:rPr>
          <w:spacing w:val="-83"/>
        </w:rPr>
      </w:r>
      <w:r>
        <w:rPr/>
        <w:t>是智能一卡通行业进入的重要壁垒，也是行业内企业获取竞争地位的核心手段之一。</w:t>
      </w:r>
    </w:p>
    <w:p>
      <w:pPr>
        <w:pStyle w:val="BodyText"/>
        <w:spacing w:line="357" w:lineRule="auto" w:before="74"/>
        <w:ind w:right="226" w:firstLine="423"/>
        <w:jc w:val="both"/>
      </w:pPr>
      <w:r>
        <w:rPr>
          <w:spacing w:val="2"/>
        </w:rPr>
        <w:t>公司是行业内少数能够为客户提供全面、整体化、一揽子解决方案的代表性企业之一， </w:t>
      </w:r>
      <w:r>
        <w:rPr/>
        <w:t>公司通过更全面的产品线、更高的研发平台、更丰富的业务功能、更强的集成能力，在满足</w:t>
      </w:r>
      <w:r>
        <w:rPr>
          <w:spacing w:val="-83"/>
        </w:rPr>
        <w:t> </w:t>
      </w:r>
      <w:r>
        <w:rPr>
          <w:spacing w:val="-83"/>
        </w:rPr>
      </w:r>
      <w:r>
        <w:rPr/>
        <w:t>客户个性化需求的前提下，为客户提供多功能实现的整体解决方案和一站式的客户服务，以</w:t>
      </w:r>
    </w:p>
    <w:p>
      <w:pPr>
        <w:spacing w:after="0" w:line="357" w:lineRule="auto"/>
        <w:jc w:val="both"/>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right="108"/>
        <w:jc w:val="both"/>
      </w:pPr>
      <w:r>
        <w:rPr/>
        <w:t>增加公司产品和服务的经济附加值、不断增强客户黏性、扩大品牌影响度，进而提升自身的</w:t>
      </w:r>
      <w:r>
        <w:rPr>
          <w:spacing w:val="-83"/>
        </w:rPr>
        <w:t> </w:t>
      </w:r>
      <w:r>
        <w:rPr>
          <w:spacing w:val="-83"/>
        </w:rPr>
      </w:r>
      <w:r>
        <w:rPr/>
        <w:t>盈利能力和利润空间。公司在一卡通行业内积累多年，熟悉众多行业的运作流程与信息化建</w:t>
      </w:r>
      <w:r>
        <w:rPr>
          <w:spacing w:val="-83"/>
        </w:rPr>
        <w:t> </w:t>
      </w:r>
      <w:r>
        <w:rPr>
          <w:spacing w:val="-83"/>
        </w:rPr>
      </w:r>
      <w:r>
        <w:rPr/>
        <w:t>设需求，同时可以为电信运营商、银行、银联等合作对象带来丰富的客户资源。</w:t>
      </w:r>
    </w:p>
    <w:p>
      <w:pPr>
        <w:spacing w:line="240" w:lineRule="auto" w:before="8"/>
        <w:rPr>
          <w:rFonts w:ascii="宋体" w:hAnsi="宋体" w:cs="宋体" w:eastAsia="宋体" w:hint="default"/>
          <w:sz w:val="25"/>
          <w:szCs w:val="25"/>
        </w:rPr>
      </w:pPr>
    </w:p>
    <w:p>
      <w:pPr>
        <w:pStyle w:val="Heading2"/>
        <w:spacing w:line="240" w:lineRule="auto"/>
        <w:ind w:left="625" w:right="610"/>
        <w:jc w:val="left"/>
        <w:rPr>
          <w:b w:val="0"/>
          <w:bCs w:val="0"/>
        </w:rPr>
      </w:pPr>
      <w:r>
        <w:rPr>
          <w:rFonts w:ascii="Times New Roman" w:hAnsi="Times New Roman" w:cs="Times New Roman" w:eastAsia="Times New Roman" w:hint="default"/>
        </w:rPr>
        <w:t>3</w:t>
      </w:r>
      <w:r>
        <w:rPr/>
        <w:t>、公司的发展战略规划及</w:t>
      </w:r>
      <w:r>
        <w:rPr>
          <w:rFonts w:ascii="Times New Roman" w:hAnsi="Times New Roman" w:cs="Times New Roman" w:eastAsia="Times New Roman" w:hint="default"/>
        </w:rPr>
        <w:t>2013</w:t>
      </w:r>
      <w:r>
        <w:rPr/>
        <w:t>年经营计划</w:t>
      </w:r>
      <w:r>
        <w:rPr>
          <w:b w:val="0"/>
          <w:bCs w:val="0"/>
        </w:rPr>
      </w:r>
    </w:p>
    <w:p>
      <w:pPr>
        <w:spacing w:line="670" w:lineRule="atLeast" w:before="19"/>
        <w:ind w:left="577" w:right="94" w:firstLine="4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）整体发展战略</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在未来三至五年内，公司将继续坚持“规模化个性定制”的经营模式，并采取“差异化</w:t>
      </w:r>
      <w:r>
        <w:rPr>
          <w:rFonts w:ascii="宋体" w:hAnsi="宋体" w:cs="宋体" w:eastAsia="宋体" w:hint="default"/>
          <w:sz w:val="24"/>
          <w:szCs w:val="24"/>
        </w:rPr>
      </w:r>
    </w:p>
    <w:p>
      <w:pPr>
        <w:pStyle w:val="BodyText"/>
        <w:spacing w:line="352" w:lineRule="auto" w:before="154"/>
        <w:ind w:right="108"/>
        <w:jc w:val="both"/>
      </w:pPr>
      <w:r>
        <w:rPr/>
        <w:t>竞争战略”和“成本领先竞争战略”。公司将紧抓智慧城市建设和金融</w:t>
      </w:r>
      <w:r>
        <w:rPr>
          <w:rFonts w:ascii="Times New Roman" w:hAnsi="Times New Roman" w:cs="Times New Roman" w:eastAsia="Times New Roman" w:hint="default"/>
        </w:rPr>
        <w:t>IC</w:t>
      </w:r>
      <w:r>
        <w:rPr/>
        <w:t>卡更新的行业发展</w:t>
      </w:r>
      <w:r>
        <w:rPr>
          <w:spacing w:val="-94"/>
        </w:rPr>
        <w:t> </w:t>
      </w:r>
      <w:r>
        <w:rPr/>
        <w:t>机遇，完善产品结构，优化市场布局，继续保持与三大运营商和银行的紧密合作救出，在巩</w:t>
      </w:r>
      <w:r>
        <w:rPr>
          <w:spacing w:val="-83"/>
        </w:rPr>
        <w:t> </w:t>
      </w:r>
      <w:r>
        <w:rPr>
          <w:spacing w:val="-83"/>
        </w:rPr>
      </w:r>
      <w:r>
        <w:rPr/>
        <w:t>固并扩大校园市场份额的基础上，大力拓展企事业和城市市场。同时公司将积极引进高端人</w:t>
      </w:r>
      <w:r>
        <w:rPr>
          <w:spacing w:val="-83"/>
        </w:rPr>
        <w:t> </w:t>
      </w:r>
      <w:r>
        <w:rPr>
          <w:spacing w:val="-83"/>
        </w:rPr>
      </w:r>
      <w:r>
        <w:rPr/>
        <w:t>才，加大科技投入与合作，增强自主研发和技术创新能力，引入先进的生产管理模式，提高</w:t>
      </w:r>
      <w:r>
        <w:rPr>
          <w:spacing w:val="-83"/>
        </w:rPr>
        <w:t> </w:t>
      </w:r>
      <w:r>
        <w:rPr>
          <w:spacing w:val="-83"/>
        </w:rPr>
      </w:r>
      <w:r>
        <w:rPr/>
        <w:t>生产效率，深化绩效考评体系，提升员工岗位价值，以支持公司长期可持续发展。</w:t>
      </w:r>
    </w:p>
    <w:p>
      <w:pPr>
        <w:spacing w:line="240" w:lineRule="auto" w:before="12"/>
        <w:rPr>
          <w:rFonts w:ascii="宋体" w:hAnsi="宋体" w:cs="宋体" w:eastAsia="宋体" w:hint="default"/>
          <w:sz w:val="19"/>
          <w:szCs w:val="19"/>
        </w:rPr>
      </w:pPr>
    </w:p>
    <w:p>
      <w:pPr>
        <w:pStyle w:val="Heading2"/>
        <w:spacing w:line="240" w:lineRule="auto"/>
        <w:ind w:left="625" w:right="610"/>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年经营目标</w:t>
      </w:r>
      <w:r>
        <w:rPr>
          <w:b w:val="0"/>
          <w:bCs w:val="0"/>
        </w:rPr>
      </w:r>
    </w:p>
    <w:p>
      <w:pPr>
        <w:spacing w:line="240" w:lineRule="auto" w:before="6"/>
        <w:rPr>
          <w:rFonts w:ascii="宋体" w:hAnsi="宋体" w:cs="宋体" w:eastAsia="宋体" w:hint="default"/>
          <w:b/>
          <w:bCs/>
          <w:sz w:val="27"/>
          <w:szCs w:val="27"/>
        </w:rPr>
      </w:pPr>
    </w:p>
    <w:p>
      <w:pPr>
        <w:pStyle w:val="BodyText"/>
        <w:spacing w:line="338" w:lineRule="auto"/>
        <w:ind w:right="107" w:firstLine="423"/>
        <w:jc w:val="left"/>
      </w:pPr>
      <w:r>
        <w:rPr>
          <w:rFonts w:ascii="Times New Roman" w:hAnsi="Times New Roman" w:cs="Times New Roman" w:eastAsia="Times New Roman" w:hint="default"/>
        </w:rPr>
        <w:t>2013</w:t>
      </w:r>
      <w:r>
        <w:rPr/>
        <w:t>年度，公司将将继续积极拓展国内市场，内部将继续加强新产品的研发，提升业务</w:t>
      </w:r>
      <w:r>
        <w:rPr>
          <w:spacing w:val="2"/>
        </w:rPr>
        <w:t> </w:t>
      </w:r>
      <w:r>
        <w:rPr/>
        <w:t>管理水平，公司力争全年实现销售收入</w:t>
      </w:r>
      <w:r>
        <w:rPr>
          <w:rFonts w:ascii="Times New Roman" w:hAnsi="Times New Roman" w:cs="Times New Roman" w:eastAsia="Times New Roman" w:hint="default"/>
        </w:rPr>
        <w:t>2.3-3.0</w:t>
      </w:r>
      <w:r>
        <w:rPr/>
        <w:t>亿元，净利润</w:t>
      </w:r>
      <w:r>
        <w:rPr>
          <w:rFonts w:ascii="Times New Roman" w:hAnsi="Times New Roman" w:cs="Times New Roman" w:eastAsia="Times New Roman" w:hint="default"/>
        </w:rPr>
        <w:t>5,000-6,000</w:t>
      </w:r>
      <w:r>
        <w:rPr/>
        <w:t>万元。</w:t>
      </w:r>
    </w:p>
    <w:p>
      <w:pPr>
        <w:pStyle w:val="BodyText"/>
        <w:spacing w:line="338" w:lineRule="auto" w:before="65"/>
        <w:ind w:right="94" w:firstLine="423"/>
        <w:jc w:val="left"/>
      </w:pPr>
      <w:r>
        <w:rPr/>
        <w:t>上述经营目标并不代表公司对</w:t>
      </w:r>
      <w:r>
        <w:rPr>
          <w:rFonts w:ascii="Times New Roman" w:hAnsi="Times New Roman" w:cs="Times New Roman" w:eastAsia="Times New Roman" w:hint="default"/>
        </w:rPr>
        <w:t>2013</w:t>
      </w:r>
      <w:r>
        <w:rPr/>
        <w:t>年度的盈利预测，能否实现取决于市场状况变化、经</w:t>
      </w:r>
      <w:r>
        <w:rPr>
          <w:spacing w:val="2"/>
        </w:rPr>
        <w:t> </w:t>
      </w:r>
      <w:r>
        <w:rPr/>
        <w:t>营团队的努力程度等多种因素，存在很大的不确定性，请投资者特别注意。</w:t>
      </w:r>
    </w:p>
    <w:p>
      <w:pPr>
        <w:spacing w:line="240" w:lineRule="auto" w:before="2"/>
        <w:rPr>
          <w:rFonts w:ascii="宋体" w:hAnsi="宋体" w:cs="宋体" w:eastAsia="宋体" w:hint="default"/>
          <w:sz w:val="21"/>
          <w:szCs w:val="21"/>
        </w:rPr>
      </w:pPr>
    </w:p>
    <w:p>
      <w:pPr>
        <w:pStyle w:val="Heading2"/>
        <w:spacing w:line="240" w:lineRule="auto"/>
        <w:ind w:left="625" w:right="61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年经营计划</w:t>
      </w:r>
      <w:r>
        <w:rPr>
          <w:b w:val="0"/>
          <w:bCs w:val="0"/>
        </w:rPr>
      </w:r>
    </w:p>
    <w:p>
      <w:pPr>
        <w:spacing w:line="240" w:lineRule="auto" w:before="6"/>
        <w:rPr>
          <w:rFonts w:ascii="宋体" w:hAnsi="宋体" w:cs="宋体" w:eastAsia="宋体" w:hint="default"/>
          <w:b/>
          <w:bCs/>
          <w:sz w:val="27"/>
          <w:szCs w:val="27"/>
        </w:rPr>
      </w:pPr>
    </w:p>
    <w:p>
      <w:pPr>
        <w:pStyle w:val="BodyText"/>
        <w:spacing w:line="388" w:lineRule="auto"/>
        <w:ind w:left="577" w:right="94"/>
        <w:jc w:val="left"/>
      </w:pPr>
      <w:r>
        <w:rPr/>
        <w:t>①创新业务模式 </w:t>
      </w:r>
      <w:r>
        <w:rPr>
          <w:spacing w:val="2"/>
        </w:rPr>
        <w:t>紧跟智慧城市发展契机，发展大型智慧社区项目；紧跟运营商投资中小企业步伐，推广</w:t>
      </w:r>
      <w:r>
        <w:rPr/>
      </w:r>
    </w:p>
    <w:p>
      <w:pPr>
        <w:pStyle w:val="BodyText"/>
        <w:spacing w:line="240" w:lineRule="auto" w:before="6"/>
        <w:ind w:right="0"/>
        <w:jc w:val="both"/>
      </w:pPr>
      <w:r>
        <w:rPr/>
        <w:t>手机一卡通应用；紧跟银行金融</w:t>
      </w:r>
      <w:r>
        <w:rPr>
          <w:rFonts w:ascii="Times New Roman" w:hAnsi="Times New Roman" w:cs="Times New Roman" w:eastAsia="Times New Roman" w:hint="default"/>
        </w:rPr>
        <w:t>IC</w:t>
      </w:r>
      <w:r>
        <w:rPr/>
        <w:t>卡发展脚步，发展大规模物流园、工业园项目。</w:t>
      </w:r>
    </w:p>
    <w:p>
      <w:pPr>
        <w:pStyle w:val="BodyText"/>
        <w:spacing w:line="386" w:lineRule="auto" w:before="175"/>
        <w:ind w:left="577" w:right="94"/>
        <w:jc w:val="left"/>
      </w:pPr>
      <w:r>
        <w:rPr/>
        <w:t>②横向市场开发与纵向产业链扩张 </w:t>
      </w:r>
      <w:r>
        <w:rPr>
          <w:spacing w:val="2"/>
        </w:rPr>
        <w:t>在产业整合化发展趋势下，产业的竞争已经由单个产品竞争转变为基于产业链的竞争。</w:t>
      </w:r>
      <w:r>
        <w:rPr/>
      </w:r>
    </w:p>
    <w:p>
      <w:pPr>
        <w:pStyle w:val="BodyText"/>
        <w:spacing w:line="357" w:lineRule="auto" w:before="7"/>
        <w:ind w:right="108"/>
        <w:jc w:val="both"/>
      </w:pPr>
      <w:r>
        <w:rPr/>
        <w:t>为促进产业链整合，优化企业发展环境，公司不仅要加强在产业技术研发、产业化、市场培</w:t>
      </w:r>
      <w:r>
        <w:rPr>
          <w:spacing w:val="-83"/>
        </w:rPr>
        <w:t> </w:t>
      </w:r>
      <w:r>
        <w:rPr>
          <w:spacing w:val="-83"/>
        </w:rPr>
      </w:r>
      <w:r>
        <w:rPr/>
        <w:t>育、标准制定和人才培养等关键环节的投入，在国内外对下游及同行企业适时展开合资、合</w:t>
      </w:r>
      <w:r>
        <w:rPr>
          <w:spacing w:val="-83"/>
        </w:rPr>
        <w:t> </w:t>
      </w:r>
      <w:r>
        <w:rPr>
          <w:spacing w:val="-83"/>
        </w:rPr>
      </w:r>
      <w:r>
        <w:rPr/>
        <w:t>作和兼并重组，拓展产业链，实现优势互补，扩大企业规模。同时应积极与电信运营商、银</w:t>
      </w:r>
      <w:r>
        <w:rPr>
          <w:spacing w:val="-83"/>
        </w:rPr>
        <w:t> </w:t>
      </w:r>
      <w:r>
        <w:rPr>
          <w:spacing w:val="-83"/>
        </w:rPr>
      </w:r>
      <w:r>
        <w:rPr/>
        <w:t>行、银联等拥有客户资源和分销渠道的企业合作，延伸产业链。与此同时，差异化的营销策</w:t>
      </w:r>
    </w:p>
    <w:p>
      <w:pPr>
        <w:spacing w:after="0" w:line="357"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38" w:lineRule="auto" w:before="26"/>
        <w:ind w:left="154" w:right="231"/>
        <w:jc w:val="both"/>
      </w:pPr>
      <w:r>
        <w:rPr>
          <w:spacing w:val="-2"/>
        </w:rPr>
        <w:t>略需差异化的服务与之相配合。未来，公司将继续按客户需求开发特定产品，推行</w:t>
      </w:r>
      <w:r>
        <w:rPr>
          <w:rFonts w:ascii="Times New Roman" w:hAnsi="Times New Roman" w:cs="Times New Roman" w:eastAsia="Times New Roman" w:hint="default"/>
          <w:spacing w:val="-2"/>
        </w:rPr>
        <w:t>“</w:t>
      </w:r>
      <w:r>
        <w:rPr>
          <w:spacing w:val="-2"/>
        </w:rPr>
        <w:t>一站式整</w:t>
      </w:r>
      <w:r>
        <w:rPr>
          <w:spacing w:val="-107"/>
        </w:rPr>
        <w:t> </w:t>
      </w:r>
      <w:r>
        <w:rPr>
          <w:spacing w:val="-2"/>
        </w:rPr>
        <w:t>体解决方案</w:t>
      </w:r>
      <w:r>
        <w:rPr>
          <w:rFonts w:ascii="Times New Roman" w:hAnsi="Times New Roman" w:cs="Times New Roman" w:eastAsia="Times New Roman" w:hint="default"/>
          <w:spacing w:val="-2"/>
        </w:rPr>
        <w:t>”</w:t>
      </w:r>
      <w:r>
        <w:rPr>
          <w:spacing w:val="-2"/>
        </w:rPr>
        <w:t>式的服务，提高售后服务质量，多措并举建立稳定的客户资源网络，进而提升盈</w:t>
      </w:r>
      <w:r>
        <w:rPr>
          <w:spacing w:val="-107"/>
        </w:rPr>
        <w:t> </w:t>
      </w:r>
      <w:r>
        <w:rPr>
          <w:spacing w:val="-107"/>
        </w:rPr>
      </w:r>
      <w:r>
        <w:rPr/>
        <w:t>利能力和利润空间。</w:t>
      </w:r>
    </w:p>
    <w:p>
      <w:pPr>
        <w:pStyle w:val="BodyText"/>
        <w:spacing w:line="240" w:lineRule="auto" w:before="95"/>
        <w:ind w:left="577" w:right="95"/>
        <w:jc w:val="left"/>
      </w:pPr>
      <w:r>
        <w:rPr/>
        <w:t>③技术进步与研发创新</w:t>
      </w:r>
    </w:p>
    <w:p>
      <w:pPr>
        <w:pStyle w:val="BodyText"/>
        <w:spacing w:line="352" w:lineRule="auto" w:before="193"/>
        <w:ind w:right="93" w:firstLine="423"/>
        <w:jc w:val="left"/>
      </w:pPr>
      <w:r>
        <w:rPr>
          <w:rFonts w:ascii="Times New Roman" w:hAnsi="Times New Roman" w:cs="Times New Roman" w:eastAsia="Times New Roman" w:hint="default"/>
        </w:rPr>
        <w:t>2013</w:t>
      </w:r>
      <w:r>
        <w:rPr/>
        <w:t>年，公司将继续坚持“以市场为导向、产品为中心、客户需求为目的”的研发机制</w:t>
      </w:r>
      <w:r>
        <w:rPr>
          <w:spacing w:val="2"/>
        </w:rPr>
        <w:t> </w:t>
      </w:r>
      <w:r>
        <w:rPr>
          <w:spacing w:val="-2"/>
        </w:rPr>
        <w:t>并不断完善，而且在发展核心主营业务基础上，将会增加投入以加快新业务产品的创新研发；</w:t>
      </w:r>
      <w:r>
        <w:rPr/>
        <w:t> 同时，公司还将密切关注行业技术发展前沿，以具有生命力的新产品为基础，不断开发适合</w:t>
      </w:r>
      <w:r>
        <w:rPr>
          <w:spacing w:val="-83"/>
        </w:rPr>
        <w:t> </w:t>
      </w:r>
      <w:r>
        <w:rPr>
          <w:spacing w:val="-83"/>
        </w:rPr>
      </w:r>
      <w:r>
        <w:rPr/>
        <w:t>社会需求的先进工艺，提高生产效率。公司在未来将不断通过引进高端人才，打造一流的研</w:t>
      </w:r>
      <w:r>
        <w:rPr>
          <w:spacing w:val="-83"/>
        </w:rPr>
        <w:t> </w:t>
      </w:r>
      <w:r>
        <w:rPr>
          <w:spacing w:val="-83"/>
        </w:rPr>
      </w:r>
      <w:r>
        <w:rPr/>
        <w:t>发团队，实现快速技术进步及产品创新。</w:t>
      </w:r>
    </w:p>
    <w:p>
      <w:pPr>
        <w:pStyle w:val="BodyText"/>
        <w:spacing w:line="357" w:lineRule="auto" w:before="79"/>
        <w:ind w:right="226" w:firstLine="423"/>
        <w:jc w:val="both"/>
      </w:pPr>
      <w:r>
        <w:rPr>
          <w:spacing w:val="2"/>
        </w:rPr>
        <w:t>在实际研发工作中，公司将合理筛选研发项目，保证核心竞争力的延续，同时，全程控 </w:t>
      </w:r>
      <w:r>
        <w:rPr/>
        <w:t>制项目管理，保证研发项目按计划完成；加速提升研发创新能力，开发出符合市场需求、高</w:t>
      </w:r>
      <w:r>
        <w:rPr>
          <w:spacing w:val="-83"/>
        </w:rPr>
        <w:t> </w:t>
      </w:r>
      <w:r>
        <w:rPr>
          <w:spacing w:val="-83"/>
        </w:rPr>
      </w:r>
      <w:r>
        <w:rPr/>
        <w:t>技术含量且具有一定前瞻性的系列化产品，力保和提升公司核心竞争优势，扩大市场份额；</w:t>
      </w:r>
      <w:r>
        <w:rPr>
          <w:spacing w:val="-83"/>
        </w:rPr>
        <w:t> </w:t>
      </w:r>
      <w:r>
        <w:rPr>
          <w:spacing w:val="-83"/>
        </w:rPr>
      </w:r>
      <w:r>
        <w:rPr/>
        <w:t>通过各项现代化研发管理模式及信息化管理工具，打造更加适合公司发展的产品创新体系，</w:t>
      </w:r>
      <w:r>
        <w:rPr>
          <w:spacing w:val="-83"/>
        </w:rPr>
        <w:t> </w:t>
      </w:r>
      <w:r>
        <w:rPr>
          <w:spacing w:val="-83"/>
        </w:rPr>
      </w:r>
      <w:r>
        <w:rPr/>
        <w:t>更加可靠的质量管理体系，提升产品品质和可靠性；积极推动新业务的快速成长，使其为公</w:t>
      </w:r>
      <w:r>
        <w:rPr>
          <w:spacing w:val="-83"/>
        </w:rPr>
        <w:t> </w:t>
      </w:r>
      <w:r>
        <w:rPr>
          <w:spacing w:val="-83"/>
        </w:rPr>
      </w:r>
      <w:r>
        <w:rPr/>
        <w:t>司未来提供稳定增长的现金流，从而支持企业的持续增长。</w:t>
      </w:r>
    </w:p>
    <w:p>
      <w:pPr>
        <w:pStyle w:val="BodyText"/>
        <w:spacing w:line="357" w:lineRule="auto" w:before="74"/>
        <w:ind w:right="95" w:firstLine="423"/>
        <w:jc w:val="left"/>
      </w:pPr>
      <w:r>
        <w:rPr>
          <w:spacing w:val="2"/>
        </w:rPr>
        <w:t>同时，继续深化产学研合作，在技术研发、应用研究等方面深入合作，提档升级，加强 </w:t>
      </w:r>
      <w:r>
        <w:rPr/>
        <w:t>产品技术研发和人才培养，为公司的可持续发展提供技术支撑和人才保障。</w:t>
      </w:r>
    </w:p>
    <w:p>
      <w:pPr>
        <w:pStyle w:val="BodyText"/>
        <w:spacing w:line="386" w:lineRule="auto" w:before="77"/>
        <w:ind w:left="577" w:right="95"/>
        <w:jc w:val="left"/>
      </w:pPr>
      <w:r>
        <w:rPr/>
        <w:t>④完善企业文化与制度建设，打造团结高效的人力资源团队 </w:t>
      </w:r>
      <w:r>
        <w:rPr>
          <w:spacing w:val="2"/>
        </w:rPr>
        <w:t>人性化管理加制度化约束形成了新开普特有的企业文化，通过企业文化建设，实现公司</w:t>
      </w:r>
      <w:r>
        <w:rPr/>
      </w:r>
    </w:p>
    <w:p>
      <w:pPr>
        <w:pStyle w:val="BodyText"/>
        <w:spacing w:line="355" w:lineRule="auto" w:before="7"/>
        <w:ind w:right="95"/>
        <w:jc w:val="left"/>
      </w:pPr>
      <w:r>
        <w:rPr/>
        <w:t>上下对核心竞争力的统一认识，从而为公司建立起基于核心竞争力的持续增长战略提供智力</w:t>
      </w:r>
      <w:r>
        <w:rPr>
          <w:spacing w:val="-83"/>
        </w:rPr>
        <w:t> </w:t>
      </w:r>
      <w:r>
        <w:rPr>
          <w:spacing w:val="-83"/>
        </w:rPr>
      </w:r>
      <w:r>
        <w:rPr/>
        <w:t>支持。</w:t>
      </w:r>
      <w:r>
        <w:rPr>
          <w:rFonts w:ascii="Times New Roman" w:hAnsi="Times New Roman" w:cs="Times New Roman" w:eastAsia="Times New Roman" w:hint="default"/>
        </w:rPr>
        <w:t>2013</w:t>
      </w:r>
      <w:r>
        <w:rPr/>
        <w:t>年，公司将继续优化有助于企业文化发展的各项制度建设，建立起一个高效的制</w:t>
      </w:r>
      <w:r>
        <w:rPr>
          <w:spacing w:val="-85"/>
        </w:rPr>
        <w:t> </w:t>
      </w:r>
      <w:r>
        <w:rPr>
          <w:spacing w:val="-85"/>
        </w:rPr>
      </w:r>
      <w:r>
        <w:rPr/>
        <w:t>度化管理平台，明确决策层管理层对操作层的授权，协调部门之间的配合，达到目标与行动</w:t>
      </w:r>
      <w:r>
        <w:rPr>
          <w:spacing w:val="-83"/>
        </w:rPr>
        <w:t> </w:t>
      </w:r>
      <w:r>
        <w:rPr>
          <w:spacing w:val="-83"/>
        </w:rPr>
      </w:r>
      <w:r>
        <w:rPr>
          <w:spacing w:val="-3"/>
        </w:rPr>
        <w:t>的统一；公司将持续在财务、客户、内部业务流程、学习与成长四个层面深化实施战略管理，</w:t>
      </w:r>
      <w:r>
        <w:rPr>
          <w:spacing w:val="-81"/>
        </w:rPr>
        <w:t> </w:t>
      </w:r>
      <w:r>
        <w:rPr>
          <w:spacing w:val="-81"/>
        </w:rPr>
      </w:r>
      <w:r>
        <w:rPr/>
        <w:t>逐级推进绩效指标规划，逐级分解关键工作目标，为员工指出正确的工作方向，通过绩效指</w:t>
      </w:r>
      <w:r>
        <w:rPr>
          <w:spacing w:val="-83"/>
        </w:rPr>
        <w:t> </w:t>
      </w:r>
      <w:r>
        <w:rPr>
          <w:spacing w:val="-83"/>
        </w:rPr>
      </w:r>
      <w:r>
        <w:rPr/>
        <w:t>标的深入推进，公司将更加细致地去实施自己的战略目标，真正达到低成本、高竞争力、高</w:t>
      </w:r>
      <w:r>
        <w:rPr>
          <w:spacing w:val="-83"/>
        </w:rPr>
        <w:t> </w:t>
      </w:r>
      <w:r>
        <w:rPr>
          <w:spacing w:val="-83"/>
        </w:rPr>
      </w:r>
      <w:r>
        <w:rPr/>
        <w:t>回报率的目标。</w:t>
      </w:r>
    </w:p>
    <w:p>
      <w:pPr>
        <w:spacing w:line="410" w:lineRule="auto" w:before="100"/>
        <w:ind w:left="154" w:right="95" w:firstLine="423"/>
        <w:jc w:val="left"/>
        <w:rPr>
          <w:rFonts w:ascii="宋体" w:hAnsi="宋体" w:cs="宋体" w:eastAsia="宋体" w:hint="default"/>
          <w:sz w:val="21"/>
          <w:szCs w:val="21"/>
        </w:rPr>
      </w:pPr>
      <w:r>
        <w:rPr>
          <w:rFonts w:ascii="宋体" w:hAnsi="宋体" w:cs="宋体" w:eastAsia="宋体" w:hint="default"/>
          <w:b/>
          <w:bCs/>
          <w:spacing w:val="-1"/>
          <w:w w:val="95"/>
          <w:sz w:val="21"/>
          <w:szCs w:val="21"/>
        </w:rPr>
        <w:t>该经营计划并不构成公司对投资者的业绩承诺，提示投资者对此保持足够的风险意识，并且应当理解</w:t>
      </w:r>
      <w:r>
        <w:rPr>
          <w:rFonts w:ascii="宋体" w:hAnsi="宋体" w:cs="宋体" w:eastAsia="宋体" w:hint="default"/>
          <w:b/>
          <w:bCs/>
          <w:spacing w:val="-84"/>
          <w:w w:val="95"/>
          <w:sz w:val="21"/>
          <w:szCs w:val="21"/>
        </w:rPr>
        <w:t> </w:t>
      </w:r>
      <w:r>
        <w:rPr>
          <w:rFonts w:ascii="宋体" w:hAnsi="宋体" w:cs="宋体" w:eastAsia="宋体" w:hint="default"/>
          <w:b/>
          <w:bCs/>
          <w:spacing w:val="-84"/>
          <w:w w:val="95"/>
          <w:sz w:val="21"/>
          <w:szCs w:val="21"/>
        </w:rPr>
      </w:r>
      <w:r>
        <w:rPr>
          <w:rFonts w:ascii="宋体" w:hAnsi="宋体" w:cs="宋体" w:eastAsia="宋体" w:hint="default"/>
          <w:b/>
          <w:bCs/>
          <w:sz w:val="21"/>
          <w:szCs w:val="21"/>
        </w:rPr>
        <w:t>经营计划与业绩承诺之间的差异。</w:t>
      </w:r>
      <w:r>
        <w:rPr>
          <w:rFonts w:ascii="宋体" w:hAnsi="宋体" w:cs="宋体" w:eastAsia="宋体" w:hint="default"/>
          <w:sz w:val="21"/>
          <w:szCs w:val="21"/>
        </w:rPr>
      </w:r>
    </w:p>
    <w:p>
      <w:pPr>
        <w:spacing w:after="0" w:line="410" w:lineRule="auto"/>
        <w:jc w:val="left"/>
        <w:rPr>
          <w:rFonts w:ascii="宋体" w:hAnsi="宋体" w:cs="宋体" w:eastAsia="宋体" w:hint="default"/>
          <w:sz w:val="21"/>
          <w:szCs w:val="21"/>
        </w:rPr>
        <w:sectPr>
          <w:pgSz w:w="11910" w:h="16840"/>
          <w:pgMar w:header="851" w:footer="982" w:top="1220" w:bottom="1180" w:left="980" w:right="900"/>
        </w:sectPr>
      </w:pPr>
    </w:p>
    <w:p>
      <w:pPr>
        <w:spacing w:line="240" w:lineRule="auto" w:before="4"/>
        <w:rPr>
          <w:rFonts w:ascii="宋体" w:hAnsi="宋体" w:cs="宋体" w:eastAsia="宋体" w:hint="default"/>
          <w:b/>
          <w:bCs/>
          <w:sz w:val="10"/>
          <w:szCs w:val="10"/>
        </w:rPr>
      </w:pPr>
    </w:p>
    <w:p>
      <w:pPr>
        <w:pStyle w:val="Heading2"/>
        <w:spacing w:line="240" w:lineRule="auto" w:before="26"/>
        <w:ind w:left="625" w:right="95"/>
        <w:jc w:val="left"/>
        <w:rPr>
          <w:b w:val="0"/>
          <w:bCs w:val="0"/>
        </w:rPr>
      </w:pPr>
      <w:r>
        <w:rPr>
          <w:rFonts w:ascii="Times New Roman" w:hAnsi="Times New Roman" w:cs="Times New Roman" w:eastAsia="Times New Roman" w:hint="default"/>
        </w:rPr>
        <w:t>4</w:t>
      </w:r>
      <w:r>
        <w:rPr/>
        <w:t>、风险因素分析</w:t>
      </w:r>
      <w:r>
        <w:rPr>
          <w:b w:val="0"/>
          <w:bCs w:val="0"/>
        </w:rPr>
      </w:r>
    </w:p>
    <w:p>
      <w:pPr>
        <w:spacing w:line="692" w:lineRule="exact" w:before="6"/>
        <w:ind w:left="577" w:right="95" w:firstLine="4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）下游应用领域信息化进程风险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公司所处智能一卡通行业主要应用领域为学校、企事业和城市。随着下游应用领域信息</w:t>
      </w:r>
      <w:r>
        <w:rPr>
          <w:rFonts w:ascii="宋体" w:hAnsi="宋体" w:cs="宋体" w:eastAsia="宋体" w:hint="default"/>
          <w:sz w:val="24"/>
          <w:szCs w:val="24"/>
        </w:rPr>
      </w:r>
    </w:p>
    <w:p>
      <w:pPr>
        <w:pStyle w:val="BodyText"/>
        <w:spacing w:line="348" w:lineRule="auto" w:before="49"/>
        <w:ind w:right="95"/>
        <w:jc w:val="left"/>
      </w:pPr>
      <w:r>
        <w:rPr>
          <w:spacing w:val="-4"/>
        </w:rPr>
        <w:t>化进展的加快，上游芯片制造、电子元器件等行业的不断成熟，以及智能卡技术、</w:t>
      </w:r>
      <w:r>
        <w:rPr>
          <w:rFonts w:ascii="Times New Roman" w:hAnsi="Times New Roman" w:cs="Times New Roman" w:eastAsia="Times New Roman" w:hint="default"/>
          <w:spacing w:val="-4"/>
        </w:rPr>
        <w:t>RFID</w:t>
      </w:r>
      <w:r>
        <w:rPr>
          <w:spacing w:val="-4"/>
        </w:rPr>
        <w:t>技术、</w:t>
      </w:r>
      <w:r>
        <w:rPr>
          <w:spacing w:val="-101"/>
        </w:rPr>
        <w:t> </w:t>
      </w:r>
      <w:r>
        <w:rPr/>
        <w:t>系统集成及功能实现技术的不断完善，在最近几年取得了快速发展，并将在“智慧校园”和</w:t>
      </w:r>
      <w:r>
        <w:rPr>
          <w:spacing w:val="-83"/>
        </w:rPr>
        <w:t> </w:t>
      </w:r>
      <w:r>
        <w:rPr>
          <w:spacing w:val="-83"/>
        </w:rPr>
      </w:r>
      <w:r>
        <w:rPr/>
        <w:t>“智慧城市”建设浪潮及物联网和手机一卡通兴起的推动下，得到更蓬勃的发展。</w:t>
      </w:r>
    </w:p>
    <w:p>
      <w:pPr>
        <w:pStyle w:val="BodyText"/>
        <w:spacing w:line="357" w:lineRule="auto" w:before="84"/>
        <w:ind w:right="95" w:firstLine="423"/>
        <w:jc w:val="left"/>
      </w:pPr>
      <w:r>
        <w:rPr>
          <w:spacing w:val="2"/>
        </w:rPr>
        <w:t>下游应用领域的发展已对智能一卡通企业整体解决方案提供能力提出更高要求，为行业 </w:t>
      </w:r>
      <w:r>
        <w:rPr>
          <w:spacing w:val="-3"/>
        </w:rPr>
        <w:t>内的优势企业提供了巨大发展机遇。但是，下游应用领域的信息化进程，还受制于投资体制、</w:t>
      </w:r>
      <w:r>
        <w:rPr>
          <w:spacing w:val="-81"/>
        </w:rPr>
        <w:t> </w:t>
      </w:r>
      <w:r>
        <w:rPr>
          <w:spacing w:val="-81"/>
        </w:rPr>
      </w:r>
      <w:r>
        <w:rPr/>
        <w:t>具体用户消费习惯提升、上游配套产业的完善程度以及相关技术的发展及成熟度等诸多因素</w:t>
      </w:r>
      <w:r>
        <w:rPr>
          <w:spacing w:val="-83"/>
        </w:rPr>
        <w:t> </w:t>
      </w:r>
      <w:r>
        <w:rPr>
          <w:spacing w:val="-83"/>
        </w:rPr>
      </w:r>
      <w:r>
        <w:rPr/>
        <w:t>影响，从而对智能一卡通行业的发展速度及方向产生影响。</w:t>
      </w:r>
    </w:p>
    <w:p>
      <w:pPr>
        <w:pStyle w:val="BodyText"/>
        <w:spacing w:line="352" w:lineRule="auto" w:before="76"/>
        <w:ind w:right="111" w:firstLine="423"/>
        <w:jc w:val="left"/>
      </w:pPr>
      <w:r>
        <w:rPr>
          <w:spacing w:val="2"/>
        </w:rPr>
        <w:t>应对措施：公司将密切关注用户行业变革动态，强化与直接用户的沟通与联系，更加贴 </w:t>
      </w:r>
      <w:r>
        <w:rPr>
          <w:spacing w:val="-3"/>
        </w:rPr>
        <w:t>近市场，贴近实际应用现场，根据市场和需求变化完善配套解决方案，跟踪新的需求增长点，</w:t>
      </w:r>
      <w:r>
        <w:rPr>
          <w:spacing w:val="-81"/>
        </w:rPr>
        <w:t> </w:t>
      </w:r>
      <w:r>
        <w:rPr>
          <w:spacing w:val="-81"/>
        </w:rPr>
      </w:r>
      <w:r>
        <w:rPr/>
        <w:t>升级产品和开发跟多定制化方案。同时，强化与运营商、银行、银联等客户的技术与渠道合</w:t>
      </w:r>
      <w:r>
        <w:rPr>
          <w:spacing w:val="-83"/>
        </w:rPr>
        <w:t> </w:t>
      </w:r>
      <w:r>
        <w:rPr>
          <w:spacing w:val="-83"/>
        </w:rPr>
      </w:r>
      <w:r>
        <w:rPr/>
        <w:t>作，保持对市场的敏感度，缩短获取需求</w:t>
      </w:r>
      <w:r>
        <w:rPr>
          <w:rFonts w:ascii="Times New Roman" w:hAnsi="Times New Roman" w:cs="Times New Roman" w:eastAsia="Times New Roman" w:hint="default"/>
        </w:rPr>
        <w:t>-</w:t>
      </w:r>
      <w:r>
        <w:rPr/>
        <w:t>产品开发</w:t>
      </w:r>
      <w:r>
        <w:rPr>
          <w:rFonts w:ascii="Times New Roman" w:hAnsi="Times New Roman" w:cs="Times New Roman" w:eastAsia="Times New Roman" w:hint="default"/>
        </w:rPr>
        <w:t>-</w:t>
      </w:r>
      <w:r>
        <w:rPr/>
        <w:t>方案提供</w:t>
      </w:r>
      <w:r>
        <w:rPr>
          <w:rFonts w:ascii="Times New Roman" w:hAnsi="Times New Roman" w:cs="Times New Roman" w:eastAsia="Times New Roman" w:hint="default"/>
        </w:rPr>
        <w:t>-</w:t>
      </w:r>
      <w:r>
        <w:rPr/>
        <w:t>用户实施的过程，实现及时获</w:t>
      </w:r>
      <w:r>
        <w:rPr>
          <w:spacing w:val="-104"/>
        </w:rPr>
        <w:t> </w:t>
      </w:r>
      <w:r>
        <w:rPr/>
        <w:t>取、及时响应、及时跟进和及时更新。</w:t>
      </w:r>
    </w:p>
    <w:p>
      <w:pPr>
        <w:spacing w:line="240" w:lineRule="auto" w:before="12"/>
        <w:rPr>
          <w:rFonts w:ascii="宋体" w:hAnsi="宋体" w:cs="宋体" w:eastAsia="宋体" w:hint="default"/>
          <w:sz w:val="19"/>
          <w:szCs w:val="19"/>
        </w:rPr>
      </w:pPr>
    </w:p>
    <w:p>
      <w:pPr>
        <w:pStyle w:val="Heading2"/>
        <w:spacing w:line="240" w:lineRule="auto"/>
        <w:ind w:left="625" w:right="95"/>
        <w:jc w:val="left"/>
        <w:rPr>
          <w:b w:val="0"/>
          <w:bCs w:val="0"/>
        </w:rPr>
      </w:pPr>
      <w:r>
        <w:rPr/>
        <w:t>（</w:t>
      </w:r>
      <w:r>
        <w:rPr>
          <w:rFonts w:ascii="Times New Roman" w:hAnsi="Times New Roman" w:cs="Times New Roman" w:eastAsia="Times New Roman" w:hint="default"/>
        </w:rPr>
        <w:t>2</w:t>
      </w:r>
      <w:r>
        <w:rPr/>
        <w:t>）行业扩张、市场拓展以及模式创新风险</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226" w:firstLine="423"/>
        <w:jc w:val="both"/>
      </w:pPr>
      <w:r>
        <w:rPr>
          <w:spacing w:val="2"/>
        </w:rPr>
        <w:t>公司所处智能一卡通行业的市场化程度较高，其竞争力主要体现在适应行业特点、贴近 </w:t>
      </w:r>
      <w:r>
        <w:rPr/>
        <w:t>客户需求的整体解决方案提供能力上。从市场竞争格局来看，在门禁、考勤、餐卡、公交卡</w:t>
      </w:r>
      <w:r>
        <w:rPr>
          <w:spacing w:val="-83"/>
        </w:rPr>
        <w:t> </w:t>
      </w:r>
      <w:r>
        <w:rPr>
          <w:spacing w:val="-83"/>
        </w:rPr>
      </w:r>
      <w:r>
        <w:rPr/>
        <w:t>等传统一卡通业务中，从事企业数量较多，市场竞争较为激烈。公司在拓展企事业及城市领</w:t>
      </w:r>
      <w:r>
        <w:rPr>
          <w:spacing w:val="-83"/>
        </w:rPr>
        <w:t> </w:t>
      </w:r>
      <w:r>
        <w:rPr>
          <w:spacing w:val="-83"/>
        </w:rPr>
      </w:r>
      <w:r>
        <w:rPr/>
        <w:t>域时，将面临原有市场进入者较激烈的竞争；同时，智能一卡通市场快速增长所带来的盈利</w:t>
      </w:r>
      <w:r>
        <w:rPr>
          <w:spacing w:val="-83"/>
        </w:rPr>
        <w:t> </w:t>
      </w:r>
      <w:r>
        <w:rPr>
          <w:spacing w:val="-83"/>
        </w:rPr>
      </w:r>
      <w:r>
        <w:rPr/>
        <w:t>空间，也可能吸引更多的有实力企业的加入，使公司面临市场竞争加剧的风险。此外，公司</w:t>
      </w:r>
      <w:r>
        <w:rPr>
          <w:spacing w:val="-83"/>
        </w:rPr>
        <w:t> </w:t>
      </w:r>
      <w:r>
        <w:rPr>
          <w:spacing w:val="-83"/>
        </w:rPr>
      </w:r>
      <w:r>
        <w:rPr/>
        <w:t>如更多进行合作模式的创新，也将面临一定的不确定性。同时，公司如进行行业扩张，则也</w:t>
      </w:r>
      <w:r>
        <w:rPr>
          <w:spacing w:val="-83"/>
        </w:rPr>
        <w:t> </w:t>
      </w:r>
      <w:r>
        <w:rPr>
          <w:spacing w:val="-83"/>
        </w:rPr>
      </w:r>
      <w:r>
        <w:rPr/>
        <w:t>面临规模扩大后的管理、资金等众多考验。</w:t>
      </w:r>
    </w:p>
    <w:p>
      <w:pPr>
        <w:pStyle w:val="BodyText"/>
        <w:spacing w:line="357" w:lineRule="auto" w:before="74"/>
        <w:ind w:right="93" w:firstLine="423"/>
        <w:jc w:val="left"/>
      </w:pPr>
      <w:r>
        <w:rPr>
          <w:spacing w:val="2"/>
        </w:rPr>
        <w:t>应对措施：公司现已在对智能一卡通个性化需求最多、功能要求最全的学校领域，建立 </w:t>
      </w:r>
      <w:r>
        <w:rPr/>
        <w:t>了较高的市场竞争地位，并正紧随智能一卡通在下游领域应用的发展趋势，积极开拓企事业</w:t>
      </w:r>
      <w:r>
        <w:rPr>
          <w:spacing w:val="-83"/>
        </w:rPr>
        <w:t> </w:t>
      </w:r>
      <w:r>
        <w:rPr>
          <w:spacing w:val="-83"/>
        </w:rPr>
      </w:r>
      <w:r>
        <w:rPr/>
        <w:t>和城市领域。虽然随企事业、城市信息化进程的加快、功能需求的增加，公司凭借对智能一</w:t>
      </w:r>
      <w:r>
        <w:rPr>
          <w:spacing w:val="-83"/>
        </w:rPr>
        <w:t> </w:t>
      </w:r>
      <w:r>
        <w:rPr>
          <w:spacing w:val="-83"/>
        </w:rPr>
      </w:r>
      <w:r>
        <w:rPr>
          <w:spacing w:val="-2"/>
        </w:rPr>
        <w:t>卡通行业应用深入的理解和一站式的整体解决方案提供能力，其竞争优势将逐渐凸显。同时，</w:t>
      </w:r>
      <w:r>
        <w:rPr/>
        <w:t> 公司业务模式的创新主要集中于多功能实现、智能化程度高、技术含量高的智能一卡通整体</w:t>
      </w:r>
    </w:p>
    <w:p>
      <w:pPr>
        <w:spacing w:after="0" w:line="357"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right="108"/>
        <w:jc w:val="both"/>
      </w:pPr>
      <w:r>
        <w:rPr/>
        <w:t>解决方案或新兴一卡通业务（如手机一卡通）中，该领域进入门槛较高，竞争相对缓和，公</w:t>
      </w:r>
      <w:r>
        <w:rPr>
          <w:spacing w:val="-83"/>
        </w:rPr>
        <w:t> </w:t>
      </w:r>
      <w:r>
        <w:rPr>
          <w:spacing w:val="-83"/>
        </w:rPr>
      </w:r>
      <w:r>
        <w:rPr/>
        <w:t>司独特的竞争优势以及近年来与运营商、银行、银联等进行的技术创新以及新合作模式的探</w:t>
      </w:r>
      <w:r>
        <w:rPr>
          <w:spacing w:val="-83"/>
        </w:rPr>
        <w:t> </w:t>
      </w:r>
      <w:r>
        <w:rPr>
          <w:spacing w:val="-83"/>
        </w:rPr>
      </w:r>
      <w:r>
        <w:rPr/>
        <w:t>讨均已形成了较好的效果，且已迈向成熟。</w:t>
      </w:r>
    </w:p>
    <w:p>
      <w:pPr>
        <w:pStyle w:val="BodyText"/>
        <w:spacing w:line="357" w:lineRule="auto" w:before="74"/>
        <w:ind w:right="106" w:firstLine="423"/>
        <w:jc w:val="both"/>
      </w:pPr>
      <w:r>
        <w:rPr>
          <w:spacing w:val="2"/>
        </w:rPr>
        <w:t>面临未来公司经营规模和新业务模式的增加，及带来的资产、业务及人员的扩张，公司 </w:t>
      </w:r>
      <w:r>
        <w:rPr/>
        <w:t>已经相应开始调整组织架构和管理体系，对资源整合、科研开发、生产管理、市场开拓、资</w:t>
      </w:r>
      <w:r>
        <w:rPr>
          <w:spacing w:val="-83"/>
        </w:rPr>
        <w:t> </w:t>
      </w:r>
      <w:r>
        <w:rPr>
          <w:spacing w:val="-83"/>
        </w:rPr>
      </w:r>
      <w:r>
        <w:rPr/>
        <w:t>本运作等方面均设置了相应部门和明确任务的事业部及研究中心，以保证公司生产经营是继</w:t>
      </w:r>
      <w:r>
        <w:rPr>
          <w:spacing w:val="-83"/>
        </w:rPr>
        <w:t> </w:t>
      </w:r>
      <w:r>
        <w:rPr>
          <w:spacing w:val="-83"/>
        </w:rPr>
      </w:r>
      <w:r>
        <w:rPr/>
        <w:t>续保持高效运转。同时，公司将采取以下措施保证资金和融资渠道的畅通，具体包括：①加</w:t>
      </w:r>
      <w:r>
        <w:rPr>
          <w:spacing w:val="-83"/>
        </w:rPr>
        <w:t> </w:t>
      </w:r>
      <w:r>
        <w:rPr>
          <w:spacing w:val="-83"/>
        </w:rPr>
      </w:r>
      <w:r>
        <w:rPr/>
        <w:t>强应收账款管理，提高经营活动产生的净现金流量，增强公司营运能力；②继续与银行等金</w:t>
      </w:r>
      <w:r>
        <w:rPr>
          <w:spacing w:val="-83"/>
        </w:rPr>
        <w:t> </w:t>
      </w:r>
      <w:r>
        <w:rPr>
          <w:spacing w:val="-83"/>
        </w:rPr>
      </w:r>
      <w:r>
        <w:rPr/>
        <w:t>融机构保持良好的合作关系，稳定银行融资渠道；③积极拓宽融资渠道，利用资本市场平台</w:t>
      </w:r>
      <w:r>
        <w:rPr>
          <w:spacing w:val="-83"/>
        </w:rPr>
        <w:t> </w:t>
      </w:r>
      <w:r>
        <w:rPr>
          <w:spacing w:val="-83"/>
        </w:rPr>
      </w:r>
      <w:r>
        <w:rPr/>
        <w:t>和政策支持的机会，通过更多金融工具和资本运作方式募集资金。</w:t>
      </w:r>
    </w:p>
    <w:p>
      <w:pPr>
        <w:spacing w:line="240" w:lineRule="auto" w:before="9"/>
        <w:rPr>
          <w:rFonts w:ascii="宋体" w:hAnsi="宋体" w:cs="宋体" w:eastAsia="宋体" w:hint="default"/>
          <w:sz w:val="19"/>
          <w:szCs w:val="19"/>
        </w:rPr>
      </w:pPr>
    </w:p>
    <w:p>
      <w:pPr>
        <w:pStyle w:val="Heading2"/>
        <w:spacing w:line="240" w:lineRule="auto"/>
        <w:ind w:left="625" w:right="610"/>
        <w:jc w:val="left"/>
        <w:rPr>
          <w:b w:val="0"/>
          <w:bCs w:val="0"/>
        </w:rPr>
      </w:pPr>
      <w:r>
        <w:rPr/>
        <w:t>（</w:t>
      </w:r>
      <w:r>
        <w:rPr>
          <w:rFonts w:ascii="Times New Roman" w:hAnsi="Times New Roman" w:cs="Times New Roman" w:eastAsia="Times New Roman" w:hint="default"/>
        </w:rPr>
        <w:t>3</w:t>
      </w:r>
      <w:r>
        <w:rPr/>
        <w:t>）技术升级和产品开发风险</w:t>
      </w:r>
      <w:r>
        <w:rPr>
          <w:b w:val="0"/>
          <w:bCs w:val="0"/>
        </w:rPr>
      </w:r>
    </w:p>
    <w:p>
      <w:pPr>
        <w:spacing w:line="240" w:lineRule="auto" w:before="4"/>
        <w:rPr>
          <w:rFonts w:ascii="宋体" w:hAnsi="宋体" w:cs="宋体" w:eastAsia="宋体" w:hint="default"/>
          <w:b/>
          <w:bCs/>
          <w:sz w:val="27"/>
          <w:szCs w:val="27"/>
        </w:rPr>
      </w:pPr>
    </w:p>
    <w:p>
      <w:pPr>
        <w:pStyle w:val="BodyText"/>
        <w:spacing w:line="357" w:lineRule="auto"/>
        <w:ind w:right="106" w:firstLine="423"/>
        <w:jc w:val="both"/>
      </w:pPr>
      <w:r>
        <w:rPr>
          <w:spacing w:val="2"/>
        </w:rPr>
        <w:t>及时响应客户的个性化需求，进行持续的技术及产品开发是公司不断发展壮大的基础。 </w:t>
      </w:r>
      <w:r>
        <w:rPr/>
        <w:t>由于智能一卡通行业具有技术更新快、产品生命周期短的特点，客户对软件系统和硬件系统</w:t>
      </w:r>
      <w:r>
        <w:rPr>
          <w:spacing w:val="-83"/>
        </w:rPr>
        <w:t> </w:t>
      </w:r>
      <w:r>
        <w:rPr>
          <w:spacing w:val="-83"/>
        </w:rPr>
      </w:r>
      <w:r>
        <w:rPr/>
        <w:t>及相关产品的功能要求不断提高，因此，公司需要不断进行新技术、新产品的研发和升级。</w:t>
      </w:r>
      <w:r>
        <w:rPr>
          <w:spacing w:val="-83"/>
        </w:rPr>
        <w:t> </w:t>
      </w:r>
      <w:r>
        <w:rPr>
          <w:spacing w:val="-83"/>
        </w:rPr>
      </w:r>
      <w:r>
        <w:rPr/>
        <w:t>虽然自主研发和技术创新能力是本公司的核心竞争优势之一，但如果公司未来不能准确把握</w:t>
      </w:r>
      <w:r>
        <w:rPr>
          <w:spacing w:val="-83"/>
        </w:rPr>
        <w:t> </w:t>
      </w:r>
      <w:r>
        <w:rPr>
          <w:spacing w:val="-83"/>
        </w:rPr>
      </w:r>
      <w:r>
        <w:rPr/>
        <w:t>技术、产品及市场的发展趋势，持续研发出符合市场需求的新产品，将会削弱公司的技术优</w:t>
      </w:r>
      <w:r>
        <w:rPr>
          <w:spacing w:val="-83"/>
        </w:rPr>
        <w:t> </w:t>
      </w:r>
      <w:r>
        <w:rPr>
          <w:spacing w:val="-83"/>
        </w:rPr>
      </w:r>
      <w:r>
        <w:rPr/>
        <w:t>势和市场优势，从而影响公司未来发展。</w:t>
      </w:r>
    </w:p>
    <w:p>
      <w:pPr>
        <w:pStyle w:val="BodyText"/>
        <w:spacing w:line="357" w:lineRule="auto" w:before="76"/>
        <w:ind w:right="106" w:firstLine="423"/>
        <w:jc w:val="both"/>
      </w:pPr>
      <w:r>
        <w:rPr>
          <w:spacing w:val="2"/>
        </w:rPr>
        <w:t>应对措施：公司在以技术研究中心和产品事业部为主的研发体系下，将积极推进面向营 </w:t>
      </w:r>
      <w:r>
        <w:rPr/>
        <w:t>销中心提供所负责产品线的产品解决方案及产品销售支持和培训的功能整合，通过七个产品</w:t>
      </w:r>
      <w:r>
        <w:rPr>
          <w:spacing w:val="-83"/>
        </w:rPr>
        <w:t> </w:t>
      </w:r>
      <w:r>
        <w:rPr>
          <w:spacing w:val="-83"/>
        </w:rPr>
      </w:r>
      <w:r>
        <w:rPr/>
        <w:t>事业部，保障产品竞争力、可靠性及经济效益，并向其他产品事业部提供产品、开发支持与</w:t>
      </w:r>
      <w:r>
        <w:rPr>
          <w:spacing w:val="-83"/>
        </w:rPr>
        <w:t> </w:t>
      </w:r>
      <w:r>
        <w:rPr>
          <w:spacing w:val="-83"/>
        </w:rPr>
      </w:r>
      <w:r>
        <w:rPr/>
        <w:t>保障。同时，将加大研发管理体系的投入，提高研发创新体系管理水平。通过产品研发流程</w:t>
      </w:r>
      <w:r>
        <w:rPr>
          <w:spacing w:val="-83"/>
        </w:rPr>
        <w:t> </w:t>
      </w:r>
      <w:r>
        <w:rPr>
          <w:spacing w:val="-83"/>
        </w:rPr>
      </w:r>
      <w:r>
        <w:rPr/>
        <w:t>体系再造，深化研发体系，建立和固化相关的制度和流程，进一步完善和规范化研发过程管</w:t>
      </w:r>
      <w:r>
        <w:rPr>
          <w:spacing w:val="-83"/>
        </w:rPr>
        <w:t> </w:t>
      </w:r>
      <w:r>
        <w:rPr>
          <w:spacing w:val="-83"/>
        </w:rPr>
      </w:r>
      <w:r>
        <w:rPr/>
        <w:t>理。同时对于电子硬件产品，进行质量体系再造，在产品研发流程中规范和加强质量可靠性</w:t>
      </w:r>
      <w:r>
        <w:rPr>
          <w:spacing w:val="-83"/>
        </w:rPr>
        <w:t> </w:t>
      </w:r>
      <w:r>
        <w:rPr>
          <w:spacing w:val="-83"/>
        </w:rPr>
      </w:r>
      <w:r>
        <w:rPr/>
        <w:t>的设计和管理，通过这两项研发体系的改造和提升，实现提高产品研发效率、提高产品的质</w:t>
      </w:r>
      <w:r>
        <w:rPr>
          <w:spacing w:val="-83"/>
        </w:rPr>
        <w:t> </w:t>
      </w:r>
      <w:r>
        <w:rPr>
          <w:spacing w:val="-83"/>
        </w:rPr>
      </w:r>
      <w:r>
        <w:rPr/>
        <w:t>量可靠性。</w:t>
      </w:r>
    </w:p>
    <w:p>
      <w:pPr>
        <w:spacing w:line="240" w:lineRule="auto" w:before="7"/>
        <w:rPr>
          <w:rFonts w:ascii="宋体" w:hAnsi="宋体" w:cs="宋体" w:eastAsia="宋体" w:hint="default"/>
          <w:sz w:val="19"/>
          <w:szCs w:val="19"/>
        </w:rPr>
      </w:pPr>
    </w:p>
    <w:p>
      <w:pPr>
        <w:spacing w:line="499" w:lineRule="auto" w:before="0"/>
        <w:ind w:left="577" w:right="94" w:firstLine="4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）核心技术人员流失风险</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伴随着行业技术的不断更新和市场竞争的不断加剧，相关技术人才的竞争也日趋激烈，</w:t>
      </w:r>
      <w:r>
        <w:rPr>
          <w:rFonts w:ascii="宋体" w:hAnsi="宋体" w:cs="宋体" w:eastAsia="宋体" w:hint="default"/>
          <w:sz w:val="24"/>
          <w:szCs w:val="24"/>
        </w:rPr>
      </w:r>
    </w:p>
    <w:p>
      <w:pPr>
        <w:spacing w:after="0" w:line="499" w:lineRule="auto"/>
        <w:jc w:val="left"/>
        <w:rPr>
          <w:rFonts w:ascii="宋体" w:hAnsi="宋体" w:cs="宋体" w:eastAsia="宋体" w:hint="default"/>
          <w:sz w:val="24"/>
          <w:szCs w:val="24"/>
        </w:rPr>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right="188"/>
        <w:jc w:val="both"/>
      </w:pPr>
      <w:r>
        <w:rPr/>
        <w:t>如果公司不能有效保持和完善核心技术人员的激励机制，将会影响到核心技术人员积极性、</w:t>
      </w:r>
      <w:r>
        <w:rPr>
          <w:spacing w:val="-83"/>
        </w:rPr>
        <w:t> </w:t>
      </w:r>
      <w:r>
        <w:rPr>
          <w:spacing w:val="-83"/>
        </w:rPr>
      </w:r>
      <w:r>
        <w:rPr/>
        <w:t>创造性的发挥，也会影响到核心技术团队后备力量的建设，造成人才流失，从而给公司的生</w:t>
      </w:r>
      <w:r>
        <w:rPr>
          <w:spacing w:val="-83"/>
        </w:rPr>
        <w:t> </w:t>
      </w:r>
      <w:r>
        <w:rPr>
          <w:spacing w:val="-83"/>
        </w:rPr>
      </w:r>
      <w:r>
        <w:rPr/>
        <w:t>产经营造成不利影响。</w:t>
      </w:r>
    </w:p>
    <w:p>
      <w:pPr>
        <w:pStyle w:val="BodyText"/>
        <w:spacing w:line="357" w:lineRule="auto" w:before="74"/>
        <w:ind w:right="186" w:firstLine="423"/>
        <w:jc w:val="both"/>
      </w:pPr>
      <w:r>
        <w:rPr>
          <w:spacing w:val="2"/>
        </w:rPr>
        <w:t>应对措施：人才资源是公司核心竞争力，公司把对外部高端人才的引进和对内部骨干及 </w:t>
      </w:r>
      <w:r>
        <w:rPr/>
        <w:t>后备人才的培养提到了战略高度。公司通过外部引进、内部培养等多种手段，不断强化技术</w:t>
      </w:r>
      <w:r>
        <w:rPr>
          <w:spacing w:val="-83"/>
        </w:rPr>
        <w:t> </w:t>
      </w:r>
      <w:r>
        <w:rPr>
          <w:spacing w:val="-83"/>
        </w:rPr>
      </w:r>
      <w:r>
        <w:rPr/>
        <w:t>力量，形成了强有力的技术团队。同时，公司建立了一套完整的激励机制和科技人才发展规</w:t>
      </w:r>
      <w:r>
        <w:rPr>
          <w:spacing w:val="-83"/>
        </w:rPr>
        <w:t> </w:t>
      </w:r>
      <w:r>
        <w:rPr>
          <w:spacing w:val="-83"/>
        </w:rPr>
      </w:r>
      <w:r>
        <w:rPr/>
        <w:t>划，通过提供优厚的薪酬福利待遇为科技人员创造优越的研发环境，充分调动了研发人员的</w:t>
      </w:r>
      <w:r>
        <w:rPr>
          <w:spacing w:val="-83"/>
        </w:rPr>
        <w:t> </w:t>
      </w:r>
      <w:r>
        <w:rPr>
          <w:spacing w:val="-83"/>
        </w:rPr>
      </w:r>
      <w:r>
        <w:rPr/>
        <w:t>积极性。同时公司引入竞争机制，设定科技人才发展平台，使其在明确的发展路径下通过竞</w:t>
      </w:r>
      <w:r>
        <w:rPr>
          <w:spacing w:val="-83"/>
        </w:rPr>
        <w:t> </w:t>
      </w:r>
      <w:r>
        <w:rPr>
          <w:spacing w:val="-83"/>
        </w:rPr>
      </w:r>
      <w:r>
        <w:rPr/>
        <w:t>争和努力实现员工与企业的共赢。公司自上市以来，核心技术人员稳定，流失风险较小。</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2"/>
        <w:spacing w:line="499" w:lineRule="auto"/>
        <w:ind w:left="633" w:right="3307" w:hanging="480"/>
        <w:jc w:val="left"/>
        <w:rPr>
          <w:rFonts w:ascii="宋体" w:hAnsi="宋体" w:cs="宋体" w:eastAsia="宋体" w:hint="default"/>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spacing w:val="1"/>
          <w:w w:val="99"/>
        </w:rPr>
        <w:t> </w:t>
      </w:r>
      <w:r>
        <w:rPr>
          <w:rFonts w:ascii="宋体" w:hAnsi="宋体" w:cs="宋体" w:eastAsia="宋体" w:hint="default"/>
          <w:b w:val="0"/>
          <w:bCs w:val="0"/>
        </w:rPr>
        <w:t>不适用。</w:t>
      </w:r>
    </w:p>
    <w:p>
      <w:pPr>
        <w:pStyle w:val="Heading2"/>
        <w:spacing w:line="240" w:lineRule="auto" w:before="118"/>
        <w:ind w:left="153" w:right="0"/>
        <w:jc w:val="both"/>
        <w:rPr>
          <w:b w:val="0"/>
          <w:bCs w:val="0"/>
        </w:rPr>
      </w:pPr>
      <w:r>
        <w:rPr/>
        <w:t>五、董事会关于报告期会计政策、会计估计变更或重要前期差错更正的说明</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ind w:right="228" w:firstLine="480"/>
        <w:jc w:val="both"/>
      </w:pPr>
      <w:r>
        <w:rPr/>
        <w:t>根据本公司第二届董事会第七次会议审议通过的《关于审议郑州新开普电子股份有限公 司会计估计变更的议案》：随着公司产品种类及型号的不断增加，相同工时的产品生产所耗 用原材料的成本差异也越来越大，为了更加客观公正的反映公司财务状况和经营成果，体现 会计谨慎性原则，为广大投资者提供更可靠、更准确的会计信息，公司决定将每月的制造费 用原按耗用原材料的成本计算分摊比例在已完工产成品和半成品之间分配，变更为按产品所 耗用的定额工时计算分摊比例在已完工产成品和半成品之间分配。</w:t>
      </w:r>
    </w:p>
    <w:p>
      <w:pPr>
        <w:pStyle w:val="BodyText"/>
        <w:spacing w:line="348" w:lineRule="auto" w:before="36"/>
        <w:ind w:right="191" w:firstLine="480"/>
        <w:jc w:val="both"/>
      </w:pPr>
      <w:r>
        <w:rPr>
          <w:spacing w:val="-2"/>
        </w:rPr>
        <w:t>该变更自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月起施行，主要影响报表项目为营业成本和存货，由于该项估计的变更</w:t>
      </w:r>
      <w:r>
        <w:rPr/>
        <w:t> 涉及所有产品的具体核算，过去各期期初的存货价值很难再按产品定额工时进行制造费用分 配重新计算，因而采用未来适用法，不涉及追溯调整已披露的各年度财务报告数据。</w:t>
      </w:r>
    </w:p>
    <w:p>
      <w:pPr>
        <w:spacing w:line="240" w:lineRule="auto" w:before="7"/>
        <w:rPr>
          <w:rFonts w:ascii="宋体" w:hAnsi="宋体" w:cs="宋体" w:eastAsia="宋体" w:hint="default"/>
          <w:sz w:val="20"/>
          <w:szCs w:val="20"/>
        </w:rPr>
      </w:pPr>
    </w:p>
    <w:p>
      <w:pPr>
        <w:pStyle w:val="Heading2"/>
        <w:spacing w:line="240" w:lineRule="auto"/>
        <w:ind w:left="153" w:right="0"/>
        <w:jc w:val="both"/>
        <w:rPr>
          <w:b w:val="0"/>
          <w:bCs w:val="0"/>
        </w:rPr>
      </w:pPr>
      <w:r>
        <w:rPr/>
        <w:t>六、公司利润分配及分红派息情况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240" w:lineRule="auto" w:before="144"/>
        <w:ind w:left="154" w:right="0"/>
        <w:jc w:val="both"/>
      </w:pPr>
      <w:r>
        <w:rPr/>
        <w:t>（一）报告期内公司分红政策的修订情况</w:t>
      </w:r>
    </w:p>
    <w:p>
      <w:pPr>
        <w:spacing w:line="240" w:lineRule="auto" w:before="9"/>
        <w:rPr>
          <w:rFonts w:ascii="宋体" w:hAnsi="宋体" w:cs="宋体" w:eastAsia="宋体" w:hint="default"/>
          <w:sz w:val="23"/>
          <w:szCs w:val="23"/>
        </w:rPr>
      </w:pPr>
    </w:p>
    <w:p>
      <w:pPr>
        <w:pStyle w:val="BodyText"/>
        <w:spacing w:line="338" w:lineRule="auto"/>
        <w:ind w:right="108" w:firstLine="480"/>
        <w:jc w:val="both"/>
      </w:pPr>
      <w:r>
        <w:rPr>
          <w:rFonts w:ascii="Times New Roman" w:hAnsi="Times New Roman" w:cs="Times New Roman" w:eastAsia="Times New Roman" w:hint="default"/>
        </w:rPr>
        <w:t>1</w:t>
      </w:r>
      <w:r>
        <w:rPr/>
        <w:t>、公司重视对投资者的合理投资回报，根据自身的财务结构、盈利能力和未来的投资、 融资发展规划实施积极的利润分配办法，保持利润分配政策的持续性和稳定性。根据中国证</w:t>
      </w:r>
    </w:p>
    <w:p>
      <w:pPr>
        <w:spacing w:after="0" w:line="338" w:lineRule="auto"/>
        <w:jc w:val="both"/>
        <w:sectPr>
          <w:pgSz w:w="11910" w:h="16840"/>
          <w:pgMar w:header="851" w:footer="982" w:top="1220" w:bottom="1180" w:left="980" w:right="940"/>
        </w:sectPr>
      </w:pPr>
    </w:p>
    <w:p>
      <w:pPr>
        <w:spacing w:line="240" w:lineRule="auto" w:before="5"/>
        <w:rPr>
          <w:rFonts w:ascii="宋体" w:hAnsi="宋体" w:cs="宋体" w:eastAsia="宋体" w:hint="default"/>
          <w:sz w:val="16"/>
          <w:szCs w:val="16"/>
        </w:rPr>
      </w:pPr>
    </w:p>
    <w:p>
      <w:pPr>
        <w:pStyle w:val="BodyText"/>
        <w:spacing w:line="350" w:lineRule="auto" w:before="26"/>
        <w:ind w:right="219"/>
        <w:jc w:val="left"/>
      </w:pPr>
      <w:r>
        <w:rPr/>
        <w:t>监会进一步细化上市公司利润分配政策的指导性意见，公司将结合实际情况和投资者意愿，</w:t>
      </w:r>
      <w:r>
        <w:rPr>
          <w:spacing w:val="-83"/>
        </w:rPr>
        <w:t> </w:t>
      </w:r>
      <w:r>
        <w:rPr>
          <w:spacing w:val="-83"/>
        </w:rPr>
      </w:r>
      <w:r>
        <w:rPr/>
        <w:t>完善公司股利分配政策，保持股利分配政策的稳定性和持续性，使投资者对未来分红有明确</w:t>
      </w:r>
      <w:r>
        <w:rPr>
          <w:spacing w:val="-83"/>
        </w:rPr>
        <w:t> </w:t>
      </w:r>
      <w:r>
        <w:rPr>
          <w:spacing w:val="-83"/>
        </w:rPr>
      </w:r>
      <w:r>
        <w:rPr>
          <w:spacing w:val="-2"/>
        </w:rPr>
        <w:t>预期，切实提升对公司股东的回报，公司已在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日召开的第二届董事会第七次会议</w:t>
      </w:r>
      <w:r>
        <w:rPr>
          <w:spacing w:val="-114"/>
        </w:rPr>
        <w:t> </w:t>
      </w:r>
      <w:r>
        <w:rPr/>
        <w:t>审议通过了《关于修改</w:t>
      </w:r>
      <w:r>
        <w:rPr>
          <w:rFonts w:ascii="Times New Roman" w:hAnsi="Times New Roman" w:cs="Times New Roman" w:eastAsia="Times New Roman" w:hint="default"/>
        </w:rPr>
        <w:t>&lt;</w:t>
      </w:r>
      <w:r>
        <w:rPr/>
        <w:t>郑州新开普电子股份有限公司章程</w:t>
      </w:r>
      <w:r>
        <w:rPr>
          <w:rFonts w:ascii="Times New Roman" w:hAnsi="Times New Roman" w:cs="Times New Roman" w:eastAsia="Times New Roman" w:hint="default"/>
        </w:rPr>
        <w:t>&gt;</w:t>
      </w:r>
      <w:r>
        <w:rPr/>
        <w:t>的议案》，将《公司章程》原第 二百〇七条： “公司重视对投资者的合理投资回报，公司的利润分配政策应保持连续性和稳定性，不得影</w:t>
      </w:r>
      <w:r>
        <w:rPr>
          <w:spacing w:val="-83"/>
        </w:rPr>
        <w:t> </w:t>
      </w:r>
      <w:r>
        <w:rPr>
          <w:spacing w:val="-83"/>
        </w:rPr>
      </w:r>
      <w:r>
        <w:rPr/>
        <w:t>响公司的持续经营。公司可以采用现金或股票方式分配股利。</w:t>
      </w:r>
    </w:p>
    <w:p>
      <w:pPr>
        <w:pStyle w:val="BodyText"/>
        <w:spacing w:line="240" w:lineRule="auto" w:before="43"/>
        <w:ind w:right="95"/>
        <w:jc w:val="left"/>
      </w:pPr>
      <w:r>
        <w:rPr/>
        <w:t>公司利润分配政策为：</w:t>
      </w:r>
    </w:p>
    <w:p>
      <w:pPr>
        <w:pStyle w:val="BodyText"/>
        <w:spacing w:line="240" w:lineRule="auto" w:before="154"/>
        <w:ind w:right="95"/>
        <w:jc w:val="left"/>
      </w:pPr>
      <w:r>
        <w:rPr>
          <w:spacing w:val="7"/>
        </w:rPr>
        <w:t>（一）公司最近三年以现金方式累计分配的利润不少于最近三年实现的年均可分配利润的</w:t>
      </w:r>
      <w:r>
        <w:rPr/>
      </w:r>
    </w:p>
    <w:p>
      <w:pPr>
        <w:pStyle w:val="BodyText"/>
        <w:spacing w:line="240" w:lineRule="auto" w:before="154"/>
        <w:ind w:right="95"/>
        <w:jc w:val="left"/>
      </w:pPr>
      <w:r>
        <w:rPr>
          <w:rFonts w:ascii="Times New Roman" w:hAnsi="Times New Roman" w:cs="Times New Roman" w:eastAsia="Times New Roman" w:hint="default"/>
        </w:rPr>
        <w:t>30%</w:t>
      </w:r>
      <w:r>
        <w:rPr/>
        <w:t>；</w:t>
      </w:r>
    </w:p>
    <w:p>
      <w:pPr>
        <w:pStyle w:val="BodyText"/>
        <w:spacing w:line="357" w:lineRule="auto" w:before="135"/>
        <w:ind w:right="5771"/>
        <w:jc w:val="left"/>
      </w:pPr>
      <w:r>
        <w:rPr/>
        <w:t>（二）公司可以进行中期现金分红。” 修改为：</w:t>
      </w:r>
    </w:p>
    <w:p>
      <w:pPr>
        <w:pStyle w:val="BodyText"/>
        <w:spacing w:line="357" w:lineRule="auto" w:before="36"/>
        <w:ind w:right="228"/>
        <w:jc w:val="both"/>
      </w:pPr>
      <w:r>
        <w:rPr/>
        <w:t>“公司的利润分配政策应重视对投资者的合理投资回报，应保持连续性和稳定性。公司可以</w:t>
      </w:r>
      <w:r>
        <w:rPr>
          <w:spacing w:val="-83"/>
        </w:rPr>
        <w:t> </w:t>
      </w:r>
      <w:r>
        <w:rPr>
          <w:spacing w:val="-83"/>
        </w:rPr>
      </w:r>
      <w:r>
        <w:rPr/>
        <w:t>采取现金或股票等方式分配利润，利润分配不得超过累计可分配利润的范围，不得损害公司</w:t>
      </w:r>
      <w:r>
        <w:rPr>
          <w:spacing w:val="-83"/>
        </w:rPr>
        <w:t> </w:t>
      </w:r>
      <w:r>
        <w:rPr>
          <w:spacing w:val="-83"/>
        </w:rPr>
      </w:r>
      <w:r>
        <w:rPr/>
        <w:t>持续经营能力。</w:t>
      </w:r>
    </w:p>
    <w:p>
      <w:pPr>
        <w:pStyle w:val="BodyText"/>
        <w:spacing w:line="240" w:lineRule="auto" w:before="36"/>
        <w:ind w:right="95"/>
        <w:jc w:val="left"/>
      </w:pPr>
      <w:r>
        <w:rPr/>
        <w:t>公司的利润分配政策为：</w:t>
      </w:r>
    </w:p>
    <w:p>
      <w:pPr>
        <w:pStyle w:val="BodyText"/>
        <w:spacing w:line="357" w:lineRule="auto" w:before="154"/>
        <w:ind w:right="228"/>
        <w:jc w:val="both"/>
      </w:pPr>
      <w:r>
        <w:rPr/>
        <w:t>（一）在满足公司正常生产经营的资金需求情况下，如无重大投资计划或重大现金支出等事</w:t>
      </w:r>
      <w:r>
        <w:rPr>
          <w:spacing w:val="-83"/>
        </w:rPr>
        <w:t> </w:t>
      </w:r>
      <w:r>
        <w:rPr>
          <w:spacing w:val="-83"/>
        </w:rPr>
      </w:r>
      <w:r>
        <w:rPr/>
        <w:t>项发生，公司应当采取现金方式分配股利，以现金方式分配的利润不少于当年实现的可分配</w:t>
      </w:r>
      <w:r>
        <w:rPr>
          <w:spacing w:val="-83"/>
        </w:rPr>
        <w:t> </w:t>
      </w:r>
      <w:r>
        <w:rPr>
          <w:spacing w:val="-83"/>
        </w:rPr>
      </w:r>
      <w:r>
        <w:rPr/>
        <w:t>利润的</w:t>
      </w:r>
      <w:r>
        <w:rPr>
          <w:rFonts w:ascii="Times New Roman" w:hAnsi="Times New Roman" w:cs="Times New Roman" w:eastAsia="Times New Roman" w:hint="default"/>
        </w:rPr>
        <w:t>10%</w:t>
      </w:r>
      <w:r>
        <w:rPr/>
        <w:t>。</w:t>
      </w:r>
    </w:p>
    <w:p>
      <w:pPr>
        <w:pStyle w:val="BodyText"/>
        <w:spacing w:line="357" w:lineRule="auto" w:before="5"/>
        <w:ind w:right="95"/>
        <w:jc w:val="left"/>
      </w:pPr>
      <w:r>
        <w:rPr/>
        <w:t>（二）公司董事会可以根据公司的资金需求状况提议公司进行中期现金分配。 公司将保持股利分配政策的连续性、稳定性，如果变更股利分配政策，必须经过董事会、股</w:t>
      </w:r>
      <w:r>
        <w:rPr>
          <w:spacing w:val="-83"/>
        </w:rPr>
        <w:t> </w:t>
      </w:r>
      <w:r>
        <w:rPr>
          <w:spacing w:val="-83"/>
        </w:rPr>
      </w:r>
      <w:r>
        <w:rPr/>
        <w:t>东大会表决通过。”</w:t>
      </w:r>
    </w:p>
    <w:p>
      <w:pPr>
        <w:pStyle w:val="BodyText"/>
        <w:spacing w:line="240" w:lineRule="auto" w:before="36"/>
        <w:ind w:left="633" w:right="95"/>
        <w:jc w:val="left"/>
      </w:pPr>
      <w:r>
        <w:rPr/>
        <w:t>上述议案已经由于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日召开的公司</w:t>
      </w:r>
      <w:r>
        <w:rPr>
          <w:rFonts w:ascii="Times New Roman" w:hAnsi="Times New Roman" w:cs="Times New Roman" w:eastAsia="Times New Roman" w:hint="default"/>
        </w:rPr>
        <w:t>2011</w:t>
      </w:r>
      <w:r>
        <w:rPr/>
        <w:t>年年度股东大会审议通过。</w:t>
      </w:r>
    </w:p>
    <w:p>
      <w:pPr>
        <w:spacing w:line="240" w:lineRule="auto" w:before="4"/>
        <w:rPr>
          <w:rFonts w:ascii="宋体" w:hAnsi="宋体" w:cs="宋体" w:eastAsia="宋体" w:hint="default"/>
          <w:sz w:val="22"/>
          <w:szCs w:val="22"/>
        </w:rPr>
      </w:pPr>
    </w:p>
    <w:p>
      <w:pPr>
        <w:pStyle w:val="BodyText"/>
        <w:spacing w:line="338" w:lineRule="auto"/>
        <w:ind w:right="95" w:firstLine="480"/>
        <w:jc w:val="left"/>
      </w:pPr>
      <w:r>
        <w:rPr>
          <w:rFonts w:ascii="Times New Roman" w:hAnsi="Times New Roman" w:cs="Times New Roman" w:eastAsia="Times New Roman" w:hint="default"/>
        </w:rPr>
        <w:t>2</w:t>
      </w:r>
      <w:r>
        <w:rPr/>
        <w:t>、根据中国证监会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日发布的《关于进一步落实上市公司现金分红有关事项的 </w:t>
      </w:r>
      <w:r>
        <w:rPr>
          <w:spacing w:val="-3"/>
        </w:rPr>
        <w:t>通知》（证监发【</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37</w:t>
      </w:r>
      <w:r>
        <w:rPr>
          <w:spacing w:val="-3"/>
        </w:rPr>
        <w:t>号）及中国证监会河南监管局《关于转发</w:t>
      </w:r>
      <w:r>
        <w:rPr>
          <w:rFonts w:ascii="Times New Roman" w:hAnsi="Times New Roman" w:cs="Times New Roman" w:eastAsia="Times New Roman" w:hint="default"/>
          <w:spacing w:val="-3"/>
        </w:rPr>
        <w:t>&lt;</w:t>
      </w:r>
      <w:r>
        <w:rPr>
          <w:spacing w:val="-3"/>
        </w:rPr>
        <w:t>关于进一步落实上市公</w:t>
      </w:r>
      <w:r>
        <w:rPr>
          <w:spacing w:val="-90"/>
        </w:rPr>
        <w:t> </w:t>
      </w:r>
      <w:r>
        <w:rPr/>
        <w:t>司现金分红有关事项的通知</w:t>
      </w:r>
      <w:r>
        <w:rPr>
          <w:rFonts w:ascii="Times New Roman" w:hAnsi="Times New Roman" w:cs="Times New Roman" w:eastAsia="Times New Roman" w:hint="default"/>
        </w:rPr>
        <w:t>&gt;</w:t>
      </w:r>
      <w:r>
        <w:rPr/>
        <w:t>的通知》</w:t>
      </w:r>
      <w:r>
        <w:rPr>
          <w:rFonts w:ascii="Times New Roman" w:hAnsi="Times New Roman" w:cs="Times New Roman" w:eastAsia="Times New Roman" w:hint="default"/>
        </w:rPr>
        <w:t>(</w:t>
      </w:r>
      <w:r>
        <w:rPr/>
        <w:t>豫证监发【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141</w:t>
      </w:r>
      <w:r>
        <w:rPr/>
        <w:t>号</w:t>
      </w:r>
      <w:r>
        <w:rPr>
          <w:rFonts w:ascii="Times New Roman" w:hAnsi="Times New Roman" w:cs="Times New Roman" w:eastAsia="Times New Roman" w:hint="default"/>
        </w:rPr>
        <w:t>)</w:t>
      </w:r>
      <w:r>
        <w:rPr/>
        <w:t>文件精神，公司已于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 </w:t>
      </w:r>
      <w:r>
        <w:rPr>
          <w:spacing w:val="-3"/>
        </w:rPr>
        <w:t>月</w:t>
      </w:r>
      <w:r>
        <w:rPr>
          <w:rFonts w:ascii="Times New Roman" w:hAnsi="Times New Roman" w:cs="Times New Roman" w:eastAsia="Times New Roman" w:hint="default"/>
          <w:spacing w:val="-3"/>
        </w:rPr>
        <w:t>27</w:t>
      </w:r>
      <w:r>
        <w:rPr>
          <w:spacing w:val="-3"/>
        </w:rPr>
        <w:t>日召开第二届董事会第十一次会议审议通过了《关于修改</w:t>
      </w:r>
      <w:r>
        <w:rPr>
          <w:rFonts w:ascii="Times New Roman" w:hAnsi="Times New Roman" w:cs="Times New Roman" w:eastAsia="Times New Roman" w:hint="default"/>
          <w:spacing w:val="-3"/>
        </w:rPr>
        <w:t>&lt;</w:t>
      </w:r>
      <w:r>
        <w:rPr>
          <w:spacing w:val="-3"/>
        </w:rPr>
        <w:t>郑州新开普电子股份有限公司</w:t>
      </w:r>
      <w:r>
        <w:rPr>
          <w:spacing w:val="-92"/>
        </w:rPr>
        <w:t> </w:t>
      </w:r>
      <w:r>
        <w:rPr>
          <w:spacing w:val="-6"/>
        </w:rPr>
        <w:t>章程</w:t>
      </w:r>
      <w:r>
        <w:rPr>
          <w:rFonts w:ascii="Times New Roman" w:hAnsi="Times New Roman" w:cs="Times New Roman" w:eastAsia="Times New Roman" w:hint="default"/>
          <w:spacing w:val="-6"/>
        </w:rPr>
        <w:t>&gt;</w:t>
      </w:r>
      <w:r>
        <w:rPr>
          <w:spacing w:val="-6"/>
        </w:rPr>
        <w:t>的议案》，此次修改进一步完善了公司利润分配政策，对利润分配的原则、程序、形式、</w:t>
      </w:r>
      <w:r>
        <w:rPr>
          <w:spacing w:val="-88"/>
        </w:rPr>
        <w:t> </w:t>
      </w:r>
      <w:r>
        <w:rPr>
          <w:spacing w:val="-88"/>
        </w:rPr>
      </w:r>
      <w:r>
        <w:rPr/>
        <w:t>现金分配的条件、现金分配的比例和期间间隔、利润分配的决策程序和机制、利润分配的信</w:t>
      </w:r>
    </w:p>
    <w:p>
      <w:pPr>
        <w:spacing w:after="0" w:line="338"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right="108"/>
        <w:jc w:val="both"/>
      </w:pPr>
      <w:r>
        <w:rPr/>
        <w:t>息披露、利润分配政策的调整原则做出了具体规定。公司完善后的利润分配政策以股东权益</w:t>
      </w:r>
      <w:r>
        <w:rPr>
          <w:spacing w:val="-83"/>
        </w:rPr>
        <w:t> </w:t>
      </w:r>
      <w:r>
        <w:rPr>
          <w:spacing w:val="-83"/>
        </w:rPr>
      </w:r>
      <w:r>
        <w:rPr/>
        <w:t>保护为出发点，突出了现金分红的分配方式，充分维护了公司股东依法享有的资产收益等权</w:t>
      </w:r>
      <w:r>
        <w:rPr>
          <w:spacing w:val="-83"/>
        </w:rPr>
        <w:t> </w:t>
      </w:r>
      <w:r>
        <w:rPr>
          <w:spacing w:val="-83"/>
        </w:rPr>
      </w:r>
      <w:r>
        <w:rPr/>
        <w:t>利。公司独立董事对此次修改公司利润分配政策相关章程条款，发表了明确的独立意见。具</w:t>
      </w:r>
      <w:r>
        <w:rPr>
          <w:spacing w:val="-83"/>
        </w:rPr>
        <w:t> </w:t>
      </w:r>
      <w:r>
        <w:rPr>
          <w:spacing w:val="-83"/>
        </w:rPr>
      </w:r>
      <w:r>
        <w:rPr/>
        <w:t>体修订情况如下：</w:t>
      </w:r>
    </w:p>
    <w:p>
      <w:pPr>
        <w:pStyle w:val="BodyText"/>
        <w:spacing w:line="357" w:lineRule="auto" w:before="36"/>
        <w:ind w:right="108"/>
        <w:jc w:val="both"/>
      </w:pPr>
      <w:r>
        <w:rPr/>
        <w:t>“第二百〇七条</w:t>
      </w:r>
      <w:r>
        <w:rPr>
          <w:spacing w:val="-77"/>
        </w:rPr>
        <w:t> </w:t>
      </w:r>
      <w:r>
        <w:rPr/>
        <w:t>公司的利润分配政策应重视对投资者的合理投资回报，利润分配政策将保持</w:t>
      </w:r>
      <w:r>
        <w:rPr/>
        <w:t> 连续性和稳定性。公司的利润分配不得超过累计可分配利润的范围，不得损害公司持续经营</w:t>
      </w:r>
      <w:r>
        <w:rPr>
          <w:spacing w:val="-83"/>
        </w:rPr>
        <w:t> </w:t>
      </w:r>
      <w:r>
        <w:rPr>
          <w:spacing w:val="-83"/>
        </w:rPr>
      </w:r>
      <w:r>
        <w:rPr/>
        <w:t>能力。</w:t>
      </w:r>
    </w:p>
    <w:p>
      <w:pPr>
        <w:pStyle w:val="BodyText"/>
        <w:spacing w:line="240" w:lineRule="auto" w:before="36"/>
        <w:ind w:right="0"/>
        <w:jc w:val="both"/>
      </w:pPr>
      <w:r>
        <w:rPr/>
        <w:t>公司的利润分配政策为：</w:t>
      </w:r>
    </w:p>
    <w:p>
      <w:pPr>
        <w:pStyle w:val="BodyText"/>
        <w:spacing w:line="240" w:lineRule="auto" w:before="154"/>
        <w:ind w:right="0"/>
        <w:jc w:val="both"/>
      </w:pPr>
      <w:r>
        <w:rPr/>
        <w:t>（一）公司可以采取现金或者股票方式分配股利，可以进行中期现金分红；</w:t>
      </w:r>
    </w:p>
    <w:p>
      <w:pPr>
        <w:pStyle w:val="BodyText"/>
        <w:spacing w:line="348" w:lineRule="auto" w:before="154"/>
        <w:ind w:right="105"/>
        <w:jc w:val="both"/>
      </w:pPr>
      <w:r>
        <w:rPr/>
        <w:t>（二）在满足公司正常生产经营的资金需求的前提下，公司每年以现金方式分配的利润不少</w:t>
      </w:r>
      <w:r>
        <w:rPr>
          <w:spacing w:val="-83"/>
        </w:rPr>
        <w:t> </w:t>
      </w:r>
      <w:r>
        <w:rPr>
          <w:spacing w:val="-83"/>
        </w:rPr>
      </w:r>
      <w:r>
        <w:rPr/>
        <w:t>于当年实现的可分配利润的</w:t>
      </w:r>
      <w:r>
        <w:rPr>
          <w:rFonts w:ascii="Times New Roman" w:hAnsi="Times New Roman" w:cs="Times New Roman" w:eastAsia="Times New Roman" w:hint="default"/>
        </w:rPr>
        <w:t>10%</w:t>
      </w:r>
      <w:r>
        <w:rPr/>
        <w:t>；对于公司当年的利润分配计划，公司董事会应当在定期报</w:t>
      </w:r>
      <w:r>
        <w:rPr>
          <w:spacing w:val="-46"/>
        </w:rPr>
        <w:t> </w:t>
      </w:r>
      <w:r>
        <w:rPr>
          <w:spacing w:val="-46"/>
        </w:rPr>
      </w:r>
      <w:r>
        <w:rPr/>
        <w:t>告中披露当年未分配利润的使用计划、安排或原则。</w:t>
      </w:r>
    </w:p>
    <w:p>
      <w:pPr>
        <w:pStyle w:val="BodyText"/>
        <w:spacing w:line="350" w:lineRule="auto" w:before="46"/>
        <w:ind w:right="105" w:firstLine="480"/>
        <w:jc w:val="both"/>
      </w:pPr>
      <w:r>
        <w:rPr/>
        <w:t>如因公司有重大投资计划或重大现金支出等事项发生，公司董事会未做出年度现金利润</w:t>
      </w:r>
      <w:r>
        <w:rPr>
          <w:spacing w:val="1"/>
        </w:rPr>
        <w:t> </w:t>
      </w:r>
      <w:r>
        <w:rPr/>
        <w:t>分配预案或年度现金利润分配比例不足</w:t>
      </w:r>
      <w:r>
        <w:rPr>
          <w:rFonts w:ascii="Times New Roman" w:hAnsi="Times New Roman" w:cs="Times New Roman" w:eastAsia="Times New Roman" w:hint="default"/>
        </w:rPr>
        <w:t>10%</w:t>
      </w:r>
      <w:r>
        <w:rPr/>
        <w:t>的，应当在定期报告中披露原因、公司留存资金</w:t>
      </w:r>
      <w:r>
        <w:rPr>
          <w:spacing w:val="-44"/>
        </w:rPr>
        <w:t> </w:t>
      </w:r>
      <w:r>
        <w:rPr/>
        <w:t>的使用计划和安排，该等年度现金利润分配方案须经董事会审议、监事会审核后提交股东大</w:t>
      </w:r>
      <w:r>
        <w:rPr>
          <w:spacing w:val="-83"/>
        </w:rPr>
        <w:t> </w:t>
      </w:r>
      <w:r>
        <w:rPr>
          <w:spacing w:val="-83"/>
        </w:rPr>
      </w:r>
      <w:r>
        <w:rPr/>
        <w:t>会审议；股东大会审议该等年度现金利润分配方案时，公司应当提供网络投票表决方式为公</w:t>
      </w:r>
      <w:r>
        <w:rPr>
          <w:spacing w:val="-83"/>
        </w:rPr>
        <w:t> </w:t>
      </w:r>
      <w:r>
        <w:rPr>
          <w:spacing w:val="-83"/>
        </w:rPr>
      </w:r>
      <w:r>
        <w:rPr/>
        <w:t>众股东参加股东大会提供便利；对于该等年度现金利润分配方案，独立董事应当发表独立意</w:t>
      </w:r>
      <w:r>
        <w:rPr>
          <w:spacing w:val="-83"/>
        </w:rPr>
        <w:t> </w:t>
      </w:r>
      <w:r>
        <w:rPr>
          <w:spacing w:val="-83"/>
        </w:rPr>
      </w:r>
      <w:r>
        <w:rPr/>
        <w:t>见；本条所称</w:t>
      </w:r>
      <w:r>
        <w:rPr>
          <w:rFonts w:ascii="Times New Roman" w:hAnsi="Times New Roman" w:cs="Times New Roman" w:eastAsia="Times New Roman" w:hint="default"/>
        </w:rPr>
        <w:t>“</w:t>
      </w:r>
      <w:r>
        <w:rPr/>
        <w:t>重大投资计划或重大现金支出</w:t>
      </w:r>
      <w:r>
        <w:rPr>
          <w:rFonts w:ascii="Times New Roman" w:hAnsi="Times New Roman" w:cs="Times New Roman" w:eastAsia="Times New Roman" w:hint="default"/>
        </w:rPr>
        <w:t>”</w:t>
      </w:r>
      <w:r>
        <w:rPr/>
        <w:t>是指未来</w:t>
      </w:r>
      <w:r>
        <w:rPr>
          <w:rFonts w:ascii="Times New Roman" w:hAnsi="Times New Roman" w:cs="Times New Roman" w:eastAsia="Times New Roman" w:hint="default"/>
        </w:rPr>
        <w:t>12</w:t>
      </w:r>
      <w:r>
        <w:rPr/>
        <w:t>个月内拟发生的涉及金额占公司最</w:t>
      </w:r>
      <w:r>
        <w:rPr>
          <w:spacing w:val="-79"/>
        </w:rPr>
        <w:t> </w:t>
      </w:r>
      <w:r>
        <w:rPr/>
        <w:t>近一期经审计净资产的</w:t>
      </w:r>
      <w:r>
        <w:rPr>
          <w:rFonts w:ascii="Times New Roman" w:hAnsi="Times New Roman" w:cs="Times New Roman" w:eastAsia="Times New Roman" w:hint="default"/>
        </w:rPr>
        <w:t>50%</w:t>
      </w:r>
      <w:r>
        <w:rPr/>
        <w:t>以上且绝对金额超过</w:t>
      </w:r>
      <w:r>
        <w:rPr>
          <w:rFonts w:ascii="Times New Roman" w:hAnsi="Times New Roman" w:cs="Times New Roman" w:eastAsia="Times New Roman" w:hint="default"/>
        </w:rPr>
        <w:t>3,000</w:t>
      </w:r>
      <w:r>
        <w:rPr/>
        <w:t>万元的投资计划或现金支出，前述投资 计划或现金支出金额的计算标准应按投资计划或现金支出的类型在连续</w:t>
      </w:r>
      <w:r>
        <w:rPr>
          <w:rFonts w:ascii="Times New Roman" w:hAnsi="Times New Roman" w:cs="Times New Roman" w:eastAsia="Times New Roman" w:hint="default"/>
        </w:rPr>
        <w:t>12</w:t>
      </w:r>
      <w:r>
        <w:rPr/>
        <w:t>个月内累计计算。</w:t>
      </w:r>
    </w:p>
    <w:p>
      <w:pPr>
        <w:pStyle w:val="BodyText"/>
        <w:spacing w:line="338" w:lineRule="auto" w:before="13"/>
        <w:ind w:right="111"/>
        <w:jc w:val="both"/>
      </w:pPr>
      <w:r>
        <w:rPr>
          <w:spacing w:val="-2"/>
        </w:rPr>
        <w:t>（三）在公司累计未分配利润超过股本规模</w:t>
      </w:r>
      <w:r>
        <w:rPr>
          <w:rFonts w:ascii="Times New Roman" w:hAnsi="Times New Roman" w:cs="Times New Roman" w:eastAsia="Times New Roman" w:hint="default"/>
          <w:spacing w:val="-2"/>
        </w:rPr>
        <w:t>150%</w:t>
      </w:r>
      <w:r>
        <w:rPr>
          <w:spacing w:val="-2"/>
        </w:rPr>
        <w:t>时，公司可以发放股票股利，具体方案需经</w:t>
      </w:r>
      <w:r>
        <w:rPr>
          <w:spacing w:val="-81"/>
        </w:rPr>
        <w:t> </w:t>
      </w:r>
      <w:r>
        <w:rPr>
          <w:spacing w:val="-81"/>
        </w:rPr>
      </w:r>
      <w:r>
        <w:rPr/>
        <w:t>公司董事会审议后提交公司股东大会批准。</w:t>
      </w:r>
    </w:p>
    <w:p>
      <w:pPr>
        <w:pStyle w:val="BodyText"/>
        <w:spacing w:line="357" w:lineRule="auto" w:before="55"/>
        <w:ind w:right="108" w:firstLine="480"/>
        <w:jc w:val="both"/>
      </w:pPr>
      <w:r>
        <w:rPr/>
        <w:t>公司的利润分配政策经董事会审议、监事会审核后，报股东大会表决通过。如需要调整</w:t>
      </w:r>
      <w:r>
        <w:rPr>
          <w:spacing w:val="1"/>
        </w:rPr>
        <w:t> </w:t>
      </w:r>
      <w:r>
        <w:rPr/>
        <w:t>或变更利润分配政策的，应以股东权益保护为出发点，由公司董事会、监事会进行研究论证</w:t>
      </w:r>
      <w:r>
        <w:rPr>
          <w:spacing w:val="-83"/>
        </w:rPr>
        <w:t> </w:t>
      </w:r>
      <w:r>
        <w:rPr>
          <w:spacing w:val="-83"/>
        </w:rPr>
      </w:r>
      <w:r>
        <w:rPr/>
        <w:t>并在股东大会提案中详细论证和说明原因，经调整的利润分配政策应当符合有关法律、行政</w:t>
      </w:r>
      <w:r>
        <w:rPr>
          <w:spacing w:val="-83"/>
        </w:rPr>
        <w:t> </w:t>
      </w:r>
      <w:r>
        <w:rPr>
          <w:spacing w:val="-83"/>
        </w:rPr>
      </w:r>
      <w:r>
        <w:rPr/>
        <w:t>法规、部门规章及本章程的规定并须经董事会审议、监事会审核后提交股东大会审议，股东</w:t>
      </w:r>
      <w:r>
        <w:rPr>
          <w:spacing w:val="-83"/>
        </w:rPr>
        <w:t> </w:t>
      </w:r>
      <w:r>
        <w:rPr>
          <w:spacing w:val="-83"/>
        </w:rPr>
      </w:r>
      <w:r>
        <w:rPr/>
        <w:t>大会审议该等议案时，公司应当提供网络投票表决方式为公众股东参加股东大会提供便利。</w:t>
      </w:r>
      <w:r>
        <w:rPr>
          <w:spacing w:val="-83"/>
        </w:rPr>
        <w:t> </w:t>
      </w:r>
      <w:r>
        <w:rPr>
          <w:spacing w:val="-83"/>
        </w:rPr>
      </w:r>
      <w:r>
        <w:rPr/>
        <w:t>对于公司利润分配政策的调整或变更事项，独立董事应当发表独立意见，并经出席股东大会</w:t>
      </w:r>
      <w:r>
        <w:rPr>
          <w:spacing w:val="-83"/>
        </w:rPr>
        <w:t> </w:t>
      </w:r>
      <w:r>
        <w:rPr>
          <w:spacing w:val="-83"/>
        </w:rPr>
      </w:r>
      <w:r>
        <w:rPr>
          <w:spacing w:val="-1"/>
        </w:rPr>
        <w:t>的股东所持表决权的</w:t>
      </w:r>
      <w:r>
        <w:rPr>
          <w:rFonts w:ascii="Times New Roman" w:hAnsi="Times New Roman" w:cs="Times New Roman" w:eastAsia="Times New Roman" w:hint="default"/>
          <w:spacing w:val="-1"/>
        </w:rPr>
        <w:t>2/3</w:t>
      </w:r>
      <w:r>
        <w:rPr>
          <w:spacing w:val="-1"/>
        </w:rPr>
        <w:t>以上通过。公司制定各期利润分配的具体规划和计划安排，以及调整</w:t>
      </w:r>
    </w:p>
    <w:p>
      <w:pPr>
        <w:spacing w:after="0" w:line="357"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right="188"/>
        <w:jc w:val="both"/>
      </w:pPr>
      <w:r>
        <w:rPr/>
        <w:t>规划或计划安排时，应按照有关法律、行政法规、部门规章及本章程的规定，并充分听取独</w:t>
      </w:r>
      <w:r>
        <w:rPr>
          <w:spacing w:val="-83"/>
        </w:rPr>
        <w:t> </w:t>
      </w:r>
      <w:r>
        <w:rPr>
          <w:spacing w:val="-83"/>
        </w:rPr>
      </w:r>
      <w:r>
        <w:rPr/>
        <w:t>立董事和公众投资者的意见；公司制定分红回报规划应当着眼于公司的长远和可持续发展，</w:t>
      </w:r>
      <w:r>
        <w:rPr>
          <w:spacing w:val="-83"/>
        </w:rPr>
        <w:t> </w:t>
      </w:r>
      <w:r>
        <w:rPr>
          <w:spacing w:val="-83"/>
        </w:rPr>
      </w:r>
      <w:r>
        <w:rPr/>
        <w:t>在综合分析企业经营发展实际、股东要求和意愿、社会资金成本、外部融资环境等因素的基</w:t>
      </w:r>
      <w:r>
        <w:rPr>
          <w:spacing w:val="-83"/>
        </w:rPr>
        <w:t> </w:t>
      </w:r>
      <w:r>
        <w:rPr>
          <w:spacing w:val="-83"/>
        </w:rPr>
      </w:r>
      <w:r>
        <w:rPr/>
        <w:t>础上，建立对投资者持续、稳定、科学的回报机制。”</w:t>
      </w:r>
    </w:p>
    <w:p>
      <w:pPr>
        <w:pStyle w:val="BodyText"/>
        <w:spacing w:line="240" w:lineRule="auto" w:before="36"/>
        <w:ind w:left="633" w:right="179"/>
        <w:jc w:val="left"/>
      </w:pPr>
      <w:r>
        <w:rPr/>
        <w:t>上述议案已经由</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日召开的公司</w:t>
      </w:r>
      <w:r>
        <w:rPr>
          <w:rFonts w:ascii="Times New Roman" w:hAnsi="Times New Roman" w:cs="Times New Roman" w:eastAsia="Times New Roman" w:hint="default"/>
        </w:rPr>
        <w:t>2012</w:t>
      </w:r>
      <w:r>
        <w:rPr/>
        <w:t>年第二次临时股东大会审议通过。</w:t>
      </w:r>
    </w:p>
    <w:p>
      <w:pPr>
        <w:pStyle w:val="BodyText"/>
        <w:spacing w:line="624" w:lineRule="exact" w:before="73"/>
        <w:ind w:left="633" w:right="179" w:hanging="480"/>
        <w:jc w:val="left"/>
      </w:pPr>
      <w:r>
        <w:rPr/>
        <w:t>（二）报告期内公司分红派息执行情况 </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2011</w:t>
      </w:r>
      <w:r>
        <w:rPr>
          <w:spacing w:val="-2"/>
        </w:rPr>
        <w:t>年年度股东大会审议通过了《关于审议郑州新开普电子</w:t>
      </w:r>
    </w:p>
    <w:p>
      <w:pPr>
        <w:pStyle w:val="BodyText"/>
        <w:spacing w:line="338" w:lineRule="auto" w:before="63"/>
        <w:ind w:right="186"/>
        <w:jc w:val="both"/>
      </w:pPr>
      <w:r>
        <w:rPr/>
        <w:t>股份有限公司</w:t>
      </w:r>
      <w:r>
        <w:rPr>
          <w:spacing w:val="1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年度利润分配及资本公积金转增股本预案的议案》，与会股东同意以截</w:t>
      </w:r>
      <w:r>
        <w:rPr>
          <w:spacing w:val="-113"/>
        </w:rPr>
        <w:t> </w:t>
      </w:r>
      <w:r>
        <w:rPr>
          <w:spacing w:val="-113"/>
        </w:rPr>
      </w:r>
      <w:r>
        <w:rPr>
          <w:spacing w:val="-4"/>
        </w:rPr>
        <w:t>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44,600,000</w:t>
      </w:r>
      <w:r>
        <w:rPr>
          <w:spacing w:val="-4"/>
        </w:rPr>
        <w:t>股为基数，向全体股东每</w:t>
      </w:r>
      <w:r>
        <w:rPr>
          <w:rFonts w:ascii="Times New Roman" w:hAnsi="Times New Roman" w:cs="Times New Roman" w:eastAsia="Times New Roman" w:hint="default"/>
          <w:spacing w:val="-4"/>
        </w:rPr>
        <w:t>10</w:t>
      </w:r>
      <w:r>
        <w:rPr>
          <w:spacing w:val="-4"/>
        </w:rPr>
        <w:t>股派发现金</w:t>
      </w:r>
      <w:r>
        <w:rPr>
          <w:rFonts w:ascii="Times New Roman" w:hAnsi="Times New Roman" w:cs="Times New Roman" w:eastAsia="Times New Roman" w:hint="default"/>
          <w:spacing w:val="-4"/>
        </w:rPr>
        <w:t>2</w:t>
      </w:r>
      <w:r>
        <w:rPr>
          <w:spacing w:val="-4"/>
        </w:rPr>
        <w:t>元人民币（含</w:t>
      </w:r>
      <w:r>
        <w:rPr>
          <w:spacing w:val="-114"/>
        </w:rPr>
        <w:t> </w:t>
      </w:r>
      <w:r>
        <w:rPr>
          <w:spacing w:val="-114"/>
        </w:rPr>
      </w:r>
      <w:r>
        <w:rPr>
          <w:spacing w:val="2"/>
        </w:rPr>
        <w:t>税），同时进行资本公积金转增股本，以公司总股本</w:t>
      </w:r>
      <w:r>
        <w:rPr>
          <w:rFonts w:ascii="Times New Roman" w:hAnsi="Times New Roman" w:cs="Times New Roman" w:eastAsia="Times New Roman" w:hint="default"/>
          <w:spacing w:val="2"/>
        </w:rPr>
        <w:t>44,600,000</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22"/>
        </w:rPr>
        <w:t> </w:t>
      </w:r>
      <w:r>
        <w:rPr/>
        <w:t>股转增</w:t>
      </w:r>
      <w:r>
        <w:rPr>
          <w:rFonts w:ascii="Times New Roman" w:hAnsi="Times New Roman" w:cs="Times New Roman" w:eastAsia="Times New Roman" w:hint="default"/>
        </w:rPr>
        <w:t>10</w:t>
      </w:r>
      <w:r>
        <w:rPr/>
        <w:t>股，转增后公司总股本将增加至</w:t>
      </w:r>
      <w:r>
        <w:rPr>
          <w:rFonts w:ascii="Times New Roman" w:hAnsi="Times New Roman" w:cs="Times New Roman" w:eastAsia="Times New Roman" w:hint="default"/>
        </w:rPr>
        <w:t>89,200,000</w:t>
      </w:r>
      <w:r>
        <w:rPr/>
        <w:t>股。</w:t>
      </w:r>
    </w:p>
    <w:p>
      <w:pPr>
        <w:pStyle w:val="BodyText"/>
        <w:spacing w:line="338" w:lineRule="auto" w:before="27"/>
        <w:ind w:left="154" w:right="108" w:firstLine="480"/>
        <w:jc w:val="righ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2011</w:t>
      </w:r>
      <w:r>
        <w:rPr>
          <w:spacing w:val="-2"/>
        </w:rPr>
        <w:t>年年度权益分派已实施完毕。</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日，利安达会计</w:t>
      </w:r>
      <w:r>
        <w:rPr/>
        <w:t> 师事务所有限责任公司出具了编号为</w:t>
      </w:r>
      <w:r>
        <w:rPr>
          <w:rFonts w:ascii="Times New Roman" w:hAnsi="Times New Roman" w:cs="Times New Roman" w:eastAsia="Times New Roman" w:hint="default"/>
        </w:rPr>
        <w:t>“</w:t>
      </w:r>
      <w:r>
        <w:rPr/>
        <w:t>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1023</w:t>
      </w:r>
      <w:r>
        <w:rPr/>
        <w:t>号</w:t>
      </w:r>
      <w:r>
        <w:rPr>
          <w:rFonts w:ascii="Times New Roman" w:hAnsi="Times New Roman" w:cs="Times New Roman" w:eastAsia="Times New Roman" w:hint="default"/>
        </w:rPr>
        <w:t>”</w:t>
      </w:r>
      <w:r>
        <w:rPr/>
        <w:t>的《验资报告》，验证</w:t>
      </w:r>
      <w:r>
        <w:rPr>
          <w:spacing w:val="1"/>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日，公司已将资本公积</w:t>
      </w:r>
      <w:r>
        <w:rPr>
          <w:rFonts w:ascii="Times New Roman" w:hAnsi="Times New Roman" w:cs="Times New Roman" w:eastAsia="Times New Roman" w:hint="default"/>
        </w:rPr>
        <w:t>44,600,000.00</w:t>
      </w:r>
      <w:r>
        <w:rPr/>
        <w:t>元转增股本；截至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w:t>
      </w:r>
      <w:r>
        <w:rPr>
          <w:spacing w:val="3"/>
        </w:rPr>
        <w:t> </w:t>
      </w:r>
      <w:r>
        <w:rPr/>
        <w:t>的注册资本增加为人民币</w:t>
      </w:r>
      <w:r>
        <w:rPr>
          <w:rFonts w:ascii="Times New Roman" w:hAnsi="Times New Roman" w:cs="Times New Roman" w:eastAsia="Times New Roman" w:hint="default"/>
        </w:rPr>
        <w:t>89,200,000.00</w:t>
      </w:r>
      <w:r>
        <w:rPr/>
        <w:t>元，累计实收资本（股本）为人民币</w:t>
      </w:r>
      <w:r>
        <w:rPr>
          <w:rFonts w:ascii="Times New Roman" w:hAnsi="Times New Roman" w:cs="Times New Roman" w:eastAsia="Times New Roman" w:hint="default"/>
        </w:rPr>
        <w:t>89,200,000.00</w:t>
      </w:r>
      <w:r>
        <w:rPr/>
        <w:t>元。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日，公司已完成工商变更登记手续，并于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日取得了郑州市工商行</w:t>
      </w:r>
    </w:p>
    <w:p>
      <w:pPr>
        <w:pStyle w:val="BodyText"/>
        <w:spacing w:line="240" w:lineRule="auto" w:before="27"/>
        <w:ind w:left="154" w:right="0"/>
        <w:jc w:val="both"/>
      </w:pPr>
      <w:r>
        <w:rPr/>
        <w:t>政管理局换发的《企业法人营业执照》。</w:t>
      </w:r>
    </w:p>
    <w:p>
      <w:pPr>
        <w:spacing w:before="165"/>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33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日召开的第二届董事会第十四次会议审议通过《关于审议郑州新开普电子股份有限公司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分配预案的议案</w:t>
            </w:r>
            <w:r>
              <w:rPr>
                <w:rFonts w:ascii="宋体" w:hAnsi="宋体" w:cs="宋体" w:eastAsia="宋体" w:hint="default"/>
                <w:spacing w:val="-90"/>
                <w:sz w:val="18"/>
                <w:szCs w:val="18"/>
              </w:rPr>
              <w:t>》</w:t>
            </w: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现</w:t>
            </w:r>
            <w:r>
              <w:rPr>
                <w:rFonts w:ascii="宋体" w:hAnsi="宋体" w:cs="宋体" w:eastAsia="宋体" w:hint="default"/>
                <w:sz w:val="18"/>
                <w:szCs w:val="18"/>
              </w:rPr>
              <w:t>金（含税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before="49"/>
        <w:ind w:left="154" w:right="330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132"/>
        <w:ind w:left="634" w:right="0"/>
        <w:jc w:val="left"/>
      </w:pPr>
      <w:r>
        <w:rPr/>
        <w:t>（一）</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2010</w:t>
      </w:r>
      <w:r>
        <w:rPr/>
        <w:t>年年度股东大会审议通过了《郑州新开普电子股份有限</w:t>
      </w:r>
    </w:p>
    <w:p>
      <w:pPr>
        <w:spacing w:after="0" w:line="240" w:lineRule="auto"/>
        <w:jc w:val="left"/>
        <w:sectPr>
          <w:pgSz w:w="11910" w:h="16840"/>
          <w:pgMar w:header="851" w:footer="982" w:top="1220" w:bottom="1180" w:left="980" w:right="940"/>
        </w:sectPr>
      </w:pPr>
    </w:p>
    <w:p>
      <w:pPr>
        <w:spacing w:line="240" w:lineRule="auto" w:before="5"/>
        <w:rPr>
          <w:rFonts w:ascii="宋体" w:hAnsi="宋体" w:cs="宋体" w:eastAsia="宋体" w:hint="default"/>
          <w:sz w:val="16"/>
          <w:szCs w:val="16"/>
        </w:rPr>
      </w:pPr>
    </w:p>
    <w:p>
      <w:pPr>
        <w:pStyle w:val="BodyText"/>
        <w:spacing w:line="338" w:lineRule="auto" w:before="26"/>
        <w:ind w:right="95"/>
        <w:jc w:val="left"/>
      </w:pPr>
      <w:r>
        <w:rPr/>
        <w:t>公司</w:t>
      </w:r>
      <w:r>
        <w:rPr>
          <w:rFonts w:ascii="Times New Roman" w:hAnsi="Times New Roman" w:cs="Times New Roman" w:eastAsia="Times New Roman" w:hint="default"/>
        </w:rPr>
        <w:t>2010</w:t>
      </w:r>
      <w:r>
        <w:rPr/>
        <w:t>年度利润分配方案》，公司</w:t>
      </w:r>
      <w:r>
        <w:rPr>
          <w:rFonts w:ascii="Times New Roman" w:hAnsi="Times New Roman" w:cs="Times New Roman" w:eastAsia="Times New Roman" w:hint="default"/>
        </w:rPr>
        <w:t>2010</w:t>
      </w:r>
      <w:r>
        <w:rPr/>
        <w:t>年度实现净利润</w:t>
      </w:r>
      <w:r>
        <w:rPr>
          <w:rFonts w:ascii="Times New Roman" w:hAnsi="Times New Roman" w:cs="Times New Roman" w:eastAsia="Times New Roman" w:hint="default"/>
        </w:rPr>
        <w:t>34,337,155.99</w:t>
      </w:r>
      <w:r>
        <w:rPr/>
        <w:t>元，全体股东决定暂</w:t>
      </w:r>
      <w:r>
        <w:rPr>
          <w:spacing w:val="-25"/>
        </w:rPr>
        <w:t> </w:t>
      </w:r>
      <w:r>
        <w:rPr/>
        <w:t>不向股东分配利润。</w:t>
      </w:r>
    </w:p>
    <w:p>
      <w:pPr>
        <w:pStyle w:val="BodyText"/>
        <w:spacing w:line="345" w:lineRule="auto" w:before="55"/>
        <w:ind w:right="228" w:firstLine="480"/>
        <w:jc w:val="both"/>
      </w:pPr>
      <w:r>
        <w:rPr>
          <w:spacing w:val="-2"/>
        </w:rPr>
        <w:t>（二）</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w:t>
      </w:r>
      <w:r>
        <w:rPr>
          <w:rFonts w:ascii="Times New Roman" w:hAnsi="Times New Roman" w:cs="Times New Roman" w:eastAsia="Times New Roman" w:hint="default"/>
          <w:spacing w:val="-2"/>
        </w:rPr>
        <w:t>2011</w:t>
      </w:r>
      <w:r>
        <w:rPr>
          <w:spacing w:val="-2"/>
        </w:rPr>
        <w:t>年年度股东大会审议通过了《关于审议郑州新开普电子</w:t>
      </w:r>
      <w:r>
        <w:rPr/>
        <w:t> 股份有限公司</w:t>
      </w:r>
      <w:r>
        <w:rPr>
          <w:rFonts w:ascii="Times New Roman" w:hAnsi="Times New Roman" w:cs="Times New Roman" w:eastAsia="Times New Roman" w:hint="default"/>
        </w:rPr>
        <w:t>2011</w:t>
      </w:r>
      <w:r>
        <w:rPr/>
        <w:t>年度利润分配及资本公积金转增股本预案的议案》，鉴于公司</w:t>
      </w:r>
      <w:r>
        <w:rPr>
          <w:rFonts w:ascii="Times New Roman" w:hAnsi="Times New Roman" w:cs="Times New Roman" w:eastAsia="Times New Roman" w:hint="default"/>
        </w:rPr>
        <w:t>2011</w:t>
      </w:r>
      <w:r>
        <w:rPr/>
        <w:t>年度盈</w:t>
      </w:r>
      <w:r>
        <w:rPr>
          <w:spacing w:val="-92"/>
        </w:rPr>
        <w:t> </w:t>
      </w:r>
      <w:r>
        <w:rPr/>
        <w:t>利状况比较稳定，根据中国证监会鼓励上市公司现金分红，给予投资者稳定、合理回报的指</w:t>
      </w:r>
      <w:r>
        <w:rPr>
          <w:spacing w:val="-83"/>
        </w:rPr>
        <w:t> </w:t>
      </w:r>
      <w:r>
        <w:rPr>
          <w:spacing w:val="-83"/>
        </w:rPr>
      </w:r>
      <w:r>
        <w:rPr/>
        <w:t>导意见，在符合利润分配原则，保证公司正常经营和长远发展的前提下，为了更好的兼顾股</w:t>
      </w:r>
      <w:r>
        <w:rPr>
          <w:spacing w:val="-83"/>
        </w:rPr>
        <w:t> </w:t>
      </w:r>
      <w:r>
        <w:rPr>
          <w:spacing w:val="-83"/>
        </w:rPr>
      </w:r>
      <w:r>
        <w:rPr/>
        <w:t>东的即期利益和长远利益，根据《公司法》和《公司章程》的有关规定。董事会同意以截至</w:t>
      </w:r>
      <w:r>
        <w:rPr>
          <w:spacing w:val="-83"/>
        </w:rPr>
        <w:t> </w:t>
      </w:r>
      <w:r>
        <w:rPr>
          <w:spacing w:val="-83"/>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44,600,000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w:t>
      </w:r>
      <w:r>
        <w:rPr/>
        <w:t>元人民币（含</w:t>
      </w:r>
      <w:r>
        <w:rPr>
          <w:spacing w:val="-92"/>
        </w:rPr>
        <w:t> </w:t>
      </w:r>
      <w:r>
        <w:rPr>
          <w:spacing w:val="2"/>
        </w:rPr>
        <w:t>税）；同时进行资本公积金转增股本，以公司总股本</w:t>
      </w:r>
      <w:r>
        <w:rPr>
          <w:rFonts w:ascii="Times New Roman" w:hAnsi="Times New Roman" w:cs="Times New Roman" w:eastAsia="Times New Roman" w:hint="default"/>
          <w:spacing w:val="2"/>
        </w:rPr>
        <w:t>44,600,000</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22"/>
        </w:rPr>
        <w:t> </w:t>
      </w:r>
      <w:r>
        <w:rPr/>
        <w:t>股转增</w:t>
      </w:r>
      <w:r>
        <w:rPr>
          <w:rFonts w:ascii="Times New Roman" w:hAnsi="Times New Roman" w:cs="Times New Roman" w:eastAsia="Times New Roman" w:hint="default"/>
        </w:rPr>
        <w:t>10</w:t>
      </w:r>
      <w:r>
        <w:rPr/>
        <w:t>股，转增后公司总股本将增加至</w:t>
      </w:r>
      <w:r>
        <w:rPr>
          <w:rFonts w:ascii="Times New Roman" w:hAnsi="Times New Roman" w:cs="Times New Roman" w:eastAsia="Times New Roman" w:hint="default"/>
        </w:rPr>
        <w:t>89,200,000</w:t>
      </w:r>
      <w:r>
        <w:rPr/>
        <w:t>股。</w:t>
      </w:r>
    </w:p>
    <w:p>
      <w:pPr>
        <w:pStyle w:val="BodyText"/>
        <w:spacing w:line="338" w:lineRule="auto" w:before="19"/>
        <w:ind w:left="634" w:right="95"/>
        <w:jc w:val="left"/>
      </w:pPr>
      <w:r>
        <w:rPr/>
        <w:t>（三）</w:t>
      </w:r>
      <w:r>
        <w:rPr>
          <w:rFonts w:ascii="Times New Roman" w:hAnsi="Times New Roman" w:cs="Times New Roman" w:eastAsia="Times New Roman" w:hint="default"/>
        </w:rPr>
        <w:t>2012</w:t>
      </w:r>
      <w:r>
        <w:rPr/>
        <w:t>年度利润分配预案 经中瑞岳华会计师事务所（特殊普通合伙）审计：公司</w:t>
      </w:r>
      <w:r>
        <w:rPr>
          <w:rFonts w:ascii="Times New Roman" w:hAnsi="Times New Roman" w:cs="Times New Roman" w:eastAsia="Times New Roman" w:hint="default"/>
        </w:rPr>
        <w:t>2012</w:t>
      </w:r>
      <w:r>
        <w:rPr/>
        <w:t>年度实现归属于上市公司股</w:t>
      </w:r>
    </w:p>
    <w:p>
      <w:pPr>
        <w:pStyle w:val="BodyText"/>
        <w:spacing w:line="338" w:lineRule="auto" w:before="27"/>
        <w:ind w:left="634" w:right="95" w:hanging="480"/>
        <w:jc w:val="left"/>
      </w:pPr>
      <w:r>
        <w:rPr/>
        <w:t>东的净利润为</w:t>
      </w:r>
      <w:r>
        <w:rPr>
          <w:rFonts w:ascii="Times New Roman" w:hAnsi="Times New Roman" w:cs="Times New Roman" w:eastAsia="Times New Roman" w:hint="default"/>
        </w:rPr>
        <w:t>42,133,555.90</w:t>
      </w:r>
      <w:r>
        <w:rPr/>
        <w:t>元，母公司实现的净利润为</w:t>
      </w:r>
      <w:r>
        <w:rPr>
          <w:rFonts w:ascii="Times New Roman" w:hAnsi="Times New Roman" w:cs="Times New Roman" w:eastAsia="Times New Roman" w:hint="default"/>
        </w:rPr>
        <w:t>40,375,395.06</w:t>
      </w:r>
      <w:r>
        <w:rPr/>
        <w:t>元。 </w:t>
      </w:r>
      <w:r>
        <w:rPr>
          <w:spacing w:val="-3"/>
        </w:rPr>
        <w:t>根据公司章程有关规定，母公司应当提取利润的</w:t>
      </w:r>
      <w:r>
        <w:rPr>
          <w:rFonts w:ascii="Times New Roman" w:hAnsi="Times New Roman" w:cs="Times New Roman" w:eastAsia="Times New Roman" w:hint="default"/>
          <w:spacing w:val="-3"/>
        </w:rPr>
        <w:t>10%</w:t>
      </w:r>
      <w:r>
        <w:rPr>
          <w:spacing w:val="-3"/>
        </w:rPr>
        <w:t>，即</w:t>
      </w:r>
      <w:r>
        <w:rPr>
          <w:rFonts w:ascii="Times New Roman" w:hAnsi="Times New Roman" w:cs="Times New Roman" w:eastAsia="Times New Roman" w:hint="default"/>
          <w:spacing w:val="-3"/>
        </w:rPr>
        <w:t>4,037,539.51</w:t>
      </w:r>
      <w:r>
        <w:rPr>
          <w:spacing w:val="-3"/>
        </w:rPr>
        <w:t>元作为法定公积金。</w:t>
      </w:r>
    </w:p>
    <w:p>
      <w:pPr>
        <w:pStyle w:val="BodyText"/>
        <w:spacing w:line="240" w:lineRule="auto" w:before="27"/>
        <w:ind w:left="154" w:right="95"/>
        <w:jc w:val="left"/>
      </w:pPr>
      <w:r>
        <w:rPr>
          <w:spacing w:val="12"/>
        </w:rPr>
        <w:t>截止</w:t>
      </w:r>
      <w:r>
        <w:rPr>
          <w:spacing w:val="-9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6"/>
        </w:rPr>
        <w:t> </w:t>
      </w:r>
      <w:r>
        <w:rPr/>
        <w:t>年</w:t>
      </w:r>
      <w:r>
        <w:rPr>
          <w:spacing w:val="-95"/>
        </w:rPr>
        <w:t> </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月</w:t>
      </w:r>
      <w:r>
        <w:rPr>
          <w:spacing w:val="-95"/>
        </w:rPr>
        <w:t> </w:t>
      </w:r>
      <w:r>
        <w:rPr>
          <w:rFonts w:ascii="Times New Roman" w:hAnsi="Times New Roman" w:cs="Times New Roman" w:eastAsia="Times New Roman" w:hint="default"/>
        </w:rPr>
        <w:t>31</w:t>
      </w:r>
      <w:r>
        <w:rPr>
          <w:rFonts w:ascii="Times New Roman" w:hAnsi="Times New Roman" w:cs="Times New Roman" w:eastAsia="Times New Roman" w:hint="default"/>
          <w:spacing w:val="-36"/>
        </w:rPr>
        <w:t> </w:t>
      </w:r>
      <w:r>
        <w:rPr>
          <w:spacing w:val="22"/>
        </w:rPr>
        <w:t>日，母公司可供分配的利润为</w:t>
      </w:r>
      <w:r>
        <w:rPr>
          <w:spacing w:val="28"/>
        </w:rPr>
        <w:t> </w:t>
      </w:r>
      <w:r>
        <w:rPr>
          <w:rFonts w:ascii="Times New Roman" w:hAnsi="Times New Roman" w:cs="Times New Roman" w:eastAsia="Times New Roman" w:hint="default"/>
        </w:rPr>
        <w:t>121,750,792.80 </w:t>
      </w:r>
      <w:r>
        <w:rPr>
          <w:rFonts w:ascii="Times New Roman" w:hAnsi="Times New Roman" w:cs="Times New Roman" w:eastAsia="Times New Roman" w:hint="default"/>
          <w:spacing w:val="2"/>
        </w:rPr>
        <w:t> </w:t>
      </w:r>
      <w:r>
        <w:rPr>
          <w:spacing w:val="21"/>
        </w:rPr>
        <w:t>元，资本公积余额为</w:t>
      </w:r>
      <w:r>
        <w:rPr>
          <w:spacing w:val="-96"/>
        </w:rPr>
        <w:t> </w:t>
      </w:r>
      <w:r>
        <w:rPr/>
      </w:r>
    </w:p>
    <w:p>
      <w:pPr>
        <w:pStyle w:val="BodyText"/>
        <w:spacing w:line="240" w:lineRule="auto" w:before="135"/>
        <w:ind w:left="154" w:right="95"/>
        <w:jc w:val="left"/>
      </w:pPr>
      <w:r>
        <w:rPr>
          <w:rFonts w:ascii="Times New Roman" w:hAnsi="Times New Roman" w:cs="Times New Roman" w:eastAsia="Times New Roman" w:hint="default"/>
        </w:rPr>
        <w:t>259,989,044.44</w:t>
      </w:r>
      <w:r>
        <w:rPr/>
        <w:t>元。</w:t>
      </w:r>
    </w:p>
    <w:p>
      <w:pPr>
        <w:pStyle w:val="BodyText"/>
        <w:spacing w:line="352" w:lineRule="auto" w:before="135"/>
        <w:ind w:left="154" w:right="228" w:firstLine="480"/>
        <w:jc w:val="both"/>
      </w:pPr>
      <w:r>
        <w:rPr/>
        <w:t>考虑到公司业务持续发展，且经营现金流同步增长，根据中国证监会鼓励上市公司现金</w:t>
      </w:r>
      <w:r>
        <w:rPr>
          <w:spacing w:val="1"/>
        </w:rPr>
        <w:t> </w:t>
      </w:r>
      <w:r>
        <w:rPr/>
        <w:t>分红，给予投资者稳定、合理回报的指导意见，在符合利润分配原则、保证公司正常经营和</w:t>
      </w:r>
      <w:r>
        <w:rPr>
          <w:spacing w:val="-83"/>
        </w:rPr>
        <w:t> </w:t>
      </w:r>
      <w:r>
        <w:rPr>
          <w:spacing w:val="-83"/>
        </w:rPr>
      </w:r>
      <w:r>
        <w:rPr/>
        <w:t>长远发展的前提下，为了更好的兼顾股东的即期利益和长远利益，根据《公司法》及《公司</w:t>
      </w:r>
      <w:r>
        <w:rPr>
          <w:spacing w:val="-83"/>
        </w:rPr>
        <w:t> </w:t>
      </w:r>
      <w:r>
        <w:rPr>
          <w:spacing w:val="-83"/>
        </w:rPr>
      </w:r>
      <w:r>
        <w:rPr>
          <w:spacing w:val="-1"/>
        </w:rPr>
        <w:t>章程》的相关规定，现拟定如下分配预案：公司以</w:t>
      </w:r>
      <w:r>
        <w:rPr>
          <w:rFonts w:ascii="Times New Roman" w:hAnsi="Times New Roman" w:cs="Times New Roman" w:eastAsia="Times New Roman" w:hint="default"/>
          <w:spacing w:val="-1"/>
        </w:rPr>
        <w:t>2012</w:t>
      </w:r>
      <w:r>
        <w:rPr>
          <w:spacing w:val="-1"/>
        </w:rPr>
        <w:t>年末总股本</w:t>
      </w:r>
      <w:r>
        <w:rPr>
          <w:rFonts w:ascii="Times New Roman" w:hAnsi="Times New Roman" w:cs="Times New Roman" w:eastAsia="Times New Roman" w:hint="default"/>
          <w:spacing w:val="-1"/>
        </w:rPr>
        <w:t>8,920</w:t>
      </w:r>
      <w:r>
        <w:rPr>
          <w:spacing w:val="-1"/>
        </w:rPr>
        <w:t>万股为基数，向全体</w:t>
      </w:r>
      <w:r>
        <w:rPr>
          <w:spacing w:val="-99"/>
        </w:rPr>
        <w:t> </w:t>
      </w:r>
      <w:r>
        <w:rPr>
          <w:spacing w:val="-99"/>
        </w:rPr>
      </w:r>
      <w:r>
        <w:rPr/>
        <w:t>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w:t>
      </w:r>
      <w:r>
        <w:rPr/>
        <w:t>元现金（含税）。</w:t>
      </w:r>
    </w:p>
    <w:p>
      <w:pPr>
        <w:pStyle w:val="BodyText"/>
        <w:spacing w:line="338" w:lineRule="auto" w:before="11"/>
        <w:ind w:right="225" w:firstLine="480"/>
        <w:jc w:val="both"/>
      </w:pPr>
      <w:r>
        <w:rPr/>
        <w:t>公司独立董事认为：公司利润分配预案符合公司实际情况，公司</w:t>
      </w:r>
      <w:r>
        <w:rPr>
          <w:rFonts w:ascii="Times New Roman" w:hAnsi="Times New Roman" w:cs="Times New Roman" w:eastAsia="Times New Roman" w:hint="default"/>
        </w:rPr>
        <w:t>2012</w:t>
      </w:r>
      <w:r>
        <w:rPr/>
        <w:t>年以现金方式分配</w:t>
      </w:r>
      <w:r>
        <w:rPr>
          <w:spacing w:val="1"/>
        </w:rPr>
        <w:t> </w:t>
      </w:r>
      <w:r>
        <w:rPr/>
        <w:t>的利润不少于当年实现的可分配利润的</w:t>
      </w:r>
      <w:r>
        <w:rPr>
          <w:rFonts w:ascii="Times New Roman" w:hAnsi="Times New Roman" w:cs="Times New Roman" w:eastAsia="Times New Roman" w:hint="default"/>
        </w:rPr>
        <w:t>10%</w:t>
      </w:r>
      <w:r>
        <w:rPr/>
        <w:t>，没有违反《公司法》和公司章程的有关规定，</w:t>
      </w:r>
      <w:r>
        <w:rPr>
          <w:spacing w:val="-44"/>
        </w:rPr>
        <w:t> </w:t>
      </w:r>
      <w:r>
        <w:rPr/>
        <w:t>未损害公司股东尤其是中小股东的利益，有利于公司的正常经营和健康发展。</w:t>
      </w:r>
    </w:p>
    <w:p>
      <w:pPr>
        <w:pStyle w:val="BodyText"/>
        <w:spacing w:line="240" w:lineRule="auto" w:before="55"/>
        <w:ind w:left="633" w:right="95"/>
        <w:jc w:val="left"/>
      </w:pPr>
      <w:r>
        <w:rPr/>
        <w:t>本次利润分配预案尚需提交</w:t>
      </w:r>
      <w:r>
        <w:rPr>
          <w:rFonts w:ascii="Times New Roman" w:hAnsi="Times New Roman" w:cs="Times New Roman" w:eastAsia="Times New Roman" w:hint="default"/>
        </w:rPr>
        <w:t>2012</w:t>
      </w:r>
      <w:r>
        <w:rPr/>
        <w:t>年年度股东大会审议通过后实施。</w:t>
      </w:r>
    </w:p>
    <w:p>
      <w:pPr>
        <w:spacing w:line="240" w:lineRule="auto" w:before="11"/>
        <w:rPr>
          <w:rFonts w:ascii="宋体" w:hAnsi="宋体" w:cs="宋体" w:eastAsia="宋体" w:hint="default"/>
          <w:sz w:val="7"/>
          <w:szCs w:val="7"/>
        </w:rPr>
      </w:pPr>
    </w:p>
    <w:p>
      <w:pPr>
        <w:spacing w:before="44"/>
        <w:ind w:left="154" w:right="95"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404"/>
        <w:gridCol w:w="2380"/>
        <w:gridCol w:w="2380"/>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78"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5" w:right="22"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80" w:type="dxa"/>
            <w:vMerge/>
            <w:tcBorders>
              <w:left w:val="single" w:sz="4" w:space="0" w:color="000000"/>
              <w:right w:val="single" w:sz="4" w:space="0" w:color="000000"/>
            </w:tcBorders>
            <w:shd w:val="clear" w:color="auto" w:fill="D3D3D3"/>
          </w:tcPr>
          <w:p>
            <w:pPr/>
          </w:p>
        </w:tc>
        <w:tc>
          <w:tcPr>
            <w:tcW w:w="2380"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404" w:right="0"/>
              <w:jc w:val="left"/>
              <w:rPr>
                <w:rFonts w:ascii="Times New Roman" w:hAnsi="Times New Roman" w:cs="Times New Roman" w:eastAsia="Times New Roman" w:hint="default"/>
                <w:sz w:val="18"/>
                <w:szCs w:val="18"/>
              </w:rPr>
            </w:pPr>
            <w:r>
              <w:rPr>
                <w:rFonts w:ascii="Times New Roman"/>
                <w:sz w:val="18"/>
              </w:rPr>
              <w:t>8,920,000.00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3" w:right="0"/>
              <w:jc w:val="left"/>
              <w:rPr>
                <w:rFonts w:ascii="Times New Roman" w:hAnsi="Times New Roman" w:cs="Times New Roman" w:eastAsia="Times New Roman" w:hint="default"/>
                <w:sz w:val="18"/>
                <w:szCs w:val="18"/>
              </w:rPr>
            </w:pPr>
            <w:r>
              <w:rPr>
                <w:rFonts w:ascii="Times New Roman"/>
                <w:sz w:val="18"/>
              </w:rPr>
              <w:t>42,133,555.90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21.17%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90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41,859,345.94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34,337,155.99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七、内幕信息知情人管理制度的建立和执行情况</w:t>
      </w:r>
      <w:r>
        <w:rPr>
          <w:b w:val="0"/>
          <w:bCs w:val="0"/>
        </w:rPr>
      </w:r>
    </w:p>
    <w:p>
      <w:pPr>
        <w:pStyle w:val="BodyText"/>
        <w:spacing w:line="620" w:lineRule="atLeast" w:before="71"/>
        <w:ind w:left="634" w:right="130"/>
        <w:jc w:val="left"/>
      </w:pPr>
      <w:r>
        <w:rPr/>
        <w:t>（一）内幕信息知情人管理制度的建设情况 为规范公司的内幕信息管理，加强内幕信息保密工作，以维护信息披露的公开、公平、</w:t>
      </w:r>
    </w:p>
    <w:p>
      <w:pPr>
        <w:pStyle w:val="BodyText"/>
        <w:spacing w:line="355" w:lineRule="auto" w:before="154"/>
        <w:ind w:left="154" w:right="111"/>
        <w:jc w:val="both"/>
      </w:pPr>
      <w:r>
        <w:rPr/>
        <w:t>公正原则，保护广大投资者的合法权益，根据《公司法》、《证券法》、《上市公司信息披 露管理办法》、《深圳证券交易所创业板股票上市规则》、《深圳证券交易所创业板上市公 司规范运作指引》及有关法律、法规和《公司章程》等有关规定，公司制定了《内幕信息知 情人管理制度》、《特定对象来访接待管理制度》、《重大信息内部报告制度》、《董事、 监事和高级管理人员所持本公司股份及其变动管理制度》、《投资者关系管理制度》、《信 息披露管理制度》、《外部信息报送和使用管理制度》等一系列信息管理及证券事务制度。 </w:t>
      </w:r>
      <w:r>
        <w:rPr>
          <w:spacing w:val="-2"/>
        </w:rPr>
        <w:t>为进一步规范公司内幕信息管理，加强内幕信息保密工作，公司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日召开的第二届</w:t>
      </w:r>
      <w:r>
        <w:rPr>
          <w:spacing w:val="-114"/>
        </w:rPr>
        <w:t> </w:t>
      </w:r>
      <w:r>
        <w:rPr/>
        <w:t>董事会第十一次会议上对《内幕信息知情人管理制度》进行了修订。</w:t>
      </w:r>
    </w:p>
    <w:p>
      <w:pPr>
        <w:pStyle w:val="BodyText"/>
        <w:spacing w:line="240" w:lineRule="auto" w:before="194"/>
        <w:ind w:left="634" w:right="610"/>
        <w:jc w:val="left"/>
      </w:pPr>
      <w:r>
        <w:rPr/>
        <w:t>（二）内幕信息知情人管理制度的执行情况</w:t>
      </w:r>
    </w:p>
    <w:p>
      <w:pPr>
        <w:spacing w:line="240" w:lineRule="auto" w:before="9"/>
        <w:rPr>
          <w:rFonts w:ascii="宋体" w:hAnsi="宋体" w:cs="宋体" w:eastAsia="宋体" w:hint="default"/>
          <w:sz w:val="23"/>
          <w:szCs w:val="23"/>
        </w:rPr>
      </w:pPr>
    </w:p>
    <w:p>
      <w:pPr>
        <w:pStyle w:val="BodyText"/>
        <w:spacing w:line="338" w:lineRule="auto"/>
        <w:ind w:left="634" w:right="130"/>
        <w:jc w:val="left"/>
      </w:pPr>
      <w:r>
        <w:rPr>
          <w:rFonts w:ascii="Times New Roman" w:hAnsi="Times New Roman" w:cs="Times New Roman" w:eastAsia="Times New Roman" w:hint="default"/>
        </w:rPr>
        <w:t>1.</w:t>
      </w:r>
      <w:r>
        <w:rPr/>
        <w:t>定期报告披露期间的信息保密工作 报告期内，公司严格执行内幕信息保密制度，严格规范信息传递流程，在定期报告披露</w:t>
      </w:r>
    </w:p>
    <w:p>
      <w:pPr>
        <w:pStyle w:val="BodyText"/>
        <w:spacing w:line="357" w:lineRule="auto" w:before="55"/>
        <w:ind w:left="154" w:right="148"/>
        <w:jc w:val="both"/>
      </w:pPr>
      <w:r>
        <w:rPr/>
        <w:t>期间，对于未公开信息，公司证券事务部都严格控制知情人范围并向相关内幕信息知情人提 供《禁止内幕交易告知书》，组织填写《内幕信息知情人登记表》并签署《内幕信息知情人 保密协议》。经公司证券事务部核实无误后，按照相关法规规定在向深交所和河南证监局报 送定期报告相关资料的同时报备内幕信息知情人登记情况。</w:t>
      </w:r>
    </w:p>
    <w:p>
      <w:pPr>
        <w:pStyle w:val="BodyText"/>
        <w:spacing w:line="338" w:lineRule="auto" w:before="192"/>
        <w:ind w:left="634" w:right="130"/>
        <w:jc w:val="left"/>
      </w:pPr>
      <w:r>
        <w:rPr>
          <w:rFonts w:ascii="Times New Roman" w:hAnsi="Times New Roman" w:cs="Times New Roman" w:eastAsia="Times New Roman" w:hint="default"/>
        </w:rPr>
        <w:t>2.</w:t>
      </w:r>
      <w:r>
        <w:rPr/>
        <w:t>投资者调研期间的信息保密工作 在定期报告及重大事项披露期间，公司均尽量避免接待投资者的调研，努力做好定期报</w:t>
      </w:r>
    </w:p>
    <w:p>
      <w:pPr>
        <w:pStyle w:val="BodyText"/>
        <w:spacing w:line="357" w:lineRule="auto" w:before="55"/>
        <w:ind w:left="154" w:right="148"/>
        <w:jc w:val="both"/>
      </w:pPr>
      <w:r>
        <w:rPr/>
        <w:t>告及重大事项披露期间的信息保密工作。在日常接待投资者调研时，公司证券事务部负责履 行相关的信息保密工作程序。在投资者进行调研前，先对调研人员的个人信息进行备案，同 时要求签署投资者（机构）调研登记表与保密承诺书，并承诺在对外出具报告前需经公司认 可。在调研过程中，证券事务部人员认真做好相关会议记录并形成书面文件，要求调研人员</w:t>
      </w:r>
    </w:p>
    <w:p>
      <w:pPr>
        <w:spacing w:after="0" w:line="357"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240" w:lineRule="auto" w:before="26"/>
        <w:ind w:left="154" w:right="95"/>
        <w:jc w:val="left"/>
      </w:pPr>
      <w:r>
        <w:rPr/>
        <w:t>与被调研人员查阅后共同签署，并按照相关法规规定向深交所报备。</w:t>
      </w:r>
    </w:p>
    <w:p>
      <w:pPr>
        <w:spacing w:line="240" w:lineRule="auto" w:before="9"/>
        <w:rPr>
          <w:rFonts w:ascii="宋体" w:hAnsi="宋体" w:cs="宋体" w:eastAsia="宋体" w:hint="default"/>
          <w:sz w:val="23"/>
          <w:szCs w:val="23"/>
        </w:rPr>
      </w:pPr>
    </w:p>
    <w:p>
      <w:pPr>
        <w:pStyle w:val="BodyText"/>
        <w:spacing w:line="338" w:lineRule="auto"/>
        <w:ind w:left="633" w:right="251"/>
        <w:jc w:val="left"/>
      </w:pPr>
      <w:r>
        <w:rPr>
          <w:rFonts w:ascii="Times New Roman" w:hAnsi="Times New Roman" w:cs="Times New Roman" w:eastAsia="Times New Roman" w:hint="default"/>
        </w:rPr>
        <w:t>3.</w:t>
      </w:r>
      <w:r>
        <w:rPr/>
        <w:t>其他重大事件的信息保密工作 在其他重大事项（如对外投资等）未披露前，公司均严格控制知情人范围并向相关内幕</w:t>
      </w:r>
    </w:p>
    <w:p>
      <w:pPr>
        <w:pStyle w:val="BodyText"/>
        <w:spacing w:line="357" w:lineRule="auto" w:before="55"/>
        <w:ind w:right="251"/>
        <w:jc w:val="left"/>
      </w:pPr>
      <w:r>
        <w:rPr/>
        <w:t>信息知情人提供《禁止内幕交易告知书》，组织填写《内幕信息知情人登记表》并签署《内 幕信息知情人保密协议》，以保证信息处于可控范围。</w:t>
      </w:r>
    </w:p>
    <w:p>
      <w:pPr>
        <w:pStyle w:val="BodyText"/>
        <w:spacing w:line="338" w:lineRule="auto" w:before="192"/>
        <w:ind w:left="633" w:right="251"/>
        <w:jc w:val="left"/>
      </w:pPr>
      <w:r>
        <w:rPr>
          <w:rFonts w:ascii="Times New Roman" w:hAnsi="Times New Roman" w:cs="Times New Roman" w:eastAsia="Times New Roman" w:hint="default"/>
        </w:rPr>
        <w:t>4.</w:t>
      </w:r>
      <w:r>
        <w:rPr/>
        <w:t>外部信息报送和使用 为进一步加强公司定期报告、临时报告及重大事项在编制、审议和披露期间的外部信息</w:t>
      </w:r>
    </w:p>
    <w:p>
      <w:pPr>
        <w:pStyle w:val="BodyText"/>
        <w:spacing w:line="357" w:lineRule="auto" w:before="55"/>
        <w:ind w:right="95"/>
        <w:jc w:val="left"/>
      </w:pPr>
      <w:r>
        <w:rPr>
          <w:spacing w:val="-3"/>
        </w:rPr>
        <w:t>使用人的管理，规范外部信息报送管理事务，杜绝泄露内幕信息、内幕交易等违法违规行为，</w:t>
      </w:r>
      <w:r>
        <w:rPr>
          <w:spacing w:val="-81"/>
        </w:rPr>
        <w:t> </w:t>
      </w:r>
      <w:r>
        <w:rPr>
          <w:spacing w:val="-81"/>
        </w:rPr>
      </w:r>
      <w:r>
        <w:rPr/>
        <w:t>公司制定了《外部信息报送和使用管理制度》。公司依据法律法规的要求对外报送信息前， 经办人员填写对《外信息报送审批表》，经逐级批准后方可对外报送。公司将对外报送的未 公开信息作为内幕信息，并向信息使用人出具书面《保密提示函》提示报送的外部单位及相 关人员认真履行《证券法》、《上市公司信息披露管理办法》等有关法律法规规定的保密义 </w:t>
      </w:r>
      <w:r>
        <w:rPr>
          <w:spacing w:val="-3"/>
        </w:rPr>
        <w:t>务和禁止内幕交易的义务，并要求接收方签署《回函》。经办人将《保密提示函》和《回函》</w:t>
      </w:r>
      <w:r>
        <w:rPr>
          <w:spacing w:val="-80"/>
        </w:rPr>
        <w:t> </w:t>
      </w:r>
      <w:r>
        <w:rPr>
          <w:spacing w:val="-80"/>
        </w:rPr>
      </w:r>
      <w:r>
        <w:rPr/>
        <w:t>复印件留本部门备查，原件交由公司证券事务部存档。除上述要求外，公司对外报送未公开 重大信息时，首先进行备案登记，并要求接收方签署《保密承诺函》。</w:t>
      </w:r>
    </w:p>
    <w:p>
      <w:pPr>
        <w:pStyle w:val="BodyText"/>
        <w:spacing w:line="357" w:lineRule="auto" w:before="192"/>
        <w:ind w:left="634" w:right="250"/>
        <w:jc w:val="left"/>
      </w:pPr>
      <w:r>
        <w:rPr/>
        <w:t>（三）报告期内自查内幕信息知情人涉嫌内幕交易以及监管部门的查处和整改情况 报告期内，公司董事、监事及高级管理人员和其他相关知情人严格遵守了内幕信息知情</w:t>
      </w:r>
    </w:p>
    <w:p>
      <w:pPr>
        <w:pStyle w:val="BodyText"/>
        <w:spacing w:line="357" w:lineRule="auto" w:before="36"/>
        <w:ind w:left="154" w:right="250"/>
        <w:jc w:val="left"/>
      </w:pPr>
      <w:r>
        <w:rPr/>
        <w:t>人管理制度，未发现有内幕信息知情人利用内幕信息买卖本公司股份的情况。报告期内公司 也未发生受到监管部门查处和整改的情形。</w:t>
      </w:r>
    </w:p>
    <w:p>
      <w:pPr>
        <w:spacing w:line="240" w:lineRule="auto" w:before="11"/>
        <w:rPr>
          <w:rFonts w:ascii="宋体" w:hAnsi="宋体" w:cs="宋体" w:eastAsia="宋体" w:hint="default"/>
          <w:sz w:val="19"/>
          <w:szCs w:val="19"/>
        </w:rPr>
      </w:pPr>
    </w:p>
    <w:p>
      <w:pPr>
        <w:pStyle w:val="Heading2"/>
        <w:spacing w:line="240" w:lineRule="auto"/>
        <w:ind w:right="95"/>
        <w:jc w:val="left"/>
        <w:rPr>
          <w:b w:val="0"/>
          <w:bCs w:val="0"/>
        </w:rPr>
      </w:pP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公司董事会秘书办 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长信基金管理有限 责任公司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公司手机一卡通业务情况 及公司未来的发展方向</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公司业务基本情况、手机</w:t>
            </w:r>
          </w:p>
        </w:tc>
      </w:tr>
      <w:tr>
        <w:trPr>
          <w:trHeight w:val="630"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公司董事会秘书办 公室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太平洋证券股份有 限公司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一卡通业务情况、资本运 作进行情况及公司金融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卡多行业应用的推广情况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公司董事会秘书办 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广发证券股份有限 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2"/>
              <w:jc w:val="left"/>
              <w:rPr>
                <w:rFonts w:ascii="宋体" w:hAnsi="宋体" w:cs="宋体" w:eastAsia="宋体" w:hint="default"/>
                <w:sz w:val="18"/>
                <w:szCs w:val="18"/>
              </w:rPr>
            </w:pPr>
            <w:r>
              <w:rPr>
                <w:rFonts w:ascii="宋体" w:hAnsi="宋体" w:cs="宋体" w:eastAsia="宋体" w:hint="default"/>
                <w:sz w:val="18"/>
                <w:szCs w:val="18"/>
              </w:rPr>
              <w:t>公司校园一卡通产品升级 及市场推广情况、与运营</w:t>
            </w:r>
          </w:p>
        </w:tc>
      </w:tr>
    </w:tbl>
    <w:p>
      <w:pPr>
        <w:spacing w:after="0" w:line="316" w:lineRule="auto"/>
        <w:jc w:val="left"/>
        <w:rPr>
          <w:rFonts w:ascii="宋体" w:hAnsi="宋体" w:cs="宋体" w:eastAsia="宋体" w:hint="default"/>
          <w:sz w:val="18"/>
          <w:szCs w:val="18"/>
        </w:rPr>
        <w:sectPr>
          <w:pgSz w:w="11910" w:h="16840"/>
          <w:pgMar w:header="851" w:footer="982" w:top="1220" w:bottom="1180" w:left="980" w:right="900"/>
        </w:sectPr>
      </w:pPr>
    </w:p>
    <w:p>
      <w:pPr>
        <w:spacing w:line="240" w:lineRule="auto" w:before="5"/>
        <w:rPr>
          <w:rFonts w:ascii="Times New Roman" w:hAnsi="Times New Roman" w:cs="Times New Roman" w:eastAsia="Times New Roman"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1298"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商及银联合作情况、公司 </w:t>
            </w:r>
            <w:r>
              <w:rPr>
                <w:rFonts w:ascii="Times New Roman" w:hAnsi="Times New Roman" w:cs="Times New Roman" w:eastAsia="Times New Roman" w:hint="default"/>
                <w:sz w:val="18"/>
                <w:szCs w:val="18"/>
              </w:rPr>
              <w:t>“</w:t>
            </w:r>
            <w:r>
              <w:rPr>
                <w:rFonts w:ascii="宋体" w:hAnsi="宋体" w:cs="宋体" w:eastAsia="宋体" w:hint="default"/>
                <w:sz w:val="18"/>
                <w:szCs w:val="18"/>
              </w:rPr>
              <w:t>平安校园</w:t>
            </w:r>
            <w:r>
              <w:rPr>
                <w:rFonts w:ascii="Times New Roman" w:hAnsi="Times New Roman" w:cs="Times New Roman" w:eastAsia="Times New Roman" w:hint="default"/>
                <w:sz w:val="18"/>
                <w:szCs w:val="18"/>
              </w:rPr>
              <w:t>”</w:t>
            </w:r>
            <w:r>
              <w:rPr>
                <w:rFonts w:ascii="宋体" w:hAnsi="宋体" w:cs="宋体" w:eastAsia="宋体" w:hint="default"/>
                <w:sz w:val="18"/>
                <w:szCs w:val="18"/>
              </w:rPr>
              <w:t>业务推进情 况、公司移动支付、金融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卡多行业应用推进情况</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公司校园一卡通产品情</w:t>
            </w:r>
          </w:p>
        </w:tc>
      </w:tr>
      <w:tr>
        <w:trPr>
          <w:trHeight w:val="31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况、新产品开发及市场开</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公司董事会秘书办 公室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天相投资顾问有限 公司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拓情况、与运营商及银联 合作情况、公司在资源管</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控方面的发展情况、公司</w:t>
            </w:r>
          </w:p>
        </w:tc>
      </w:tr>
      <w:tr>
        <w:trPr>
          <w:trHeight w:val="357"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未来整体发展战略</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7"/>
        <w:ind w:right="3667"/>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95"/>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会计师事务所对资金占用的专项审核意见</w:t>
      </w:r>
    </w:p>
    <w:p>
      <w:pPr>
        <w:pStyle w:val="BodyText"/>
        <w:spacing w:line="350" w:lineRule="auto" w:before="70"/>
        <w:ind w:left="154" w:right="95" w:firstLine="480"/>
        <w:jc w:val="left"/>
      </w:pPr>
      <w:r>
        <w:rPr/>
        <w:t>按照中国证券监督管理委员会、国务院国有资产监督管理委员会印发的《关于规范上市 </w:t>
      </w:r>
      <w:r>
        <w:rPr>
          <w:spacing w:val="-1"/>
        </w:rPr>
        <w:t>公司与关联方资金往来及上市公司对外担保若干问题的通知》（证监发</w:t>
      </w:r>
      <w:r>
        <w:rPr>
          <w:rFonts w:ascii="Times New Roman" w:hAnsi="Times New Roman" w:cs="Times New Roman" w:eastAsia="Times New Roman" w:hint="default"/>
          <w:spacing w:val="-1"/>
        </w:rPr>
        <w:t>[2003]56</w:t>
      </w:r>
      <w:r>
        <w:rPr>
          <w:spacing w:val="-1"/>
        </w:rPr>
        <w:t>号）的规定，</w:t>
      </w:r>
      <w:r>
        <w:rPr>
          <w:spacing w:val="-91"/>
        </w:rPr>
        <w:t> </w:t>
      </w:r>
      <w:r>
        <w:rPr/>
        <w:t>编制和披露汇总表、提供真实、合法、完整的审核证据是贵公司管理层的责任，我们的责任</w:t>
      </w:r>
      <w:r>
        <w:rPr/>
        <w:t> 是在执行审核工作的基础上对汇总表发表专项审核意见。</w:t>
      </w:r>
    </w:p>
    <w:p>
      <w:pPr>
        <w:pStyle w:val="BodyText"/>
        <w:spacing w:line="357" w:lineRule="auto" w:before="43"/>
        <w:ind w:left="154" w:right="92" w:firstLine="480"/>
        <w:jc w:val="left"/>
      </w:pPr>
      <w:r>
        <w:rPr/>
        <w:t>我们按照中国注册会计师审计准则的相关规定执行了审核工作。中国注册会计师审计准 则要求我们遵守中国注册会计师职业道德守则，计划和执行审核工作以对汇总表是否不存在 重大错报获取合理保证。在审核过程中，我们实施了包括检查会计记录、重新计算相关项目 </w:t>
      </w:r>
      <w:r>
        <w:rPr>
          <w:spacing w:val="-2"/>
        </w:rPr>
        <w:t>金额等我们认为必要的程序。我们相信，我们的审核工作为发表审核意见提供了合理的基础。</w:t>
      </w:r>
    </w:p>
    <w:p>
      <w:pPr>
        <w:pStyle w:val="BodyText"/>
        <w:spacing w:line="338" w:lineRule="auto" w:before="36"/>
        <w:ind w:left="154" w:right="250" w:firstLine="480"/>
        <w:jc w:val="left"/>
      </w:pPr>
      <w:r>
        <w:rPr/>
        <w:t>我们认为，后附汇总表所载资料与我们审计贵公司</w:t>
      </w:r>
      <w:r>
        <w:rPr>
          <w:rFonts w:ascii="Times New Roman" w:hAnsi="Times New Roman" w:cs="Times New Roman" w:eastAsia="Times New Roman" w:hint="default"/>
        </w:rPr>
        <w:t>2012</w:t>
      </w:r>
      <w:r>
        <w:rPr/>
        <w:t>年度财务报表时所复核的会计资 料和经审计的财务报表的相关内容，在所有重大方面没有发现不一致。</w:t>
      </w:r>
    </w:p>
    <w:p>
      <w:pPr>
        <w:pStyle w:val="BodyText"/>
        <w:spacing w:line="357" w:lineRule="auto" w:before="55"/>
        <w:ind w:left="154" w:right="95" w:firstLine="480"/>
        <w:jc w:val="left"/>
      </w:pPr>
      <w:r>
        <w:rPr>
          <w:spacing w:val="-3"/>
        </w:rPr>
        <w:t>详见《关于郑州新开普电子股份有限公司关联方占用上市公司资金情况的专项审核报告》</w:t>
      </w:r>
      <w:r>
        <w:rPr/>
        <w:t> 中瑞岳华专审字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0467</w:t>
      </w:r>
      <w:r>
        <w:rPr/>
        <w:t>号。</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spacing w:line="465" w:lineRule="auto" w:before="0"/>
        <w:ind w:left="634" w:right="5290" w:hanging="480"/>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报告期内，公司无破产重组相关事项。</w:t>
      </w:r>
    </w:p>
    <w:p>
      <w:pPr>
        <w:pStyle w:val="Heading2"/>
        <w:spacing w:line="240" w:lineRule="auto" w:before="74"/>
        <w:ind w:right="95"/>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95"/>
        <w:jc w:val="left"/>
      </w:pPr>
      <w:r>
        <w:rPr/>
        <w:t>报告期内，公司无收购资产情况。</w:t>
      </w:r>
    </w:p>
    <w:p>
      <w:pPr>
        <w:spacing w:after="0" w:line="240" w:lineRule="auto"/>
        <w:jc w:val="left"/>
        <w:sectPr>
          <w:pgSz w:w="11910" w:h="16840"/>
          <w:pgMar w:header="851" w:footer="982" w:top="1220" w:bottom="1180" w:left="980" w:right="90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报告期内，公司无出售购资产情况。</w:t>
      </w:r>
    </w:p>
    <w:p>
      <w:pPr>
        <w:spacing w:line="240" w:lineRule="auto" w:before="9"/>
        <w:rPr>
          <w:rFonts w:ascii="宋体" w:hAnsi="宋体" w:cs="宋体" w:eastAsia="宋体" w:hint="default"/>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报告期内，公司无企业合并情况。</w:t>
      </w:r>
    </w:p>
    <w:p>
      <w:pPr>
        <w:spacing w:line="240" w:lineRule="auto" w:before="9"/>
        <w:rPr>
          <w:rFonts w:ascii="宋体" w:hAnsi="宋体" w:cs="宋体" w:eastAsia="宋体" w:hint="default"/>
          <w:sz w:val="24"/>
          <w:szCs w:val="24"/>
        </w:rPr>
      </w:pPr>
    </w:p>
    <w:p>
      <w:pPr>
        <w:spacing w:line="259" w:lineRule="auto" w:before="0"/>
        <w:ind w:left="154"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、自资产重组报告书或收购出售资产公告刊登后，该事项的进展情况及对报告期经营成果与财务状况的</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影响</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Heading2"/>
        <w:spacing w:line="470" w:lineRule="auto"/>
        <w:ind w:right="5634" w:firstLine="480"/>
        <w:jc w:val="left"/>
        <w:rPr>
          <w:b w:val="0"/>
          <w:bCs w:val="0"/>
        </w:rPr>
      </w:pPr>
      <w:r>
        <w:rPr>
          <w:rFonts w:ascii="宋体" w:hAnsi="宋体" w:cs="宋体" w:eastAsia="宋体" w:hint="default"/>
          <w:b w:val="0"/>
          <w:bCs w:val="0"/>
        </w:rPr>
        <w:t>无。 </w:t>
      </w:r>
      <w:r>
        <w:rPr/>
        <w:t>五、公司股权激励的实施情况及其影响</w:t>
      </w:r>
      <w:r>
        <w:rPr>
          <w:b w:val="0"/>
          <w:bCs w:val="0"/>
        </w:rPr>
      </w:r>
    </w:p>
    <w:p>
      <w:pPr>
        <w:spacing w:line="470" w:lineRule="auto" w:before="66"/>
        <w:ind w:left="154" w:right="5650" w:firstLine="480"/>
        <w:jc w:val="left"/>
        <w:rPr>
          <w:rFonts w:ascii="宋体" w:hAnsi="宋体" w:cs="宋体" w:eastAsia="宋体" w:hint="default"/>
          <w:sz w:val="24"/>
          <w:szCs w:val="24"/>
        </w:rPr>
      </w:pPr>
      <w:r>
        <w:rPr>
          <w:rFonts w:ascii="宋体" w:hAnsi="宋体" w:cs="宋体" w:eastAsia="宋体" w:hint="default"/>
          <w:sz w:val="24"/>
          <w:szCs w:val="24"/>
        </w:rPr>
        <w:t>报告期内，公司无股权激励事项。 </w:t>
      </w:r>
      <w:r>
        <w:rPr>
          <w:rFonts w:ascii="宋体" w:hAnsi="宋体" w:cs="宋体" w:eastAsia="宋体" w:hint="default"/>
          <w:b/>
          <w:bCs/>
          <w:sz w:val="24"/>
          <w:szCs w:val="24"/>
        </w:rPr>
        <w:t>六、重大关联交易</w:t>
      </w:r>
      <w:r>
        <w:rPr>
          <w:rFonts w:ascii="宋体" w:hAnsi="宋体" w:cs="宋体" w:eastAsia="宋体" w:hint="default"/>
          <w:sz w:val="24"/>
          <w:szCs w:val="24"/>
        </w:rPr>
      </w:r>
    </w:p>
    <w:p>
      <w:pPr>
        <w:spacing w:line="477" w:lineRule="auto" w:before="66"/>
        <w:ind w:left="154" w:right="5650" w:firstLine="480"/>
        <w:jc w:val="left"/>
        <w:rPr>
          <w:rFonts w:ascii="宋体" w:hAnsi="宋体" w:cs="宋体" w:eastAsia="宋体" w:hint="default"/>
          <w:sz w:val="21"/>
          <w:szCs w:val="21"/>
        </w:rPr>
      </w:pPr>
      <w:r>
        <w:rPr>
          <w:rFonts w:ascii="宋体" w:hAnsi="宋体" w:cs="宋体" w:eastAsia="宋体" w:hint="default"/>
          <w:sz w:val="24"/>
          <w:szCs w:val="24"/>
        </w:rPr>
        <w:t>报告期内，公司未发生关联交易。 </w:t>
      </w:r>
      <w:r>
        <w:rPr>
          <w:rFonts w:ascii="宋体" w:hAnsi="宋体" w:cs="宋体" w:eastAsia="宋体" w:hint="default"/>
          <w:b/>
          <w:bCs/>
          <w:sz w:val="24"/>
          <w:szCs w:val="24"/>
        </w:rPr>
        <w:t>七、重大合同及其履行情况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before="92"/>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94"/>
        <w:jc w:val="left"/>
      </w:pPr>
      <w:r>
        <w:rPr/>
        <w:t>报告期内，公司未发生及无以前期间发生延续到报告期的托管或其他公司托管事项。</w:t>
      </w:r>
    </w:p>
    <w:p>
      <w:pPr>
        <w:spacing w:before="165"/>
        <w:ind w:left="154" w:right="61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94"/>
        <w:jc w:val="left"/>
      </w:pPr>
      <w:r>
        <w:rPr/>
        <w:t>报告期内，公司未发生及无以前期间发生延续到报告期的承包或其他公司承包事项。</w:t>
      </w:r>
    </w:p>
    <w:p>
      <w:pPr>
        <w:spacing w:before="165"/>
        <w:ind w:left="154" w:right="61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94"/>
        <w:jc w:val="left"/>
      </w:pPr>
      <w:r>
        <w:rPr/>
        <w:t>报告期内，公司未发生及无以前期间发生延续到报告期的租赁或其他公司租赁事项。</w:t>
      </w:r>
    </w:p>
    <w:p>
      <w:pPr>
        <w:spacing w:before="165"/>
        <w:ind w:left="154" w:right="61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6"/>
        <w:rPr>
          <w:rFonts w:ascii="宋体" w:hAnsi="宋体" w:cs="宋体" w:eastAsia="宋体" w:hint="default"/>
          <w:sz w:val="11"/>
          <w:szCs w:val="11"/>
        </w:rPr>
      </w:pPr>
      <w:r>
        <w:rPr/>
        <w:pict>
          <v:group style="position:absolute;margin-left:217.559998pt;margin-top:625.440002pt;width:156.7pt;height:31.2pt;mso-position-horizontal-relative:page;mso-position-vertical-relative:page;z-index:-885616" coordorigin="4351,12509" coordsize="3134,624">
            <v:group style="position:absolute;left:4351;top:12509;width:3134;height:312" coordorigin="4351,12509" coordsize="3134,312">
              <v:shape style="position:absolute;left:4351;top:12509;width:3134;height:312" coordorigin="4351,12509" coordsize="3134,312" path="m4351,12821l7484,12821,7484,12509,4351,12509,4351,12821xe" filled="true" fillcolor="#ffffff" stroked="false">
                <v:path arrowok="t"/>
                <v:fill type="solid"/>
              </v:shape>
            </v:group>
            <v:group style="position:absolute;left:4351;top:12821;width:3134;height:312" coordorigin="4351,12821" coordsize="3134,312">
              <v:shape style="position:absolute;left:4351;top:12821;width:3134;height:312" coordorigin="4351,12821" coordsize="3134,312" path="m4351,13133l7484,13133,7484,12821,4351,12821,4351,13133xe" filled="true" fillcolor="#ffffff" stroked="false">
                <v:path arrowok="t"/>
                <v:fill type="solid"/>
              </v:shape>
            </v:group>
            <w10:wrap type="none"/>
          </v:group>
        </w:pict>
      </w:r>
    </w:p>
    <w:p>
      <w:pPr>
        <w:spacing w:before="35"/>
        <w:ind w:left="6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1094" w:right="0"/>
        <w:jc w:val="left"/>
      </w:pPr>
      <w:r>
        <w:rPr/>
        <w:t>报告期内，公司未发生担保事项。</w:t>
      </w:r>
    </w:p>
    <w:p>
      <w:pPr>
        <w:spacing w:line="240" w:lineRule="auto" w:before="7"/>
        <w:rPr>
          <w:rFonts w:ascii="宋体" w:hAnsi="宋体" w:cs="宋体" w:eastAsia="宋体" w:hint="default"/>
          <w:sz w:val="24"/>
          <w:szCs w:val="24"/>
        </w:rPr>
      </w:pPr>
    </w:p>
    <w:p>
      <w:pPr>
        <w:spacing w:before="0"/>
        <w:ind w:left="6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、报告期内或报告期继续发生的委托理财情况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6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1094" w:right="0"/>
        <w:jc w:val="left"/>
      </w:pPr>
      <w:r>
        <w:rPr/>
        <w:t>报告期内，公司无委托理财事项。</w:t>
      </w:r>
    </w:p>
    <w:p>
      <w:pPr>
        <w:spacing w:line="240" w:lineRule="auto" w:before="8"/>
        <w:rPr>
          <w:rFonts w:ascii="宋体" w:hAnsi="宋体" w:cs="宋体" w:eastAsia="宋体" w:hint="default"/>
          <w:sz w:val="24"/>
          <w:szCs w:val="24"/>
        </w:rPr>
      </w:pPr>
    </w:p>
    <w:p>
      <w:pPr>
        <w:spacing w:before="0"/>
        <w:ind w:left="6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614"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7"/>
        <w:ind w:left="6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6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1094" w:right="0"/>
        <w:jc w:val="left"/>
      </w:pPr>
      <w:r>
        <w:rPr/>
        <w:t>报告期内，公司无委托贷款事项。</w:t>
      </w:r>
    </w:p>
    <w:p>
      <w:pPr>
        <w:spacing w:line="240" w:lineRule="auto" w:before="7"/>
        <w:rPr>
          <w:rFonts w:ascii="宋体" w:hAnsi="宋体" w:cs="宋体" w:eastAsia="宋体" w:hint="default"/>
          <w:sz w:val="24"/>
          <w:szCs w:val="24"/>
        </w:rPr>
      </w:pPr>
    </w:p>
    <w:p>
      <w:pPr>
        <w:spacing w:before="0"/>
        <w:ind w:left="6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line="468" w:lineRule="auto" w:before="0"/>
        <w:ind w:left="614" w:right="6150" w:firstLine="480"/>
        <w:jc w:val="left"/>
        <w:rPr>
          <w:rFonts w:ascii="宋体" w:hAnsi="宋体" w:cs="宋体" w:eastAsia="宋体" w:hint="default"/>
          <w:sz w:val="24"/>
          <w:szCs w:val="24"/>
        </w:rPr>
      </w:pPr>
      <w:r>
        <w:rPr>
          <w:rFonts w:ascii="宋体" w:hAnsi="宋体" w:cs="宋体" w:eastAsia="宋体" w:hint="default"/>
          <w:sz w:val="24"/>
          <w:szCs w:val="24"/>
        </w:rPr>
        <w:t>报告期内，公司无其他重大合同。 </w:t>
      </w:r>
      <w:r>
        <w:rPr>
          <w:rFonts w:ascii="宋体" w:hAnsi="宋体" w:cs="宋体" w:eastAsia="宋体" w:hint="default"/>
          <w:b/>
          <w:bCs/>
          <w:sz w:val="24"/>
          <w:szCs w:val="24"/>
        </w:rPr>
        <w:t>八、承诺事项履行情况</w:t>
      </w:r>
      <w:r>
        <w:rPr>
          <w:rFonts w:ascii="宋体" w:hAnsi="宋体" w:cs="宋体" w:eastAsia="宋体" w:hint="default"/>
          <w:sz w:val="24"/>
          <w:szCs w:val="24"/>
        </w:rPr>
      </w:r>
    </w:p>
    <w:p>
      <w:pPr>
        <w:spacing w:before="95"/>
        <w:ind w:left="6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843"/>
        <w:gridCol w:w="1843"/>
        <w:gridCol w:w="3190"/>
        <w:gridCol w:w="920"/>
        <w:gridCol w:w="1069"/>
        <w:gridCol w:w="1766"/>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承诺人</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本公司控股股东暨实</w:t>
            </w:r>
          </w:p>
        </w:tc>
        <w:tc>
          <w:tcPr>
            <w:tcW w:w="319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c>
          <w:tcPr>
            <w:tcW w:w="1069" w:type="dxa"/>
            <w:tcBorders>
              <w:top w:val="single" w:sz="4" w:space="0" w:color="000000"/>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
        </w:tc>
      </w:tr>
      <w:tr>
        <w:trPr>
          <w:trHeight w:val="1561"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843"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际控制人杨维国及其 一致行动人尚卫国、付 </w:t>
            </w:r>
            <w:r>
              <w:rPr>
                <w:rFonts w:ascii="宋体" w:hAnsi="宋体" w:cs="宋体" w:eastAsia="宋体" w:hint="default"/>
                <w:spacing w:val="-11"/>
                <w:sz w:val="18"/>
                <w:szCs w:val="18"/>
              </w:rPr>
              <w:t>秋生、赵利宾、华梦阳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傅常顺、刘恩臣、郎金</w:t>
            </w:r>
            <w:r>
              <w:rPr>
                <w:rFonts w:ascii="宋体" w:hAnsi="宋体" w:cs="宋体" w:eastAsia="宋体" w:hint="default"/>
                <w:sz w:val="18"/>
                <w:szCs w:val="18"/>
              </w:rPr>
              <w:t> 文、杜建平、葛晓阁等</w:t>
            </w:r>
          </w:p>
        </w:tc>
        <w:tc>
          <w:tcPr>
            <w:tcW w:w="3190" w:type="dxa"/>
            <w:tcBorders>
              <w:top w:val="nil" w:sz="6" w:space="0" w:color="auto"/>
              <w:left w:val="single" w:sz="13" w:space="0" w:color="FFFFFF"/>
              <w:bottom w:val="nil" w:sz="6" w:space="0" w:color="auto"/>
              <w:right w:val="single" w:sz="4" w:space="0" w:color="000000"/>
            </w:tcBorders>
          </w:tcPr>
          <w:p>
            <w:pPr>
              <w:pStyle w:val="TableParagraph"/>
              <w:spacing w:line="310" w:lineRule="atLeast" w:before="92"/>
              <w:ind w:left="11" w:right="95"/>
              <w:jc w:val="left"/>
              <w:rPr>
                <w:rFonts w:ascii="宋体" w:hAnsi="宋体" w:cs="宋体" w:eastAsia="宋体" w:hint="default"/>
                <w:sz w:val="18"/>
                <w:szCs w:val="18"/>
              </w:rPr>
            </w:pPr>
            <w:r>
              <w:rPr>
                <w:rFonts w:ascii="宋体" w:hAnsi="宋体" w:cs="宋体" w:eastAsia="宋体" w:hint="default"/>
                <w:sz w:val="18"/>
                <w:szCs w:val="18"/>
              </w:rPr>
              <w:t>自发行人股票上市之日起三十六个月 内，不转让或者委托他人管理本次发行</w:t>
            </w:r>
          </w:p>
          <w:p>
            <w:pPr>
              <w:pStyle w:val="TableParagraph"/>
              <w:spacing w:line="11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前本人已持有的发行人股份，也不由发</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行人回购该部分股份。</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9" w:lineRule="auto"/>
              <w:ind w:left="23" w:right="133"/>
              <w:jc w:val="both"/>
              <w:rPr>
                <w:rFonts w:ascii="宋体" w:hAnsi="宋体" w:cs="宋体" w:eastAsia="宋体" w:hint="default"/>
                <w:sz w:val="18"/>
                <w:szCs w:val="18"/>
              </w:rPr>
            </w:pPr>
            <w:r>
              <w:rPr>
                <w:rFonts w:ascii="宋体" w:hAnsi="宋体" w:cs="宋体" w:eastAsia="宋体" w:hint="default"/>
                <w:sz w:val="18"/>
                <w:szCs w:val="18"/>
              </w:rPr>
              <w:t>自公司上市 之日起三十 六个月。</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、截至本报告期末， 上述所有承诺人严格 </w:t>
            </w:r>
            <w:r>
              <w:rPr>
                <w:rFonts w:ascii="宋体" w:hAnsi="宋体" w:cs="宋体" w:eastAsia="宋体" w:hint="default"/>
                <w:spacing w:val="-9"/>
                <w:sz w:val="18"/>
                <w:szCs w:val="18"/>
              </w:rPr>
              <w:t>信守承诺，未出现违反</w:t>
            </w:r>
            <w:r>
              <w:rPr>
                <w:rFonts w:ascii="宋体" w:hAnsi="宋体" w:cs="宋体" w:eastAsia="宋体" w:hint="default"/>
                <w:sz w:val="18"/>
                <w:szCs w:val="18"/>
              </w:rPr>
              <w:t> 承诺的情况发生。</w:t>
            </w:r>
          </w:p>
        </w:tc>
      </w:tr>
      <w:tr>
        <w:trPr>
          <w:trHeight w:val="356"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w:t>
            </w:r>
          </w:p>
        </w:tc>
        <w:tc>
          <w:tcPr>
            <w:tcW w:w="319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c>
          <w:tcPr>
            <w:tcW w:w="1069" w:type="dxa"/>
            <w:tcBorders>
              <w:top w:val="nil" w:sz="6" w:space="0" w:color="auto"/>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
              <w:jc w:val="left"/>
              <w:rPr>
                <w:rFonts w:ascii="宋体" w:hAnsi="宋体" w:cs="宋体" w:eastAsia="宋体" w:hint="default"/>
                <w:sz w:val="18"/>
                <w:szCs w:val="18"/>
              </w:rPr>
            </w:pPr>
            <w:r>
              <w:rPr>
                <w:rFonts w:ascii="宋体" w:hAnsi="宋体" w:cs="宋体" w:eastAsia="宋体" w:hint="default"/>
                <w:sz w:val="18"/>
                <w:szCs w:val="18"/>
              </w:rPr>
              <w:t>公司法人股东无锡国 联卓成创业投资有限 公司及吴凤辉、于照 永、邵彦超、李永革、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自发行人股票上市之日起十二个月内， 不转让或者委托他人管理本次发行前本 人已持有的发行人股份，也不由发行人 回购该部分股份。</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33"/>
              <w:jc w:val="both"/>
              <w:rPr>
                <w:rFonts w:ascii="宋体" w:hAnsi="宋体" w:cs="宋体" w:eastAsia="宋体" w:hint="default"/>
                <w:sz w:val="18"/>
                <w:szCs w:val="18"/>
              </w:rPr>
            </w:pPr>
            <w:r>
              <w:rPr>
                <w:rFonts w:ascii="宋体" w:hAnsi="宋体" w:cs="宋体" w:eastAsia="宋体" w:hint="default"/>
                <w:sz w:val="18"/>
                <w:szCs w:val="18"/>
              </w:rPr>
              <w:t>自公司上上 市之日起十 二个月。</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15"/>
                <w:sz w:val="18"/>
                <w:szCs w:val="18"/>
              </w:rPr>
              <w:t>日，该</w:t>
            </w:r>
            <w:r>
              <w:rPr>
                <w:rFonts w:ascii="宋体" w:hAnsi="宋体" w:cs="宋体" w:eastAsia="宋体" w:hint="default"/>
                <w:sz w:val="18"/>
                <w:szCs w:val="18"/>
              </w:rPr>
              <w:t> </w:t>
            </w:r>
            <w:r>
              <w:rPr>
                <w:rFonts w:ascii="宋体" w:hAnsi="宋体" w:cs="宋体" w:eastAsia="宋体" w:hint="default"/>
                <w:spacing w:val="-9"/>
                <w:sz w:val="18"/>
                <w:szCs w:val="18"/>
              </w:rPr>
              <w:t>承诺已履行完毕。上述</w:t>
            </w:r>
            <w:r>
              <w:rPr>
                <w:rFonts w:ascii="宋体" w:hAnsi="宋体" w:cs="宋体" w:eastAsia="宋体" w:hint="default"/>
                <w:sz w:val="18"/>
                <w:szCs w:val="18"/>
              </w:rPr>
              <w:t> 所有承诺人严格信守 </w:t>
            </w:r>
            <w:r>
              <w:rPr>
                <w:rFonts w:ascii="宋体" w:hAnsi="宋体" w:cs="宋体" w:eastAsia="宋体" w:hint="default"/>
                <w:spacing w:val="-9"/>
                <w:sz w:val="18"/>
                <w:szCs w:val="18"/>
              </w:rPr>
              <w:t>承诺，未出现违反承诺</w:t>
            </w:r>
          </w:p>
        </w:tc>
      </w:tr>
    </w:tbl>
    <w:p>
      <w:pPr>
        <w:spacing w:after="0" w:line="312" w:lineRule="auto"/>
        <w:jc w:val="left"/>
        <w:rPr>
          <w:rFonts w:ascii="宋体" w:hAnsi="宋体" w:cs="宋体" w:eastAsia="宋体" w:hint="default"/>
          <w:sz w:val="18"/>
          <w:szCs w:val="18"/>
        </w:rPr>
        <w:sectPr>
          <w:pgSz w:w="11910" w:h="16840"/>
          <w:pgMar w:header="851" w:footer="982" w:top="1220" w:bottom="1180" w:left="520" w:right="520"/>
        </w:sectPr>
      </w:pPr>
    </w:p>
    <w:p>
      <w:pPr>
        <w:spacing w:line="240" w:lineRule="auto" w:before="1"/>
        <w:rPr>
          <w:rFonts w:ascii="宋体" w:hAnsi="宋体" w:cs="宋体" w:eastAsia="宋体" w:hint="default"/>
          <w:b/>
          <w:bCs/>
          <w:sz w:val="16"/>
          <w:szCs w:val="16"/>
        </w:rPr>
      </w:pPr>
      <w:r>
        <w:rPr/>
        <w:pict>
          <v:shape style="position:absolute;margin-left:183.239395pt;margin-top:72.480003pt;width:192.2pt;height:282.850pt;mso-position-horizontal-relative:page;mso-position-vertical-relative:page;z-index:-885568" type="#_x0000_t202" filled="false" stroked="false">
            <v:textbox inset="0,0,0,0">
              <w:txbxContent>
                <w:p>
                  <w:pPr>
                    <w:spacing w:line="316" w:lineRule="auto" w:before="10"/>
                    <w:ind w:left="0" w:right="3121" w:firstLine="180"/>
                    <w:jc w:val="right"/>
                    <w:rPr>
                      <w:rFonts w:ascii="宋体" w:hAnsi="宋体" w:cs="宋体" w:eastAsia="宋体" w:hint="default"/>
                      <w:sz w:val="18"/>
                      <w:szCs w:val="18"/>
                    </w:rPr>
                  </w:pPr>
                  <w:r>
                    <w:rPr>
                      <w:rFonts w:ascii="宋体" w:hAnsi="宋体" w:cs="宋体" w:eastAsia="宋体" w:hint="default"/>
                      <w:sz w:val="18"/>
                      <w:szCs w:val="18"/>
                    </w:rPr>
                    <w:t>王卓、 张晋、 秦天福、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0"/>
                    <w:ind w:left="0" w:right="3121" w:firstLine="0"/>
                    <w:jc w:val="right"/>
                    <w:rPr>
                      <w:rFonts w:ascii="宋体" w:hAnsi="宋体" w:cs="宋体" w:eastAsia="宋体" w:hint="default"/>
                      <w:sz w:val="18"/>
                      <w:szCs w:val="18"/>
                    </w:rPr>
                  </w:pPr>
                  <w:r>
                    <w:rPr>
                      <w:rFonts w:ascii="宋体" w:hAnsi="宋体" w:cs="宋体" w:eastAsia="宋体" w:hint="default"/>
                      <w:sz w:val="18"/>
                      <w:szCs w:val="18"/>
                    </w:rPr>
                    <w:t>关虎、</w:t>
                  </w:r>
                </w:p>
                <w:p>
                  <w:pPr>
                    <w:spacing w:line="240" w:lineRule="auto" w:before="0"/>
                    <w:rPr>
                      <w:rFonts w:ascii="宋体" w:hAnsi="宋体" w:cs="宋体" w:eastAsia="宋体" w:hint="default"/>
                      <w:sz w:val="18"/>
                      <w:szCs w:val="18"/>
                    </w:rPr>
                  </w:pPr>
                </w:p>
                <w:p>
                  <w:pPr>
                    <w:spacing w:line="316" w:lineRule="auto" w:before="153"/>
                    <w:ind w:left="0" w:right="3121" w:firstLine="0"/>
                    <w:jc w:val="right"/>
                    <w:rPr>
                      <w:rFonts w:ascii="宋体" w:hAnsi="宋体" w:cs="宋体" w:eastAsia="宋体" w:hint="default"/>
                      <w:sz w:val="18"/>
                      <w:szCs w:val="18"/>
                    </w:rPr>
                  </w:pPr>
                  <w:r>
                    <w:rPr>
                      <w:rFonts w:ascii="宋体" w:hAnsi="宋体" w:cs="宋体" w:eastAsia="宋体" w:hint="default"/>
                      <w:sz w:val="18"/>
                      <w:szCs w:val="18"/>
                    </w:rPr>
                    <w:t>任海伦、 李军艳、</w:t>
                  </w:r>
                </w:p>
              </w:txbxContent>
            </v:textbox>
            <w10:wrap type="none"/>
          </v:shape>
        </w:pict>
      </w:r>
      <w:r>
        <w:rPr/>
        <w:pict>
          <v:shape style="position:absolute;margin-left:31.620001pt;margin-top:71.999962pt;width:532.35pt;height:696.4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843"/>
                    <w:gridCol w:w="3190"/>
                    <w:gridCol w:w="920"/>
                    <w:gridCol w:w="1069"/>
                    <w:gridCol w:w="1766"/>
                  </w:tblGrid>
                  <w:tr>
                    <w:trPr>
                      <w:trHeight w:val="318" w:hRule="exact"/>
                    </w:trPr>
                    <w:tc>
                      <w:tcPr>
                        <w:tcW w:w="1843" w:type="dxa"/>
                        <w:vMerge w:val="restart"/>
                        <w:tcBorders>
                          <w:top w:val="single" w:sz="4" w:space="0" w:color="000000"/>
                          <w:left w:val="single" w:sz="4" w:space="0" w:color="000000"/>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杨文寿、李文坚、</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920" w:type="dxa"/>
                        <w:vMerge w:val="restart"/>
                        <w:tcBorders>
                          <w:top w:val="single" w:sz="4" w:space="0" w:color="000000"/>
                          <w:left w:val="single" w:sz="4" w:space="0" w:color="000000"/>
                          <w:right w:val="single" w:sz="4" w:space="0" w:color="000000"/>
                        </w:tcBorders>
                      </w:tcPr>
                      <w:p>
                        <w:pPr/>
                      </w:p>
                    </w:tc>
                    <w:tc>
                      <w:tcPr>
                        <w:tcW w:w="1069" w:type="dxa"/>
                        <w:vMerge w:val="restart"/>
                        <w:tcBorders>
                          <w:top w:val="single" w:sz="4" w:space="0" w:color="000000"/>
                          <w:left w:val="single" w:sz="4" w:space="0" w:color="000000"/>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的情况发生。</w:t>
                        </w:r>
                      </w:p>
                    </w:tc>
                  </w:tr>
                  <w:tr>
                    <w:trPr>
                      <w:trHeight w:val="311"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张振京、焦征海、</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郭伍、秦玉昆、</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刘建新、崔红松、王勇</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军、肖难、韩雪、陈传</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兵、郭永旺、张建英、</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李文坚、丁广勇、阎玉</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玺、曾劲松、马东亚、</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 燚、吴冠军、陈卫</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国、彭勇平、徐亚飞、</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尚勤强、杨长昆、马超</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锋、沈延晓、苏扬鸣、</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高永辉、毕强伟、</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谢伟、李江、刘建军、</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冯一新、于滨、</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张翀、王葆玲、</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赵鑫、袁胜兵等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319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自然人股东。</w:t>
                        </w:r>
                      </w:p>
                    </w:tc>
                    <w:tc>
                      <w:tcPr>
                        <w:tcW w:w="319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作为公司的董事、监事或高级管理人员</w:t>
                        </w:r>
                      </w:p>
                    </w:tc>
                    <w:tc>
                      <w:tcPr>
                        <w:tcW w:w="920" w:type="dxa"/>
                        <w:tcBorders>
                          <w:top w:val="single" w:sz="4" w:space="0" w:color="000000"/>
                          <w:left w:val="single" w:sz="4" w:space="0" w:color="000000"/>
                          <w:bottom w:val="nil" w:sz="6" w:space="0" w:color="auto"/>
                          <w:right w:val="single" w:sz="4" w:space="0" w:color="000000"/>
                        </w:tcBorders>
                      </w:tcPr>
                      <w:p>
                        <w:pPr/>
                      </w:p>
                    </w:tc>
                    <w:tc>
                      <w:tcPr>
                        <w:tcW w:w="1069" w:type="dxa"/>
                        <w:tcBorders>
                          <w:top w:val="single" w:sz="4" w:space="0" w:color="000000"/>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承诺：严格遵守《公司法》和深圳证券</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交易所关于上市公司董事、监事与高级</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管理人员买卖本公司股份行为的相关规</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定，在任职期间每年转让的股份不超过</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本人所持有发行人股份总数的百分之二</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2" w:lineRule="auto"/>
                          <w:ind w:left="22" w:right="8"/>
                          <w:jc w:val="both"/>
                          <w:rPr>
                            <w:rFonts w:ascii="宋体" w:hAnsi="宋体" w:cs="宋体" w:eastAsia="宋体" w:hint="default"/>
                            <w:sz w:val="18"/>
                            <w:szCs w:val="18"/>
                          </w:rPr>
                        </w:pPr>
                        <w:r>
                          <w:rPr>
                            <w:rFonts w:ascii="宋体" w:hAnsi="宋体" w:cs="宋体" w:eastAsia="宋体" w:hint="default"/>
                            <w:sz w:val="18"/>
                            <w:szCs w:val="18"/>
                          </w:rPr>
                          <w:t>杨维国、尚卫国、付秋 生、赵利宾、华梦阳、 刘恩臣、王葆玲等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 自然人股东。</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十五；所持发行人股份自发行人股票上 市交易之日起十二个月内不得转让；在 公司首次公开发行股票上市之日起六个 月内申报离职的，自申报离职之日起十 八个月内不转让本人直接持有的发行人</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自出具承诺 之后。</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截至本报告期末，上述</w:t>
                        </w:r>
                        <w:r>
                          <w:rPr>
                            <w:rFonts w:ascii="宋体" w:hAnsi="宋体" w:cs="宋体" w:eastAsia="宋体" w:hint="default"/>
                            <w:sz w:val="18"/>
                            <w:szCs w:val="18"/>
                          </w:rPr>
                          <w:t> 所有承诺人严格信守 </w:t>
                        </w:r>
                        <w:r>
                          <w:rPr>
                            <w:rFonts w:ascii="宋体" w:hAnsi="宋体" w:cs="宋体" w:eastAsia="宋体" w:hint="default"/>
                            <w:spacing w:val="-9"/>
                            <w:sz w:val="18"/>
                            <w:szCs w:val="18"/>
                          </w:rPr>
                          <w:t>承诺，未出现违反承诺</w:t>
                        </w:r>
                        <w:r>
                          <w:rPr>
                            <w:rFonts w:ascii="宋体" w:hAnsi="宋体" w:cs="宋体" w:eastAsia="宋体" w:hint="default"/>
                            <w:sz w:val="18"/>
                            <w:szCs w:val="18"/>
                          </w:rPr>
                          <w:t> 的情况发生。</w:t>
                        </w: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股份；在公司首次公开发行股票上市之</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日起第七个月至第十二个月之间申报离</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职的，自申报离职之日起十二个月内不</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转让本人直接持有的发行人股份；在离</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职后六个月内，不转让本人所持有的发</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行人股份。</w:t>
                        </w:r>
                      </w:p>
                    </w:tc>
                    <w:tc>
                      <w:tcPr>
                        <w:tcW w:w="920" w:type="dxa"/>
                        <w:tcBorders>
                          <w:top w:val="nil" w:sz="6" w:space="0" w:color="auto"/>
                          <w:left w:val="single" w:sz="4" w:space="0" w:color="000000"/>
                          <w:bottom w:val="single" w:sz="4" w:space="0" w:color="000000"/>
                          <w:right w:val="single" w:sz="4" w:space="0" w:color="000000"/>
                        </w:tcBorders>
                      </w:tcPr>
                      <w:p>
                        <w:pPr/>
                      </w:p>
                    </w:tc>
                    <w:tc>
                      <w:tcPr>
                        <w:tcW w:w="1069" w:type="dxa"/>
                        <w:tcBorders>
                          <w:top w:val="nil" w:sz="6" w:space="0" w:color="auto"/>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为避免未来可能的同业竞争及减少关联</w:t>
                        </w:r>
                      </w:p>
                    </w:tc>
                    <w:tc>
                      <w:tcPr>
                        <w:tcW w:w="920" w:type="dxa"/>
                        <w:tcBorders>
                          <w:top w:val="single" w:sz="4" w:space="0" w:color="000000"/>
                          <w:left w:val="single" w:sz="4" w:space="0" w:color="000000"/>
                          <w:bottom w:val="nil" w:sz="6" w:space="0" w:color="auto"/>
                          <w:right w:val="single" w:sz="4" w:space="0" w:color="000000"/>
                        </w:tcBorders>
                      </w:tcPr>
                      <w:p>
                        <w:pPr/>
                      </w:p>
                    </w:tc>
                    <w:tc>
                      <w:tcPr>
                        <w:tcW w:w="1069" w:type="dxa"/>
                        <w:tcBorders>
                          <w:top w:val="single" w:sz="4" w:space="0" w:color="000000"/>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交易，本公司控股股东暨实际控制人杨</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9" w:lineRule="auto"/>
                          <w:ind w:left="22" w:right="188"/>
                          <w:jc w:val="left"/>
                          <w:rPr>
                            <w:rFonts w:ascii="宋体" w:hAnsi="宋体" w:cs="宋体" w:eastAsia="宋体" w:hint="default"/>
                            <w:sz w:val="18"/>
                            <w:szCs w:val="18"/>
                          </w:rPr>
                        </w:pPr>
                        <w:r>
                          <w:rPr>
                            <w:rFonts w:ascii="宋体" w:hAnsi="宋体" w:cs="宋体" w:eastAsia="宋体" w:hint="default"/>
                            <w:sz w:val="18"/>
                            <w:szCs w:val="18"/>
                          </w:rPr>
                          <w:t>公司控股股东暨实际 控制人杨维国。</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维国向本公司出具了《关于避免同业竞 </w:t>
                        </w:r>
                        <w:r>
                          <w:rPr>
                            <w:rFonts w:ascii="宋体" w:hAnsi="宋体" w:cs="宋体" w:eastAsia="宋体" w:hint="default"/>
                            <w:spacing w:val="-6"/>
                            <w:sz w:val="18"/>
                            <w:szCs w:val="18"/>
                          </w:rPr>
                          <w:t>争的承诺函》。承诺如下：截至本承诺函</w:t>
                        </w:r>
                        <w:r>
                          <w:rPr>
                            <w:rFonts w:ascii="宋体" w:hAnsi="宋体" w:cs="宋体" w:eastAsia="宋体" w:hint="default"/>
                            <w:sz w:val="18"/>
                            <w:szCs w:val="18"/>
                          </w:rPr>
                          <w:t> 出具日，本人未控制任何与新开普存在 有相同或类似业务的公司、企业或其他 经营实体，未经营也没有为他人经营与</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9" w:lineRule="auto"/>
                          <w:ind w:left="23" w:right="133"/>
                          <w:jc w:val="left"/>
                          <w:rPr>
                            <w:rFonts w:ascii="宋体" w:hAnsi="宋体" w:cs="宋体" w:eastAsia="宋体" w:hint="default"/>
                            <w:sz w:val="18"/>
                            <w:szCs w:val="18"/>
                          </w:rPr>
                        </w:pPr>
                        <w:r>
                          <w:rPr>
                            <w:rFonts w:ascii="宋体" w:hAnsi="宋体" w:cs="宋体" w:eastAsia="宋体" w:hint="default"/>
                            <w:sz w:val="18"/>
                            <w:szCs w:val="18"/>
                          </w:rPr>
                          <w:t>自出具承诺 之后。</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3"/>
                          <w:jc w:val="left"/>
                          <w:rPr>
                            <w:rFonts w:ascii="宋体" w:hAnsi="宋体" w:cs="宋体" w:eastAsia="宋体" w:hint="default"/>
                            <w:sz w:val="18"/>
                            <w:szCs w:val="18"/>
                          </w:rPr>
                        </w:pPr>
                        <w:r>
                          <w:rPr>
                            <w:rFonts w:ascii="宋体" w:hAnsi="宋体" w:cs="宋体" w:eastAsia="宋体" w:hint="default"/>
                            <w:spacing w:val="-9"/>
                            <w:sz w:val="18"/>
                            <w:szCs w:val="18"/>
                          </w:rPr>
                          <w:t>截至本报告期末，上述</w:t>
                        </w:r>
                        <w:r>
                          <w:rPr>
                            <w:rFonts w:ascii="宋体" w:hAnsi="宋体" w:cs="宋体" w:eastAsia="宋体" w:hint="default"/>
                            <w:sz w:val="18"/>
                            <w:szCs w:val="18"/>
                          </w:rPr>
                          <w:t> 承诺人严格信守承诺 未出现违反承诺的情 况发生。</w:t>
                        </w:r>
                      </w:p>
                    </w:tc>
                  </w:tr>
                  <w:tr>
                    <w:trPr>
                      <w:trHeight w:val="312" w:hRule="exact"/>
                    </w:trPr>
                    <w:tc>
                      <w:tcPr>
                        <w:tcW w:w="1843"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新开普相同或类似的产品或业务；本人</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3"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与新开普不存在同业竞争。本人保证自</w:t>
                        </w:r>
                      </w:p>
                    </w:tc>
                    <w:tc>
                      <w:tcPr>
                        <w:tcW w:w="920" w:type="dxa"/>
                        <w:tcBorders>
                          <w:top w:val="nil" w:sz="6" w:space="0" w:color="auto"/>
                          <w:left w:val="single" w:sz="4" w:space="0" w:color="000000"/>
                          <w:bottom w:val="single" w:sz="4" w:space="0" w:color="000000"/>
                          <w:right w:val="single" w:sz="4" w:space="0" w:color="000000"/>
                        </w:tcBorders>
                      </w:tcPr>
                      <w:p>
                        <w:pPr/>
                      </w:p>
                    </w:tc>
                    <w:tc>
                      <w:tcPr>
                        <w:tcW w:w="1069" w:type="dxa"/>
                        <w:tcBorders>
                          <w:top w:val="nil" w:sz="6" w:space="0" w:color="auto"/>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5656" w:lineRule="exact"/>
        <w:ind w:left="3808" w:right="0" w:firstLine="0"/>
        <w:rPr>
          <w:rFonts w:ascii="宋体" w:hAnsi="宋体" w:cs="宋体" w:eastAsia="宋体" w:hint="default"/>
          <w:sz w:val="20"/>
          <w:szCs w:val="20"/>
        </w:rPr>
      </w:pPr>
      <w:r>
        <w:rPr>
          <w:rFonts w:ascii="宋体" w:hAnsi="宋体" w:cs="宋体" w:eastAsia="宋体" w:hint="default"/>
          <w:position w:val="-112"/>
          <w:sz w:val="20"/>
          <w:szCs w:val="20"/>
        </w:rPr>
        <w:pict>
          <v:group style="width:159pt;height:282.850pt;mso-position-horizontal-relative:char;mso-position-vertical-relative:line" coordorigin="0,0" coordsize="3180,5657">
            <v:group style="position:absolute;left:0;top:0;width:3180;height:5657" coordorigin="0,0" coordsize="3180,5657">
              <v:shape style="position:absolute;left:0;top:0;width:3180;height:5657" coordorigin="0,0" coordsize="3180,5657" path="m0,5657l3180,5657,3180,0,0,0,0,5657xe" filled="true" fillcolor="#ffffff" stroked="false">
                <v:path arrowok="t"/>
                <v:fill type="solid"/>
              </v:shape>
            </v:group>
          </v:group>
        </w:pict>
      </w:r>
      <w:r>
        <w:rPr>
          <w:rFonts w:ascii="宋体" w:hAnsi="宋体" w:cs="宋体" w:eastAsia="宋体" w:hint="default"/>
          <w:position w:val="-11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44"/>
        <w:ind w:left="0" w:right="11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1" w:footer="982" w:top="1220" w:bottom="1180" w:left="520" w:right="460"/>
        </w:sectPr>
      </w:pPr>
    </w:p>
    <w:p>
      <w:pPr>
        <w:spacing w:line="240" w:lineRule="auto" w:before="5"/>
        <w:rPr>
          <w:rFonts w:ascii="Times New Roman" w:hAnsi="Times New Roman" w:cs="Times New Roman" w:eastAsia="Times New Roman" w:hint="default"/>
          <w:sz w:val="17"/>
          <w:szCs w:val="17"/>
        </w:rPr>
      </w:pPr>
      <w:r>
        <w:rPr/>
        <w:pict>
          <v:shape style="position:absolute;margin-left:297.779694pt;margin-top:72.480003pt;width:123.7pt;height:376.45pt;mso-position-horizontal-relative:page;mso-position-vertical-relative:page;z-index:-885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经营与新开普生产、</w:t>
                  </w:r>
                </w:p>
              </w:txbxContent>
            </v:textbox>
            <w10:wrap type="none"/>
          </v:shape>
        </w:pict>
      </w:r>
      <w:r>
        <w:rPr/>
        <w:pict>
          <v:group style="position:absolute;margin-left:375.899994pt;margin-top:72.480003pt;width:45.55pt;height:516.35pt;mso-position-horizontal-relative:page;mso-position-vertical-relative:page;z-index:-885496" coordorigin="7518,1450" coordsize="911,10327">
            <v:group style="position:absolute;left:7518;top:1450;width:911;height:7529" coordorigin="7518,1450" coordsize="911,7529">
              <v:shape style="position:absolute;left:7518;top:1450;width:911;height:7529" coordorigin="7518,1450" coordsize="911,7529" path="m7518,8978l8429,8978,8429,1450,7518,1450,7518,8978xe" filled="true" fillcolor="#ffffff" stroked="false">
                <v:path arrowok="t"/>
                <v:fill type="solid"/>
              </v:shape>
            </v:group>
            <v:group style="position:absolute;left:7518;top:8988;width:911;height:2788" coordorigin="7518,8988" coordsize="911,2788">
              <v:shape style="position:absolute;left:7518;top:8988;width:911;height:2788" coordorigin="7518,8988" coordsize="911,2788" path="m7518,11776l8429,11776,8429,8988,7518,8988,7518,11776xe" filled="true" fillcolor="#ffffff" stroked="false">
                <v:path arrowok="t"/>
                <v:fill type="solid"/>
              </v:shape>
            </v:group>
            <w10:wrap type="none"/>
          </v:group>
        </w:pict>
      </w:r>
      <w:r>
        <w:rPr/>
        <w:pict>
          <v:group style="position:absolute;margin-left:375.899994pt;margin-top:624pt;width:45.55pt;height:139.4pt;mso-position-horizontal-relative:page;mso-position-vertical-relative:page;z-index:-885472" coordorigin="7518,12480" coordsize="911,2788">
            <v:shape style="position:absolute;left:7518;top:12480;width:911;height:2788" coordorigin="7518,12480" coordsize="911,2788" path="m7518,15268l8429,15268,8429,12480,7518,12480,7518,15268xe" filled="true" fillcolor="#ffffff" stroked="false">
              <v:path arrowok="t"/>
              <v:fill type="solid"/>
            </v:shape>
            <w10:wrap type="none"/>
          </v:group>
        </w:pict>
      </w:r>
    </w:p>
    <w:tbl>
      <w:tblPr>
        <w:tblW w:w="0" w:type="auto"/>
        <w:jc w:val="left"/>
        <w:tblInd w:w="112" w:type="dxa"/>
        <w:tblLayout w:type="fixed"/>
        <w:tblCellMar>
          <w:top w:w="0" w:type="dxa"/>
          <w:left w:w="0" w:type="dxa"/>
          <w:bottom w:w="0" w:type="dxa"/>
          <w:right w:w="0" w:type="dxa"/>
        </w:tblCellMar>
        <w:tblLook w:val="01E0"/>
      </w:tblPr>
      <w:tblGrid>
        <w:gridCol w:w="1843"/>
        <w:gridCol w:w="1843"/>
        <w:gridCol w:w="3190"/>
        <w:gridCol w:w="920"/>
        <w:gridCol w:w="1069"/>
        <w:gridCol w:w="1766"/>
      </w:tblGrid>
      <w:tr>
        <w:trPr>
          <w:trHeight w:val="317" w:hRule="exact"/>
        </w:trPr>
        <w:tc>
          <w:tcPr>
            <w:tcW w:w="1843" w:type="dxa"/>
            <w:vMerge w:val="restart"/>
            <w:tcBorders>
              <w:top w:val="single" w:sz="4" w:space="0" w:color="000000"/>
              <w:left w:val="single" w:sz="4" w:space="0" w:color="000000"/>
              <w:right w:val="single" w:sz="4" w:space="0" w:color="000000"/>
            </w:tcBorders>
          </w:tcPr>
          <w:p>
            <w:pPr/>
          </w:p>
        </w:tc>
        <w:tc>
          <w:tcPr>
            <w:tcW w:w="1843" w:type="dxa"/>
            <w:vMerge w:val="restart"/>
            <w:tcBorders>
              <w:top w:val="single" w:sz="4" w:space="0" w:color="000000"/>
              <w:left w:val="single" w:sz="4" w:space="0" w:color="000000"/>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本承诺函出具日起，将不在中国境内外</w:t>
            </w:r>
          </w:p>
        </w:tc>
        <w:tc>
          <w:tcPr>
            <w:tcW w:w="920" w:type="dxa"/>
            <w:vMerge w:val="restart"/>
            <w:tcBorders>
              <w:top w:val="single" w:sz="4" w:space="0" w:color="000000"/>
              <w:left w:val="single" w:sz="4" w:space="0" w:color="000000"/>
              <w:right w:val="single" w:sz="4" w:space="0" w:color="000000"/>
            </w:tcBorders>
          </w:tcPr>
          <w:p>
            <w:pPr/>
          </w:p>
        </w:tc>
        <w:tc>
          <w:tcPr>
            <w:tcW w:w="1069" w:type="dxa"/>
            <w:vMerge w:val="restart"/>
            <w:tcBorders>
              <w:top w:val="single" w:sz="4" w:space="0" w:color="000000"/>
              <w:left w:val="single" w:sz="4" w:space="0" w:color="000000"/>
              <w:right w:val="single" w:sz="4" w:space="0" w:color="000000"/>
            </w:tcBorders>
          </w:tcPr>
          <w:p>
            <w:pPr/>
          </w:p>
        </w:tc>
        <w:tc>
          <w:tcPr>
            <w:tcW w:w="1766" w:type="dxa"/>
            <w:vMerge w:val="restart"/>
            <w:tcBorders>
              <w:top w:val="single" w:sz="4" w:space="0" w:color="000000"/>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投资、收购、兼并、</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经营存在有相同或类似业务的公司、企</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业或其他经营实体，不在中国境内外从</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事任何与新开普业务直接竞争或可能竞</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争的任何活动，以避免对新开普的生产</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经营构成直接或间接的业务竞争。本人</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承诺不会利用新开普的控股股东和实际</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控制人地位损害新开普及新开普其他股</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东的合法权益。本人保证自本承诺函出</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具日起，若本人控制的公司、企业或其</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他经营实体出现与新开普业务有竞争的</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经营业务情况时，新开普可以采取优先</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收购或委托经营的方式将相关公司、企</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业或其他经营实体的竞争业务集中到新</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开普经营。本人保证自本承诺函出具日</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起，若本人控制的公司、企业或其他经</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营实体在出售或转让与新开普主营业务</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相关的资产、业务或权益时，在同等条</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件下给予新开普优先购买的权利。如本</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人及其控制的公司、企业或其他经营实</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体有任何违反上述承诺的事项发生，本</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13" w:hRule="exact"/>
        </w:trPr>
        <w:tc>
          <w:tcPr>
            <w:tcW w:w="1843"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人将承担因此给新开普造成的一切损失</w:t>
            </w:r>
          </w:p>
        </w:tc>
        <w:tc>
          <w:tcPr>
            <w:tcW w:w="920"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1766" w:type="dxa"/>
            <w:vMerge/>
            <w:tcBorders>
              <w:left w:val="single" w:sz="4" w:space="0" w:color="000000"/>
              <w:right w:val="single" w:sz="4" w:space="0" w:color="000000"/>
            </w:tcBorders>
          </w:tcPr>
          <w:p>
            <w:pPr/>
          </w:p>
        </w:tc>
      </w:tr>
      <w:tr>
        <w:trPr>
          <w:trHeight w:val="357" w:hRule="exact"/>
        </w:trPr>
        <w:tc>
          <w:tcPr>
            <w:tcW w:w="1843"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含直接损失和间接损失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20"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r>
      <w:tr>
        <w:trPr>
          <w:trHeight w:val="362"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月，郑州新开普电子技术有限</w:t>
            </w:r>
          </w:p>
        </w:tc>
        <w:tc>
          <w:tcPr>
            <w:tcW w:w="920" w:type="dxa"/>
            <w:tcBorders>
              <w:top w:val="single" w:sz="4" w:space="0" w:color="000000"/>
              <w:left w:val="single" w:sz="4" w:space="0" w:color="000000"/>
              <w:bottom w:val="nil" w:sz="6" w:space="0" w:color="auto"/>
              <w:right w:val="single" w:sz="4" w:space="0" w:color="000000"/>
            </w:tcBorders>
          </w:tcPr>
          <w:p>
            <w:pPr/>
          </w:p>
        </w:tc>
        <w:tc>
          <w:tcPr>
            <w:tcW w:w="1069" w:type="dxa"/>
            <w:tcBorders>
              <w:top w:val="single" w:sz="4" w:space="0" w:color="000000"/>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元，但该次增资并未及时到位，而是于</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前</w:t>
            </w:r>
            <w:r>
              <w:rPr>
                <w:rFonts w:ascii="宋体" w:hAnsi="宋体" w:cs="宋体" w:eastAsia="宋体" w:hint="default"/>
                <w:sz w:val="18"/>
                <w:szCs w:val="18"/>
              </w:rPr>
              <w:t>陆续到位</w:t>
            </w:r>
            <w:r>
              <w:rPr>
                <w:rFonts w:ascii="宋体" w:hAnsi="宋体" w:cs="宋体" w:eastAsia="宋体" w:hint="default"/>
                <w:spacing w:val="-76"/>
                <w:sz w:val="18"/>
                <w:szCs w:val="18"/>
              </w:rPr>
              <w:t>。</w:t>
            </w:r>
            <w:r>
              <w:rPr>
                <w:rFonts w:ascii="宋体" w:hAnsi="宋体" w:cs="宋体" w:eastAsia="宋体" w:hint="default"/>
                <w:sz w:val="18"/>
                <w:szCs w:val="18"/>
              </w:rPr>
              <w:t>为此</w:t>
            </w:r>
            <w:r>
              <w:rPr>
                <w:rFonts w:ascii="宋体" w:hAnsi="宋体" w:cs="宋体" w:eastAsia="宋体" w:hint="default"/>
                <w:spacing w:val="-76"/>
                <w:sz w:val="18"/>
                <w:szCs w:val="18"/>
              </w:rPr>
              <w:t>，</w:t>
            </w:r>
            <w:r>
              <w:rPr>
                <w:rFonts w:ascii="宋体" w:hAnsi="宋体" w:cs="宋体" w:eastAsia="宋体" w:hint="default"/>
                <w:sz w:val="18"/>
                <w:szCs w:val="18"/>
              </w:rPr>
              <w:t>杨维国</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尚卫国、赵利宾、华梦阳、郎金文、杜</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建平、傅常顺、葛晓阁和刘恩臣等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2491"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8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8"/>
              <w:jc w:val="both"/>
              <w:rPr>
                <w:rFonts w:ascii="Times New Roman" w:hAnsi="Times New Roman" w:cs="Times New Roman" w:eastAsia="Times New Roman" w:hint="default"/>
                <w:sz w:val="18"/>
                <w:szCs w:val="18"/>
              </w:rPr>
            </w:pPr>
            <w:r>
              <w:rPr>
                <w:rFonts w:ascii="宋体" w:hAnsi="宋体" w:cs="宋体" w:eastAsia="宋体" w:hint="default"/>
                <w:sz w:val="18"/>
                <w:szCs w:val="18"/>
              </w:rPr>
              <w:t>杨维国、尚卫国、赵利 宾、华梦阳、郎金文、 杜建平、傅常顺、葛晓 阁和刘恩臣等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2002</w:t>
            </w: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月郑州新开普电子 技术有限公司增资股 东。</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增资股东于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日共同作出</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书面承诺：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 增资时，增资股东用于出资的资金和实 物资产均系增资股东自筹资金或自有实 物资产，前述资金和实物资产来源真实 合法，不存在违法违规的情形，不存在 被有关部门收缴、追索等法律风险；如 因前述资金和实物资产来源而引起的一</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133"/>
              <w:jc w:val="left"/>
              <w:rPr>
                <w:rFonts w:ascii="宋体" w:hAnsi="宋体" w:cs="宋体" w:eastAsia="宋体" w:hint="default"/>
                <w:sz w:val="18"/>
                <w:szCs w:val="18"/>
              </w:rPr>
            </w:pPr>
            <w:r>
              <w:rPr>
                <w:rFonts w:ascii="宋体" w:hAnsi="宋体" w:cs="宋体" w:eastAsia="宋体" w:hint="default"/>
                <w:sz w:val="18"/>
                <w:szCs w:val="18"/>
              </w:rPr>
              <w:t>自出具承诺 之后。</w:t>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截至本报告期末，关于</w:t>
            </w:r>
            <w:r>
              <w:rPr>
                <w:rFonts w:ascii="宋体" w:hAnsi="宋体" w:cs="宋体" w:eastAsia="宋体" w:hint="default"/>
                <w:sz w:val="18"/>
                <w:szCs w:val="18"/>
              </w:rPr>
              <w:t> 此次增资事宜并未出 </w:t>
            </w:r>
            <w:r>
              <w:rPr>
                <w:rFonts w:ascii="宋体" w:hAnsi="宋体" w:cs="宋体" w:eastAsia="宋体" w:hint="default"/>
                <w:spacing w:val="-9"/>
                <w:sz w:val="18"/>
                <w:szCs w:val="18"/>
              </w:rPr>
              <w:t>现纠纷及争议情况，上</w:t>
            </w:r>
            <w:r>
              <w:rPr>
                <w:rFonts w:ascii="宋体" w:hAnsi="宋体" w:cs="宋体" w:eastAsia="宋体" w:hint="default"/>
                <w:sz w:val="18"/>
                <w:szCs w:val="18"/>
              </w:rPr>
              <w:t> 述所有承诺人严格信 </w:t>
            </w:r>
            <w:r>
              <w:rPr>
                <w:rFonts w:ascii="宋体" w:hAnsi="宋体" w:cs="宋体" w:eastAsia="宋体" w:hint="default"/>
                <w:spacing w:val="-9"/>
                <w:sz w:val="18"/>
                <w:szCs w:val="18"/>
              </w:rPr>
              <w:t>守承诺，未出现违反承</w:t>
            </w:r>
            <w:r>
              <w:rPr>
                <w:rFonts w:ascii="宋体" w:hAnsi="宋体" w:cs="宋体" w:eastAsia="宋体" w:hint="default"/>
                <w:sz w:val="18"/>
                <w:szCs w:val="18"/>
              </w:rPr>
              <w:t> 诺的情况发生。</w:t>
            </w:r>
          </w:p>
        </w:tc>
      </w:tr>
      <w:tr>
        <w:trPr>
          <w:trHeight w:val="312"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切法律责任由杨维国、尚卫国、赵利宾</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华梦阳、郎金文、杜建平、傅常顺、葛</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人承担</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）各增资</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股东对前述有限公司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月增资时</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3"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其他增资股东的出资方式和出资金额均</w:t>
            </w:r>
          </w:p>
        </w:tc>
        <w:tc>
          <w:tcPr>
            <w:tcW w:w="920" w:type="dxa"/>
            <w:tcBorders>
              <w:top w:val="nil" w:sz="6" w:space="0" w:color="auto"/>
              <w:left w:val="single" w:sz="4" w:space="0" w:color="000000"/>
              <w:bottom w:val="nil" w:sz="6" w:space="0" w:color="auto"/>
              <w:right w:val="single" w:sz="4" w:space="0" w:color="000000"/>
            </w:tcBorders>
          </w:tcPr>
          <w:p>
            <w:pPr/>
          </w:p>
        </w:tc>
        <w:tc>
          <w:tcPr>
            <w:tcW w:w="1069" w:type="dxa"/>
            <w:tcBorders>
              <w:top w:val="nil" w:sz="6" w:space="0" w:color="auto"/>
              <w:left w:val="single" w:sz="4" w:space="0" w:color="000000"/>
              <w:bottom w:val="nil" w:sz="6" w:space="0" w:color="auto"/>
              <w:right w:val="single" w:sz="4" w:space="0" w:color="000000"/>
            </w:tcBorders>
          </w:tcPr>
          <w:p>
            <w:pPr/>
          </w:p>
        </w:tc>
        <w:tc>
          <w:tcPr>
            <w:tcW w:w="17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无任何争议，也不存在任何纠纷或潜在</w:t>
            </w:r>
          </w:p>
        </w:tc>
        <w:tc>
          <w:tcPr>
            <w:tcW w:w="920" w:type="dxa"/>
            <w:tcBorders>
              <w:top w:val="nil" w:sz="6" w:space="0" w:color="auto"/>
              <w:left w:val="single" w:sz="4" w:space="0" w:color="000000"/>
              <w:bottom w:val="single" w:sz="4" w:space="0" w:color="000000"/>
              <w:right w:val="single" w:sz="4" w:space="0" w:color="000000"/>
            </w:tcBorders>
          </w:tcPr>
          <w:p>
            <w:pPr/>
          </w:p>
        </w:tc>
        <w:tc>
          <w:tcPr>
            <w:tcW w:w="1069" w:type="dxa"/>
            <w:tcBorders>
              <w:top w:val="nil" w:sz="6" w:space="0" w:color="auto"/>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520" w:right="5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before="44"/>
        <w:ind w:left="0" w:right="113" w:firstLine="0"/>
        <w:jc w:val="right"/>
        <w:rPr>
          <w:rFonts w:ascii="宋体" w:hAnsi="宋体" w:cs="宋体" w:eastAsia="宋体" w:hint="default"/>
          <w:sz w:val="18"/>
          <w:szCs w:val="18"/>
        </w:rPr>
      </w:pPr>
      <w:r>
        <w:rPr/>
        <w:pict>
          <v:shape style="position:absolute;margin-left:31.620001pt;margin-top:-268.508026pt;width:532.35pt;height:596.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843"/>
                    <w:gridCol w:w="3190"/>
                    <w:gridCol w:w="920"/>
                    <w:gridCol w:w="1069"/>
                    <w:gridCol w:w="1766"/>
                  </w:tblGrid>
                  <w:tr>
                    <w:trPr>
                      <w:trHeight w:val="2546"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53"/>
                          <w:jc w:val="both"/>
                          <w:rPr>
                            <w:rFonts w:ascii="宋体" w:hAnsi="宋体" w:cs="宋体" w:eastAsia="宋体" w:hint="default"/>
                            <w:sz w:val="18"/>
                            <w:szCs w:val="18"/>
                          </w:rPr>
                        </w:pPr>
                        <w:r>
                          <w:rPr>
                            <w:rFonts w:ascii="宋体" w:hAnsi="宋体" w:cs="宋体" w:eastAsia="宋体" w:hint="default"/>
                            <w:spacing w:val="-7"/>
                            <w:sz w:val="18"/>
                            <w:szCs w:val="18"/>
                          </w:rPr>
                          <w:t>纠纷；（</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）若因前述有限公司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月增资时股东出资没有及时全额到位的 问题，致使郑州新开普电子股份有限公 司遭受任何处罚，杨维国、尚卫国、赵 利宾、华梦阳、郎金文、杜建平、傅常 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人将无条件全 额承担因此而产生的任何费用支出、经 济赔偿或其他损失。</w:t>
                        </w:r>
                      </w:p>
                    </w:tc>
                    <w:tc>
                      <w:tcPr>
                        <w:tcW w:w="92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88"/>
                          <w:jc w:val="left"/>
                          <w:rPr>
                            <w:rFonts w:ascii="宋体" w:hAnsi="宋体" w:cs="宋体" w:eastAsia="宋体" w:hint="default"/>
                            <w:sz w:val="18"/>
                            <w:szCs w:val="18"/>
                          </w:rPr>
                        </w:pPr>
                        <w:r>
                          <w:rPr>
                            <w:rFonts w:ascii="宋体" w:hAnsi="宋体" w:cs="宋体" w:eastAsia="宋体" w:hint="default"/>
                            <w:sz w:val="18"/>
                            <w:szCs w:val="18"/>
                          </w:rPr>
                          <w:t>控股股东暨实际控制 人杨维国。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杨维国于</w:t>
                        </w:r>
                        <w:r>
                          <w:rPr>
                            <w:rFonts w:ascii="宋体" w:hAnsi="宋体" w:cs="宋体" w:eastAsia="宋体" w:hint="default"/>
                            <w:spacing w:val="-60"/>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5"/>
                            <w:sz w:val="18"/>
                            <w:szCs w:val="18"/>
                          </w:rPr>
                          <w:t> </w:t>
                        </w:r>
                        <w:r>
                          <w:rPr>
                            <w:rFonts w:ascii="宋体" w:hAnsi="宋体" w:cs="宋体" w:eastAsia="宋体" w:hint="default"/>
                            <w:spacing w:val="-12"/>
                            <w:sz w:val="18"/>
                            <w:szCs w:val="18"/>
                          </w:rPr>
                          <w:t>日作出承诺：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若</w:t>
                        </w:r>
                        <w:r>
                          <w:rPr>
                            <w:rFonts w:ascii="宋体" w:hAnsi="宋体" w:cs="宋体" w:eastAsia="宋体" w:hint="default"/>
                            <w:sz w:val="18"/>
                            <w:szCs w:val="18"/>
                          </w:rPr>
                          <w:t> 根据有权部门的要求或决定，郑州新开 普电子股份有限公司及其控股子公司需 要为员工补缴社会保险金或住房公积 金，或因未足额缴纳社会保险金或住房 公积金需承担任何罚款或损失，本人将 足额补偿郑州新开普电子股份有限公司 及其控股子公司因此发生的支出或所受 损失，且在承担后不向郑州新开普电子 股份有限公司或其控股子公司追偿，确 保郑州新开普电子股份有限公司及其控 股子公司不会因此遭受任何损失。</w:t>
                        </w:r>
                        <w:r>
                          <w:rPr>
                            <w:rFonts w:ascii="Times New Roman" w:hAnsi="Times New Roman" w:cs="Times New Roman" w:eastAsia="Times New Roman" w:hint="default"/>
                            <w:sz w:val="18"/>
                            <w:szCs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自出具承诺 之后。</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截至本报告期末，郑州</w:t>
                        </w:r>
                        <w:r>
                          <w:rPr>
                            <w:rFonts w:ascii="宋体" w:hAnsi="宋体" w:cs="宋体" w:eastAsia="宋体" w:hint="default"/>
                            <w:sz w:val="18"/>
                            <w:szCs w:val="18"/>
                          </w:rPr>
                          <w:t> 新开普电子股份有限 公司及其控股子公司 并未出现需为员工补 缴社会保险金或住房 </w:t>
                        </w:r>
                        <w:r>
                          <w:rPr>
                            <w:rFonts w:ascii="宋体" w:hAnsi="宋体" w:cs="宋体" w:eastAsia="宋体" w:hint="default"/>
                            <w:spacing w:val="-9"/>
                            <w:sz w:val="18"/>
                            <w:szCs w:val="18"/>
                          </w:rPr>
                          <w:t>公积金，或因未足额缴</w:t>
                        </w:r>
                        <w:r>
                          <w:rPr>
                            <w:rFonts w:ascii="宋体" w:hAnsi="宋体" w:cs="宋体" w:eastAsia="宋体" w:hint="default"/>
                            <w:sz w:val="18"/>
                            <w:szCs w:val="18"/>
                          </w:rPr>
                          <w:t> 纳社会保险金或住房 公积金需承担任何罚 </w:t>
                        </w:r>
                        <w:r>
                          <w:rPr>
                            <w:rFonts w:ascii="宋体" w:hAnsi="宋体" w:cs="宋体" w:eastAsia="宋体" w:hint="default"/>
                            <w:spacing w:val="-9"/>
                            <w:sz w:val="18"/>
                            <w:szCs w:val="18"/>
                          </w:rPr>
                          <w:t>款或损失的情况。上述</w:t>
                        </w:r>
                        <w:r>
                          <w:rPr>
                            <w:rFonts w:ascii="宋体" w:hAnsi="宋体" w:cs="宋体" w:eastAsia="宋体" w:hint="default"/>
                            <w:sz w:val="18"/>
                            <w:szCs w:val="18"/>
                          </w:rPr>
                          <w:t> 承诺人严格信守承诺 未出现违反承诺的情 况发生。</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8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8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86"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公司法人股东无锡国联卓成创业投资有限公司及吴凤辉、于照永、邵彦超、李永革、杨文寿、李文坚、王卓、张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振京、焦征海、张晋、郭伍、秦玉昆、秦天福、刘建新、崔红松、王勇军、肖难、韩雪、陈传兵、郭永旺、张建</w:t>
                        </w:r>
                        <w:r>
                          <w:rPr>
                            <w:rFonts w:ascii="宋体" w:hAnsi="宋体" w:cs="宋体" w:eastAsia="宋体" w:hint="default"/>
                            <w:sz w:val="18"/>
                            <w:szCs w:val="18"/>
                          </w:rPr>
                          <w:t> </w:t>
                        </w:r>
                        <w:r>
                          <w:rPr>
                            <w:rFonts w:ascii="宋体" w:hAnsi="宋体" w:cs="宋体" w:eastAsia="宋体" w:hint="default"/>
                            <w:spacing w:val="-3"/>
                            <w:sz w:val="18"/>
                            <w:szCs w:val="18"/>
                          </w:rPr>
                          <w:t>英、李文坚、丁广勇、阎玉玺、曾劲松、马东亚、华</w:t>
                        </w:r>
                        <w:r>
                          <w:rPr>
                            <w:rFonts w:ascii="宋体" w:hAnsi="宋体" w:cs="宋体" w:eastAsia="宋体" w:hint="default"/>
                            <w:spacing w:val="-12"/>
                            <w:sz w:val="18"/>
                            <w:szCs w:val="18"/>
                          </w:rPr>
                          <w:t> </w:t>
                        </w:r>
                        <w:r>
                          <w:rPr>
                            <w:rFonts w:ascii="宋体" w:hAnsi="宋体" w:cs="宋体" w:eastAsia="宋体" w:hint="default"/>
                            <w:sz w:val="18"/>
                            <w:szCs w:val="18"/>
                          </w:rPr>
                          <w:t>燚、吴冠军、陈卫国、彭勇平、徐亚飞、尚勤强、杨长昆</w:t>
                        </w:r>
                        <w:r>
                          <w:rPr>
                            <w:rFonts w:ascii="宋体" w:hAnsi="宋体" w:cs="宋体" w:eastAsia="宋体" w:hint="default"/>
                            <w:sz w:val="18"/>
                            <w:szCs w:val="18"/>
                          </w:rPr>
                          <w:t> </w:t>
                        </w:r>
                        <w:r>
                          <w:rPr>
                            <w:rFonts w:ascii="宋体" w:hAnsi="宋体" w:cs="宋体" w:eastAsia="宋体" w:hint="default"/>
                            <w:spacing w:val="-2"/>
                            <w:sz w:val="18"/>
                            <w:szCs w:val="18"/>
                          </w:rPr>
                          <w:t>马超锋、沈延晓、苏扬鸣、高永辉、毕强伟、关虎、谢伟、李江、刘建军、冯一新、于滨、任海伦、张翀、王葆</w:t>
                        </w:r>
                        <w:r>
                          <w:rPr>
                            <w:rFonts w:ascii="宋体" w:hAnsi="宋体" w:cs="宋体" w:eastAsia="宋体" w:hint="default"/>
                            <w:sz w:val="18"/>
                            <w:szCs w:val="18"/>
                          </w:rPr>
                          <w:t> </w:t>
                        </w:r>
                        <w:r>
                          <w:rPr>
                            <w:rFonts w:ascii="宋体" w:hAnsi="宋体" w:cs="宋体" w:eastAsia="宋体" w:hint="default"/>
                            <w:spacing w:val="-5"/>
                            <w:sz w:val="18"/>
                            <w:szCs w:val="18"/>
                          </w:rPr>
                          <w:t>玲、李军艳、赵鑫、袁胜兵等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名自然人股东关于</w:t>
                        </w:r>
                        <w:r>
                          <w:rPr>
                            <w:rFonts w:ascii="Times New Roman" w:hAnsi="Times New Roman" w:cs="Times New Roman" w:eastAsia="Times New Roman" w:hint="default"/>
                            <w:sz w:val="18"/>
                            <w:szCs w:val="18"/>
                          </w:rPr>
                          <w:t>“</w:t>
                        </w:r>
                        <w:r>
                          <w:rPr>
                            <w:rFonts w:ascii="宋体" w:hAnsi="宋体" w:cs="宋体" w:eastAsia="宋体" w:hint="default"/>
                            <w:sz w:val="18"/>
                            <w:szCs w:val="18"/>
                          </w:rPr>
                          <w:t>自发行人股票上市之日起十二个月内，不转让或者委托他人</w:t>
                        </w:r>
                      </w:p>
                      <w:p>
                        <w:pPr>
                          <w:pStyle w:val="TableParagraph"/>
                          <w:spacing w:line="309" w:lineRule="auto"/>
                          <w:ind w:left="22" w:right="35"/>
                          <w:jc w:val="left"/>
                          <w:rPr>
                            <w:rFonts w:ascii="宋体" w:hAnsi="宋体" w:cs="宋体" w:eastAsia="宋体" w:hint="default"/>
                            <w:sz w:val="18"/>
                            <w:szCs w:val="18"/>
                          </w:rPr>
                        </w:pPr>
                        <w:r>
                          <w:rPr>
                            <w:rFonts w:ascii="宋体" w:hAnsi="宋体" w:cs="宋体" w:eastAsia="宋体" w:hint="default"/>
                            <w:sz w:val="18"/>
                            <w:szCs w:val="18"/>
                          </w:rPr>
                          <w:t>管理本次发行前本人已持有的发行人股份，也不由发行人回购该部分股份。</w:t>
                        </w:r>
                        <w:r>
                          <w:rPr>
                            <w:rFonts w:ascii="Times New Roman" w:hAnsi="Times New Roman" w:cs="Times New Roman" w:eastAsia="Times New Roman" w:hint="default"/>
                            <w:sz w:val="18"/>
                            <w:szCs w:val="18"/>
                          </w:rPr>
                          <w:t>”</w:t>
                        </w:r>
                        <w:r>
                          <w:rPr>
                            <w:rFonts w:ascii="宋体" w:hAnsi="宋体" w:cs="宋体" w:eastAsia="宋体" w:hint="default"/>
                            <w:sz w:val="18"/>
                            <w:szCs w:val="18"/>
                          </w:rPr>
                          <w:t>的承诺已于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w:t>
                        </w:r>
                        <w:r>
                          <w:rPr>
                            <w:rFonts w:ascii="宋体" w:hAnsi="宋体" w:cs="宋体" w:eastAsia="宋体" w:hint="default"/>
                            <w:spacing w:val="-4"/>
                            <w:sz w:val="18"/>
                            <w:szCs w:val="18"/>
                          </w:rPr>
                          <w:t>完毕。上述所有承诺人严格信守承诺，未出现违反承诺的情况发生。截至本报告期末，除上述已履行完毕承诺外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其他持续到报告期内的承诺，相关承诺人均遵守承诺，未发现违反承诺的情况。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259" w:lineRule="auto" w:before="0"/>
        <w:ind w:left="6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left="1094" w:right="0"/>
        <w:jc w:val="left"/>
      </w:pPr>
      <w:r>
        <w:rPr/>
        <w:t>不适用。</w:t>
      </w:r>
    </w:p>
    <w:p>
      <w:pPr>
        <w:spacing w:after="0" w:line="240" w:lineRule="auto"/>
        <w:jc w:val="left"/>
        <w:sectPr>
          <w:pgSz w:w="11910" w:h="16840"/>
          <w:pgMar w:header="851" w:footer="982" w:top="1220" w:bottom="1180" w:left="520" w:right="460"/>
        </w:sectPr>
      </w:pPr>
    </w:p>
    <w:p>
      <w:pPr>
        <w:spacing w:line="240" w:lineRule="auto" w:before="7"/>
        <w:rPr>
          <w:rFonts w:ascii="宋体" w:hAnsi="宋体" w:cs="宋体" w:eastAsia="宋体" w:hint="default"/>
          <w:sz w:val="10"/>
          <w:szCs w:val="10"/>
        </w:rPr>
      </w:pPr>
    </w:p>
    <w:p>
      <w:pPr>
        <w:pStyle w:val="Heading2"/>
        <w:spacing w:line="240" w:lineRule="auto" w:before="26"/>
        <w:ind w:right="61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栾国保、陆海浪</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54" w:right="8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原聘任的会计事务所</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利安达会计师事务所有限责任公司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孙莉、王晓波</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是否在审计期间改聘会计师事务所</w:t>
      </w:r>
    </w:p>
    <w:p>
      <w:pPr>
        <w:spacing w:line="338" w:lineRule="auto" w:before="117"/>
        <w:ind w:left="154" w:right="68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更换会计师事务所是否履行审批程序</w:t>
      </w:r>
    </w:p>
    <w:p>
      <w:pPr>
        <w:spacing w:line="338" w:lineRule="auto" w:before="43"/>
        <w:ind w:left="154" w:right="70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聘任、解聘会计师事务所情况说明</w:t>
      </w:r>
    </w:p>
    <w:p>
      <w:pPr>
        <w:spacing w:line="240" w:lineRule="auto" w:before="4"/>
        <w:rPr>
          <w:rFonts w:ascii="宋体" w:hAnsi="宋体" w:cs="宋体" w:eastAsia="宋体" w:hint="default"/>
          <w:sz w:val="14"/>
          <w:szCs w:val="14"/>
        </w:rPr>
      </w:pPr>
    </w:p>
    <w:p>
      <w:pPr>
        <w:pStyle w:val="BodyText"/>
        <w:spacing w:line="350" w:lineRule="auto"/>
        <w:ind w:right="148" w:firstLine="480"/>
        <w:jc w:val="both"/>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日收到利安达会计师事务所有限责任公司《关于变更</w:t>
      </w:r>
      <w:r>
        <w:rPr>
          <w:rFonts w:ascii="Times New Roman" w:hAnsi="Times New Roman" w:cs="Times New Roman" w:eastAsia="Times New Roman" w:hint="default"/>
        </w:rPr>
        <w:t>2012</w:t>
      </w:r>
      <w:r>
        <w:rPr/>
        <w:t>年度财务 报表审计机构的函》，主要内容如下：“为了贯彻落实《国务院办公厅转发财政部关于加快 发展我国注册会计师行业若干意见的通知》精神，响应财政部、中注协做大做强注册会计师 行业的号召，基于对我国注册会计师行业现状和发展趋势的深刻认识，经友好协商，利安达 会计师事务所有限责任公司（以下简称‘利安达’）北京总所、深圳分所、珠海分所等部分 团队和业务已合并至中瑞岳华会计师事务所（特殊普通合伙）（以下简称‘中瑞岳华’）， 吸收合并后的事务所名称仍为‘中瑞岳华会计师事务所（特殊普通合伙）’。利安达合并部 分的人员及其执行的相关审计项目一并转入中瑞岳华，本次合并后，利安达合并至中瑞岳华 部分的相关审计项目的权利和义务由</w:t>
      </w:r>
      <w:r>
        <w:rPr>
          <w:rFonts w:ascii="Times New Roman" w:hAnsi="Times New Roman" w:cs="Times New Roman" w:eastAsia="Times New Roman" w:hint="default"/>
        </w:rPr>
        <w:t>‘</w:t>
      </w:r>
      <w:r>
        <w:rPr/>
        <w:t>中瑞岳华会计师事务所（特殊普通合伙）</w:t>
      </w:r>
      <w:r>
        <w:rPr>
          <w:rFonts w:ascii="Times New Roman" w:hAnsi="Times New Roman" w:cs="Times New Roman" w:eastAsia="Times New Roman" w:hint="default"/>
        </w:rPr>
        <w:t>’</w:t>
      </w:r>
      <w:r>
        <w:rPr/>
        <w:t>继续履行和 承担。鉴于贵公司</w:t>
      </w:r>
      <w:r>
        <w:rPr>
          <w:rFonts w:ascii="Times New Roman" w:hAnsi="Times New Roman" w:cs="Times New Roman" w:eastAsia="Times New Roman" w:hint="default"/>
        </w:rPr>
        <w:t>2012</w:t>
      </w:r>
      <w:r>
        <w:rPr/>
        <w:t>年度财务报表审计项目及原服务于贵公司的审计团队属本次利安达合 并至中瑞岳华部分，为保持贵公司外部审计工作的连续性和稳定性，保证财务报表的审计质 量，我们将积极做好</w:t>
      </w:r>
      <w:r>
        <w:rPr>
          <w:rFonts w:ascii="Times New Roman" w:hAnsi="Times New Roman" w:cs="Times New Roman" w:eastAsia="Times New Roman" w:hint="default"/>
        </w:rPr>
        <w:t>2012</w:t>
      </w:r>
      <w:r>
        <w:rPr/>
        <w:t>年度财务报表审计的沟通和衔接工作，并配合贵公司做好变更财务 报表审计机构的相应工作。”</w:t>
      </w:r>
    </w:p>
    <w:p>
      <w:pPr>
        <w:pStyle w:val="BodyText"/>
        <w:spacing w:line="240" w:lineRule="auto" w:before="43"/>
        <w:ind w:left="633" w:right="94"/>
        <w:jc w:val="left"/>
      </w:pPr>
      <w:r>
        <w:rPr/>
        <w:t>原服务于本公司的审计团队属本次利安达合并至中瑞岳华部分，鉴于该团队在以前各次</w:t>
      </w:r>
    </w:p>
    <w:p>
      <w:pPr>
        <w:spacing w:after="0" w:line="240" w:lineRule="auto"/>
        <w:jc w:val="left"/>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48" w:lineRule="auto" w:before="26"/>
        <w:ind w:right="268"/>
        <w:jc w:val="both"/>
      </w:pPr>
      <w:r>
        <w:rPr/>
        <w:t>审计中均较好完成了有关的财务审计等工作，为保持公司外部审计工作的连续性和稳定性， 保证公司财务报表的审计质量，公司将聘请的</w:t>
      </w:r>
      <w:r>
        <w:rPr>
          <w:rFonts w:ascii="Times New Roman" w:hAnsi="Times New Roman" w:cs="Times New Roman" w:eastAsia="Times New Roman" w:hint="default"/>
        </w:rPr>
        <w:t>2012</w:t>
      </w:r>
      <w:r>
        <w:rPr/>
        <w:t>年度审计机构由利安达会计师事务所有限 责任公司变更为中瑞岳华会计师事务所（特殊普通合伙），聘期一年。</w:t>
      </w:r>
    </w:p>
    <w:p>
      <w:pPr>
        <w:pStyle w:val="BodyText"/>
        <w:spacing w:line="357" w:lineRule="auto" w:before="46"/>
        <w:ind w:right="93" w:firstLine="480"/>
        <w:jc w:val="left"/>
      </w:pPr>
      <w:r>
        <w:rPr/>
        <w:t>该变更公司年度审计机构事宜由公司第二届董事会审计委员会提议，并经由公司第二届 </w:t>
      </w:r>
      <w:r>
        <w:rPr>
          <w:spacing w:val="-2"/>
        </w:rPr>
        <w:t>董事会第十三次会议及第二届监事会第八次会议审议通过，公司独立董事发表了明确的意见，</w:t>
      </w:r>
      <w:r>
        <w:rPr/>
        <w:t> 最终由公司</w:t>
      </w:r>
      <w:r>
        <w:rPr>
          <w:rFonts w:ascii="Times New Roman" w:hAnsi="Times New Roman" w:cs="Times New Roman" w:eastAsia="Times New Roman" w:hint="default"/>
        </w:rPr>
        <w:t>2012</w:t>
      </w:r>
      <w:r>
        <w:rPr/>
        <w:t>年第三次临时股东大会审议通过。</w:t>
      </w:r>
    </w:p>
    <w:p>
      <w:pPr>
        <w:spacing w:line="240" w:lineRule="auto" w:before="6"/>
        <w:rPr>
          <w:rFonts w:ascii="宋体" w:hAnsi="宋体" w:cs="宋体" w:eastAsia="宋体" w:hint="default"/>
          <w:sz w:val="17"/>
          <w:szCs w:val="17"/>
        </w:rPr>
      </w:pPr>
    </w:p>
    <w:p>
      <w:pPr>
        <w:pStyle w:val="Heading2"/>
        <w:spacing w:line="240" w:lineRule="auto"/>
        <w:ind w:left="153" w:right="21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38" w:lineRule="auto" w:before="43"/>
        <w:ind w:left="154" w:right="5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上市公司及其子公司是否存在其他重大社会安全问题</w:t>
      </w:r>
    </w:p>
    <w:p>
      <w:pPr>
        <w:spacing w:line="340" w:lineRule="auto" w:before="42"/>
        <w:ind w:left="154" w:right="7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报告期内是否被行政处罚</w:t>
      </w:r>
    </w:p>
    <w:p>
      <w:pPr>
        <w:spacing w:before="4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spacing w:line="528" w:lineRule="auto" w:before="0"/>
        <w:ind w:left="633" w:right="731" w:hanging="480"/>
        <w:jc w:val="left"/>
        <w:rPr>
          <w:rFonts w:ascii="宋体" w:hAnsi="宋体" w:cs="宋体" w:eastAsia="宋体" w:hint="default"/>
          <w:sz w:val="24"/>
          <w:szCs w:val="24"/>
        </w:rPr>
      </w:pPr>
      <w:r>
        <w:rPr>
          <w:rFonts w:ascii="宋体" w:hAnsi="宋体" w:cs="宋体" w:eastAsia="宋体" w:hint="default"/>
          <w:b/>
          <w:bCs/>
          <w:sz w:val="24"/>
          <w:szCs w:val="24"/>
        </w:rPr>
        <w:t>十一、公司股东及其一致行动人在报告期提出或实施股份增持计划的情况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报告期内，公司未发生公司股东及其一致行动人提出或实施股份增持计划的情况。</w:t>
      </w:r>
    </w:p>
    <w:p>
      <w:pPr>
        <w:pStyle w:val="Heading2"/>
        <w:spacing w:line="240" w:lineRule="auto" w:before="89"/>
        <w:ind w:right="95"/>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7"/>
          <w:szCs w:val="27"/>
        </w:rPr>
      </w:pPr>
    </w:p>
    <w:p>
      <w:pPr>
        <w:pStyle w:val="BodyText"/>
        <w:spacing w:line="357" w:lineRule="auto"/>
        <w:ind w:left="154" w:right="211" w:firstLine="480"/>
        <w:jc w:val="left"/>
      </w:pPr>
      <w:r>
        <w:rPr/>
        <w:t>报告期内，公司未发生董事、监事、高级管理人员、持股</w:t>
      </w:r>
      <w:r>
        <w:rPr>
          <w:spacing w:val="-81"/>
        </w:rPr>
        <w:t> </w:t>
      </w:r>
      <w:r>
        <w:rPr/>
        <w:t>5%以上的股东违规买卖公司股</w:t>
      </w:r>
      <w:r>
        <w:rPr/>
        <w:t> 票情况</w:t>
      </w:r>
    </w:p>
    <w:p>
      <w:pPr>
        <w:spacing w:line="240" w:lineRule="auto" w:before="10"/>
        <w:rPr>
          <w:rFonts w:ascii="宋体" w:hAnsi="宋体" w:cs="宋体" w:eastAsia="宋体" w:hint="default"/>
          <w:sz w:val="19"/>
          <w:szCs w:val="19"/>
        </w:rPr>
      </w:pPr>
    </w:p>
    <w:p>
      <w:pPr>
        <w:spacing w:line="468" w:lineRule="auto" w:before="0"/>
        <w:ind w:left="634" w:right="5770" w:hanging="480"/>
        <w:jc w:val="left"/>
        <w:rPr>
          <w:rFonts w:ascii="宋体" w:hAnsi="宋体" w:cs="宋体" w:eastAsia="宋体" w:hint="default"/>
          <w:sz w:val="24"/>
          <w:szCs w:val="24"/>
        </w:rPr>
      </w:pPr>
      <w:r>
        <w:rPr>
          <w:rFonts w:ascii="宋体" w:hAnsi="宋体" w:cs="宋体" w:eastAsia="宋体" w:hint="default"/>
          <w:b/>
          <w:bCs/>
          <w:sz w:val="24"/>
          <w:szCs w:val="24"/>
        </w:rPr>
        <w:t>十三、违规对外担保情况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报告期内，公司未发生担保事项。</w:t>
      </w:r>
    </w:p>
    <w:p>
      <w:pPr>
        <w:pStyle w:val="Heading2"/>
        <w:spacing w:line="468" w:lineRule="auto" w:before="71"/>
        <w:ind w:left="633" w:right="4309" w:hanging="480"/>
        <w:jc w:val="left"/>
        <w:rPr>
          <w:rFonts w:ascii="宋体" w:hAnsi="宋体" w:cs="宋体" w:eastAsia="宋体" w:hint="default"/>
          <w:b w:val="0"/>
          <w:bCs w:val="0"/>
        </w:rPr>
      </w:pPr>
      <w:r>
        <w:rPr/>
        <w:t>十四、年度报告披露后面临暂停上市和终止上市情况</w:t>
      </w:r>
      <w:r>
        <w:rPr>
          <w:spacing w:val="1"/>
          <w:w w:val="99"/>
        </w:rPr>
        <w:t> </w:t>
      </w:r>
      <w:r>
        <w:rPr>
          <w:rFonts w:ascii="宋体" w:hAnsi="宋体" w:cs="宋体" w:eastAsia="宋体" w:hint="default"/>
          <w:b w:val="0"/>
          <w:bCs w:val="0"/>
        </w:rPr>
        <w:t>不适用。</w:t>
      </w:r>
    </w:p>
    <w:p>
      <w:pPr>
        <w:pStyle w:val="Heading2"/>
        <w:spacing w:line="468" w:lineRule="auto" w:before="71"/>
        <w:ind w:left="634" w:right="6959" w:hanging="480"/>
        <w:jc w:val="left"/>
        <w:rPr>
          <w:rFonts w:ascii="宋体" w:hAnsi="宋体" w:cs="宋体" w:eastAsia="宋体" w:hint="default"/>
          <w:b w:val="0"/>
          <w:bCs w:val="0"/>
        </w:rPr>
      </w:pPr>
      <w:r>
        <w:rPr/>
        <w:t>十五、其他重大事项的说明</w:t>
      </w:r>
      <w:r>
        <w:rPr>
          <w:spacing w:val="1"/>
          <w:w w:val="99"/>
        </w:rPr>
        <w:t> </w:t>
      </w:r>
      <w:r>
        <w:rPr>
          <w:rFonts w:ascii="宋体" w:hAnsi="宋体" w:cs="宋体" w:eastAsia="宋体" w:hint="default"/>
          <w:b w:val="0"/>
          <w:bCs w:val="0"/>
        </w:rPr>
        <w:t>无。</w:t>
      </w:r>
    </w:p>
    <w:p>
      <w:pPr>
        <w:spacing w:after="0" w:line="468" w:lineRule="auto"/>
        <w:jc w:val="left"/>
        <w:rPr>
          <w:rFonts w:ascii="宋体" w:hAnsi="宋体" w:cs="宋体" w:eastAsia="宋体" w:hint="default"/>
        </w:rPr>
        <w:sectPr>
          <w:pgSz w:w="11910" w:h="16840"/>
          <w:pgMar w:header="851" w:footer="982" w:top="1220" w:bottom="1180" w:left="98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2965" w:right="610"/>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1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2020" w:type="dxa"/>
            <w:vMerge/>
            <w:tcBorders>
              <w:left w:val="single" w:sz="4" w:space="0" w:color="000000"/>
              <w:bottom w:val="nil" w:sz="6" w:space="0" w:color="auto"/>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0"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020"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74.89%</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61.72%</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74.89%</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61.64%</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left"/>
              <w:rPr>
                <w:rFonts w:ascii="Times New Roman" w:hAnsi="Times New Roman" w:cs="Times New Roman" w:eastAsia="Times New Roman" w:hint="default"/>
                <w:sz w:val="18"/>
                <w:szCs w:val="18"/>
              </w:rPr>
            </w:pPr>
            <w:r>
              <w:rPr>
                <w:rFonts w:ascii="Times New Roman"/>
                <w:sz w:val="18"/>
              </w:rPr>
              <w:t>3,340,000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-6,680,000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67.4%</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-5,140,000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61.64%</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25.11%</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38.28%</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25.11%</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38.28%</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338" w:lineRule="auto" w:before="144"/>
        <w:ind w:right="111" w:firstLine="48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日，公司实施了</w:t>
      </w:r>
      <w:r>
        <w:rPr>
          <w:rFonts w:ascii="Times New Roman" w:hAnsi="Times New Roman" w:cs="Times New Roman" w:eastAsia="Times New Roman" w:hint="default"/>
          <w:spacing w:val="-2"/>
        </w:rPr>
        <w:t>2011</w:t>
      </w:r>
      <w:r>
        <w:rPr>
          <w:spacing w:val="-2"/>
        </w:rPr>
        <w:t>年度利润分配方案，即以截至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w:t>
      </w:r>
      <w:r>
        <w:rPr/>
        <w:t> 总股本</w:t>
      </w:r>
      <w:r>
        <w:rPr>
          <w:rFonts w:ascii="Times New Roman" w:hAnsi="Times New Roman" w:cs="Times New Roman" w:eastAsia="Times New Roman" w:hint="default"/>
        </w:rPr>
        <w:t>44,600,000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w:t>
      </w:r>
      <w:r>
        <w:rPr/>
        <w:t>元人民币（含税），同时进行资本 </w:t>
      </w:r>
      <w:r>
        <w:rPr>
          <w:spacing w:val="-2"/>
        </w:rPr>
        <w:t>公积金转增股本，以公司总股本</w:t>
      </w:r>
      <w:r>
        <w:rPr>
          <w:rFonts w:ascii="Times New Roman" w:hAnsi="Times New Roman" w:cs="Times New Roman" w:eastAsia="Times New Roman" w:hint="default"/>
          <w:spacing w:val="-2"/>
        </w:rPr>
        <w:t>44,600,000</w:t>
      </w:r>
      <w:r>
        <w:rPr>
          <w:spacing w:val="-2"/>
        </w:rPr>
        <w:t>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股，转增后公</w:t>
      </w:r>
      <w:r>
        <w:rPr>
          <w:spacing w:val="-108"/>
        </w:rPr>
        <w:t> </w:t>
      </w:r>
      <w:r>
        <w:rPr>
          <w:spacing w:val="-108"/>
        </w:rPr>
      </w:r>
      <w:r>
        <w:rPr/>
        <w:t>司总股本增加至</w:t>
      </w:r>
      <w:r>
        <w:rPr>
          <w:rFonts w:ascii="Times New Roman" w:hAnsi="Times New Roman" w:cs="Times New Roman" w:eastAsia="Times New Roman" w:hint="default"/>
        </w:rPr>
        <w:t>89,200,000</w:t>
      </w:r>
      <w:r>
        <w:rPr/>
        <w:t>股。</w:t>
      </w:r>
    </w:p>
    <w:p>
      <w:pPr>
        <w:pStyle w:val="BodyText"/>
        <w:spacing w:line="352" w:lineRule="auto" w:before="27"/>
        <w:ind w:right="148"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日，公司法人股东无锡国联卓成创业投资有限公司及邵彦超、王卓、 杨文寿、于照永、李永革、陈振亚、吴凤辉、张振京、焦征海、张晋、郭伍、秦玉昆、秦天 福、刘建新、崔红松、王勇军、肖难、韩雪、陈传兵、郭永旺、张建英、李文坚、丁广勇、 阎玉玺、曾劲松、马东亚、华燚、吴冠军、陈卫国、彭勇平、徐亚飞、尚勤强、杨长昆、马 超锋、沈延晓、苏扬鸣、高永辉、毕强伟、关虎、谢伟、李江、刘建军、冯一新、于滨、任 海伦、张翀、王葆玲、李军艳、赵鑫、袁胜兵等</w:t>
      </w:r>
      <w:r>
        <w:rPr>
          <w:rFonts w:ascii="Times New Roman" w:hAnsi="Times New Roman" w:cs="Times New Roman" w:eastAsia="Times New Roman" w:hint="default"/>
        </w:rPr>
        <w:t>50</w:t>
      </w:r>
      <w:r>
        <w:rPr/>
        <w:t>名自然人股东持有的公司首次公开发行前</w:t>
      </w:r>
    </w:p>
    <w:p>
      <w:pPr>
        <w:spacing w:after="0" w:line="352"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48" w:lineRule="auto" w:before="26"/>
        <w:ind w:right="231"/>
        <w:jc w:val="both"/>
      </w:pPr>
      <w:r>
        <w:rPr>
          <w:spacing w:val="-2"/>
        </w:rPr>
        <w:t>已发行股份上市流通，此次解禁限售股份数量</w:t>
      </w:r>
      <w:r>
        <w:rPr>
          <w:rFonts w:ascii="Times New Roman" w:hAnsi="Times New Roman" w:cs="Times New Roman" w:eastAsia="Times New Roman" w:hint="default"/>
          <w:spacing w:val="-2"/>
        </w:rPr>
        <w:t>11,820,000</w:t>
      </w:r>
      <w:r>
        <w:rPr>
          <w:spacing w:val="-2"/>
        </w:rPr>
        <w:t>股。其中，根据相关规定及承诺，自</w:t>
      </w:r>
      <w:r>
        <w:rPr>
          <w:spacing w:val="-112"/>
        </w:rPr>
        <w:t> </w:t>
      </w:r>
      <w:r>
        <w:rPr>
          <w:spacing w:val="-112"/>
        </w:rPr>
      </w:r>
      <w:r>
        <w:rPr/>
        <w:t>然人股东王葆玲作为公司监事，其任职期间每年转让的股份不超过其所持有公司股份总数的 </w:t>
      </w:r>
      <w:r>
        <w:rPr>
          <w:rFonts w:ascii="Times New Roman" w:hAnsi="Times New Roman" w:cs="Times New Roman" w:eastAsia="Times New Roman" w:hint="default"/>
        </w:rPr>
        <w:t>25%</w:t>
      </w:r>
      <w:r>
        <w:rPr/>
        <w:t>，故其持有的公司</w:t>
      </w:r>
      <w:r>
        <w:rPr>
          <w:rFonts w:ascii="Times New Roman" w:hAnsi="Times New Roman" w:cs="Times New Roman" w:eastAsia="Times New Roman" w:hint="default"/>
        </w:rPr>
        <w:t>75%</w:t>
      </w:r>
      <w:r>
        <w:rPr/>
        <w:t>即</w:t>
      </w:r>
      <w:r>
        <w:rPr>
          <w:rFonts w:ascii="Times New Roman" w:hAnsi="Times New Roman" w:cs="Times New Roman" w:eastAsia="Times New Roman" w:hint="default"/>
        </w:rPr>
        <w:t>7,5000</w:t>
      </w:r>
      <w:r>
        <w:rPr/>
        <w:t>股计入高管股份。</w:t>
      </w:r>
    </w:p>
    <w:p>
      <w:pPr>
        <w:spacing w:line="240" w:lineRule="auto" w:before="5"/>
        <w:rPr>
          <w:rFonts w:ascii="宋体" w:hAnsi="宋体" w:cs="宋体" w:eastAsia="宋体" w:hint="default"/>
          <w:sz w:val="17"/>
          <w:szCs w:val="1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8" w:lineRule="auto" w:before="132"/>
        <w:ind w:right="219" w:firstLine="480"/>
        <w:jc w:val="left"/>
      </w:pP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2011</w:t>
      </w:r>
      <w:r>
        <w:rPr>
          <w:spacing w:val="-2"/>
        </w:rPr>
        <w:t>年年度股东大会审议通过了《关于审议郑州新开普电子</w:t>
      </w:r>
      <w:r>
        <w:rPr/>
        <w:t> 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年度利润分配及资本公积金转增股本预案的议案》，与会股东同意以截 </w:t>
      </w:r>
      <w:r>
        <w:rPr>
          <w:spacing w:val="-4"/>
        </w:rPr>
        <w:t>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44,600,000</w:t>
      </w:r>
      <w:r>
        <w:rPr>
          <w:spacing w:val="-4"/>
        </w:rPr>
        <w:t>股为基数，向全体股东每</w:t>
      </w:r>
      <w:r>
        <w:rPr>
          <w:rFonts w:ascii="Times New Roman" w:hAnsi="Times New Roman" w:cs="Times New Roman" w:eastAsia="Times New Roman" w:hint="default"/>
          <w:spacing w:val="-4"/>
        </w:rPr>
        <w:t>10</w:t>
      </w:r>
      <w:r>
        <w:rPr>
          <w:spacing w:val="-4"/>
        </w:rPr>
        <w:t>股派发现金</w:t>
      </w:r>
      <w:r>
        <w:rPr>
          <w:rFonts w:ascii="Times New Roman" w:hAnsi="Times New Roman" w:cs="Times New Roman" w:eastAsia="Times New Roman" w:hint="default"/>
          <w:spacing w:val="-4"/>
        </w:rPr>
        <w:t>2</w:t>
      </w:r>
      <w:r>
        <w:rPr>
          <w:spacing w:val="-4"/>
        </w:rPr>
        <w:t>元人民币（含</w:t>
      </w:r>
      <w:r>
        <w:rPr>
          <w:spacing w:val="-114"/>
        </w:rPr>
        <w:t> </w:t>
      </w:r>
      <w:r>
        <w:rPr>
          <w:spacing w:val="-114"/>
        </w:rPr>
      </w:r>
      <w:r>
        <w:rPr/>
        <w:t>税），同时进行资本公积金转增股本，以公司总股本</w:t>
      </w:r>
      <w:r>
        <w:rPr>
          <w:rFonts w:ascii="Times New Roman" w:hAnsi="Times New Roman" w:cs="Times New Roman" w:eastAsia="Times New Roman" w:hint="default"/>
        </w:rPr>
        <w:t>44,600,000</w:t>
      </w:r>
      <w:r>
        <w:rPr/>
        <w:t>股为基数，向全体股东每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t>股，转增后公司总股本将增加至</w:t>
      </w:r>
      <w:r>
        <w:rPr>
          <w:rFonts w:ascii="Times New Roman" w:hAnsi="Times New Roman" w:cs="Times New Roman" w:eastAsia="Times New Roman" w:hint="default"/>
        </w:rPr>
        <w:t>89,200,000</w:t>
      </w:r>
      <w:r>
        <w:rPr/>
        <w:t>股。</w:t>
      </w:r>
    </w:p>
    <w:p>
      <w:pPr>
        <w:spacing w:line="240" w:lineRule="auto" w:before="3"/>
        <w:rPr>
          <w:rFonts w:ascii="宋体" w:hAnsi="宋体" w:cs="宋体" w:eastAsia="宋体" w:hint="default"/>
          <w:sz w:val="18"/>
          <w:szCs w:val="1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pStyle w:val="BodyText"/>
        <w:spacing w:line="338" w:lineRule="auto" w:before="144"/>
        <w:ind w:right="99" w:firstLine="480"/>
        <w:jc w:val="left"/>
      </w:pPr>
      <w:r>
        <w:rPr/>
        <w:t>公司</w:t>
      </w:r>
      <w:r>
        <w:rPr>
          <w:rFonts w:ascii="Times New Roman" w:hAnsi="Times New Roman" w:cs="Times New Roman" w:eastAsia="Times New Roman" w:hint="default"/>
        </w:rPr>
        <w:t>2011</w:t>
      </w:r>
      <w:r>
        <w:rPr/>
        <w:t>年年度权益分派方案已获</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2011</w:t>
      </w:r>
      <w:r>
        <w:rPr/>
        <w:t>年年度股东大会审议通过。 </w:t>
      </w:r>
      <w:r>
        <w:rPr>
          <w:spacing w:val="-5"/>
        </w:rPr>
        <w:t>本次权益分派股权登记日为</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8</w:t>
      </w:r>
      <w:r>
        <w:rPr>
          <w:spacing w:val="-5"/>
        </w:rPr>
        <w:t>日，除权除息日为</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9</w:t>
      </w:r>
      <w:r>
        <w:rPr>
          <w:spacing w:val="-5"/>
        </w:rPr>
        <w:t>日，所送（转）股于</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日直接记入股东证券账户，公司委托中国证券登记结算有限责任公司深圳分公司代派 </w:t>
      </w:r>
      <w:r>
        <w:rPr>
          <w:spacing w:val="-2"/>
        </w:rPr>
        <w:t>的现金红利于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日通过股东托管证券公司（或其他托管机构）直接划入其资金账户。</w:t>
      </w:r>
      <w:r>
        <w:rPr>
          <w:spacing w:val="-114"/>
        </w:rPr>
        <w:t> </w:t>
      </w:r>
      <w:r>
        <w:rPr>
          <w:spacing w:val="-114"/>
        </w:rPr>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16</w:t>
      </w:r>
      <w:r>
        <w:rPr>
          <w:spacing w:val="-4"/>
        </w:rPr>
        <w:t>日，利安达会计师事务所有限责任公司出具了编号为</w:t>
      </w:r>
      <w:r>
        <w:rPr>
          <w:rFonts w:ascii="Times New Roman" w:hAnsi="Times New Roman" w:cs="Times New Roman" w:eastAsia="Times New Roman" w:hint="default"/>
          <w:spacing w:val="-4"/>
        </w:rPr>
        <w:t>“</w:t>
      </w:r>
      <w:r>
        <w:rPr>
          <w:spacing w:val="-4"/>
        </w:rPr>
        <w:t>利安达验字【</w:t>
      </w:r>
      <w:r>
        <w:rPr>
          <w:rFonts w:ascii="Times New Roman" w:hAnsi="Times New Roman" w:cs="Times New Roman" w:eastAsia="Times New Roman" w:hint="default"/>
          <w:spacing w:val="-4"/>
        </w:rPr>
        <w:t>2012</w:t>
      </w:r>
      <w:r>
        <w:rPr>
          <w:spacing w:val="-4"/>
        </w:rPr>
        <w:t>】第</w:t>
      </w:r>
      <w:r>
        <w:rPr>
          <w:rFonts w:ascii="Times New Roman" w:hAnsi="Times New Roman" w:cs="Times New Roman" w:eastAsia="Times New Roman" w:hint="default"/>
          <w:spacing w:val="-4"/>
        </w:rPr>
        <w:t>1023</w:t>
      </w:r>
      <w:r>
        <w:rPr>
          <w:rFonts w:ascii="Times New Roman" w:hAnsi="Times New Roman" w:cs="Times New Roman" w:eastAsia="Times New Roman" w:hint="default"/>
          <w:spacing w:val="-57"/>
        </w:rPr>
        <w:t> </w:t>
      </w:r>
      <w:r>
        <w:rPr/>
        <w:t>号</w:t>
      </w:r>
      <w:r>
        <w:rPr>
          <w:rFonts w:ascii="Times New Roman" w:hAnsi="Times New Roman" w:cs="Times New Roman" w:eastAsia="Times New Roman" w:hint="default"/>
        </w:rPr>
        <w:t>”</w:t>
      </w:r>
      <w:r>
        <w:rPr/>
        <w:t>的《验资报告》，验证截至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日，公司已将资本公积</w:t>
      </w:r>
      <w:r>
        <w:rPr>
          <w:rFonts w:ascii="Times New Roman" w:hAnsi="Times New Roman" w:cs="Times New Roman" w:eastAsia="Times New Roman" w:hint="default"/>
        </w:rPr>
        <w:t>44,600,000.00</w:t>
      </w:r>
      <w:r>
        <w:rPr/>
        <w:t>元转增股本；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日，公司的注册资本增加为人民币</w:t>
      </w:r>
      <w:r>
        <w:rPr>
          <w:rFonts w:ascii="Times New Roman" w:hAnsi="Times New Roman" w:cs="Times New Roman" w:eastAsia="Times New Roman" w:hint="default"/>
        </w:rPr>
        <w:t>89,200,000.00</w:t>
      </w:r>
      <w:r>
        <w:rPr/>
        <w:t>元，累计实收资本（股本） 为人民币</w:t>
      </w:r>
      <w:r>
        <w:rPr>
          <w:rFonts w:ascii="Times New Roman" w:hAnsi="Times New Roman" w:cs="Times New Roman" w:eastAsia="Times New Roman" w:hint="default"/>
        </w:rPr>
        <w:t>89,200,000.00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2012</w:t>
      </w:r>
      <w:r>
        <w:rPr/>
        <w:t>年第一次临时股东大会审议通过了《关 </w:t>
      </w:r>
      <w:r>
        <w:rPr>
          <w:spacing w:val="-3"/>
        </w:rPr>
        <w:t>于增加郑州新开普电子股份有限公司注册资本的议案》及《关于修改</w:t>
      </w:r>
      <w:r>
        <w:rPr>
          <w:rFonts w:ascii="Times New Roman" w:hAnsi="Times New Roman" w:cs="Times New Roman" w:eastAsia="Times New Roman" w:hint="default"/>
          <w:spacing w:val="-3"/>
        </w:rPr>
        <w:t>&lt;</w:t>
      </w:r>
      <w:r>
        <w:rPr>
          <w:spacing w:val="-3"/>
        </w:rPr>
        <w:t>郑州新开普电子股份有</w:t>
      </w:r>
      <w:r>
        <w:rPr>
          <w:spacing w:val="-97"/>
        </w:rPr>
        <w:t> </w:t>
      </w:r>
      <w:r>
        <w:rPr/>
        <w:t>限公司章程</w:t>
      </w:r>
      <w:r>
        <w:rPr>
          <w:rFonts w:ascii="Times New Roman" w:hAnsi="Times New Roman" w:cs="Times New Roman" w:eastAsia="Times New Roman" w:hint="default"/>
        </w:rPr>
        <w:t>&gt;</w:t>
      </w:r>
      <w:r>
        <w:rPr/>
        <w:t>的议案》，并于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日完成了本次工商变更登记。</w:t>
      </w:r>
    </w:p>
    <w:p>
      <w:pPr>
        <w:spacing w:line="240" w:lineRule="auto" w:before="3"/>
        <w:rPr>
          <w:rFonts w:ascii="宋体" w:hAnsi="宋体" w:cs="宋体" w:eastAsia="宋体" w:hint="default"/>
          <w:sz w:val="18"/>
          <w:szCs w:val="1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8" w:lineRule="auto" w:before="132"/>
        <w:ind w:right="217" w:firstLine="480"/>
        <w:jc w:val="left"/>
      </w:pPr>
      <w:r>
        <w:rPr>
          <w:spacing w:val="-2"/>
        </w:rPr>
        <w:t>报告期内，公司于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月份进行了资本公积金转增股本，每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股，共计增加</w:t>
      </w:r>
      <w:r>
        <w:rPr/>
        <w:t> </w:t>
      </w:r>
      <w:r>
        <w:rPr>
          <w:spacing w:val="-2"/>
        </w:rPr>
        <w:t>股本</w:t>
      </w:r>
      <w:r>
        <w:rPr>
          <w:rFonts w:ascii="Times New Roman" w:hAnsi="Times New Roman" w:cs="Times New Roman" w:eastAsia="Times New Roman" w:hint="default"/>
          <w:spacing w:val="-2"/>
        </w:rPr>
        <w:t>44,600,000</w:t>
      </w:r>
      <w:r>
        <w:rPr>
          <w:spacing w:val="-2"/>
        </w:rPr>
        <w:t>股，使股份由上年期末</w:t>
      </w:r>
      <w:r>
        <w:rPr>
          <w:rFonts w:ascii="Times New Roman" w:hAnsi="Times New Roman" w:cs="Times New Roman" w:eastAsia="Times New Roman" w:hint="default"/>
          <w:spacing w:val="-2"/>
        </w:rPr>
        <w:t>44,600,000</w:t>
      </w:r>
      <w:r>
        <w:rPr>
          <w:spacing w:val="-2"/>
        </w:rPr>
        <w:t>股增加至</w:t>
      </w:r>
      <w:r>
        <w:rPr>
          <w:rFonts w:ascii="Times New Roman" w:hAnsi="Times New Roman" w:cs="Times New Roman" w:eastAsia="Times New Roman" w:hint="default"/>
          <w:spacing w:val="-2"/>
        </w:rPr>
        <w:t>89,200,000</w:t>
      </w:r>
      <w:r>
        <w:rPr>
          <w:spacing w:val="-2"/>
        </w:rPr>
        <w:t>股，从而摊薄了报告期末</w:t>
      </w:r>
      <w:r>
        <w:rPr>
          <w:spacing w:val="-88"/>
        </w:rPr>
        <w:t> </w:t>
      </w:r>
      <w:r>
        <w:rPr>
          <w:spacing w:val="-88"/>
        </w:rPr>
      </w:r>
      <w:r>
        <w:rPr/>
        <w:t>的基本每股收益。本报告期及上年同期调整后的每股收益均为</w:t>
      </w:r>
      <w:r>
        <w:rPr>
          <w:rFonts w:ascii="Times New Roman" w:hAnsi="Times New Roman" w:cs="Times New Roman" w:eastAsia="Times New Roman" w:hint="default"/>
        </w:rPr>
        <w:t>0.47</w:t>
      </w:r>
      <w:r>
        <w:rPr/>
        <w:t>元，如不实施转增股本方 案，本报告期为</w:t>
      </w:r>
      <w:r>
        <w:rPr>
          <w:rFonts w:ascii="Times New Roman" w:hAnsi="Times New Roman" w:cs="Times New Roman" w:eastAsia="Times New Roman" w:hint="default"/>
        </w:rPr>
        <w:t>0.94</w:t>
      </w:r>
      <w:r>
        <w:rPr/>
        <w:t>元及上年同期为</w:t>
      </w:r>
      <w:r>
        <w:rPr>
          <w:rFonts w:ascii="Times New Roman" w:hAnsi="Times New Roman" w:cs="Times New Roman" w:eastAsia="Times New Roman" w:hint="default"/>
        </w:rPr>
        <w:t>1.10</w:t>
      </w:r>
      <w:r>
        <w:rPr/>
        <w:t>元。</w:t>
      </w:r>
    </w:p>
    <w:p>
      <w:pPr>
        <w:spacing w:line="240" w:lineRule="auto" w:before="3"/>
        <w:rPr>
          <w:rFonts w:ascii="宋体" w:hAnsi="宋体" w:cs="宋体" w:eastAsia="宋体" w:hint="default"/>
          <w:sz w:val="18"/>
          <w:szCs w:val="1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pStyle w:val="BodyText"/>
        <w:spacing w:line="240" w:lineRule="auto" w:before="144"/>
        <w:ind w:left="634" w:right="95"/>
        <w:jc w:val="left"/>
      </w:pPr>
      <w:r>
        <w:rPr/>
        <w:t>无。</w:t>
      </w:r>
    </w:p>
    <w:p>
      <w:pPr>
        <w:spacing w:after="0" w:line="240" w:lineRule="auto"/>
        <w:jc w:val="left"/>
        <w:sectPr>
          <w:pgSz w:w="11910" w:h="16840"/>
          <w:pgMar w:header="851" w:footer="982" w:top="1220" w:bottom="1180" w:left="980" w:right="90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无锡国联卓成创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2,104,500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于照永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邵彦超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李永革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陈振亚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李文坚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苏扬鸣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杨长昆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陈卫国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吴冠军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马东亚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沈延晓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张振京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焦征海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秦天福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王勇军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郭永旺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李军艳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0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60" w:lineRule="auto"/>
              <w:ind w:left="22" w:right="612"/>
              <w:jc w:val="left"/>
              <w:rPr>
                <w:rFonts w:ascii="宋体" w:hAnsi="宋体" w:cs="宋体" w:eastAsia="宋体" w:hint="default"/>
                <w:sz w:val="18"/>
                <w:szCs w:val="18"/>
              </w:rPr>
            </w:pPr>
            <w:r>
              <w:rPr>
                <w:rFonts w:ascii="宋体" w:hAnsi="宋体" w:cs="宋体" w:eastAsia="宋体" w:hint="default"/>
                <w:sz w:val="18"/>
                <w:szCs w:val="18"/>
              </w:rPr>
              <w:t>首发承诺 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38"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日 任职期间每年转 让的股份不超过</w:t>
            </w:r>
          </w:p>
          <w:p>
            <w:pPr>
              <w:pStyle w:val="TableParagraph"/>
              <w:spacing w:line="319" w:lineRule="auto" w:before="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其所持有公司股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319" w:lineRule="auto"/>
        <w:jc w:val="lef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袁胜兵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秦玉昆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刘建新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崔红松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陈传兵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高永辉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毕强伟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冯一新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丁广勇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阎玉玺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曾劲松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马超锋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徐亚飞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彭勇平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尚勤强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任海伦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2"/>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55,055,000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5"/>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95"/>
        <w:jc w:val="left"/>
      </w:pPr>
      <w:r>
        <w:rPr/>
        <w:t>报告期内，公司为进行证券发行。</w:t>
      </w:r>
    </w:p>
    <w:p>
      <w:pPr>
        <w:spacing w:line="240" w:lineRule="auto" w:before="8"/>
        <w:rPr>
          <w:rFonts w:ascii="宋体" w:hAnsi="宋体" w:cs="宋体" w:eastAsia="宋体" w:hint="default"/>
          <w:sz w:val="30"/>
          <w:szCs w:val="30"/>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38" w:lineRule="auto"/>
        <w:ind w:right="95" w:firstLine="480"/>
        <w:jc w:val="left"/>
      </w:pPr>
      <w:r>
        <w:rPr/>
        <w:t>报告期内，公司实施了</w:t>
      </w:r>
      <w:r>
        <w:rPr>
          <w:rFonts w:ascii="Times New Roman" w:hAnsi="Times New Roman" w:cs="Times New Roman" w:eastAsia="Times New Roman" w:hint="default"/>
        </w:rPr>
        <w:t>2011</w:t>
      </w:r>
      <w:r>
        <w:rPr/>
        <w:t>年度利润分配和资本公积转增股本方案，具体信息如下：郑 州新开普电子股份有限公司</w:t>
      </w:r>
      <w:r>
        <w:rPr>
          <w:rFonts w:ascii="Times New Roman" w:hAnsi="Times New Roman" w:cs="Times New Roman" w:eastAsia="Times New Roman" w:hint="default"/>
        </w:rPr>
        <w:t>(</w:t>
      </w:r>
      <w:r>
        <w:rPr/>
        <w:t>以下简称“公司”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36"/>
        </w:rPr>
        <w:t> </w:t>
      </w:r>
      <w:r>
        <w:rPr/>
        <w:t>日召开的</w:t>
      </w:r>
      <w:r>
        <w:rPr>
          <w:rFonts w:ascii="Times New Roman" w:hAnsi="Times New Roman" w:cs="Times New Roman" w:eastAsia="Times New Roman" w:hint="default"/>
        </w:rPr>
        <w:t>2011</w:t>
      </w:r>
      <w:r>
        <w:rPr/>
        <w:t>年年度股东大 会审议通过了《关于审议郑州新开普电子股份有限公司</w:t>
      </w:r>
      <w:r>
        <w:rPr>
          <w:rFonts w:ascii="Times New Roman" w:hAnsi="Times New Roman" w:cs="Times New Roman" w:eastAsia="Times New Roman" w:hint="default"/>
        </w:rPr>
        <w:t>2011</w:t>
      </w:r>
      <w:r>
        <w:rPr/>
        <w:t>年度利润分配及资本公积金转增 股本预案的议案》，确定</w:t>
      </w:r>
      <w:r>
        <w:rPr>
          <w:rFonts w:ascii="Times New Roman" w:hAnsi="Times New Roman" w:cs="Times New Roman" w:eastAsia="Times New Roman" w:hint="default"/>
        </w:rPr>
        <w:t>2011</w:t>
      </w:r>
      <w:r>
        <w:rPr/>
        <w:t>年度利润分配及资本公积金转增股本方案为：“以截至</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日公司总股本</w:t>
      </w:r>
      <w:r>
        <w:rPr>
          <w:rFonts w:ascii="Times New Roman" w:hAnsi="Times New Roman" w:cs="Times New Roman" w:eastAsia="Times New Roman" w:hint="default"/>
        </w:rPr>
        <w:t>44,600,000 </w:t>
      </w:r>
      <w:r>
        <w:rPr>
          <w:spacing w:val="-9"/>
        </w:rPr>
        <w:t>股为基数，向全体股东每</w:t>
      </w:r>
      <w:r>
        <w:rPr>
          <w:rFonts w:ascii="Times New Roman" w:hAnsi="Times New Roman" w:cs="Times New Roman" w:eastAsia="Times New Roman" w:hint="default"/>
          <w:spacing w:val="-9"/>
        </w:rPr>
        <w:t>10</w:t>
      </w:r>
      <w:r>
        <w:rPr>
          <w:rFonts w:ascii="Times New Roman" w:hAnsi="Times New Roman" w:cs="Times New Roman" w:eastAsia="Times New Roman" w:hint="default"/>
        </w:rPr>
        <w:t> </w:t>
      </w:r>
      <w:r>
        <w:rPr/>
        <w:t>股派发现金</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24"/>
        </w:rPr>
        <w:t>元人民币（含税），</w:t>
      </w:r>
      <w:r>
        <w:rPr/>
        <w:t> 同时进行资本公积金转增股本，以公司总股本</w:t>
      </w:r>
      <w:r>
        <w:rPr>
          <w:rFonts w:ascii="Times New Roman" w:hAnsi="Times New Roman" w:cs="Times New Roman" w:eastAsia="Times New Roman" w:hint="default"/>
        </w:rPr>
        <w:t>44,600,000</w:t>
      </w:r>
      <w:r>
        <w:rPr>
          <w:rFonts w:ascii="Times New Roman" w:hAnsi="Times New Roman" w:cs="Times New Roman" w:eastAsia="Times New Roman" w:hint="default"/>
          <w:spacing w:val="36"/>
        </w:rPr>
        <w:t> </w:t>
      </w:r>
      <w:r>
        <w:rPr/>
        <w:t>股为基数，向全体股东每</w:t>
      </w:r>
      <w:r>
        <w:rPr>
          <w:rFonts w:ascii="Times New Roman" w:hAnsi="Times New Roman" w:cs="Times New Roman" w:eastAsia="Times New Roman" w:hint="default"/>
        </w:rPr>
        <w:t>10</w:t>
      </w:r>
      <w:r>
        <w:rPr/>
        <w:t>股转增 </w:t>
      </w:r>
      <w:r>
        <w:rPr>
          <w:rFonts w:ascii="Times New Roman" w:hAnsi="Times New Roman" w:cs="Times New Roman" w:eastAsia="Times New Roman" w:hint="default"/>
        </w:rPr>
        <w:t>10 </w:t>
      </w:r>
      <w:r>
        <w:rPr/>
        <w:t>股，转增后公司总股本将增加至</w:t>
      </w:r>
      <w:r>
        <w:rPr>
          <w:rFonts w:ascii="Times New Roman" w:hAnsi="Times New Roman" w:cs="Times New Roman" w:eastAsia="Times New Roman" w:hint="default"/>
        </w:rPr>
        <w:t>89,200,000 </w:t>
      </w:r>
      <w:r>
        <w:rPr/>
        <w:t>股”。截至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年年度 权益分派已实施完毕。</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日，利安达会计师事务所有限责任公司出具了编号为“利 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1023</w:t>
      </w:r>
      <w:r>
        <w:rPr>
          <w:rFonts w:ascii="Times New Roman" w:hAnsi="Times New Roman" w:cs="Times New Roman" w:eastAsia="Times New Roman" w:hint="default"/>
          <w:spacing w:val="10"/>
        </w:rPr>
        <w:t> </w:t>
      </w:r>
      <w:r>
        <w:rPr/>
        <w:t>号”的《验资报告》，验证截至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日，公司已将资本公积 </w:t>
      </w:r>
      <w:r>
        <w:rPr>
          <w:rFonts w:ascii="Times New Roman" w:hAnsi="Times New Roman" w:cs="Times New Roman" w:eastAsia="Times New Roman" w:hint="default"/>
        </w:rPr>
        <w:t>44,600,000.00</w:t>
      </w:r>
      <w:r>
        <w:rPr>
          <w:rFonts w:ascii="Times New Roman" w:hAnsi="Times New Roman" w:cs="Times New Roman" w:eastAsia="Times New Roman" w:hint="default"/>
          <w:spacing w:val="42"/>
        </w:rPr>
        <w:t> </w:t>
      </w:r>
      <w:r>
        <w:rPr>
          <w:spacing w:val="-10"/>
        </w:rPr>
        <w:t>元转增股本；截至</w:t>
      </w:r>
      <w:r>
        <w:rPr>
          <w:rFonts w:ascii="Times New Roman" w:hAnsi="Times New Roman" w:cs="Times New Roman" w:eastAsia="Times New Roman" w:hint="default"/>
          <w:spacing w:val="-10"/>
        </w:rPr>
        <w:t>2012</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月</w:t>
      </w:r>
      <w:r>
        <w:rPr>
          <w:rFonts w:ascii="Times New Roman" w:hAnsi="Times New Roman" w:cs="Times New Roman" w:eastAsia="Times New Roman" w:hint="default"/>
        </w:rPr>
        <w:t>9</w:t>
      </w:r>
      <w:r>
        <w:rPr>
          <w:rFonts w:ascii="Times New Roman" w:hAnsi="Times New Roman" w:cs="Times New Roman" w:eastAsia="Times New Roman" w:hint="default"/>
          <w:spacing w:val="42"/>
        </w:rPr>
        <w:t> </w:t>
      </w:r>
      <w:r>
        <w:rPr>
          <w:spacing w:val="-5"/>
        </w:rPr>
        <w:t>日，公司的注册资本增加为人民币</w:t>
      </w:r>
      <w:r>
        <w:rPr>
          <w:rFonts w:ascii="Times New Roman" w:hAnsi="Times New Roman" w:cs="Times New Roman" w:eastAsia="Times New Roman" w:hint="default"/>
          <w:spacing w:val="-5"/>
        </w:rPr>
        <w:t>89,200,000.00</w:t>
      </w:r>
      <w:r>
        <w:rPr>
          <w:rFonts w:ascii="Times New Roman" w:hAnsi="Times New Roman" w:cs="Times New Roman" w:eastAsia="Times New Roman" w:hint="default"/>
          <w:spacing w:val="-52"/>
        </w:rPr>
        <w:t> </w:t>
      </w:r>
      <w:r>
        <w:rPr/>
        <w:t>元，累计实收资本（股本）为人民币</w:t>
      </w:r>
      <w:r>
        <w:rPr>
          <w:rFonts w:ascii="Times New Roman" w:hAnsi="Times New Roman" w:cs="Times New Roman" w:eastAsia="Times New Roman" w:hint="default"/>
        </w:rPr>
        <w:t>89,200,000.00</w:t>
      </w:r>
      <w:r>
        <w:rPr>
          <w:rFonts w:ascii="Times New Roman" w:hAnsi="Times New Roman" w:cs="Times New Roman" w:eastAsia="Times New Roman" w:hint="default"/>
          <w:spacing w:val="36"/>
        </w:rPr>
        <w:t> </w:t>
      </w:r>
      <w:r>
        <w:rPr/>
        <w:t>元。</w:t>
      </w:r>
    </w:p>
    <w:p>
      <w:pPr>
        <w:pStyle w:val="BodyText"/>
        <w:spacing w:line="240" w:lineRule="auto" w:before="27"/>
        <w:ind w:left="634" w:right="95"/>
        <w:jc w:val="left"/>
      </w:pPr>
      <w:r>
        <w:rPr/>
        <w:t>公司本次资本公积转增股本方案的实施，是公司总股本从</w:t>
      </w:r>
      <w:r>
        <w:rPr>
          <w:rFonts w:ascii="Times New Roman" w:hAnsi="Times New Roman" w:cs="Times New Roman" w:eastAsia="Times New Roman" w:hint="default"/>
        </w:rPr>
        <w:t>4,460</w:t>
      </w:r>
      <w:r>
        <w:rPr/>
        <w:t>万元增加至</w:t>
      </w:r>
      <w:r>
        <w:rPr>
          <w:rFonts w:ascii="Times New Roman" w:hAnsi="Times New Roman" w:cs="Times New Roman" w:eastAsia="Times New Roman" w:hint="default"/>
        </w:rPr>
        <w:t>8,920</w:t>
      </w:r>
      <w:r>
        <w:rPr/>
        <w:t>万元对公</w:t>
      </w:r>
    </w:p>
    <w:p>
      <w:pPr>
        <w:spacing w:after="0" w:line="240"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spacing w:line="506" w:lineRule="auto" w:before="26"/>
        <w:ind w:left="153" w:right="6371" w:firstLine="0"/>
        <w:jc w:val="left"/>
        <w:rPr>
          <w:rFonts w:ascii="宋体" w:hAnsi="宋体" w:cs="宋体" w:eastAsia="宋体" w:hint="default"/>
          <w:sz w:val="21"/>
          <w:szCs w:val="21"/>
        </w:rPr>
      </w:pPr>
      <w:r>
        <w:rPr>
          <w:rFonts w:ascii="宋体" w:hAnsi="宋体" w:cs="宋体" w:eastAsia="宋体" w:hint="default"/>
          <w:sz w:val="24"/>
          <w:szCs w:val="24"/>
        </w:rPr>
        <w:t>司资产和负债结构不产生影响。 </w:t>
      </w:r>
      <w:r>
        <w:rPr>
          <w:rFonts w:ascii="宋体" w:hAnsi="宋体" w:cs="宋体" w:eastAsia="宋体" w:hint="default"/>
          <w:b/>
          <w:bCs/>
          <w:sz w:val="24"/>
          <w:szCs w:val="24"/>
        </w:rPr>
        <w:t>三、股东和实际控制人情况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3"/>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7"/>
        <w:gridCol w:w="1362"/>
        <w:gridCol w:w="1368"/>
        <w:gridCol w:w="1364"/>
        <w:gridCol w:w="1372"/>
      </w:tblGrid>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7"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5,419</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5,397</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7" w:hRule="exact"/>
        </w:trPr>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7" w:right="48"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5" w:hRule="exact"/>
        </w:trPr>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3D3D3"/>
          </w:tcPr>
          <w:p>
            <w:pP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62" w:type="dxa"/>
            <w:vMerge/>
            <w:tcBorders>
              <w:left w:val="single" w:sz="4" w:space="0" w:color="000000"/>
              <w:bottom w:val="nil" w:sz="6" w:space="0" w:color="auto"/>
              <w:right w:val="single" w:sz="4" w:space="0" w:color="000000"/>
            </w:tcBorders>
            <w:shd w:val="clear" w:color="auto" w:fill="D3D3D3"/>
          </w:tcPr>
          <w:p>
            <w:pPr/>
          </w:p>
        </w:tc>
        <w:tc>
          <w:tcPr>
            <w:tcW w:w="1364" w:type="dxa"/>
            <w:vMerge/>
            <w:tcBorders>
              <w:left w:val="single" w:sz="4" w:space="0" w:color="000000"/>
              <w:bottom w:val="nil" w:sz="6" w:space="0" w:color="auto"/>
              <w:right w:val="single" w:sz="4" w:space="0" w:color="000000"/>
            </w:tcBorders>
            <w:shd w:val="clear" w:color="auto" w:fill="D3D3D3"/>
          </w:tcPr>
          <w:p>
            <w:pPr/>
          </w:p>
        </w:tc>
        <w:tc>
          <w:tcPr>
            <w:tcW w:w="1377"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right w:val="single" w:sz="4" w:space="0" w:color="000000"/>
            </w:tcBorders>
            <w:shd w:val="clear" w:color="auto" w:fill="D3D3D3"/>
          </w:tcPr>
          <w:p>
            <w:pPr/>
          </w:p>
        </w:tc>
        <w:tc>
          <w:tcPr>
            <w:tcW w:w="13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13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4" w:type="dxa"/>
            <w:vMerge/>
            <w:tcBorders>
              <w:left w:val="single" w:sz="4" w:space="0" w:color="000000"/>
              <w:bottom w:val="single" w:sz="4" w:space="0" w:color="000000"/>
              <w:right w:val="single" w:sz="4" w:space="0" w:color="000000"/>
            </w:tcBorders>
            <w:shd w:val="clear" w:color="auto" w:fill="D3D3D3"/>
          </w:tcPr>
          <w:p>
            <w:pPr/>
          </w:p>
        </w:tc>
        <w:tc>
          <w:tcPr>
            <w:tcW w:w="13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23.77%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21,200,000</w:t>
            </w:r>
          </w:p>
        </w:tc>
        <w:tc>
          <w:tcPr>
            <w:tcW w:w="1368" w:type="dxa"/>
            <w:tcBorders>
              <w:top w:val="single" w:sz="22" w:space="0" w:color="D3D3D3"/>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z w:val="18"/>
              </w:rPr>
              <w:t>21,200,000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无锡国联卓成创 业投资有限公司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7.49%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4,371,000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4.72%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4,209,000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6" w:type="dxa"/>
            <w:gridSpan w:val="2"/>
            <w:vMerge/>
            <w:tcBorders>
              <w:left w:val="single" w:sz="4" w:space="0" w:color="000000"/>
              <w:bottom w:val="single" w:sz="4" w:space="0" w:color="000000"/>
              <w:right w:val="single" w:sz="4" w:space="0" w:color="000000"/>
            </w:tcBorders>
            <w:shd w:val="clear" w:color="auto" w:fill="D3D3D3"/>
          </w:tcPr>
          <w:p>
            <w:pPr/>
          </w:p>
        </w:tc>
        <w:tc>
          <w:tcPr>
            <w:tcW w:w="4108" w:type="dxa"/>
            <w:gridSpan w:val="3"/>
            <w:vMerge/>
            <w:tcBorders>
              <w:left w:val="single" w:sz="4" w:space="0" w:color="000000"/>
              <w:bottom w:val="single" w:sz="4" w:space="0" w:color="000000"/>
              <w:right w:val="single" w:sz="4" w:space="0" w:color="000000"/>
            </w:tcBorders>
            <w:shd w:val="clear" w:color="auto" w:fill="D3D3D3"/>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吴凤辉</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陶刚</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w:t>
            </w:r>
          </w:p>
        </w:tc>
      </w:tr>
      <w:tr>
        <w:trPr>
          <w:trHeight w:val="714"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华泰证券股份有限公司客户信用 交易担保证券账户</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329,400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329,400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李文坚</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邵彦超</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陈振亚</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杨文寿</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295,000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吴建明</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266,700</w:t>
            </w:r>
          </w:p>
        </w:tc>
      </w:tr>
      <w:tr>
        <w:trPr>
          <w:trHeight w:val="402"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张仙芝</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238,700</w:t>
            </w:r>
          </w:p>
        </w:tc>
      </w:tr>
      <w:tr>
        <w:trPr>
          <w:trHeight w:val="362"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6844"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、前十名有限售条件股东中，杨维国与尚卫国、付秋生、赵利宾、华梦阳、傅常顺、</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spacing w:before="44"/>
        <w:ind w:left="0" w:right="195" w:firstLine="0"/>
        <w:jc w:val="right"/>
        <w:rPr>
          <w:rFonts w:ascii="宋体" w:hAnsi="宋体" w:cs="宋体" w:eastAsia="宋体" w:hint="default"/>
          <w:sz w:val="18"/>
          <w:szCs w:val="18"/>
        </w:rPr>
      </w:pPr>
      <w:r>
        <w:rPr/>
        <w:pict>
          <v:shape style="position:absolute;margin-left:56.459999pt;margin-top:-30.008047pt;width:479.25pt;height:145.4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0"/>
                    <w:gridCol w:w="6840"/>
                  </w:tblGrid>
                  <w:tr>
                    <w:trPr>
                      <w:trHeight w:val="322" w:hRule="exact"/>
                    </w:trPr>
                    <w:tc>
                      <w:tcPr>
                        <w:tcW w:w="27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郎金文、杜建平、葛晓阁及位列第十一位的刘恩臣（境内自然人，持股总数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3,600,000</w:t>
                        </w:r>
                      </w:p>
                    </w:tc>
                  </w:tr>
                  <w:tr>
                    <w:trPr>
                      <w:trHeight w:val="312" w:hRule="exact"/>
                    </w:trPr>
                    <w:tc>
                      <w:tcPr>
                        <w:tcW w:w="2730"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w:t>
                        </w:r>
                        <w:r>
                          <w:rPr>
                            <w:rFonts w:ascii="宋体" w:hAnsi="宋体" w:cs="宋体" w:eastAsia="宋体" w:hint="default"/>
                            <w:sz w:val="18"/>
                            <w:szCs w:val="18"/>
                          </w:rPr>
                          <w:t>，其有限售条件股份可上市交易时间同为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2730"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系一致行动人，上述十名自然人（杨维国、尚卫国、付秋生、赵利宾、华梦阳、傅常顺</w:t>
                        </w:r>
                      </w:p>
                    </w:tc>
                  </w:tr>
                  <w:tr>
                    <w:trPr>
                      <w:trHeight w:val="313" w:hRule="exact"/>
                    </w:trPr>
                    <w:tc>
                      <w:tcPr>
                        <w:tcW w:w="2730"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郎金文、杜建平、葛晓阁、刘恩臣，不包含无锡国联卓成创业投资有限公司）合计持有</w:t>
                        </w:r>
                      </w:p>
                    </w:tc>
                  </w:tr>
                  <w:tr>
                    <w:trPr>
                      <w:trHeight w:val="337" w:hRule="exact"/>
                    </w:trPr>
                    <w:tc>
                      <w:tcPr>
                        <w:tcW w:w="2730"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61.67%</w:t>
                        </w:r>
                        <w:r>
                          <w:rPr>
                            <w:rFonts w:ascii="宋体" w:hAnsi="宋体" w:cs="宋体" w:eastAsia="宋体" w:hint="default"/>
                            <w:sz w:val="18"/>
                            <w:szCs w:val="18"/>
                          </w:rPr>
                          <w:t>的股份。</w:t>
                        </w:r>
                      </w:p>
                    </w:tc>
                  </w:tr>
                  <w:tr>
                    <w:trPr>
                      <w:trHeight w:val="332" w:hRule="exact"/>
                    </w:trPr>
                    <w:tc>
                      <w:tcPr>
                        <w:tcW w:w="2730"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、前十名无限售条件股东中无锡国联卓成创业投资有限公司吴凤辉、李文坚、邵彦超</w:t>
                        </w:r>
                      </w:p>
                    </w:tc>
                  </w:tr>
                  <w:tr>
                    <w:trPr>
                      <w:trHeight w:val="307" w:hRule="exact"/>
                    </w:trPr>
                    <w:tc>
                      <w:tcPr>
                        <w:tcW w:w="2730"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陈振亚、杨文寿等六名股东系本公司首次公开发行股票并在创业板上市前公司股东，其</w:t>
                        </w:r>
                      </w:p>
                    </w:tc>
                  </w:tr>
                  <w:tr>
                    <w:trPr>
                      <w:trHeight w:val="313" w:hRule="exact"/>
                    </w:trPr>
                    <w:tc>
                      <w:tcPr>
                        <w:tcW w:w="2730"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间无关联关系；公司未知除上述六名公司发行前股东外的其他前四名无限售条件股东之</w:t>
                        </w:r>
                      </w:p>
                    </w:tc>
                  </w:tr>
                  <w:tr>
                    <w:trPr>
                      <w:trHeight w:val="356" w:hRule="exact"/>
                    </w:trPr>
                    <w:tc>
                      <w:tcPr>
                        <w:tcW w:w="27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间是否存在关联关系，也未知其间是否存在一致行动人之情形。</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9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35"/>
        <w:ind w:left="154" w:right="33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0" w:lineRule="auto"/>
        <w:ind w:left="154" w:right="90" w:firstLine="480"/>
        <w:jc w:val="left"/>
      </w:pPr>
      <w:r>
        <w:rPr/>
        <w:t>截至本报告期末，杨维国先生持有公司</w:t>
      </w:r>
      <w:r>
        <w:rPr>
          <w:rFonts w:ascii="Times New Roman" w:hAnsi="Times New Roman" w:cs="Times New Roman" w:eastAsia="Times New Roman" w:hint="default"/>
        </w:rPr>
        <w:t>2,120</w:t>
      </w:r>
      <w:r>
        <w:rPr/>
        <w:t>万股股票，占公司总股本的比例为</w:t>
      </w:r>
      <w:r>
        <w:rPr>
          <w:rFonts w:ascii="Times New Roman" w:hAnsi="Times New Roman" w:cs="Times New Roman" w:eastAsia="Times New Roman" w:hint="default"/>
        </w:rPr>
        <w:t>23.77%</w:t>
      </w:r>
      <w:r>
        <w:rPr/>
        <w:t>。 杨维国先生为公司第一大股东，是本公司的控股股东，并担任公司董事长兼总经理。杨维国 先生简历请见本报告“第七节 董事、监事、高级管理人员和员工情况”之“公司现任董事、 监事、高级管理人员最近</w:t>
      </w:r>
      <w:r>
        <w:rPr>
          <w:rFonts w:ascii="Times New Roman" w:hAnsi="Times New Roman" w:cs="Times New Roman" w:eastAsia="Times New Roman" w:hint="default"/>
        </w:rPr>
        <w:t>5</w:t>
      </w:r>
      <w:r>
        <w:rPr/>
        <w:t>年的主要工作经历”。</w:t>
      </w:r>
    </w:p>
    <w:p>
      <w:pPr>
        <w:spacing w:line="240" w:lineRule="auto" w:before="11"/>
        <w:rPr>
          <w:rFonts w:ascii="宋体" w:hAnsi="宋体" w:cs="宋体" w:eastAsia="宋体" w:hint="default"/>
          <w:sz w:val="19"/>
          <w:szCs w:val="19"/>
        </w:rPr>
      </w:pPr>
    </w:p>
    <w:p>
      <w:pPr>
        <w:spacing w:before="0"/>
        <w:ind w:left="154" w:right="33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0" w:lineRule="auto"/>
        <w:ind w:left="154" w:right="130" w:firstLine="480"/>
        <w:jc w:val="left"/>
      </w:pPr>
      <w:r>
        <w:rPr/>
        <w:t>截至本报告期末，杨维国先生持有公司</w:t>
      </w:r>
      <w:r>
        <w:rPr>
          <w:rFonts w:ascii="Times New Roman" w:hAnsi="Times New Roman" w:cs="Times New Roman" w:eastAsia="Times New Roman" w:hint="default"/>
        </w:rPr>
        <w:t>2,120</w:t>
      </w:r>
      <w:r>
        <w:rPr/>
        <w:t>万股股票，占公司总股本的比例为</w:t>
      </w:r>
      <w:r>
        <w:rPr>
          <w:rFonts w:ascii="Times New Roman" w:hAnsi="Times New Roman" w:cs="Times New Roman" w:eastAsia="Times New Roman" w:hint="default"/>
        </w:rPr>
        <w:t>23.77%</w:t>
      </w:r>
      <w:r>
        <w:rPr/>
        <w:t>。 杨维国先生为公司第一大股东，是本公司的控股股东，也是本公司的实际控制人，并担任公 司董事长兼总经理。杨维国先生简历请见本报告“第七节</w:t>
      </w:r>
      <w:r>
        <w:rPr>
          <w:spacing w:val="-17"/>
        </w:rPr>
        <w:t> </w:t>
      </w:r>
      <w:r>
        <w:rPr>
          <w:spacing w:val="-4"/>
        </w:rPr>
        <w:t>董事、监事、高级管理人员和员工</w:t>
      </w:r>
      <w:r>
        <w:rPr/>
        <w:t> 情况”之“公司现任董事、监事、高级管理人员最近</w:t>
      </w:r>
      <w:r>
        <w:rPr>
          <w:rFonts w:ascii="Times New Roman" w:hAnsi="Times New Roman" w:cs="Times New Roman" w:eastAsia="Times New Roman" w:hint="default"/>
        </w:rPr>
        <w:t>5</w:t>
      </w:r>
      <w:r>
        <w:rPr/>
        <w:t>年的主要工作经历”。</w:t>
      </w:r>
    </w:p>
    <w:p>
      <w:pPr>
        <w:spacing w:line="240" w:lineRule="auto" w:before="10"/>
        <w:rPr>
          <w:rFonts w:ascii="宋体" w:hAnsi="宋体" w:cs="宋体" w:eastAsia="宋体" w:hint="default"/>
          <w:sz w:val="25"/>
          <w:szCs w:val="25"/>
        </w:rPr>
      </w:pPr>
    </w:p>
    <w:p>
      <w:pPr>
        <w:spacing w:before="0"/>
        <w:ind w:left="154" w:right="3307"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after="0"/>
        <w:jc w:val="left"/>
        <w:rPr>
          <w:rFonts w:ascii="宋体" w:hAnsi="宋体" w:cs="宋体" w:eastAsia="宋体" w:hint="default"/>
          <w:sz w:val="18"/>
          <w:szCs w:val="18"/>
        </w:rPr>
        <w:sectPr>
          <w:pgSz w:w="11910" w:h="16840"/>
          <w:pgMar w:header="851" w:footer="982" w:top="1220" w:bottom="1180" w:left="980" w:right="940"/>
        </w:sectPr>
      </w:pPr>
    </w:p>
    <w:p>
      <w:pPr>
        <w:spacing w:line="240" w:lineRule="auto" w:before="9"/>
        <w:rPr>
          <w:rFonts w:ascii="宋体" w:hAnsi="宋体" w:cs="宋体" w:eastAsia="宋体" w:hint="default"/>
          <w:sz w:val="26"/>
          <w:szCs w:val="26"/>
        </w:rPr>
      </w:pPr>
    </w:p>
    <w:p>
      <w:pPr>
        <w:spacing w:line="4695" w:lineRule="exact"/>
        <w:ind w:left="1356"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2749" cy="2981325"/>
            <wp:effectExtent l="0" t="0" r="0" b="0"/>
            <wp:docPr id="37" name="image15.jpeg" descr=""/>
            <wp:cNvGraphicFramePr>
              <a:graphicFrameLocks noChangeAspect="1"/>
            </wp:cNvGraphicFramePr>
            <a:graphic>
              <a:graphicData uri="http://schemas.openxmlformats.org/drawingml/2006/picture">
                <pic:pic>
                  <pic:nvPicPr>
                    <pic:cNvPr id="38" name="image15.jpeg"/>
                    <pic:cNvPicPr/>
                  </pic:nvPicPr>
                  <pic:blipFill>
                    <a:blip r:embed="rId27" cstate="print"/>
                    <a:stretch>
                      <a:fillRect/>
                    </a:stretch>
                  </pic:blipFill>
                  <pic:spPr>
                    <a:xfrm>
                      <a:off x="0" y="0"/>
                      <a:ext cx="4592749" cy="2981325"/>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
        <w:rPr>
          <w:rFonts w:ascii="宋体" w:hAnsi="宋体" w:cs="宋体" w:eastAsia="宋体" w:hint="default"/>
          <w:sz w:val="24"/>
          <w:szCs w:val="24"/>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2"/>
        <w:rPr>
          <w:rFonts w:ascii="宋体" w:hAnsi="宋体" w:cs="宋体" w:eastAsia="宋体" w:hint="default"/>
          <w:sz w:val="21"/>
          <w:szCs w:val="21"/>
        </w:rPr>
      </w:pPr>
    </w:p>
    <w:p>
      <w:pPr>
        <w:spacing w:before="0"/>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94"/>
        <w:gridCol w:w="1070"/>
        <w:gridCol w:w="899"/>
        <w:gridCol w:w="1801"/>
        <w:gridCol w:w="1813"/>
        <w:gridCol w:w="1779"/>
      </w:tblGrid>
      <w:tr>
        <w:trPr>
          <w:trHeight w:val="162" w:hRule="exact"/>
        </w:trPr>
        <w:tc>
          <w:tcPr>
            <w:tcW w:w="2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0"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80" w:right="5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8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77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03" w:right="73"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390" w:hRule="exact"/>
        </w:trPr>
        <w:tc>
          <w:tcPr>
            <w:tcW w:w="2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70" w:type="dxa"/>
            <w:vMerge/>
            <w:tcBorders>
              <w:left w:val="single" w:sz="4" w:space="0" w:color="000000"/>
              <w:right w:val="single" w:sz="4" w:space="0" w:color="000000"/>
            </w:tcBorders>
            <w:shd w:val="clear" w:color="auto" w:fill="D3D3D3"/>
          </w:tcPr>
          <w:p>
            <w:pPr/>
          </w:p>
        </w:tc>
        <w:tc>
          <w:tcPr>
            <w:tcW w:w="8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79" w:type="dxa"/>
            <w:vMerge/>
            <w:tcBorders>
              <w:left w:val="single" w:sz="4" w:space="0" w:color="000000"/>
              <w:right w:val="single" w:sz="4" w:space="0" w:color="000000"/>
            </w:tcBorders>
            <w:shd w:val="clear" w:color="auto" w:fill="D3D3D3"/>
          </w:tcPr>
          <w:p>
            <w:pPr/>
          </w:p>
        </w:tc>
      </w:tr>
      <w:tr>
        <w:trPr>
          <w:trHeight w:val="161" w:hRule="exact"/>
        </w:trPr>
        <w:tc>
          <w:tcPr>
            <w:tcW w:w="2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0" w:type="dxa"/>
            <w:vMerge/>
            <w:tcBorders>
              <w:left w:val="single" w:sz="4" w:space="0" w:color="000000"/>
              <w:bottom w:val="single" w:sz="4" w:space="0" w:color="000000"/>
              <w:right w:val="single" w:sz="4" w:space="0" w:color="000000"/>
            </w:tcBorders>
            <w:shd w:val="clear" w:color="auto" w:fill="D3D3D3"/>
          </w:tcPr>
          <w:p>
            <w:pPr/>
          </w:p>
        </w:tc>
        <w:tc>
          <w:tcPr>
            <w:tcW w:w="8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8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7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62"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、前</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名有限售条件股东持股数量及限售条件</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1" w:right="53"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1"/>
        <w:spacing w:line="240" w:lineRule="auto"/>
        <w:ind w:left="1680" w:right="610"/>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61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3"/>
        <w:gridCol w:w="683"/>
        <w:gridCol w:w="683"/>
        <w:gridCol w:w="683"/>
        <w:gridCol w:w="684"/>
        <w:gridCol w:w="683"/>
        <w:gridCol w:w="683"/>
        <w:gridCol w:w="684"/>
        <w:gridCol w:w="684"/>
        <w:gridCol w:w="683"/>
        <w:gridCol w:w="683"/>
        <w:gridCol w:w="684"/>
        <w:gridCol w:w="683"/>
      </w:tblGrid>
      <w:tr>
        <w:trPr>
          <w:trHeight w:val="1961"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6"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6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数量</w:t>
            </w:r>
          </w:p>
          <w:p>
            <w:pPr>
              <w:pStyle w:val="TableParagraph"/>
              <w:spacing w:line="240" w:lineRule="auto" w:before="76"/>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6"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58"/>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21,200,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资本公 积转增</w:t>
            </w:r>
          </w:p>
        </w:tc>
      </w:tr>
    </w:tbl>
    <w:p>
      <w:pPr>
        <w:spacing w:after="0" w:line="316"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b/>
          <w:bCs/>
          <w:sz w:val="15"/>
          <w:szCs w:val="15"/>
        </w:rPr>
      </w:pPr>
    </w:p>
    <w:tbl>
      <w:tblPr>
        <w:tblW w:w="0" w:type="auto"/>
        <w:jc w:val="left"/>
        <w:tblInd w:w="149" w:type="dxa"/>
        <w:tblLayout w:type="fixed"/>
        <w:tblCellMar>
          <w:top w:w="0" w:type="dxa"/>
          <w:left w:w="0" w:type="dxa"/>
          <w:bottom w:w="0" w:type="dxa"/>
          <w:right w:w="0" w:type="dxa"/>
        </w:tblCellMar>
        <w:tblLook w:val="01E0"/>
      </w:tblPr>
      <w:tblGrid>
        <w:gridCol w:w="683"/>
        <w:gridCol w:w="683"/>
        <w:gridCol w:w="683"/>
        <w:gridCol w:w="683"/>
        <w:gridCol w:w="683"/>
        <w:gridCol w:w="684"/>
        <w:gridCol w:w="683"/>
        <w:gridCol w:w="683"/>
        <w:gridCol w:w="684"/>
        <w:gridCol w:w="684"/>
        <w:gridCol w:w="683"/>
        <w:gridCol w:w="683"/>
        <w:gridCol w:w="684"/>
        <w:gridCol w:w="683"/>
      </w:tblGrid>
      <w:tr>
        <w:trPr>
          <w:trHeight w:val="362" w:hRule="exact"/>
        </w:trPr>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8"/>
              <w:jc w:val="right"/>
              <w:rPr>
                <w:rFonts w:ascii="宋体" w:hAnsi="宋体" w:cs="宋体" w:eastAsia="宋体" w:hint="default"/>
                <w:sz w:val="18"/>
                <w:szCs w:val="18"/>
              </w:rPr>
            </w:pPr>
            <w:r>
              <w:rPr>
                <w:rFonts w:ascii="宋体" w:hAnsi="宋体" w:cs="宋体" w:eastAsia="宋体" w:hint="default"/>
                <w:sz w:val="18"/>
                <w:szCs w:val="18"/>
              </w:rPr>
              <w:t>股本</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张国庆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王葆玲</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李玉玲</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华梦阳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20,340,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20,340,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40,680,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84"/>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4" w:right="8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132"/>
        <w:ind w:left="634" w:right="84"/>
        <w:jc w:val="left"/>
      </w:pPr>
      <w:r>
        <w:rPr>
          <w:rFonts w:ascii="Times New Roman" w:hAnsi="Times New Roman" w:cs="Times New Roman" w:eastAsia="Times New Roman" w:hint="default"/>
        </w:rPr>
        <w:t>1</w:t>
      </w:r>
      <w:r>
        <w:rPr/>
        <w:t>、董事会成员</w:t>
      </w:r>
    </w:p>
    <w:p>
      <w:pPr>
        <w:pStyle w:val="BodyText"/>
        <w:spacing w:line="240" w:lineRule="auto" w:before="175"/>
        <w:ind w:left="633" w:right="84"/>
        <w:jc w:val="left"/>
        <w:rPr>
          <w:rFonts w:ascii="Times New Roman" w:hAnsi="Times New Roman" w:cs="Times New Roman" w:eastAsia="Times New Roman" w:hint="default"/>
        </w:rPr>
      </w:pPr>
      <w:r>
        <w:rPr/>
        <w:t>公司现有董事会成员</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人，其中董事</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人，独立董事</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人，本届董事会任期至</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3</w:t>
      </w:r>
    </w:p>
    <w:p>
      <w:pPr>
        <w:pStyle w:val="BodyText"/>
        <w:spacing w:line="240" w:lineRule="auto" w:before="137"/>
        <w:ind w:left="154" w:right="84"/>
        <w:jc w:val="left"/>
      </w:pP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日止，具体情况如下：</w:t>
      </w:r>
    </w:p>
    <w:p>
      <w:pPr>
        <w:pStyle w:val="BodyText"/>
        <w:spacing w:line="340" w:lineRule="auto" w:before="174"/>
        <w:ind w:left="154" w:right="128" w:firstLine="480"/>
        <w:jc w:val="both"/>
      </w:pPr>
      <w:r>
        <w:rPr/>
        <w:t>杨维国，男，</w:t>
      </w:r>
      <w:r>
        <w:rPr>
          <w:rFonts w:ascii="Times New Roman" w:hAnsi="Times New Roman" w:cs="Times New Roman" w:eastAsia="Times New Roman" w:hint="default"/>
        </w:rPr>
        <w:t>1964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3"/>
        </w:rPr>
        <w:t> </w:t>
      </w:r>
      <w:r>
        <w:rPr/>
        <w:t>月出生，本科学历，中级工程师、高级经济师，河南省软件行</w:t>
      </w:r>
      <w:r>
        <w:rPr>
          <w:spacing w:val="-1"/>
        </w:rPr>
        <w:t> </w:t>
      </w:r>
      <w:r>
        <w:rPr/>
        <w:t>业协会常务理事、河南省工商业联合会常委。</w:t>
      </w:r>
      <w:r>
        <w:rPr>
          <w:rFonts w:ascii="Times New Roman" w:hAnsi="Times New Roman" w:cs="Times New Roman" w:eastAsia="Times New Roman" w:hint="default"/>
        </w:rPr>
        <w:t>1985</w:t>
      </w:r>
      <w:r>
        <w:rPr>
          <w:rFonts w:ascii="Times New Roman" w:hAnsi="Times New Roman" w:cs="Times New Roman" w:eastAsia="Times New Roman" w:hint="default"/>
          <w:spacing w:val="-20"/>
        </w:rPr>
        <w:t> </w:t>
      </w:r>
      <w:r>
        <w:rPr/>
        <w:t>年毕业于郑州工学院电机系，获工学学士 </w:t>
      </w:r>
      <w:r>
        <w:rPr>
          <w:spacing w:val="-13"/>
        </w:rPr>
        <w:t>学位；</w:t>
      </w:r>
      <w:r>
        <w:rPr>
          <w:rFonts w:ascii="Times New Roman" w:hAnsi="Times New Roman" w:cs="Times New Roman" w:eastAsia="Times New Roman" w:hint="default"/>
          <w:spacing w:val="-13"/>
        </w:rPr>
        <w:t>1994 </w:t>
      </w:r>
      <w:r>
        <w:rPr>
          <w:spacing w:val="-8"/>
        </w:rPr>
        <w:t>年毕业于西安交通大学，获法学学士学位。</w:t>
      </w:r>
      <w:r>
        <w:rPr>
          <w:rFonts w:ascii="Times New Roman" w:hAnsi="Times New Roman" w:cs="Times New Roman" w:eastAsia="Times New Roman" w:hint="default"/>
          <w:spacing w:val="-8"/>
        </w:rPr>
        <w:t>1985 </w:t>
      </w:r>
      <w:r>
        <w:rPr/>
        <w:t>年至 </w:t>
      </w:r>
      <w:r>
        <w:rPr>
          <w:rFonts w:ascii="Times New Roman" w:hAnsi="Times New Roman" w:cs="Times New Roman" w:eastAsia="Times New Roman" w:hint="default"/>
        </w:rPr>
        <w:t>1994</w:t>
      </w:r>
      <w:r>
        <w:rPr>
          <w:rFonts w:ascii="Times New Roman" w:hAnsi="Times New Roman" w:cs="Times New Roman" w:eastAsia="Times New Roman" w:hint="default"/>
          <w:spacing w:val="-28"/>
        </w:rPr>
        <w:t> </w:t>
      </w:r>
      <w:r>
        <w:rPr>
          <w:spacing w:val="-14"/>
        </w:rPr>
        <w:t>年，在郑州工学院（</w:t>
      </w:r>
      <w:r>
        <w:rPr>
          <w:rFonts w:ascii="Times New Roman" w:hAnsi="Times New Roman" w:cs="Times New Roman" w:eastAsia="Times New Roman" w:hint="default"/>
          <w:spacing w:val="-14"/>
        </w:rPr>
        <w:t>1996</w:t>
      </w:r>
      <w:r>
        <w:rPr>
          <w:rFonts w:ascii="Times New Roman" w:hAnsi="Times New Roman" w:cs="Times New Roman" w:eastAsia="Times New Roman" w:hint="default"/>
        </w:rPr>
        <w:t> </w:t>
      </w:r>
      <w:r>
        <w:rPr/>
        <w:t>年更名为郑州工业大学，</w:t>
      </w:r>
      <w:r>
        <w:rPr>
          <w:rFonts w:ascii="Times New Roman" w:hAnsi="Times New Roman" w:cs="Times New Roman" w:eastAsia="Times New Roman" w:hint="default"/>
        </w:rPr>
        <w:t>2000</w:t>
      </w:r>
      <w:r>
        <w:rPr>
          <w:rFonts w:ascii="Times New Roman" w:hAnsi="Times New Roman" w:cs="Times New Roman" w:eastAsia="Times New Roman" w:hint="default"/>
          <w:spacing w:val="-20"/>
        </w:rPr>
        <w:t> </w:t>
      </w:r>
      <w:r>
        <w:rPr/>
        <w:t>年与原郑州大学、河南医科大学合并组建新郑州大学）计算机 与自动化系政治辅导员、兼课教师，历任校团委干事、分团委书记、计算机与自动化系主任</w:t>
      </w:r>
      <w:r>
        <w:rPr>
          <w:spacing w:val="-83"/>
        </w:rPr>
        <w:t> </w:t>
      </w:r>
      <w:r>
        <w:rPr>
          <w:spacing w:val="-83"/>
        </w:rPr>
      </w:r>
      <w:r>
        <w:rPr/>
        <w:t>助理；</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2000</w:t>
      </w:r>
      <w:r>
        <w:rPr>
          <w:rFonts w:ascii="Times New Roman" w:hAnsi="Times New Roman" w:cs="Times New Roman" w:eastAsia="Times New Roman" w:hint="default"/>
          <w:spacing w:val="-24"/>
        </w:rPr>
        <w:t> </w:t>
      </w:r>
      <w:r>
        <w:rPr/>
        <w:t>年，任郑州工学院科技开发公司副总经理，兼任郑州工学院开普电子 技术公司（成立于 </w:t>
      </w:r>
      <w:r>
        <w:rPr>
          <w:rFonts w:ascii="Times New Roman" w:hAnsi="Times New Roman" w:cs="Times New Roman" w:eastAsia="Times New Roman" w:hint="default"/>
        </w:rPr>
        <w:t>1992 </w:t>
      </w:r>
      <w:r>
        <w:rPr/>
        <w:t>年，系郑州工学院校办企业，</w:t>
      </w:r>
      <w:r>
        <w:rPr>
          <w:rFonts w:ascii="Times New Roman" w:hAnsi="Times New Roman" w:cs="Times New Roman" w:eastAsia="Times New Roman" w:hint="default"/>
        </w:rPr>
        <w:t>1996</w:t>
      </w:r>
      <w:r>
        <w:rPr>
          <w:rFonts w:ascii="Times New Roman" w:hAnsi="Times New Roman" w:cs="Times New Roman" w:eastAsia="Times New Roman" w:hint="default"/>
          <w:spacing w:val="-24"/>
        </w:rPr>
        <w:t> </w:t>
      </w:r>
      <w:r>
        <w:rPr/>
        <w:t>年更名为郑州工业大学开普电子 技术公司，已于 </w:t>
      </w: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2 </w:t>
      </w:r>
      <w:r>
        <w:rPr/>
        <w:t>月注销）总经理；</w:t>
      </w:r>
      <w:r>
        <w:rPr>
          <w:rFonts w:ascii="Times New Roman" w:hAnsi="Times New Roman" w:cs="Times New Roman" w:eastAsia="Times New Roman" w:hint="default"/>
        </w:rPr>
        <w:t>2000</w:t>
      </w:r>
      <w:r>
        <w:rPr>
          <w:rFonts w:ascii="Times New Roman" w:hAnsi="Times New Roman" w:cs="Times New Roman" w:eastAsia="Times New Roman" w:hint="default"/>
          <w:spacing w:val="-25"/>
        </w:rPr>
        <w:t> </w:t>
      </w:r>
      <w:r>
        <w:rPr/>
        <w:t>年至今在公司工作，现任本公司董事长兼 总经理。</w:t>
      </w:r>
    </w:p>
    <w:p>
      <w:pPr>
        <w:pStyle w:val="BodyText"/>
        <w:spacing w:line="338" w:lineRule="auto" w:before="91"/>
        <w:ind w:left="154" w:right="108" w:firstLine="480"/>
        <w:jc w:val="both"/>
      </w:pPr>
      <w:r>
        <w:rPr/>
        <w:t>付秋生，男，</w:t>
      </w:r>
      <w:r>
        <w:rPr>
          <w:rFonts w:ascii="Times New Roman" w:hAnsi="Times New Roman" w:cs="Times New Roman" w:eastAsia="Times New Roman" w:hint="default"/>
        </w:rPr>
        <w:t>1963 </w:t>
      </w:r>
      <w:r>
        <w:rPr/>
        <w:t>年 </w:t>
      </w:r>
      <w:r>
        <w:rPr>
          <w:rFonts w:ascii="Times New Roman" w:hAnsi="Times New Roman" w:cs="Times New Roman" w:eastAsia="Times New Roman" w:hint="default"/>
          <w:spacing w:val="-5"/>
        </w:rPr>
        <w:t>11 </w:t>
      </w:r>
      <w:r>
        <w:rPr/>
        <w:t>月出生，硕士学历，高级工程师。</w:t>
      </w:r>
      <w:r>
        <w:rPr>
          <w:rFonts w:ascii="Times New Roman" w:hAnsi="Times New Roman" w:cs="Times New Roman" w:eastAsia="Times New Roman" w:hint="default"/>
        </w:rPr>
        <w:t>1985</w:t>
      </w:r>
      <w:r>
        <w:rPr>
          <w:rFonts w:ascii="Times New Roman" w:hAnsi="Times New Roman" w:cs="Times New Roman" w:eastAsia="Times New Roman" w:hint="default"/>
          <w:spacing w:val="-7"/>
        </w:rPr>
        <w:t> </w:t>
      </w:r>
      <w:r>
        <w:rPr/>
        <w:t>年毕业于上海理工大学 计算机应用专业，获学士学位；</w:t>
      </w:r>
      <w:r>
        <w:rPr>
          <w:rFonts w:ascii="Times New Roman" w:hAnsi="Times New Roman" w:cs="Times New Roman" w:eastAsia="Times New Roman" w:hint="default"/>
        </w:rPr>
        <w:t>1988 </w:t>
      </w:r>
      <w:r>
        <w:rPr/>
        <w:t>年毕业于上海理工大学计算机控制专业，获硕士学位。 </w:t>
      </w:r>
      <w:r>
        <w:rPr>
          <w:rFonts w:ascii="Times New Roman" w:hAnsi="Times New Roman" w:cs="Times New Roman" w:eastAsia="Times New Roman" w:hint="default"/>
        </w:rPr>
        <w:t>1988 </w:t>
      </w:r>
      <w:r>
        <w:rPr/>
        <w:t>年 </w:t>
      </w:r>
      <w:r>
        <w:rPr>
          <w:rFonts w:ascii="Times New Roman" w:hAnsi="Times New Roman" w:cs="Times New Roman" w:eastAsia="Times New Roman" w:hint="default"/>
        </w:rPr>
        <w:t>5 </w:t>
      </w:r>
      <w:r>
        <w:rPr>
          <w:spacing w:val="-4"/>
        </w:rPr>
        <w:t>月参加工作，在郑州工学院计算机自动化系任教；</w:t>
      </w:r>
      <w:r>
        <w:rPr>
          <w:rFonts w:ascii="Times New Roman" w:hAnsi="Times New Roman" w:cs="Times New Roman" w:eastAsia="Times New Roman" w:hint="default"/>
          <w:spacing w:val="-4"/>
        </w:rPr>
        <w:t>1996</w:t>
      </w:r>
      <w:r>
        <w:rPr>
          <w:rFonts w:ascii="Times New Roman" w:hAnsi="Times New Roman" w:cs="Times New Roman" w:eastAsia="Times New Roman" w:hint="default"/>
          <w:spacing w:val="-38"/>
        </w:rPr>
        <w:t> </w:t>
      </w:r>
      <w:r>
        <w:rPr/>
        <w:t>年任河南省计算技术研究所</w:t>
      </w:r>
    </w:p>
    <w:p>
      <w:pPr>
        <w:spacing w:after="0" w:line="338" w:lineRule="auto"/>
        <w:jc w:val="both"/>
        <w:sectPr>
          <w:pgSz w:w="11910" w:h="16840"/>
          <w:pgMar w:header="851" w:footer="982" w:top="1220" w:bottom="1180" w:left="980" w:right="1000"/>
        </w:sectPr>
      </w:pPr>
    </w:p>
    <w:p>
      <w:pPr>
        <w:spacing w:line="240" w:lineRule="auto" w:before="5"/>
        <w:rPr>
          <w:rFonts w:ascii="宋体" w:hAnsi="宋体" w:cs="宋体" w:eastAsia="宋体" w:hint="default"/>
          <w:sz w:val="16"/>
          <w:szCs w:val="16"/>
        </w:rPr>
      </w:pPr>
    </w:p>
    <w:p>
      <w:pPr>
        <w:pStyle w:val="BodyText"/>
        <w:spacing w:line="350" w:lineRule="auto" w:before="26"/>
        <w:ind w:left="154" w:right="93"/>
        <w:jc w:val="left"/>
      </w:pPr>
      <w:r>
        <w:rPr>
          <w:spacing w:val="-6"/>
        </w:rPr>
        <w:t>所长助理；</w:t>
      </w:r>
      <w:r>
        <w:rPr>
          <w:rFonts w:ascii="Times New Roman" w:hAnsi="Times New Roman" w:cs="Times New Roman" w:eastAsia="Times New Roman" w:hint="default"/>
          <w:spacing w:val="-6"/>
        </w:rPr>
        <w:t>1998</w:t>
      </w:r>
      <w:r>
        <w:rPr>
          <w:rFonts w:ascii="Times New Roman" w:hAnsi="Times New Roman" w:cs="Times New Roman" w:eastAsia="Times New Roman" w:hint="default"/>
          <w:spacing w:val="13"/>
        </w:rPr>
        <w:t> </w:t>
      </w:r>
      <w:r>
        <w:rPr>
          <w:spacing w:val="-3"/>
        </w:rPr>
        <w:t>年进入河南思达高科技股份有限公司，历任系统集成分公司经理，副总经理、</w:t>
      </w:r>
      <w:r>
        <w:rPr/>
        <w:t> </w:t>
      </w:r>
      <w:r>
        <w:rPr>
          <w:spacing w:val="-4"/>
        </w:rPr>
        <w:t>总经理；</w:t>
      </w:r>
      <w:r>
        <w:rPr>
          <w:rFonts w:ascii="Times New Roman" w:hAnsi="Times New Roman" w:cs="Times New Roman" w:eastAsia="Times New Roman" w:hint="default"/>
          <w:spacing w:val="-4"/>
        </w:rPr>
        <w:t>2003 </w:t>
      </w:r>
      <w:r>
        <w:rPr/>
        <w:t>年任河南思达科技发展股份有限公司副总裁；</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spacing w:val="-3"/>
        </w:rPr>
        <w:t>年至今在本公司工作，现任</w:t>
      </w:r>
      <w:r>
        <w:rPr/>
        <w:t> 本公司董事、副总经理，系公司核心技术人员，主要负责公司研发中心、生产中心、客服中</w:t>
      </w:r>
      <w:r>
        <w:rPr>
          <w:spacing w:val="-83"/>
        </w:rPr>
        <w:t> </w:t>
      </w:r>
      <w:r>
        <w:rPr>
          <w:spacing w:val="-83"/>
        </w:rPr>
      </w:r>
      <w:r>
        <w:rPr/>
        <w:t>心和营销中心等部门及业务的管理和协调，以及公司产品战略规划和重要产品评审决策。曾</w:t>
      </w:r>
      <w:r>
        <w:rPr>
          <w:spacing w:val="-83"/>
        </w:rPr>
        <w:t> </w:t>
      </w:r>
      <w:r>
        <w:rPr>
          <w:spacing w:val="-83"/>
        </w:rPr>
      </w:r>
      <w:r>
        <w:rPr/>
        <w:t>主持开发新开普一卡通管理系统、智能集中电控系统、预付费电能表等产品，负责设计和实</w:t>
      </w:r>
      <w:r>
        <w:rPr>
          <w:spacing w:val="-83"/>
        </w:rPr>
        <w:t> </w:t>
      </w:r>
      <w:r>
        <w:rPr>
          <w:spacing w:val="-83"/>
        </w:rPr>
      </w:r>
      <w:r>
        <w:rPr>
          <w:spacing w:val="-5"/>
        </w:rPr>
        <w:t>施的《河南省高级法院办公自动化系统》、《罗山县化肥厂氢氮比自动控制系统》曾获河南省</w:t>
      </w:r>
      <w:r>
        <w:rPr>
          <w:spacing w:val="-116"/>
        </w:rPr>
        <w:t> </w:t>
      </w:r>
      <w:r>
        <w:rPr>
          <w:spacing w:val="-116"/>
        </w:rPr>
      </w:r>
      <w:r>
        <w:rPr/>
        <w:t>科技进步三等奖。</w:t>
      </w:r>
    </w:p>
    <w:p>
      <w:pPr>
        <w:pStyle w:val="BodyText"/>
        <w:spacing w:line="338" w:lineRule="auto" w:before="82"/>
        <w:ind w:right="231" w:firstLine="480"/>
        <w:jc w:val="both"/>
      </w:pPr>
      <w:r>
        <w:rPr/>
        <w:t>尚卫国，男，</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10 </w:t>
      </w:r>
      <w:r>
        <w:rPr/>
        <w:t>月出生，专科学历，中级工程师。</w:t>
      </w:r>
      <w:r>
        <w:rPr>
          <w:rFonts w:ascii="Times New Roman" w:hAnsi="Times New Roman" w:cs="Times New Roman" w:eastAsia="Times New Roman" w:hint="default"/>
        </w:rPr>
        <w:t>1983</w:t>
      </w:r>
      <w:r>
        <w:rPr>
          <w:rFonts w:ascii="Times New Roman" w:hAnsi="Times New Roman" w:cs="Times New Roman" w:eastAsia="Times New Roman" w:hint="default"/>
          <w:spacing w:val="-25"/>
        </w:rPr>
        <w:t> </w:t>
      </w:r>
      <w:r>
        <w:rPr/>
        <w:t>年毕业于河南省公安高 </w:t>
      </w:r>
      <w:r>
        <w:rPr>
          <w:spacing w:val="-3"/>
        </w:rPr>
        <w:t>等专科学校；</w:t>
      </w:r>
      <w:r>
        <w:rPr>
          <w:rFonts w:ascii="Times New Roman" w:hAnsi="Times New Roman" w:cs="Times New Roman" w:eastAsia="Times New Roman" w:hint="default"/>
          <w:spacing w:val="-3"/>
        </w:rPr>
        <w:t>1984 </w:t>
      </w:r>
      <w:r>
        <w:rPr/>
        <w:t>年至</w:t>
      </w:r>
      <w:r>
        <w:rPr>
          <w:spacing w:val="-63"/>
        </w:rPr>
        <w:t> </w:t>
      </w:r>
      <w:r>
        <w:rPr>
          <w:rFonts w:ascii="Times New Roman" w:hAnsi="Times New Roman" w:cs="Times New Roman" w:eastAsia="Times New Roman" w:hint="default"/>
        </w:rPr>
        <w:t>1986</w:t>
      </w:r>
      <w:r>
        <w:rPr>
          <w:rFonts w:ascii="Times New Roman" w:hAnsi="Times New Roman" w:cs="Times New Roman" w:eastAsia="Times New Roman" w:hint="default"/>
          <w:spacing w:val="-3"/>
        </w:rPr>
        <w:t> </w:t>
      </w:r>
      <w:r>
        <w:rPr/>
        <w:t>年在郑州大学法律系学习。</w:t>
      </w:r>
      <w:r>
        <w:rPr>
          <w:rFonts w:ascii="Times New Roman" w:hAnsi="Times New Roman" w:cs="Times New Roman" w:eastAsia="Times New Roman" w:hint="default"/>
        </w:rPr>
        <w:t>1983</w:t>
      </w:r>
      <w:r>
        <w:rPr>
          <w:rFonts w:ascii="Times New Roman" w:hAnsi="Times New Roman" w:cs="Times New Roman" w:eastAsia="Times New Roman" w:hint="default"/>
          <w:spacing w:val="-3"/>
        </w:rPr>
        <w:t> </w:t>
      </w:r>
      <w:r>
        <w:rPr/>
        <w:t>年至</w:t>
      </w:r>
      <w:r>
        <w:rPr>
          <w:spacing w:val="-63"/>
        </w:rPr>
        <w:t> </w:t>
      </w:r>
      <w:r>
        <w:rPr>
          <w:rFonts w:ascii="Times New Roman" w:hAnsi="Times New Roman" w:cs="Times New Roman" w:eastAsia="Times New Roman" w:hint="default"/>
        </w:rPr>
        <w:t>1995</w:t>
      </w:r>
      <w:r>
        <w:rPr>
          <w:rFonts w:ascii="Times New Roman" w:hAnsi="Times New Roman" w:cs="Times New Roman" w:eastAsia="Times New Roman" w:hint="default"/>
          <w:spacing w:val="-3"/>
        </w:rPr>
        <w:t> </w:t>
      </w:r>
      <w:r>
        <w:rPr>
          <w:spacing w:val="-4"/>
        </w:rPr>
        <w:t>年，任郑州工学院机</w:t>
      </w:r>
      <w:r>
        <w:rPr/>
        <w:t> 关干部；</w:t>
      </w:r>
      <w:r>
        <w:rPr>
          <w:rFonts w:ascii="Times New Roman" w:hAnsi="Times New Roman" w:cs="Times New Roman" w:eastAsia="Times New Roman" w:hint="default"/>
        </w:rPr>
        <w:t>1995 </w:t>
      </w:r>
      <w:r>
        <w:rPr/>
        <w:t>年至 </w:t>
      </w:r>
      <w:r>
        <w:rPr>
          <w:rFonts w:ascii="Times New Roman" w:hAnsi="Times New Roman" w:cs="Times New Roman" w:eastAsia="Times New Roman" w:hint="default"/>
        </w:rPr>
        <w:t>2000 </w:t>
      </w:r>
      <w:r>
        <w:rPr/>
        <w:t>年任郑州工学院开普电子技术公司管理部经理；</w:t>
      </w:r>
      <w:r>
        <w:rPr>
          <w:rFonts w:ascii="Times New Roman" w:hAnsi="Times New Roman" w:cs="Times New Roman" w:eastAsia="Times New Roman" w:hint="default"/>
        </w:rPr>
        <w:t>2000</w:t>
      </w:r>
      <w:r>
        <w:rPr>
          <w:rFonts w:ascii="Times New Roman" w:hAnsi="Times New Roman" w:cs="Times New Roman" w:eastAsia="Times New Roman" w:hint="default"/>
          <w:spacing w:val="-25"/>
        </w:rPr>
        <w:t> </w:t>
      </w:r>
      <w:r>
        <w:rPr/>
        <w:t>年至今在公司 工作，现任本公司董事、副总经理。</w:t>
      </w:r>
    </w:p>
    <w:p>
      <w:pPr>
        <w:pStyle w:val="BodyText"/>
        <w:spacing w:line="338" w:lineRule="auto" w:before="95"/>
        <w:ind w:left="154" w:right="111" w:firstLine="480"/>
        <w:jc w:val="both"/>
      </w:pPr>
      <w:r>
        <w:rPr/>
        <w:t>赵利宾，男，</w:t>
      </w:r>
      <w:r>
        <w:rPr>
          <w:rFonts w:ascii="Times New Roman" w:hAnsi="Times New Roman" w:cs="Times New Roman" w:eastAsia="Times New Roman" w:hint="default"/>
        </w:rPr>
        <w:t>1967</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月出生，专科学历，中级会计师。</w:t>
      </w:r>
      <w:r>
        <w:rPr>
          <w:rFonts w:ascii="Times New Roman" w:hAnsi="Times New Roman" w:cs="Times New Roman" w:eastAsia="Times New Roman" w:hint="default"/>
        </w:rPr>
        <w:t>1985</w:t>
      </w:r>
      <w:r>
        <w:rPr>
          <w:rFonts w:ascii="Times New Roman" w:hAnsi="Times New Roman" w:cs="Times New Roman" w:eastAsia="Times New Roman" w:hint="default"/>
          <w:spacing w:val="6"/>
        </w:rPr>
        <w:t> </w:t>
      </w:r>
      <w:r>
        <w:rPr/>
        <w:t>年至</w:t>
      </w:r>
      <w:r>
        <w:rPr>
          <w:spacing w:val="-54"/>
        </w:rPr>
        <w:t> </w:t>
      </w:r>
      <w:r>
        <w:rPr>
          <w:rFonts w:ascii="Times New Roman" w:hAnsi="Times New Roman" w:cs="Times New Roman" w:eastAsia="Times New Roman" w:hint="default"/>
        </w:rPr>
        <w:t>1987</w:t>
      </w:r>
      <w:r>
        <w:rPr>
          <w:rFonts w:ascii="Times New Roman" w:hAnsi="Times New Roman" w:cs="Times New Roman" w:eastAsia="Times New Roman" w:hint="default"/>
          <w:spacing w:val="6"/>
        </w:rPr>
        <w:t> </w:t>
      </w:r>
      <w:r>
        <w:rPr/>
        <w:t>年在重庆石油 专科学校学习会计学专业；</w:t>
      </w:r>
      <w:r>
        <w:rPr>
          <w:rFonts w:ascii="Times New Roman" w:hAnsi="Times New Roman" w:cs="Times New Roman" w:eastAsia="Times New Roman" w:hint="default"/>
        </w:rPr>
        <w:t>1994 </w:t>
      </w:r>
      <w:r>
        <w:rPr>
          <w:spacing w:val="-3"/>
        </w:rPr>
        <w:t>年毕业于河南财经学院财务会计专业，专科学历。</w:t>
      </w:r>
      <w:r>
        <w:rPr>
          <w:rFonts w:ascii="Times New Roman" w:hAnsi="Times New Roman" w:cs="Times New Roman" w:eastAsia="Times New Roman" w:hint="default"/>
          <w:spacing w:val="-3"/>
        </w:rPr>
        <w:t>1987 </w:t>
      </w:r>
      <w:r>
        <w:rPr/>
        <w:t>年至 </w:t>
      </w:r>
      <w:r>
        <w:rPr>
          <w:rFonts w:ascii="Times New Roman" w:hAnsi="Times New Roman" w:cs="Times New Roman" w:eastAsia="Times New Roman" w:hint="default"/>
        </w:rPr>
        <w:t>1990</w:t>
      </w:r>
      <w:r>
        <w:rPr>
          <w:rFonts w:ascii="Times New Roman" w:hAnsi="Times New Roman" w:cs="Times New Roman" w:eastAsia="Times New Roman" w:hint="default"/>
          <w:spacing w:val="-5"/>
        </w:rPr>
        <w:t> </w:t>
      </w:r>
      <w:r>
        <w:rPr>
          <w:spacing w:val="-3"/>
        </w:rPr>
        <w:t>年，任中原油田钻井四公司财务科会计；</w:t>
      </w:r>
      <w:r>
        <w:rPr>
          <w:rFonts w:ascii="Times New Roman" w:hAnsi="Times New Roman" w:cs="Times New Roman" w:eastAsia="Times New Roman" w:hint="default"/>
          <w:spacing w:val="-3"/>
        </w:rPr>
        <w:t>1990</w:t>
      </w:r>
      <w:r>
        <w:rPr>
          <w:rFonts w:ascii="Times New Roman" w:hAnsi="Times New Roman" w:cs="Times New Roman" w:eastAsia="Times New Roman" w:hint="default"/>
          <w:spacing w:val="-5"/>
        </w:rPr>
        <w:t> </w:t>
      </w:r>
      <w:r>
        <w:rPr/>
        <w:t>年至</w:t>
      </w:r>
      <w:r>
        <w:rPr>
          <w:spacing w:val="-65"/>
        </w:rPr>
        <w:t> </w:t>
      </w:r>
      <w:r>
        <w:rPr>
          <w:rFonts w:ascii="Times New Roman" w:hAnsi="Times New Roman" w:cs="Times New Roman" w:eastAsia="Times New Roman" w:hint="default"/>
        </w:rPr>
        <w:t>1994</w:t>
      </w:r>
      <w:r>
        <w:rPr>
          <w:rFonts w:ascii="Times New Roman" w:hAnsi="Times New Roman" w:cs="Times New Roman" w:eastAsia="Times New Roman" w:hint="default"/>
          <w:spacing w:val="-5"/>
        </w:rPr>
        <w:t> </w:t>
      </w:r>
      <w:r>
        <w:rPr/>
        <w:t>年，在郑州工学院财务处工作；</w:t>
      </w:r>
    </w:p>
    <w:p>
      <w:pPr>
        <w:pStyle w:val="BodyText"/>
        <w:spacing w:line="338" w:lineRule="auto" w:before="27"/>
        <w:ind w:left="154" w:right="215"/>
        <w:jc w:val="left"/>
      </w:pP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1997 </w:t>
      </w:r>
      <w:r>
        <w:rPr/>
        <w:t>年任郑州工学院开普电子技术公司财务经理；</w:t>
      </w:r>
      <w:r>
        <w:rPr>
          <w:rFonts w:ascii="Times New Roman" w:hAnsi="Times New Roman" w:cs="Times New Roman" w:eastAsia="Times New Roman" w:hint="default"/>
        </w:rPr>
        <w:t>2000</w:t>
      </w:r>
      <w:r>
        <w:rPr>
          <w:rFonts w:ascii="Times New Roman" w:hAnsi="Times New Roman" w:cs="Times New Roman" w:eastAsia="Times New Roman" w:hint="default"/>
          <w:spacing w:val="-25"/>
        </w:rPr>
        <w:t> </w:t>
      </w:r>
      <w:r>
        <w:rPr/>
        <w:t>年至今在本公司工作，现 任本公司董事、副总经理。</w:t>
      </w:r>
    </w:p>
    <w:p>
      <w:pPr>
        <w:pStyle w:val="BodyText"/>
        <w:spacing w:line="348" w:lineRule="auto" w:before="94"/>
        <w:ind w:left="154" w:right="228" w:firstLine="480"/>
        <w:jc w:val="both"/>
      </w:pPr>
      <w:r>
        <w:rPr/>
        <w:t>高建明，男，</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月出生，经济学博士。曾担任上海财经大学讲师、湖北证券有 限责任公司投资银行上海分部经理、闽发证券有限公司投资银行总部总经理等职务，现任上</w:t>
      </w:r>
      <w:r>
        <w:rPr>
          <w:spacing w:val="-83"/>
        </w:rPr>
        <w:t> </w:t>
      </w:r>
      <w:r>
        <w:rPr>
          <w:spacing w:val="-83"/>
        </w:rPr>
      </w:r>
      <w:r>
        <w:rPr/>
        <w:t>海弘信股权投资基金管理有限公司执行董事、上海润景投资管理有限公司执行董事、无锡国</w:t>
      </w:r>
      <w:r>
        <w:rPr>
          <w:spacing w:val="-83"/>
        </w:rPr>
        <w:t> </w:t>
      </w:r>
      <w:r>
        <w:rPr>
          <w:spacing w:val="-83"/>
        </w:rPr>
      </w:r>
      <w:r>
        <w:rPr/>
        <w:t>联卓成创业投资有限公司董事长、北京名仕优翔国际旅行股份有限公司董事。</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月起 担任本公司董事。</w:t>
      </w:r>
    </w:p>
    <w:p>
      <w:pPr>
        <w:pStyle w:val="BodyText"/>
        <w:spacing w:line="338" w:lineRule="auto" w:before="84"/>
        <w:ind w:right="231" w:firstLine="480"/>
        <w:jc w:val="both"/>
      </w:pPr>
      <w:r>
        <w:rPr/>
        <w:t>王世卿</w:t>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t>男，</w:t>
      </w:r>
      <w:r>
        <w:rPr>
          <w:rFonts w:ascii="Times New Roman" w:hAnsi="Times New Roman" w:cs="Times New Roman" w:eastAsia="Times New Roman" w:hint="default"/>
        </w:rPr>
        <w:t>1951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月出生，博士、教授。</w:t>
      </w:r>
      <w:r>
        <w:rPr>
          <w:rFonts w:ascii="Times New Roman" w:hAnsi="Times New Roman" w:cs="Times New Roman" w:eastAsia="Times New Roman" w:hint="default"/>
        </w:rPr>
        <w:t>1987</w:t>
      </w:r>
      <w:r>
        <w:rPr>
          <w:rFonts w:ascii="Times New Roman" w:hAnsi="Times New Roman" w:cs="Times New Roman" w:eastAsia="Times New Roman" w:hint="default"/>
          <w:spacing w:val="-3"/>
        </w:rPr>
        <w:t> </w:t>
      </w:r>
      <w:r>
        <w:rPr/>
        <w:t>年至</w:t>
      </w:r>
      <w:r>
        <w:rPr>
          <w:spacing w:val="-63"/>
        </w:rPr>
        <w:t> </w:t>
      </w:r>
      <w:r>
        <w:rPr>
          <w:rFonts w:ascii="Times New Roman" w:hAnsi="Times New Roman" w:cs="Times New Roman" w:eastAsia="Times New Roman" w:hint="default"/>
        </w:rPr>
        <w:t>1995</w:t>
      </w:r>
      <w:r>
        <w:rPr>
          <w:rFonts w:ascii="Times New Roman" w:hAnsi="Times New Roman" w:cs="Times New Roman" w:eastAsia="Times New Roman" w:hint="default"/>
          <w:spacing w:val="-3"/>
        </w:rPr>
        <w:t> </w:t>
      </w:r>
      <w:r>
        <w:rPr/>
        <w:t>年，任职于郑州大学，历 任讲师、副教授、教授；</w:t>
      </w:r>
      <w:r>
        <w:rPr>
          <w:rFonts w:ascii="Times New Roman" w:hAnsi="Times New Roman" w:cs="Times New Roman" w:eastAsia="Times New Roman" w:hint="default"/>
        </w:rPr>
        <w:t>1996 </w:t>
      </w:r>
      <w:r>
        <w:rPr/>
        <w:t>至 </w:t>
      </w:r>
      <w:r>
        <w:rPr>
          <w:rFonts w:ascii="Times New Roman" w:hAnsi="Times New Roman" w:cs="Times New Roman" w:eastAsia="Times New Roman" w:hint="default"/>
        </w:rPr>
        <w:t>2004</w:t>
      </w:r>
      <w:r>
        <w:rPr>
          <w:rFonts w:ascii="Times New Roman" w:hAnsi="Times New Roman" w:cs="Times New Roman" w:eastAsia="Times New Roman" w:hint="default"/>
          <w:spacing w:val="-24"/>
        </w:rPr>
        <w:t> </w:t>
      </w:r>
      <w:r>
        <w:rPr/>
        <w:t>年，任郑州大学计算机系主任、信息工程学院常务副 院长；</w:t>
      </w:r>
      <w:r>
        <w:rPr>
          <w:rFonts w:ascii="Times New Roman" w:hAnsi="Times New Roman" w:cs="Times New Roman" w:eastAsia="Times New Roman" w:hint="default"/>
        </w:rPr>
        <w:t>2005 </w:t>
      </w:r>
      <w:r>
        <w:rPr/>
        <w:t>年至 </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年，任郑州大学软件学院院长；现已被延聘为郑州大学教授、博士研 究生导师。</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月起担任本公司独立董事。</w:t>
      </w:r>
    </w:p>
    <w:p>
      <w:pPr>
        <w:pStyle w:val="BodyText"/>
        <w:spacing w:line="338" w:lineRule="auto" w:before="66"/>
        <w:ind w:left="154" w:right="231" w:firstLine="480"/>
        <w:jc w:val="both"/>
      </w:pPr>
      <w:r>
        <w:rPr/>
        <w:t>谷建全，男，</w:t>
      </w:r>
      <w:r>
        <w:rPr>
          <w:rFonts w:ascii="Times New Roman" w:hAnsi="Times New Roman" w:cs="Times New Roman" w:eastAsia="Times New Roman" w:hint="default"/>
        </w:rPr>
        <w:t>1962</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月出生，经济学博士、博士生导师。</w:t>
      </w:r>
      <w:r>
        <w:rPr>
          <w:rFonts w:ascii="Times New Roman" w:hAnsi="Times New Roman" w:cs="Times New Roman" w:eastAsia="Times New Roman" w:hint="default"/>
        </w:rPr>
        <w:t>1984</w:t>
      </w:r>
      <w:r>
        <w:rPr>
          <w:rFonts w:ascii="Times New Roman" w:hAnsi="Times New Roman" w:cs="Times New Roman" w:eastAsia="Times New Roman" w:hint="default"/>
          <w:spacing w:val="6"/>
        </w:rPr>
        <w:t> </w:t>
      </w:r>
      <w:r>
        <w:rPr/>
        <w:t>年至</w:t>
      </w:r>
      <w:r>
        <w:rPr>
          <w:spacing w:val="-54"/>
        </w:rPr>
        <w:t> </w:t>
      </w:r>
      <w:r>
        <w:rPr>
          <w:rFonts w:ascii="Times New Roman" w:hAnsi="Times New Roman" w:cs="Times New Roman" w:eastAsia="Times New Roman" w:hint="default"/>
        </w:rPr>
        <w:t>1992</w:t>
      </w:r>
      <w:r>
        <w:rPr>
          <w:rFonts w:ascii="Times New Roman" w:hAnsi="Times New Roman" w:cs="Times New Roman" w:eastAsia="Times New Roman" w:hint="default"/>
          <w:spacing w:val="7"/>
        </w:rPr>
        <w:t> </w:t>
      </w:r>
      <w:r>
        <w:rPr/>
        <w:t>年，在河南 </w:t>
      </w:r>
      <w:r>
        <w:rPr>
          <w:spacing w:val="-5"/>
        </w:rPr>
        <w:t>省社会科学院情报研究所工作；</w:t>
      </w:r>
      <w:r>
        <w:rPr>
          <w:rFonts w:ascii="Times New Roman" w:hAnsi="Times New Roman" w:cs="Times New Roman" w:eastAsia="Times New Roman" w:hint="default"/>
          <w:spacing w:val="-5"/>
        </w:rPr>
        <w:t>1992 </w:t>
      </w:r>
      <w:r>
        <w:rPr/>
        <w:t>至 </w:t>
      </w:r>
      <w:r>
        <w:rPr>
          <w:rFonts w:ascii="Times New Roman" w:hAnsi="Times New Roman" w:cs="Times New Roman" w:eastAsia="Times New Roman" w:hint="default"/>
        </w:rPr>
        <w:t>1994 </w:t>
      </w:r>
      <w:r>
        <w:rPr>
          <w:spacing w:val="-10"/>
        </w:rPr>
        <w:t>年，在郑州市金水区委挂职锻炼；</w:t>
      </w:r>
      <w:r>
        <w:rPr>
          <w:rFonts w:ascii="Times New Roman" w:hAnsi="Times New Roman" w:cs="Times New Roman" w:eastAsia="Times New Roman" w:hint="default"/>
          <w:spacing w:val="-10"/>
        </w:rPr>
        <w:t>1995 </w:t>
      </w:r>
      <w:r>
        <w:rPr/>
        <w:t>年至</w:t>
      </w:r>
      <w:r>
        <w:rPr>
          <w:spacing w:val="-90"/>
        </w:rPr>
        <w:t> </w:t>
      </w:r>
      <w:r>
        <w:rPr>
          <w:rFonts w:ascii="Times New Roman" w:hAnsi="Times New Roman" w:cs="Times New Roman" w:eastAsia="Times New Roman" w:hint="default"/>
        </w:rPr>
        <w:t>2008 </w:t>
      </w:r>
      <w:r>
        <w:rPr/>
        <w:t>年，在河南省社会科学院经济研究所工作，历任副所长、所长；</w:t>
      </w:r>
      <w:r>
        <w:rPr>
          <w:rFonts w:ascii="Times New Roman" w:hAnsi="Times New Roman" w:cs="Times New Roman" w:eastAsia="Times New Roman" w:hint="default"/>
        </w:rPr>
        <w:t>2008 </w:t>
      </w:r>
      <w:r>
        <w:rPr/>
        <w:t>年至 </w:t>
      </w:r>
      <w:r>
        <w:rPr>
          <w:rFonts w:ascii="Times New Roman" w:hAnsi="Times New Roman" w:cs="Times New Roman" w:eastAsia="Times New Roman" w:hint="default"/>
        </w:rPr>
        <w:t>2009</w:t>
      </w:r>
      <w:r>
        <w:rPr>
          <w:rFonts w:ascii="Times New Roman" w:hAnsi="Times New Roman" w:cs="Times New Roman" w:eastAsia="Times New Roman" w:hint="default"/>
          <w:spacing w:val="-24"/>
        </w:rPr>
        <w:t> </w:t>
      </w:r>
      <w:r>
        <w:rPr/>
        <w:t>年，任河南 省社会科学院经济研究所所长兼院办主任；</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年至今任河南省社会科学院副院长兼经济研</w:t>
      </w:r>
    </w:p>
    <w:p>
      <w:pPr>
        <w:spacing w:after="0" w:line="338" w:lineRule="auto"/>
        <w:jc w:val="both"/>
        <w:sectPr>
          <w:pgSz w:w="11910" w:h="16840"/>
          <w:pgMar w:header="851" w:footer="982" w:top="1220" w:bottom="1180" w:left="980" w:right="900"/>
        </w:sectPr>
      </w:pPr>
    </w:p>
    <w:p>
      <w:pPr>
        <w:spacing w:line="240" w:lineRule="auto" w:before="6"/>
        <w:rPr>
          <w:rFonts w:ascii="宋体" w:hAnsi="宋体" w:cs="宋体" w:eastAsia="宋体" w:hint="default"/>
          <w:sz w:val="16"/>
          <w:szCs w:val="16"/>
        </w:rPr>
      </w:pPr>
    </w:p>
    <w:p>
      <w:pPr>
        <w:pStyle w:val="BodyText"/>
        <w:spacing w:line="240" w:lineRule="auto" w:before="26"/>
        <w:ind w:left="154" w:right="610"/>
        <w:jc w:val="left"/>
      </w:pPr>
      <w:r>
        <w:rPr/>
        <w:t>究所所长。</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月起担任本公司独立董事。</w:t>
      </w:r>
    </w:p>
    <w:p>
      <w:pPr>
        <w:pStyle w:val="BodyText"/>
        <w:spacing w:line="338" w:lineRule="auto" w:before="174"/>
        <w:ind w:right="111" w:firstLine="480"/>
        <w:jc w:val="both"/>
      </w:pPr>
      <w:r>
        <w:rPr>
          <w:spacing w:val="-4"/>
        </w:rPr>
        <w:t>甘勇，男，</w:t>
      </w:r>
      <w:r>
        <w:rPr>
          <w:rFonts w:ascii="Times New Roman" w:hAnsi="Times New Roman" w:cs="Times New Roman" w:eastAsia="Times New Roman" w:hint="default"/>
          <w:spacing w:val="-4"/>
        </w:rPr>
        <w:t>1965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月出生，博士、教授。</w:t>
      </w:r>
      <w:r>
        <w:rPr>
          <w:rFonts w:ascii="Times New Roman" w:hAnsi="Times New Roman" w:cs="Times New Roman" w:eastAsia="Times New Roman" w:hint="default"/>
          <w:spacing w:val="-4"/>
        </w:rPr>
        <w:t>1989</w:t>
      </w:r>
      <w:r>
        <w:rPr>
          <w:rFonts w:ascii="Times New Roman" w:hAnsi="Times New Roman" w:cs="Times New Roman" w:eastAsia="Times New Roman" w:hint="default"/>
          <w:spacing w:val="1"/>
        </w:rPr>
        <w:t> </w:t>
      </w:r>
      <w:r>
        <w:rPr/>
        <w:t>年起在郑州轻工业学院任教，先后担任 </w:t>
      </w:r>
      <w:r>
        <w:rPr>
          <w:spacing w:val="-2"/>
        </w:rPr>
        <w:t>控制工程系副主任、计算机科学与工程系副主任、计算机与通信工程学院院长。曾荣获</w:t>
      </w:r>
      <w:r>
        <w:rPr>
          <w:rFonts w:ascii="Times New Roman" w:hAnsi="Times New Roman" w:cs="Times New Roman" w:eastAsia="Times New Roman" w:hint="default"/>
          <w:spacing w:val="-2"/>
        </w:rPr>
        <w:t>“</w:t>
      </w:r>
      <w:r>
        <w:rPr>
          <w:spacing w:val="-2"/>
        </w:rPr>
        <w:t>河南</w:t>
      </w:r>
      <w:r>
        <w:rPr>
          <w:spacing w:val="-107"/>
        </w:rPr>
        <w:t> </w:t>
      </w:r>
      <w:r>
        <w:rPr>
          <w:spacing w:val="-3"/>
        </w:rPr>
        <w:t>省优秀专家</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河南省教学名师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河南省优秀教师</w:t>
      </w:r>
      <w:r>
        <w:rPr>
          <w:rFonts w:ascii="Times New Roman" w:hAnsi="Times New Roman" w:cs="Times New Roman" w:eastAsia="Times New Roman" w:hint="default"/>
          <w:spacing w:val="-3"/>
        </w:rPr>
        <w:t>”</w:t>
      </w:r>
      <w:r>
        <w:rPr>
          <w:spacing w:val="-3"/>
        </w:rPr>
        <w:t>等荣誉称号。</w:t>
      </w:r>
      <w:r>
        <w:rPr>
          <w:rFonts w:ascii="Times New Roman" w:hAnsi="Times New Roman" w:cs="Times New Roman" w:eastAsia="Times New Roman" w:hint="default"/>
          <w:spacing w:val="-3"/>
        </w:rPr>
        <w:t>2010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月起担任本公司 独立董事。</w:t>
      </w:r>
    </w:p>
    <w:p>
      <w:pPr>
        <w:pStyle w:val="BodyText"/>
        <w:spacing w:line="338" w:lineRule="auto" w:before="95"/>
        <w:ind w:left="154" w:right="111" w:firstLine="480"/>
        <w:jc w:val="both"/>
      </w:pPr>
      <w:r>
        <w:rPr/>
        <w:t>祝田山，男，</w:t>
      </w:r>
      <w:r>
        <w:rPr>
          <w:rFonts w:ascii="Times New Roman" w:hAnsi="Times New Roman" w:cs="Times New Roman" w:eastAsia="Times New Roman" w:hint="default"/>
        </w:rPr>
        <w:t>1962 </w:t>
      </w:r>
      <w:r>
        <w:rPr/>
        <w:t>年出生，本科学历，高级会计师，注册会计师。</w:t>
      </w:r>
      <w:r>
        <w:rPr>
          <w:rFonts w:ascii="Times New Roman" w:hAnsi="Times New Roman" w:cs="Times New Roman" w:eastAsia="Times New Roman" w:hint="default"/>
        </w:rPr>
        <w:t>1983 </w:t>
      </w:r>
      <w:r>
        <w:rPr/>
        <w:t>年至 </w:t>
      </w:r>
      <w:r>
        <w:rPr>
          <w:rFonts w:ascii="Times New Roman" w:hAnsi="Times New Roman" w:cs="Times New Roman" w:eastAsia="Times New Roman" w:hint="default"/>
        </w:rPr>
        <w:t>1993</w:t>
      </w:r>
      <w:r>
        <w:rPr>
          <w:rFonts w:ascii="Times New Roman" w:hAnsi="Times New Roman" w:cs="Times New Roman" w:eastAsia="Times New Roman" w:hint="default"/>
          <w:spacing w:val="-25"/>
        </w:rPr>
        <w:t> </w:t>
      </w:r>
      <w:r>
        <w:rPr/>
        <w:t>年， 在河南财政科学研究所任职；</w:t>
      </w:r>
      <w:r>
        <w:rPr>
          <w:rFonts w:ascii="Times New Roman" w:hAnsi="Times New Roman" w:cs="Times New Roman" w:eastAsia="Times New Roman" w:hint="default"/>
        </w:rPr>
        <w:t>1993 </w:t>
      </w:r>
      <w:r>
        <w:rPr/>
        <w:t>年至 </w:t>
      </w:r>
      <w:r>
        <w:rPr>
          <w:rFonts w:ascii="Times New Roman" w:hAnsi="Times New Roman" w:cs="Times New Roman" w:eastAsia="Times New Roman" w:hint="default"/>
        </w:rPr>
        <w:t>1997</w:t>
      </w:r>
      <w:r>
        <w:rPr>
          <w:rFonts w:ascii="Times New Roman" w:hAnsi="Times New Roman" w:cs="Times New Roman" w:eastAsia="Times New Roman" w:hint="default"/>
          <w:spacing w:val="-24"/>
        </w:rPr>
        <w:t> </w:t>
      </w:r>
      <w:r>
        <w:rPr/>
        <w:t>年，任亚太会计集团副总经理、首席会计师兼 亚太会计师事务所所长；</w:t>
      </w:r>
      <w:r>
        <w:rPr>
          <w:rFonts w:ascii="Times New Roman" w:hAnsi="Times New Roman" w:cs="Times New Roman" w:eastAsia="Times New Roman" w:hint="default"/>
        </w:rPr>
        <w:t>1997 </w:t>
      </w:r>
      <w:r>
        <w:rPr/>
        <w:t>年至 </w:t>
      </w:r>
      <w:r>
        <w:rPr>
          <w:rFonts w:ascii="Times New Roman" w:hAnsi="Times New Roman" w:cs="Times New Roman" w:eastAsia="Times New Roman" w:hint="default"/>
        </w:rPr>
        <w:t>2002</w:t>
      </w:r>
      <w:r>
        <w:rPr>
          <w:rFonts w:ascii="Times New Roman" w:hAnsi="Times New Roman" w:cs="Times New Roman" w:eastAsia="Times New Roman" w:hint="default"/>
          <w:spacing w:val="-24"/>
        </w:rPr>
        <w:t> </w:t>
      </w:r>
      <w:r>
        <w:rPr/>
        <w:t>年，任河南莲花味精集团公司高级顾问、河南莲花 </w:t>
      </w:r>
      <w:r>
        <w:rPr>
          <w:spacing w:val="-4"/>
        </w:rPr>
        <w:t>味精股份有限公司董事、董事会秘书；</w:t>
      </w:r>
      <w:r>
        <w:rPr>
          <w:rFonts w:ascii="Times New Roman" w:hAnsi="Times New Roman" w:cs="Times New Roman" w:eastAsia="Times New Roman" w:hint="default"/>
          <w:spacing w:val="-4"/>
        </w:rPr>
        <w:t>1990</w:t>
      </w:r>
      <w:r>
        <w:rPr>
          <w:rFonts w:ascii="Times New Roman" w:hAnsi="Times New Roman" w:cs="Times New Roman" w:eastAsia="Times New Roman" w:hint="default"/>
          <w:spacing w:val="5"/>
        </w:rPr>
        <w:t> </w:t>
      </w:r>
      <w:r>
        <w:rPr/>
        <w:t>年至</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spacing w:val="-4"/>
        </w:rPr>
        <w:t>年，任河南省会计学会副秘书长；</w:t>
      </w:r>
      <w:r>
        <w:rPr>
          <w:rFonts w:ascii="Times New Roman" w:hAnsi="Times New Roman" w:cs="Times New Roman" w:eastAsia="Times New Roman" w:hint="default"/>
          <w:spacing w:val="-4"/>
        </w:rPr>
        <w:t>2002</w:t>
      </w:r>
      <w:r>
        <w:rPr>
          <w:rFonts w:ascii="Times New Roman" w:hAnsi="Times New Roman" w:cs="Times New Roman" w:eastAsia="Times New Roman" w:hint="default"/>
        </w:rPr>
        <w:t> </w:t>
      </w:r>
      <w:r>
        <w:rPr/>
        <w:t>至</w:t>
      </w:r>
      <w:r>
        <w:rPr>
          <w:spacing w:val="-6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年，任加拿大爱德生物（中国）有限公司财务总监；</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年至</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年，任新乡新亚 纸业集团股份有限公司副总经理、财务总监；</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月至今任亚太（河南）投资咨询公司 </w:t>
      </w:r>
      <w:r>
        <w:rPr>
          <w:spacing w:val="-5"/>
        </w:rPr>
        <w:t>首席咨询师。</w:t>
      </w:r>
      <w:r>
        <w:rPr>
          <w:rFonts w:ascii="Times New Roman" w:hAnsi="Times New Roman" w:cs="Times New Roman" w:eastAsia="Times New Roman" w:hint="default"/>
          <w:spacing w:val="-5"/>
        </w:rPr>
        <w:t>2010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月起担任本公司独立董事。现同时还担任河南金博士种业股份有限公 司、武汉中科创新技术股份有限公司、山东俚岛海洋科技股份有限公司的独立董事。</w:t>
      </w:r>
    </w:p>
    <w:p>
      <w:pPr>
        <w:spacing w:line="240" w:lineRule="auto" w:before="6"/>
        <w:rPr>
          <w:rFonts w:ascii="宋体" w:hAnsi="宋体" w:cs="宋体" w:eastAsia="宋体" w:hint="default"/>
          <w:sz w:val="19"/>
          <w:szCs w:val="19"/>
        </w:rPr>
      </w:pPr>
    </w:p>
    <w:p>
      <w:pPr>
        <w:pStyle w:val="BodyText"/>
        <w:spacing w:line="240" w:lineRule="auto"/>
        <w:ind w:left="634" w:right="610"/>
        <w:jc w:val="left"/>
      </w:pPr>
      <w:r>
        <w:rPr>
          <w:rFonts w:ascii="Times New Roman" w:hAnsi="Times New Roman" w:cs="Times New Roman" w:eastAsia="Times New Roman" w:hint="default"/>
        </w:rPr>
        <w:t>2</w:t>
      </w:r>
      <w:r>
        <w:rPr/>
        <w:t>、监事会成员</w:t>
      </w:r>
    </w:p>
    <w:p>
      <w:pPr>
        <w:spacing w:line="240" w:lineRule="auto" w:before="9"/>
        <w:rPr>
          <w:rFonts w:ascii="宋体" w:hAnsi="宋体" w:cs="宋体" w:eastAsia="宋体" w:hint="default"/>
          <w:sz w:val="26"/>
          <w:szCs w:val="26"/>
        </w:rPr>
      </w:pPr>
    </w:p>
    <w:p>
      <w:pPr>
        <w:pStyle w:val="BodyText"/>
        <w:spacing w:line="338" w:lineRule="auto"/>
        <w:ind w:left="154" w:right="108" w:firstLine="480"/>
        <w:jc w:val="both"/>
      </w:pPr>
      <w:r>
        <w:rPr/>
        <w:t>公司监事会由</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人组成（其中职工代表监事</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5"/>
        </w:rPr>
        <w:t>人），本届监事会任期至</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 止，具体情况如下：</w:t>
      </w:r>
    </w:p>
    <w:p>
      <w:pPr>
        <w:pStyle w:val="BodyText"/>
        <w:spacing w:line="345" w:lineRule="auto" w:before="94"/>
        <w:ind w:right="108" w:firstLine="480"/>
        <w:jc w:val="both"/>
      </w:pPr>
      <w:r>
        <w:rPr>
          <w:spacing w:val="-4"/>
        </w:rPr>
        <w:t>刘恩臣，男，</w:t>
      </w:r>
      <w:r>
        <w:rPr>
          <w:rFonts w:ascii="Times New Roman" w:hAnsi="Times New Roman" w:cs="Times New Roman" w:eastAsia="Times New Roman" w:hint="default"/>
          <w:spacing w:val="-4"/>
        </w:rPr>
        <w:t>1963</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月出生，本科学历，高级工程师。</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2"/>
        </w:rPr>
        <w:t> </w:t>
      </w:r>
      <w:r>
        <w:rPr/>
        <w:t>年毕业于四川大学物理系 </w:t>
      </w:r>
      <w:r>
        <w:rPr>
          <w:spacing w:val="-3"/>
        </w:rPr>
        <w:t>半导体专业，获学士学位；</w:t>
      </w:r>
      <w:r>
        <w:rPr>
          <w:rFonts w:ascii="Times New Roman" w:hAnsi="Times New Roman" w:cs="Times New Roman" w:eastAsia="Times New Roman" w:hint="default"/>
          <w:spacing w:val="-3"/>
        </w:rPr>
        <w:t>1991</w:t>
      </w:r>
      <w:r>
        <w:rPr>
          <w:rFonts w:ascii="Times New Roman" w:hAnsi="Times New Roman" w:cs="Times New Roman" w:eastAsia="Times New Roman" w:hint="default"/>
          <w:spacing w:val="3"/>
        </w:rPr>
        <w:t> </w:t>
      </w:r>
      <w:r>
        <w:rPr/>
        <w:t>年至</w:t>
      </w:r>
      <w:r>
        <w:rPr>
          <w:spacing w:val="-57"/>
        </w:rPr>
        <w:t> </w:t>
      </w:r>
      <w:r>
        <w:rPr>
          <w:rFonts w:ascii="Times New Roman" w:hAnsi="Times New Roman" w:cs="Times New Roman" w:eastAsia="Times New Roman" w:hint="default"/>
        </w:rPr>
        <w:t>1992</w:t>
      </w:r>
      <w:r>
        <w:rPr>
          <w:rFonts w:ascii="Times New Roman" w:hAnsi="Times New Roman" w:cs="Times New Roman" w:eastAsia="Times New Roman" w:hint="default"/>
          <w:spacing w:val="3"/>
        </w:rPr>
        <w:t> </w:t>
      </w:r>
      <w:r>
        <w:rPr>
          <w:spacing w:val="-3"/>
        </w:rPr>
        <w:t>年，赴美国学习。</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3"/>
        </w:rPr>
        <w:t> </w:t>
      </w:r>
      <w:r>
        <w:rPr/>
        <w:t>年至</w:t>
      </w:r>
      <w:r>
        <w:rPr>
          <w:spacing w:val="-57"/>
        </w:rPr>
        <w:t> </w:t>
      </w:r>
      <w:r>
        <w:rPr>
          <w:rFonts w:ascii="Times New Roman" w:hAnsi="Times New Roman" w:cs="Times New Roman" w:eastAsia="Times New Roman" w:hint="default"/>
        </w:rPr>
        <w:t>1991</w:t>
      </w:r>
      <w:r>
        <w:rPr>
          <w:rFonts w:ascii="Times New Roman" w:hAnsi="Times New Roman" w:cs="Times New Roman" w:eastAsia="Times New Roman" w:hint="default"/>
          <w:spacing w:val="3"/>
        </w:rPr>
        <w:t> </w:t>
      </w:r>
      <w:r>
        <w:rPr>
          <w:spacing w:val="-3"/>
        </w:rPr>
        <w:t>年，在郑州工学</w:t>
      </w:r>
      <w:r>
        <w:rPr/>
        <w:t> 院太阳能研究室工作；</w:t>
      </w:r>
      <w:r>
        <w:rPr>
          <w:rFonts w:ascii="Times New Roman" w:hAnsi="Times New Roman" w:cs="Times New Roman" w:eastAsia="Times New Roman" w:hint="default"/>
        </w:rPr>
        <w:t>1992 </w:t>
      </w:r>
      <w:r>
        <w:rPr/>
        <w:t>年至 </w:t>
      </w:r>
      <w:r>
        <w:rPr>
          <w:rFonts w:ascii="Times New Roman" w:hAnsi="Times New Roman" w:cs="Times New Roman" w:eastAsia="Times New Roman" w:hint="default"/>
        </w:rPr>
        <w:t>1995 </w:t>
      </w:r>
      <w:r>
        <w:rPr/>
        <w:t>年，任郑州工业大学太阳能研究室工程师；</w:t>
      </w:r>
      <w:r>
        <w:rPr>
          <w:rFonts w:ascii="Times New Roman" w:hAnsi="Times New Roman" w:cs="Times New Roman" w:eastAsia="Times New Roman" w:hint="default"/>
        </w:rPr>
        <w:t>1995</w:t>
      </w:r>
      <w:r>
        <w:rPr>
          <w:rFonts w:ascii="Times New Roman" w:hAnsi="Times New Roman" w:cs="Times New Roman" w:eastAsia="Times New Roman" w:hint="default"/>
          <w:spacing w:val="-25"/>
        </w:rPr>
        <w:t> </w:t>
      </w:r>
      <w:r>
        <w:rPr/>
        <w:t>年至 </w:t>
      </w:r>
      <w:r>
        <w:rPr>
          <w:rFonts w:ascii="Times New Roman" w:hAnsi="Times New Roman" w:cs="Times New Roman" w:eastAsia="Times New Roman" w:hint="default"/>
        </w:rPr>
        <w:t>2000 </w:t>
      </w:r>
      <w:r>
        <w:rPr/>
        <w:t>年任郑州工学院开普电子技术公司主任工程师；</w:t>
      </w:r>
      <w:r>
        <w:rPr>
          <w:rFonts w:ascii="Times New Roman" w:hAnsi="Times New Roman" w:cs="Times New Roman" w:eastAsia="Times New Roman" w:hint="default"/>
        </w:rPr>
        <w:t>2000</w:t>
      </w:r>
      <w:r>
        <w:rPr>
          <w:rFonts w:ascii="Times New Roman" w:hAnsi="Times New Roman" w:cs="Times New Roman" w:eastAsia="Times New Roman" w:hint="default"/>
          <w:spacing w:val="-34"/>
        </w:rPr>
        <w:t> </w:t>
      </w:r>
      <w:r>
        <w:rPr>
          <w:spacing w:val="-3"/>
        </w:rPr>
        <w:t>年至今在公司工作，现任公司监事</w:t>
      </w:r>
      <w:r>
        <w:rPr/>
        <w:t> 会主席、生产中心总经理，系公司核心技术人员，主要负责生产中心的运营和管理，包括公</w:t>
      </w:r>
      <w:r>
        <w:rPr>
          <w:spacing w:val="-83"/>
        </w:rPr>
        <w:t> </w:t>
      </w:r>
      <w:r>
        <w:rPr>
          <w:spacing w:val="-83"/>
        </w:rPr>
      </w:r>
      <w:r>
        <w:rPr/>
        <w:t>司生产管理和产品质量管理工作，组织制定生产、供应等各项工作计划，保证生产中心各部</w:t>
      </w:r>
      <w:r>
        <w:rPr>
          <w:spacing w:val="-83"/>
        </w:rPr>
        <w:t> </w:t>
      </w:r>
      <w:r>
        <w:rPr>
          <w:spacing w:val="-83"/>
        </w:rPr>
      </w:r>
      <w:r>
        <w:rPr/>
        <w:t>进行安全、有序工作，确保产品交付。</w:t>
      </w:r>
    </w:p>
    <w:p>
      <w:pPr>
        <w:pStyle w:val="BodyText"/>
        <w:spacing w:line="352" w:lineRule="auto" w:before="86"/>
        <w:ind w:left="154" w:right="108" w:firstLine="480"/>
        <w:jc w:val="both"/>
      </w:pPr>
      <w:r>
        <w:rPr/>
        <w:t>张国庆，男，</w:t>
      </w:r>
      <w:r>
        <w:rPr>
          <w:rFonts w:ascii="Times New Roman" w:hAnsi="Times New Roman" w:cs="Times New Roman" w:eastAsia="Times New Roman" w:hint="default"/>
        </w:rPr>
        <w:t>1979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月出生，本科学历。</w:t>
      </w:r>
      <w:r>
        <w:rPr>
          <w:rFonts w:ascii="Times New Roman" w:hAnsi="Times New Roman" w:cs="Times New Roman" w:eastAsia="Times New Roman" w:hint="default"/>
        </w:rPr>
        <w:t>2001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月毕业于上海交通大学，获国际 金融和热能工程及动力机械双学士学位。曾担任上海庆安投资有限公司投资部项目经理、朗</w:t>
      </w:r>
      <w:r>
        <w:rPr>
          <w:spacing w:val="-83"/>
        </w:rPr>
        <w:t> </w:t>
      </w:r>
      <w:r>
        <w:rPr>
          <w:spacing w:val="-83"/>
        </w:rPr>
      </w:r>
      <w:r>
        <w:rPr/>
        <w:t>登科技有限公司投资总监助理、上海铭源实业集团有限公司总裁助理兼投资规划部总经理、</w:t>
      </w:r>
      <w:r>
        <w:rPr>
          <w:spacing w:val="-83"/>
        </w:rPr>
        <w:t> </w:t>
      </w:r>
      <w:r>
        <w:rPr>
          <w:spacing w:val="-83"/>
        </w:rPr>
      </w:r>
      <w:r>
        <w:rPr/>
        <w:t>中美风险投资集团有限公司投资银行部总经理等职务。现任上海弘信股权投资基金管理有限</w:t>
      </w:r>
      <w:r>
        <w:rPr>
          <w:spacing w:val="-83"/>
        </w:rPr>
        <w:t> </w:t>
      </w:r>
      <w:r>
        <w:rPr>
          <w:spacing w:val="-83"/>
        </w:rPr>
      </w:r>
      <w:r>
        <w:rPr/>
        <w:t>公司监事、无锡国联卓成创业投资有限公司监事、广州市昊志机电股份有限公司监事、海南</w:t>
      </w:r>
    </w:p>
    <w:p>
      <w:pPr>
        <w:spacing w:after="0" w:line="352"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right="228"/>
        <w:jc w:val="both"/>
      </w:pPr>
      <w:r>
        <w:rPr/>
        <w:t>中化联合制药工业股份有限公司监事、北京名仕优翔国际旅行股份有限公司监事、洛阳新强</w:t>
      </w:r>
      <w:r>
        <w:rPr>
          <w:spacing w:val="-83"/>
        </w:rPr>
        <w:t> </w:t>
      </w:r>
      <w:r>
        <w:rPr>
          <w:spacing w:val="-83"/>
        </w:rPr>
      </w:r>
      <w:r>
        <w:rPr/>
        <w:t>联回转支承股份有限公司监事、无锡德贝尔光电材料有限公司董事、江苏先特能源装备有限</w:t>
      </w:r>
      <w:r>
        <w:rPr>
          <w:spacing w:val="-83"/>
        </w:rPr>
        <w:t> </w:t>
      </w:r>
      <w:r>
        <w:rPr>
          <w:spacing w:val="-83"/>
        </w:rPr>
      </w:r>
      <w:r>
        <w:rPr/>
        <w:t>公司董事、浙江仙通橡塑股份有限公司董事。</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月起担任本公司监事。</w:t>
      </w:r>
    </w:p>
    <w:p>
      <w:pPr>
        <w:pStyle w:val="BodyText"/>
        <w:spacing w:line="338" w:lineRule="auto" w:before="44"/>
        <w:ind w:right="148" w:firstLine="480"/>
        <w:jc w:val="both"/>
      </w:pPr>
      <w:r>
        <w:rPr/>
        <w:t>王葆玲，女，</w:t>
      </w:r>
      <w:r>
        <w:rPr>
          <w:rFonts w:ascii="Times New Roman" w:hAnsi="Times New Roman" w:cs="Times New Roman" w:eastAsia="Times New Roman" w:hint="default"/>
        </w:rPr>
        <w:t>1971 </w:t>
      </w:r>
      <w:r>
        <w:rPr/>
        <w:t>年</w:t>
      </w:r>
      <w:r>
        <w:rPr>
          <w:spacing w:val="-60"/>
        </w:rPr>
        <w:t> </w:t>
      </w:r>
      <w:r>
        <w:rPr>
          <w:rFonts w:ascii="Times New Roman" w:hAnsi="Times New Roman" w:cs="Times New Roman" w:eastAsia="Times New Roman" w:hint="default"/>
        </w:rPr>
        <w:t>5 </w:t>
      </w:r>
      <w:r>
        <w:rPr/>
        <w:t>月出生，专科学历。</w:t>
      </w:r>
      <w:r>
        <w:rPr>
          <w:rFonts w:ascii="Times New Roman" w:hAnsi="Times New Roman" w:cs="Times New Roman" w:eastAsia="Times New Roman" w:hint="default"/>
        </w:rPr>
        <w:t>1995 </w:t>
      </w:r>
      <w:r>
        <w:rPr/>
        <w:t>年</w:t>
      </w:r>
      <w:r>
        <w:rPr>
          <w:spacing w:val="-60"/>
        </w:rPr>
        <w:t> </w:t>
      </w:r>
      <w:r>
        <w:rPr>
          <w:rFonts w:ascii="Times New Roman" w:hAnsi="Times New Roman" w:cs="Times New Roman" w:eastAsia="Times New Roman" w:hint="default"/>
        </w:rPr>
        <w:t>7 </w:t>
      </w:r>
      <w:r>
        <w:rPr/>
        <w:t>月毕业于河南财经学院会计专业。 </w:t>
      </w:r>
      <w:r>
        <w:rPr>
          <w:rFonts w:ascii="Times New Roman" w:hAnsi="Times New Roman" w:cs="Times New Roman" w:eastAsia="Times New Roman" w:hint="default"/>
        </w:rPr>
        <w:t>1995 </w:t>
      </w:r>
      <w:r>
        <w:rPr/>
        <w:t>至</w:t>
      </w:r>
      <w:r>
        <w:rPr>
          <w:spacing w:val="-60"/>
        </w:rPr>
        <w:t> </w:t>
      </w:r>
      <w:r>
        <w:rPr>
          <w:rFonts w:ascii="Times New Roman" w:hAnsi="Times New Roman" w:cs="Times New Roman" w:eastAsia="Times New Roman" w:hint="default"/>
        </w:rPr>
        <w:t>2000 </w:t>
      </w:r>
      <w:r>
        <w:rPr>
          <w:spacing w:val="-4"/>
        </w:rPr>
        <w:t>年在郑州工学院开普电子技术公司工作，历任银行出纳、会计、主管会计。</w:t>
      </w:r>
      <w:r>
        <w:rPr>
          <w:rFonts w:ascii="Times New Roman" w:hAnsi="Times New Roman" w:cs="Times New Roman" w:eastAsia="Times New Roman" w:hint="default"/>
          <w:spacing w:val="-4"/>
        </w:rPr>
        <w:t>2000</w:t>
      </w:r>
      <w:r>
        <w:rPr>
          <w:rFonts w:ascii="Times New Roman" w:hAnsi="Times New Roman" w:cs="Times New Roman" w:eastAsia="Times New Roman" w:hint="default"/>
        </w:rPr>
        <w:t> </w:t>
      </w:r>
      <w:r>
        <w:rPr>
          <w:spacing w:val="-4"/>
        </w:rPr>
        <w:t>年至今在本公司工作，现任公司监事（职工代表监事）、审计部经理。</w:t>
      </w:r>
    </w:p>
    <w:p>
      <w:pPr>
        <w:pStyle w:val="BodyText"/>
        <w:spacing w:line="240" w:lineRule="auto" w:before="96"/>
        <w:ind w:left="633" w:right="95"/>
        <w:jc w:val="left"/>
      </w:pPr>
      <w:r>
        <w:rPr>
          <w:rFonts w:ascii="Times New Roman" w:hAnsi="Times New Roman" w:cs="Times New Roman" w:eastAsia="Times New Roman" w:hint="default"/>
        </w:rPr>
        <w:t>3</w:t>
      </w:r>
      <w:r>
        <w:rPr/>
        <w:t>、高级管理人员</w:t>
      </w:r>
    </w:p>
    <w:p>
      <w:pPr>
        <w:pStyle w:val="BodyText"/>
        <w:spacing w:line="367" w:lineRule="auto" w:before="175"/>
        <w:ind w:left="633" w:right="2078"/>
        <w:jc w:val="left"/>
      </w:pPr>
      <w:r>
        <w:rPr/>
        <w:t>公司高级管理人员共</w:t>
      </w:r>
      <w:r>
        <w:rPr>
          <w:spacing w:val="-60"/>
        </w:rPr>
        <w:t> </w:t>
      </w:r>
      <w:r>
        <w:rPr>
          <w:rFonts w:ascii="Times New Roman" w:hAnsi="Times New Roman" w:cs="Times New Roman" w:eastAsia="Times New Roman" w:hint="default"/>
        </w:rPr>
        <w:t>6 </w:t>
      </w:r>
      <w:r>
        <w:rPr/>
        <w:t>人，具体情况如下： 杨维国：本公司董事长、总经理，简历详见本节之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付秋生：本公司董事、副总经理，简历详见本节之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尚卫国：本公司董事、副总经理，简历详见本节之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赵利宾：本公司董事、副总经理，简历详见本节之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338" w:lineRule="auto" w:before="34"/>
        <w:ind w:right="97" w:firstLine="480"/>
        <w:jc w:val="left"/>
      </w:pPr>
      <w:r>
        <w:rPr>
          <w:spacing w:val="-11"/>
        </w:rPr>
        <w:t>华梦阳，男，</w:t>
      </w:r>
      <w:r>
        <w:rPr>
          <w:rFonts w:ascii="Times New Roman" w:hAnsi="Times New Roman" w:cs="Times New Roman" w:eastAsia="Times New Roman" w:hint="default"/>
          <w:spacing w:val="-11"/>
        </w:rPr>
        <w:t>1970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8"/>
        </w:rPr>
        <w:t>月出生，大学学历。</w:t>
      </w:r>
      <w:r>
        <w:rPr>
          <w:rFonts w:ascii="Times New Roman" w:hAnsi="Times New Roman" w:cs="Times New Roman" w:eastAsia="Times New Roman" w:hint="default"/>
          <w:spacing w:val="-8"/>
        </w:rPr>
        <w:t>1992</w:t>
      </w:r>
      <w:r>
        <w:rPr>
          <w:rFonts w:ascii="Times New Roman" w:hAnsi="Times New Roman" w:cs="Times New Roman" w:eastAsia="Times New Roman" w:hint="default"/>
          <w:spacing w:val="2"/>
        </w:rPr>
        <w:t> </w:t>
      </w:r>
      <w:r>
        <w:rPr/>
        <w:t>年毕业于郑州工学院计算机与自动化系。 </w:t>
      </w:r>
      <w:r>
        <w:rPr>
          <w:rFonts w:ascii="Times New Roman" w:hAnsi="Times New Roman" w:cs="Times New Roman" w:eastAsia="Times New Roman" w:hint="default"/>
        </w:rPr>
        <w:t>1992</w:t>
      </w:r>
      <w:r>
        <w:rPr>
          <w:rFonts w:ascii="Times New Roman" w:hAnsi="Times New Roman" w:cs="Times New Roman" w:eastAsia="Times New Roman" w:hint="default"/>
          <w:spacing w:val="2"/>
        </w:rPr>
        <w:t> </w:t>
      </w:r>
      <w:r>
        <w:rPr/>
        <w:t>年至</w:t>
      </w:r>
      <w:r>
        <w:rPr>
          <w:spacing w:val="-58"/>
        </w:rPr>
        <w:t> </w:t>
      </w:r>
      <w:r>
        <w:rPr>
          <w:rFonts w:ascii="Times New Roman" w:hAnsi="Times New Roman" w:cs="Times New Roman" w:eastAsia="Times New Roman" w:hint="default"/>
        </w:rPr>
        <w:t>1995</w:t>
      </w:r>
      <w:r>
        <w:rPr>
          <w:rFonts w:ascii="Times New Roman" w:hAnsi="Times New Roman" w:cs="Times New Roman" w:eastAsia="Times New Roman" w:hint="default"/>
          <w:spacing w:val="2"/>
        </w:rPr>
        <w:t> </w:t>
      </w:r>
      <w:r>
        <w:rPr>
          <w:spacing w:val="-3"/>
        </w:rPr>
        <w:t>年，任河南天地实业有限公司计算机事业部经理；</w:t>
      </w:r>
      <w:r>
        <w:rPr>
          <w:rFonts w:ascii="Times New Roman" w:hAnsi="Times New Roman" w:cs="Times New Roman" w:eastAsia="Times New Roman" w:hint="default"/>
          <w:spacing w:val="-3"/>
        </w:rPr>
        <w:t>1995</w:t>
      </w:r>
      <w:r>
        <w:rPr>
          <w:rFonts w:ascii="Times New Roman" w:hAnsi="Times New Roman" w:cs="Times New Roman" w:eastAsia="Times New Roman" w:hint="default"/>
          <w:spacing w:val="2"/>
        </w:rPr>
        <w:t> </w:t>
      </w:r>
      <w:r>
        <w:rPr/>
        <w:t>年至</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6"/>
        </w:rPr>
        <w:t>年，在郑州</w:t>
      </w:r>
      <w:r>
        <w:rPr>
          <w:spacing w:val="-114"/>
        </w:rPr>
        <w:t> </w:t>
      </w:r>
      <w:r>
        <w:rPr>
          <w:spacing w:val="-114"/>
        </w:rPr>
      </w:r>
      <w:r>
        <w:rPr/>
        <w:t>工学院开普电子技术公司工作，历任电脑经营部副经理、经理及市场部经理。</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年进入公 司工作，现任公司副总经理、董事会秘书。</w:t>
      </w:r>
    </w:p>
    <w:p>
      <w:pPr>
        <w:pStyle w:val="BodyText"/>
        <w:spacing w:line="348" w:lineRule="auto" w:before="94"/>
        <w:ind w:right="228" w:firstLine="480"/>
        <w:jc w:val="both"/>
      </w:pPr>
      <w:r>
        <w:rPr/>
        <w:t>李玉玲，女，</w:t>
      </w:r>
      <w:r>
        <w:rPr>
          <w:rFonts w:ascii="Times New Roman" w:hAnsi="Times New Roman" w:cs="Times New Roman" w:eastAsia="Times New Roman" w:hint="default"/>
        </w:rPr>
        <w:t>1971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3"/>
        </w:rPr>
        <w:t> </w:t>
      </w:r>
      <w:r>
        <w:rPr/>
        <w:t>月出生，本科学历，高级会计师，注册会计师，注册税务师。</w:t>
      </w:r>
      <w:r>
        <w:rPr>
          <w:spacing w:val="-1"/>
        </w:rPr>
        <w:t> </w:t>
      </w:r>
      <w:r>
        <w:rPr>
          <w:rFonts w:ascii="Times New Roman" w:hAnsi="Times New Roman" w:cs="Times New Roman" w:eastAsia="Times New Roman" w:hint="default"/>
        </w:rPr>
        <w:t>1994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4"/>
        </w:rPr>
        <w:t>月毕业于河南财政税务高等专科学校会计专业；</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4"/>
        </w:rPr>
        <w:t> </w:t>
      </w:r>
      <w:r>
        <w:rPr/>
        <w:t>年毕业于河南财经学院会计专 业，获本科学历。曾担任河南诚和会计师事务所审计部经理、所长助理，河南省注册会计师</w:t>
      </w:r>
      <w:r>
        <w:rPr>
          <w:spacing w:val="-83"/>
        </w:rPr>
        <w:t> </w:t>
      </w:r>
      <w:r>
        <w:rPr>
          <w:spacing w:val="-83"/>
        </w:rPr>
      </w:r>
      <w:r>
        <w:rPr/>
        <w:t>协会专业委员会委员，河南海联科技实业有限公司财务经理、郑州星之旅信息传播服务有限</w:t>
      </w:r>
      <w:r>
        <w:rPr>
          <w:spacing w:val="-83"/>
        </w:rPr>
        <w:t> </w:t>
      </w:r>
      <w:r>
        <w:rPr>
          <w:spacing w:val="-83"/>
        </w:rPr>
      </w:r>
      <w:r>
        <w:rPr/>
        <w:t>公司财务总监。</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月起担任本公司财务总监。</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900"/>
        </w:sectPr>
      </w:pPr>
    </w:p>
    <w:p>
      <w:pPr>
        <w:spacing w:line="240" w:lineRule="auto" w:before="11"/>
        <w:rPr>
          <w:rFonts w:ascii="宋体" w:hAnsi="宋体" w:cs="宋体" w:eastAsia="宋体" w:hint="default"/>
          <w:sz w:val="12"/>
          <w:szCs w:val="12"/>
        </w:rPr>
      </w:pPr>
    </w:p>
    <w:p>
      <w:pPr>
        <w:spacing w:before="44"/>
        <w:ind w:left="153" w:right="61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上海弘信股权投资基金管理有限公司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上海润景投资管理有限公司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北京名仕优翔国际旅行股份有限公司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究生导师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郑州天兴软件工程股份有限公司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郑州轻工业学院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与通信工程 学院院长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河南省社会科学院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副院长兼经 济研究所所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亚太（河南）投资咨询公司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首席咨询师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河南金博士种业股份有限公司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武汉中科创新技术股份有限公司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山东俚岛海洋科技股份有限公司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上海弘信股权投资基金管理有限公司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广州市昊志机电股份有限公司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海南中化联合制药工业股份有限公司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洛阳新强联回转支承股份有限公司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北京名仕优翔国际旅行股份有限公司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无锡德贝尔光电材料有限公司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浙江仙通橡塑股份有限公司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江苏先特能源装备有限公司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61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2"/>
      </w:tblGrid>
      <w:tr>
        <w:trPr>
          <w:trHeight w:val="363"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日，公司第一届董事会第十六次会议审议通过了《关于〈郑州</w:t>
            </w:r>
          </w:p>
        </w:tc>
      </w:tr>
      <w:tr>
        <w:trPr>
          <w:trHeight w:val="307"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新开普电子股份有限公司董事</w:t>
            </w:r>
            <w:r>
              <w:rPr>
                <w:rFonts w:ascii="宋体" w:hAnsi="宋体" w:cs="宋体" w:eastAsia="宋体" w:hint="default"/>
                <w:spacing w:val="-6"/>
                <w:sz w:val="18"/>
                <w:szCs w:val="18"/>
              </w:rPr>
              <w:t>、</w:t>
            </w:r>
            <w:r>
              <w:rPr>
                <w:rFonts w:ascii="宋体" w:hAnsi="宋体" w:cs="宋体" w:eastAsia="宋体" w:hint="default"/>
                <w:sz w:val="18"/>
                <w:szCs w:val="18"/>
              </w:rPr>
              <w:t>监事薪酬制度</w:t>
            </w:r>
            <w:r>
              <w:rPr>
                <w:rFonts w:ascii="宋体" w:hAnsi="宋体" w:cs="宋体" w:eastAsia="宋体" w:hint="default"/>
                <w:spacing w:val="-6"/>
                <w:sz w:val="18"/>
                <w:szCs w:val="18"/>
              </w:rPr>
              <w: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《关</w:t>
            </w:r>
            <w:r>
              <w:rPr>
                <w:rFonts w:ascii="宋体" w:hAnsi="宋体" w:cs="宋体" w:eastAsia="宋体" w:hint="default"/>
                <w:spacing w:val="-6"/>
                <w:sz w:val="18"/>
                <w:szCs w:val="18"/>
              </w:rPr>
              <w:t>于</w:t>
            </w:r>
            <w:r>
              <w:rPr>
                <w:rFonts w:ascii="宋体" w:hAnsi="宋体" w:cs="宋体" w:eastAsia="宋体" w:hint="default"/>
                <w:sz w:val="18"/>
                <w:szCs w:val="18"/>
              </w:rPr>
              <w:t>〈郑州新开</w:t>
            </w:r>
          </w:p>
        </w:tc>
      </w:tr>
      <w:tr>
        <w:trPr>
          <w:trHeight w:val="312"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普电子股份有限公司高级管理人员薪酬制度</w:t>
            </w:r>
            <w:r>
              <w:rPr>
                <w:rFonts w:ascii="宋体" w:hAnsi="宋体" w:cs="宋体" w:eastAsia="宋体" w:hint="default"/>
                <w:spacing w:val="-8"/>
                <w:sz w:val="18"/>
                <w:szCs w:val="18"/>
              </w:rPr>
              <w: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98"/>
                <w:sz w:val="18"/>
                <w:szCs w:val="18"/>
              </w:rPr>
              <w:t>。</w:t>
            </w:r>
            <w:r>
              <w:rPr>
                <w:rFonts w:ascii="宋体" w:hAnsi="宋体" w:cs="宋体" w:eastAsia="宋体" w:hint="default"/>
                <w:sz w:val="18"/>
                <w:szCs w:val="18"/>
              </w:rPr>
              <w:t>《关</w:t>
            </w:r>
            <w:r>
              <w:rPr>
                <w:rFonts w:ascii="宋体" w:hAnsi="宋体" w:cs="宋体" w:eastAsia="宋体" w:hint="default"/>
                <w:spacing w:val="-8"/>
                <w:sz w:val="18"/>
                <w:szCs w:val="18"/>
              </w:rPr>
              <w:t>于</w:t>
            </w:r>
            <w:r>
              <w:rPr>
                <w:rFonts w:ascii="宋体" w:hAnsi="宋体" w:cs="宋体" w:eastAsia="宋体" w:hint="default"/>
                <w:sz w:val="18"/>
                <w:szCs w:val="18"/>
              </w:rPr>
              <w:t>〈郑</w:t>
            </w:r>
            <w:r>
              <w:rPr>
                <w:rFonts w:ascii="宋体" w:hAnsi="宋体" w:cs="宋体" w:eastAsia="宋体" w:hint="default"/>
                <w:spacing w:val="-2"/>
                <w:sz w:val="18"/>
                <w:szCs w:val="18"/>
              </w:rPr>
              <w:t>州</w:t>
            </w:r>
            <w:r>
              <w:rPr>
                <w:rFonts w:ascii="宋体" w:hAnsi="宋体" w:cs="宋体" w:eastAsia="宋体" w:hint="default"/>
                <w:sz w:val="18"/>
                <w:szCs w:val="18"/>
              </w:rPr>
              <w:t>新开普</w:t>
            </w:r>
          </w:p>
        </w:tc>
      </w:tr>
      <w:tr>
        <w:trPr>
          <w:trHeight w:val="624"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电子股份有限公司董事、监事薪酬制度〉的议案》并经公司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w:t>
            </w:r>
            <w:r>
              <w:rPr>
                <w:rFonts w:ascii="宋体" w:hAnsi="宋体" w:cs="宋体" w:eastAsia="宋体" w:hint="default"/>
                <w:spacing w:val="-1"/>
                <w:sz w:val="18"/>
                <w:szCs w:val="18"/>
              </w:rPr>
              <w:t>东大会审议通过。董事报酬经董事会薪酬与考核委员会审核、董事会审议通</w:t>
            </w:r>
          </w:p>
        </w:tc>
      </w:tr>
      <w:tr>
        <w:trPr>
          <w:trHeight w:val="312"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过后提交股东大会审议，监事报酬经监事会审议通过后提交股东大会审议，</w:t>
            </w:r>
          </w:p>
        </w:tc>
      </w:tr>
      <w:tr>
        <w:trPr>
          <w:trHeight w:val="313"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高级管理人员报酬经董事会薪酬与考核委员会审核、董事会审议通过后提交</w:t>
            </w:r>
          </w:p>
        </w:tc>
      </w:tr>
      <w:tr>
        <w:trPr>
          <w:trHeight w:val="356"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5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股东大会审议。</w:t>
            </w:r>
          </w:p>
        </w:tc>
      </w:tr>
      <w:tr>
        <w:trPr>
          <w:trHeight w:val="358"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董事、监事和高级管理人员的报酬按照《郑州新开普电子股份有限公司章</w:t>
            </w:r>
          </w:p>
        </w:tc>
      </w:tr>
      <w:tr>
        <w:trPr>
          <w:trHeight w:val="312"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98"/>
                <w:sz w:val="18"/>
                <w:szCs w:val="18"/>
              </w:rPr>
              <w:t>、</w:t>
            </w:r>
            <w:r>
              <w:rPr>
                <w:rFonts w:ascii="宋体" w:hAnsi="宋体" w:cs="宋体" w:eastAsia="宋体" w:hint="default"/>
                <w:sz w:val="18"/>
                <w:szCs w:val="18"/>
              </w:rPr>
              <w:t>《郑州新开普电子股份有限公司董事会专门委员会工作细则</w:t>
            </w:r>
            <w:r>
              <w:rPr>
                <w:rFonts w:ascii="宋体" w:hAnsi="宋体" w:cs="宋体" w:eastAsia="宋体" w:hint="default"/>
                <w:spacing w:val="-8"/>
                <w:sz w:val="18"/>
                <w:szCs w:val="18"/>
              </w:rPr>
              <w:t>》和</w:t>
            </w:r>
            <w:r>
              <w:rPr>
                <w:rFonts w:ascii="宋体" w:hAnsi="宋体" w:cs="宋体" w:eastAsia="宋体" w:hint="default"/>
                <w:sz w:val="18"/>
                <w:szCs w:val="18"/>
              </w:rPr>
              <w:t>《郑州</w:t>
            </w:r>
          </w:p>
        </w:tc>
      </w:tr>
      <w:tr>
        <w:trPr>
          <w:trHeight w:val="312"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新开普电子股份有限公司董事</w:t>
            </w:r>
            <w:r>
              <w:rPr>
                <w:rFonts w:ascii="宋体" w:hAnsi="宋体" w:cs="宋体" w:eastAsia="宋体" w:hint="default"/>
                <w:spacing w:val="-12"/>
                <w:sz w:val="18"/>
                <w:szCs w:val="18"/>
              </w:rPr>
              <w:t>、</w:t>
            </w:r>
            <w:r>
              <w:rPr>
                <w:rFonts w:ascii="宋体" w:hAnsi="宋体" w:cs="宋体" w:eastAsia="宋体" w:hint="default"/>
                <w:sz w:val="18"/>
                <w:szCs w:val="18"/>
              </w:rPr>
              <w:t>监事薪酬制度</w:t>
            </w:r>
            <w:r>
              <w:rPr>
                <w:rFonts w:ascii="宋体" w:hAnsi="宋体" w:cs="宋体" w:eastAsia="宋体" w:hint="default"/>
                <w:spacing w:val="-90"/>
                <w:sz w:val="18"/>
                <w:szCs w:val="18"/>
              </w:rPr>
              <w:t>》</w:t>
            </w:r>
            <w:r>
              <w:rPr>
                <w:rFonts w:ascii="宋体" w:hAnsi="宋体" w:cs="宋体" w:eastAsia="宋体" w:hint="default"/>
                <w:spacing w:val="-102"/>
                <w:sz w:val="18"/>
                <w:szCs w:val="18"/>
              </w:rPr>
              <w:t>、</w:t>
            </w:r>
            <w:r>
              <w:rPr>
                <w:rFonts w:ascii="宋体" w:hAnsi="宋体" w:cs="宋体" w:eastAsia="宋体" w:hint="default"/>
                <w:sz w:val="18"/>
                <w:szCs w:val="18"/>
              </w:rPr>
              <w:t>《郑州新开普电子股份有限</w:t>
            </w:r>
          </w:p>
        </w:tc>
      </w:tr>
      <w:tr>
        <w:trPr>
          <w:trHeight w:val="313"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
        </w:tc>
        <w:tc>
          <w:tcPr>
            <w:tcW w:w="5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公司高级管理人员薪酬制度》等规定，结合其职位、责任、能力、绩效考核</w:t>
            </w:r>
          </w:p>
        </w:tc>
      </w:tr>
      <w:tr>
        <w:trPr>
          <w:trHeight w:val="356"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5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情况、市场薪资行等因素确定并发放。</w:t>
            </w:r>
          </w:p>
        </w:tc>
      </w:tr>
      <w:tr>
        <w:trPr>
          <w:trHeight w:val="1026"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人，</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元。董事、监事和高级管理人员的薪酬均已按月支付，其中独立董事津贴按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月支付。</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162,141.00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162,141.00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151,041.00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155,841.00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155,841.00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139,541.00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高建明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138,241.00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138,241.00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张国庆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55,687.79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55,687.79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146,541.00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136,591.00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136,591.00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1,281,624.79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1,281,624.79</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spacing w:line="528" w:lineRule="auto" w:before="0"/>
        <w:ind w:left="633" w:right="3251" w:hanging="480"/>
        <w:jc w:val="left"/>
        <w:rPr>
          <w:rFonts w:ascii="宋体" w:hAnsi="宋体" w:cs="宋体" w:eastAsia="宋体" w:hint="default"/>
          <w:sz w:val="24"/>
          <w:szCs w:val="24"/>
        </w:rPr>
      </w:pPr>
      <w:r>
        <w:rPr>
          <w:rFonts w:ascii="宋体" w:hAnsi="宋体" w:cs="宋体" w:eastAsia="宋体" w:hint="default"/>
          <w:b/>
          <w:bCs/>
          <w:sz w:val="24"/>
          <w:szCs w:val="24"/>
        </w:rPr>
        <w:t>四、公司董事、监事、高级管理人员变动情况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报告期内，公司董事、监事、高级管理人员未发生变化。</w:t>
      </w:r>
    </w:p>
    <w:p>
      <w:pPr>
        <w:spacing w:line="528" w:lineRule="auto" w:before="89"/>
        <w:ind w:left="634" w:right="815" w:hanging="48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报告期内，公司核心团队及关键技术人员未发生变化。</w:t>
      </w:r>
    </w:p>
    <w:p>
      <w:pPr>
        <w:pStyle w:val="Heading2"/>
        <w:spacing w:line="240" w:lineRule="auto" w:before="89"/>
        <w:ind w:right="610"/>
        <w:jc w:val="left"/>
        <w:rPr>
          <w:b w:val="0"/>
          <w:bCs w:val="0"/>
        </w:rPr>
      </w:pPr>
      <w:r>
        <w:rPr/>
        <w:t>六、公司员工情况</w:t>
      </w:r>
      <w:r>
        <w:rPr>
          <w:b w:val="0"/>
          <w:bCs w:val="0"/>
        </w:rPr>
      </w:r>
    </w:p>
    <w:p>
      <w:pPr>
        <w:spacing w:line="240" w:lineRule="auto" w:before="10"/>
        <w:rPr>
          <w:rFonts w:ascii="宋体" w:hAnsi="宋体" w:cs="宋体" w:eastAsia="宋体" w:hint="default"/>
          <w:b/>
          <w:bCs/>
          <w:sz w:val="28"/>
          <w:szCs w:val="28"/>
        </w:rPr>
      </w:pPr>
    </w:p>
    <w:p>
      <w:pPr>
        <w:pStyle w:val="BodyText"/>
        <w:spacing w:line="338" w:lineRule="auto"/>
        <w:ind w:left="154" w:right="102" w:firstLine="48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日，公司员工总数为</w:t>
      </w:r>
      <w:r>
        <w:rPr>
          <w:rFonts w:ascii="Times New Roman" w:hAnsi="Times New Roman" w:cs="Times New Roman" w:eastAsia="Times New Roman" w:hint="default"/>
          <w:spacing w:val="-2"/>
        </w:rPr>
        <w:t>861</w:t>
      </w:r>
      <w:r>
        <w:rPr>
          <w:spacing w:val="-2"/>
        </w:rPr>
        <w:t>人（包括公司和控股子公司），较</w:t>
      </w:r>
      <w:r>
        <w:rPr>
          <w:rFonts w:ascii="Times New Roman" w:hAnsi="Times New Roman" w:cs="Times New Roman" w:eastAsia="Times New Roman" w:hint="default"/>
          <w:spacing w:val="-2"/>
        </w:rPr>
        <w:t>2011</w:t>
      </w:r>
      <w:r>
        <w:rPr>
          <w:spacing w:val="-2"/>
        </w:rPr>
        <w:t>年同期</w:t>
      </w:r>
      <w:r>
        <w:rPr/>
        <w:t> 变化不大。公司员工的专业结构、教育程度、年龄结构划分情况如下表：</w:t>
      </w:r>
    </w:p>
    <w:p>
      <w:pPr>
        <w:pStyle w:val="BodyText"/>
        <w:spacing w:line="240" w:lineRule="auto" w:before="55"/>
        <w:ind w:left="634" w:right="610"/>
        <w:jc w:val="left"/>
      </w:pPr>
      <w:r>
        <w:rPr/>
        <w:t>（一）员工专业结构</w:t>
      </w:r>
    </w:p>
    <w:p>
      <w:pPr>
        <w:spacing w:line="240" w:lineRule="auto" w:before="1"/>
        <w:rPr>
          <w:rFonts w:ascii="宋体" w:hAnsi="宋体" w:cs="宋体" w:eastAsia="宋体" w:hint="default"/>
          <w:sz w:val="9"/>
          <w:szCs w:val="9"/>
        </w:rPr>
      </w:pPr>
    </w:p>
    <w:tbl>
      <w:tblPr>
        <w:tblW w:w="0" w:type="auto"/>
        <w:jc w:val="left"/>
        <w:tblInd w:w="537" w:type="dxa"/>
        <w:tblLayout w:type="fixed"/>
        <w:tblCellMar>
          <w:top w:w="0" w:type="dxa"/>
          <w:left w:w="0" w:type="dxa"/>
          <w:bottom w:w="0" w:type="dxa"/>
          <w:right w:w="0" w:type="dxa"/>
        </w:tblCellMar>
        <w:tblLook w:val="01E0"/>
      </w:tblPr>
      <w:tblGrid>
        <w:gridCol w:w="3119"/>
        <w:gridCol w:w="2868"/>
        <w:gridCol w:w="2869"/>
      </w:tblGrid>
      <w:tr>
        <w:trPr>
          <w:trHeight w:val="480" w:hRule="exact"/>
        </w:trPr>
        <w:tc>
          <w:tcPr>
            <w:tcW w:w="311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5737" w:type="dxa"/>
            <w:gridSpan w:val="2"/>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63"/>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97" w:hRule="exact"/>
        </w:trPr>
        <w:tc>
          <w:tcPr>
            <w:tcW w:w="31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28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86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Times New Roman" w:hAnsi="Times New Roman" w:cs="Times New Roman" w:eastAsia="Times New Roman" w:hint="default"/>
                <w:sz w:val="21"/>
                <w:szCs w:val="21"/>
              </w:rPr>
            </w:pPr>
            <w:r>
              <w:rPr>
                <w:rFonts w:ascii="Times New Roman"/>
                <w:sz w:val="21"/>
              </w:rPr>
              <w:t>51</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5.92</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11</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1.28</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217</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25.20</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101</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11.73</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178</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20.67</w:t>
            </w:r>
          </w:p>
        </w:tc>
      </w:tr>
      <w:tr>
        <w:trPr>
          <w:trHeight w:val="443"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303</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35.19</w:t>
            </w:r>
          </w:p>
        </w:tc>
      </w:tr>
      <w:tr>
        <w:trPr>
          <w:trHeight w:val="444"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b/>
                <w:sz w:val="21"/>
              </w:rPr>
              <w:t>861</w:t>
            </w:r>
            <w:r>
              <w:rPr>
                <w:rFonts w:ascii="Times New Roman"/>
                <w:sz w:val="21"/>
              </w:rPr>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40"/>
        <w:ind w:left="634" w:right="610"/>
        <w:jc w:val="left"/>
      </w:pPr>
      <w:r>
        <w:rPr/>
        <w:t>（二）员工受教育程度</w:t>
      </w:r>
    </w:p>
    <w:p>
      <w:pPr>
        <w:spacing w:line="240" w:lineRule="auto" w:before="9"/>
        <w:rPr>
          <w:rFonts w:ascii="宋体" w:hAnsi="宋体" w:cs="宋体" w:eastAsia="宋体" w:hint="default"/>
          <w:sz w:val="8"/>
          <w:szCs w:val="8"/>
        </w:rPr>
      </w:pPr>
    </w:p>
    <w:tbl>
      <w:tblPr>
        <w:tblW w:w="0" w:type="auto"/>
        <w:jc w:val="left"/>
        <w:tblInd w:w="523" w:type="dxa"/>
        <w:tblLayout w:type="fixed"/>
        <w:tblCellMar>
          <w:top w:w="0" w:type="dxa"/>
          <w:left w:w="0" w:type="dxa"/>
          <w:bottom w:w="0" w:type="dxa"/>
          <w:right w:w="0" w:type="dxa"/>
        </w:tblCellMar>
        <w:tblLook w:val="01E0"/>
      </w:tblPr>
      <w:tblGrid>
        <w:gridCol w:w="3167"/>
        <w:gridCol w:w="2836"/>
        <w:gridCol w:w="2881"/>
      </w:tblGrid>
      <w:tr>
        <w:trPr>
          <w:trHeight w:val="491" w:hRule="exact"/>
        </w:trPr>
        <w:tc>
          <w:tcPr>
            <w:tcW w:w="3167"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69"/>
              <w:ind w:left="3"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5717" w:type="dxa"/>
            <w:gridSpan w:val="2"/>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69"/>
              <w:ind w:left="1"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91"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44"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sz w:val="21"/>
                <w:szCs w:val="21"/>
              </w:rPr>
              <w:t>硕士及以上学历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sz w:val="21"/>
              </w:rPr>
              <w:t>16</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1.86</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523" w:type="dxa"/>
        <w:tblLayout w:type="fixed"/>
        <w:tblCellMar>
          <w:top w:w="0" w:type="dxa"/>
          <w:left w:w="0" w:type="dxa"/>
          <w:bottom w:w="0" w:type="dxa"/>
          <w:right w:w="0" w:type="dxa"/>
        </w:tblCellMar>
        <w:tblLook w:val="01E0"/>
      </w:tblPr>
      <w:tblGrid>
        <w:gridCol w:w="3167"/>
        <w:gridCol w:w="2836"/>
        <w:gridCol w:w="2881"/>
      </w:tblGrid>
      <w:tr>
        <w:trPr>
          <w:trHeight w:val="443"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sz w:val="21"/>
              </w:rPr>
              <w:t>425</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49.36</w:t>
            </w:r>
          </w:p>
        </w:tc>
      </w:tr>
      <w:tr>
        <w:trPr>
          <w:trHeight w:val="443"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sz w:val="21"/>
              </w:rPr>
              <w:t>318</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36.93</w:t>
            </w:r>
          </w:p>
        </w:tc>
      </w:tr>
      <w:tr>
        <w:trPr>
          <w:trHeight w:val="443"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sz w:val="21"/>
                <w:szCs w:val="21"/>
              </w:rPr>
              <w:t>大专以下学历</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sz w:val="21"/>
              </w:rPr>
              <w:t>102</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11.85</w:t>
            </w:r>
          </w:p>
        </w:tc>
      </w:tr>
      <w:tr>
        <w:trPr>
          <w:trHeight w:val="444" w:hRule="exact"/>
        </w:trPr>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b/>
                <w:sz w:val="21"/>
              </w:rPr>
              <w:t>861</w:t>
            </w:r>
            <w:r>
              <w:rPr>
                <w:rFonts w:ascii="Times New Roman"/>
                <w:sz w:val="21"/>
              </w:rPr>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40"/>
        <w:ind w:left="634" w:right="610"/>
        <w:jc w:val="left"/>
      </w:pPr>
      <w:r>
        <w:rPr/>
        <w:t>（三）员工年龄分布</w:t>
      </w:r>
    </w:p>
    <w:p>
      <w:pPr>
        <w:spacing w:line="240" w:lineRule="auto" w:before="9"/>
        <w:rPr>
          <w:rFonts w:ascii="宋体" w:hAnsi="宋体" w:cs="宋体" w:eastAsia="宋体" w:hint="default"/>
          <w:sz w:val="8"/>
          <w:szCs w:val="8"/>
        </w:rPr>
      </w:pPr>
    </w:p>
    <w:tbl>
      <w:tblPr>
        <w:tblW w:w="0" w:type="auto"/>
        <w:jc w:val="left"/>
        <w:tblInd w:w="523" w:type="dxa"/>
        <w:tblLayout w:type="fixed"/>
        <w:tblCellMar>
          <w:top w:w="0" w:type="dxa"/>
          <w:left w:w="0" w:type="dxa"/>
          <w:bottom w:w="0" w:type="dxa"/>
          <w:right w:w="0" w:type="dxa"/>
        </w:tblCellMar>
        <w:tblLook w:val="01E0"/>
      </w:tblPr>
      <w:tblGrid>
        <w:gridCol w:w="3072"/>
        <w:gridCol w:w="2788"/>
        <w:gridCol w:w="3025"/>
      </w:tblGrid>
      <w:tr>
        <w:trPr>
          <w:trHeight w:val="491" w:hRule="exact"/>
        </w:trPr>
        <w:tc>
          <w:tcPr>
            <w:tcW w:w="3072"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5813" w:type="dxa"/>
            <w:gridSpan w:val="2"/>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69"/>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491"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44"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3</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0.35</w:t>
            </w:r>
          </w:p>
        </w:tc>
      </w:tr>
      <w:tr>
        <w:trPr>
          <w:trHeight w:val="443"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24</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2.79</w:t>
            </w:r>
          </w:p>
        </w:tc>
      </w:tr>
      <w:tr>
        <w:trPr>
          <w:trHeight w:val="443"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岁</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180</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20.91</w:t>
            </w:r>
          </w:p>
        </w:tc>
      </w:tr>
      <w:tr>
        <w:trPr>
          <w:trHeight w:val="443"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654</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75.96</w:t>
            </w:r>
          </w:p>
        </w:tc>
      </w:tr>
      <w:tr>
        <w:trPr>
          <w:trHeight w:val="444" w:hRule="exact"/>
        </w:trPr>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b/>
                <w:sz w:val="21"/>
              </w:rPr>
              <w:t>861</w:t>
            </w:r>
            <w:r>
              <w:rPr>
                <w:rFonts w:ascii="Times New Roman"/>
                <w:sz w:val="21"/>
              </w:rPr>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82" w:top="1220" w:bottom="118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3"/>
        <w:ind w:right="366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left="154" w:right="95" w:firstLine="480"/>
        <w:jc w:val="left"/>
      </w:pPr>
      <w:r>
        <w:rPr/>
        <w:t>报告期内，公司严格按照《公司法》、《证券法》、《上市公司治理准则》、《深圳证 </w:t>
      </w:r>
      <w:r>
        <w:rPr>
          <w:spacing w:val="-3"/>
        </w:rPr>
        <w:t>券交易所创业板股票上市规则》、《创业板上市公司规范运作指引》、《上市公司章程指引》</w:t>
      </w:r>
      <w:r>
        <w:rPr>
          <w:spacing w:val="-117"/>
        </w:rPr>
        <w:t> </w:t>
      </w:r>
      <w:r>
        <w:rPr>
          <w:spacing w:val="-117"/>
        </w:rPr>
      </w:r>
      <w:r>
        <w:rPr/>
        <w:t>和其他有关法律法规的要求，不断完善公司法人治理结构，建立健全公司内部管理和控制制</w:t>
      </w:r>
      <w:r>
        <w:rPr/>
        <w:t> 度，进一步规范公司运作，提升公司的规范化和透明度，努力做好信息披露工作及投资者关 系管理，不断提高公司治理水平。截止报告期末，公司治理结构的实际情况符合中国证监会 发布的有关上市公司治理的规范性文件的要求。</w:t>
      </w:r>
    </w:p>
    <w:p>
      <w:pPr>
        <w:pStyle w:val="BodyText"/>
        <w:spacing w:line="357" w:lineRule="auto" w:before="192"/>
        <w:ind w:left="634" w:right="250"/>
        <w:jc w:val="left"/>
      </w:pPr>
      <w:r>
        <w:rPr/>
        <w:t>（一）独立性 公司自成立以来严格按照《公司法》、《证券法》等有关法律、法规和《公司章程》的</w:t>
      </w:r>
    </w:p>
    <w:p>
      <w:pPr>
        <w:pStyle w:val="BodyText"/>
        <w:spacing w:line="357" w:lineRule="auto" w:before="36"/>
        <w:ind w:left="154" w:right="250"/>
        <w:jc w:val="left"/>
      </w:pPr>
      <w:r>
        <w:rPr/>
        <w:t>要求规范运作，在业务、资产、人员、机构和财务等方面与公司股东相互独立，拥有独立完 整的采购、生产、销售、研发系统，具备面向市场自主经营的能力。</w:t>
      </w:r>
    </w:p>
    <w:p>
      <w:pPr>
        <w:pStyle w:val="BodyText"/>
        <w:spacing w:line="350" w:lineRule="auto" w:before="36"/>
        <w:ind w:left="154" w:right="230" w:firstLine="480"/>
        <w:jc w:val="both"/>
      </w:pPr>
      <w:r>
        <w:rPr>
          <w:rFonts w:ascii="Times New Roman" w:hAnsi="Times New Roman" w:cs="Times New Roman" w:eastAsia="Times New Roman" w:hint="default"/>
          <w:spacing w:val="-3"/>
        </w:rPr>
        <w:t>1</w:t>
      </w:r>
      <w:r>
        <w:rPr>
          <w:spacing w:val="-3"/>
        </w:rPr>
        <w:t>、公司的人员独立。公司的董事、监事均严格按照《公司法》、《公司章程》的有关规</w:t>
      </w:r>
      <w:r>
        <w:rPr/>
        <w:t> 定产生，履行了合法程序；公司的总经理、副总经理、董事会秘书、财务总监、核心技术人 员等人员专职在公司工作，并在公司领取薪酬。公司已建立独立的劳动、人事、社会保障体 系及工资管理体系，与员工签订了劳动合同，并按国家规定办理了社会保险。</w:t>
      </w:r>
    </w:p>
    <w:p>
      <w:pPr>
        <w:pStyle w:val="BodyText"/>
        <w:spacing w:line="350" w:lineRule="auto" w:before="43"/>
        <w:ind w:left="154" w:right="231" w:firstLine="480"/>
        <w:jc w:val="both"/>
      </w:pPr>
      <w:r>
        <w:rPr>
          <w:rFonts w:ascii="Times New Roman" w:hAnsi="Times New Roman" w:cs="Times New Roman" w:eastAsia="Times New Roman" w:hint="default"/>
          <w:spacing w:val="-3"/>
        </w:rPr>
        <w:t>2</w:t>
      </w:r>
      <w:r>
        <w:rPr>
          <w:spacing w:val="-3"/>
        </w:rPr>
        <w:t>、公司的资产独立完整、权属清晰。公司具备与生产经营有关的生产系统、辅助生产系</w:t>
      </w:r>
      <w:r>
        <w:rPr/>
        <w:t> 统和配套设施，合法拥有与生产经营有关的土地、厂房、机器设备以及商标、专利、非专利 技术的所有权和使用权，具有独立的原料采购和产品销售系统，与发起人及其他关联方间资 产相互独立，其资产具有完整性。</w:t>
      </w:r>
    </w:p>
    <w:p>
      <w:pPr>
        <w:pStyle w:val="BodyText"/>
        <w:spacing w:line="348" w:lineRule="auto" w:before="43"/>
        <w:ind w:left="154" w:right="95" w:firstLine="480"/>
        <w:jc w:val="left"/>
      </w:pPr>
      <w:r>
        <w:rPr>
          <w:rFonts w:ascii="Times New Roman" w:hAnsi="Times New Roman" w:cs="Times New Roman" w:eastAsia="Times New Roman" w:hint="default"/>
          <w:spacing w:val="-6"/>
        </w:rPr>
        <w:t>3</w:t>
      </w:r>
      <w:r>
        <w:rPr>
          <w:spacing w:val="-6"/>
        </w:rPr>
        <w:t>、公司财务独立。公司有独立的财务部门，建立了独立的会计核算体系和财务管理制度；</w:t>
      </w:r>
      <w:r>
        <w:rPr/>
        <w:t> 配备了专职的财务会计人员，独立进行会计核算和财务决策。公司开设有独立的银行帐号， 公司并依法独立进行纳税申报和履行纳税义务。</w:t>
      </w:r>
    </w:p>
    <w:p>
      <w:pPr>
        <w:pStyle w:val="BodyText"/>
        <w:spacing w:line="348" w:lineRule="auto" w:before="46"/>
        <w:ind w:left="154" w:right="231" w:firstLine="480"/>
        <w:jc w:val="both"/>
      </w:pPr>
      <w:r>
        <w:rPr>
          <w:rFonts w:ascii="Times New Roman" w:hAnsi="Times New Roman" w:cs="Times New Roman" w:eastAsia="Times New Roman" w:hint="default"/>
          <w:spacing w:val="-3"/>
        </w:rPr>
        <w:t>4</w:t>
      </w:r>
      <w:r>
        <w:rPr>
          <w:spacing w:val="-3"/>
        </w:rPr>
        <w:t>、公司建立健全了独立的股东大会、董事会、监事会、经理的法人治理结构。并严格按</w:t>
      </w:r>
      <w:r>
        <w:rPr/>
        <w:t> 照《公司法》、《公司章程》的规定履行各自的职责；建立了独立的、适应自身发展需要的 组织结构，制定了完善的岗位职责和管理制度，各部门按照规定的职责独立运作。</w:t>
      </w:r>
    </w:p>
    <w:p>
      <w:pPr>
        <w:pStyle w:val="BodyText"/>
        <w:spacing w:line="240" w:lineRule="auto" w:before="46"/>
        <w:ind w:left="634" w:right="95"/>
        <w:jc w:val="left"/>
      </w:pPr>
      <w:r>
        <w:rPr>
          <w:rFonts w:ascii="Times New Roman" w:hAnsi="Times New Roman" w:cs="Times New Roman" w:eastAsia="Times New Roman" w:hint="default"/>
          <w:spacing w:val="-3"/>
        </w:rPr>
        <w:t>5</w:t>
      </w:r>
      <w:r>
        <w:rPr>
          <w:spacing w:val="-3"/>
        </w:rPr>
        <w:t>、公司业务独立。公司具备独立、完整的产供销系统，拥有独立的决策和执行机构，并</w:t>
      </w:r>
    </w:p>
    <w:p>
      <w:pPr>
        <w:spacing w:after="0" w:line="240"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left="154" w:right="268"/>
        <w:jc w:val="both"/>
      </w:pPr>
      <w:r>
        <w:rPr/>
        <w:t>拥有独立的业务系统；独立地对外签署合同，独立采购、生产并销售其生产的产品；具有面 向市场的自主经营能力；公司股东及其控制的其他企业没有从事与公司相同或相近的业务。</w:t>
      </w:r>
    </w:p>
    <w:p>
      <w:pPr>
        <w:pStyle w:val="BodyText"/>
        <w:spacing w:line="357" w:lineRule="auto" w:before="192"/>
        <w:ind w:left="634" w:right="250"/>
        <w:jc w:val="left"/>
      </w:pPr>
      <w:r>
        <w:rPr/>
        <w:t>（二）股东与股东大会 公司严格按照《创业板上市公司规范运作指引》、《上市公司股东大会规则》、《公司</w:t>
      </w:r>
    </w:p>
    <w:p>
      <w:pPr>
        <w:pStyle w:val="BodyText"/>
        <w:spacing w:line="357" w:lineRule="auto" w:before="36"/>
        <w:ind w:left="154" w:right="268"/>
        <w:jc w:val="both"/>
      </w:pPr>
      <w:r>
        <w:rPr/>
        <w:t>章程》、《公司股东大会议事规则》等规定的要求，召集、召开股东大会，平等对待所有股 东，特别是保证中小股东享有平等地位，并尽可能为股东参加股东大会提供便利，使其充分 行使自己的权利。在《公司章程》、《股东大会议事规则》中明确规定了股东大会的召集、 召开及表决程序、股东的参会资格和对董事会的授权原则等，董事会在报告期内做到认真审 议并安排股东大会的审议事项等。</w:t>
      </w:r>
    </w:p>
    <w:p>
      <w:pPr>
        <w:pStyle w:val="BodyText"/>
        <w:spacing w:line="357" w:lineRule="auto" w:before="192"/>
        <w:ind w:left="634" w:right="95"/>
        <w:jc w:val="left"/>
      </w:pPr>
      <w:r>
        <w:rPr/>
        <w:t>（三）公司与控股股东 </w:t>
      </w:r>
      <w:r>
        <w:rPr>
          <w:spacing w:val="-9"/>
        </w:rPr>
        <w:t>公司控股股东严格按照《上市公司治理准则》、《深圳证券交易所创业板股票上市规则》、</w:t>
      </w:r>
    </w:p>
    <w:p>
      <w:pPr>
        <w:pStyle w:val="BodyText"/>
        <w:spacing w:line="357" w:lineRule="auto" w:before="36"/>
        <w:ind w:right="268"/>
        <w:jc w:val="both"/>
      </w:pPr>
      <w:r>
        <w:rPr/>
        <w:t>《公司章程》规范自己的行为，通过股东大会依法行使出资人的权利，没有采取任何其他方 式直接或间接地干预公司的决策及依法开展的生产经营活动，没有损害公司及其他股东的利 益；公司与控股股东在业务、人员、资产、机构和财务方面做到相互独立；公司的重大决策 能按照规范的程序由股东大会和董事会作出。控股股东与公司之间无关联交易，公司没有为 控股股东及其下属企业提供担保。</w:t>
      </w:r>
    </w:p>
    <w:p>
      <w:pPr>
        <w:pStyle w:val="BodyText"/>
        <w:spacing w:line="357" w:lineRule="auto" w:before="192"/>
        <w:ind w:left="633" w:right="251"/>
        <w:jc w:val="left"/>
      </w:pPr>
      <w:r>
        <w:rPr/>
        <w:t>（四）董事与董事会 公司在《公司章程》、《董事会议事规则》中规定规范、透明的董事选聘程序，并严格</w:t>
      </w:r>
    </w:p>
    <w:p>
      <w:pPr>
        <w:pStyle w:val="BodyText"/>
        <w:spacing w:line="338" w:lineRule="auto" w:before="36"/>
        <w:ind w:right="95"/>
        <w:jc w:val="left"/>
      </w:pPr>
      <w:r>
        <w:rPr/>
        <w:t>执行。公司董事会设董事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4</w:t>
      </w:r>
      <w:r>
        <w:rPr/>
        <w:t>名，董事会的人数及人员构成符合法律、法规 </w:t>
      </w:r>
      <w:r>
        <w:rPr>
          <w:spacing w:val="-3"/>
        </w:rPr>
        <w:t>和《公司章程》的要求。各位董事能够依据《公司法》、《创业板上市公司规范运作指引》、</w:t>
      </w:r>
    </w:p>
    <w:p>
      <w:pPr>
        <w:pStyle w:val="BodyText"/>
        <w:spacing w:line="357" w:lineRule="auto" w:before="55"/>
        <w:ind w:right="268"/>
        <w:jc w:val="both"/>
      </w:pPr>
      <w:r>
        <w:rPr/>
        <w:t>《公司章程》、《董事会议事规则》等相关法律法规制度开展工作，按时参加会议，勤勉尽 责地履行职责和义务，同时积极参加相关培训，熟悉相关法律法规。独立董事能够不受公司 主要股东、实际控制人以及其他与公司存在利害关系的单位或个人的影响，独立履行职责， 对公司的重大事项均能发表独立意见。</w:t>
      </w:r>
    </w:p>
    <w:p>
      <w:pPr>
        <w:pStyle w:val="BodyText"/>
        <w:spacing w:line="357" w:lineRule="auto" w:before="192"/>
        <w:ind w:left="633" w:right="251"/>
        <w:jc w:val="left"/>
      </w:pPr>
      <w:r>
        <w:rPr/>
        <w:t>（五）监事与监事会 公司监事会严格按照《公司法》、《公司章程》和《监事会议事规则》的有关规定，认</w:t>
      </w:r>
    </w:p>
    <w:p>
      <w:pPr>
        <w:pStyle w:val="BodyText"/>
        <w:spacing w:line="357" w:lineRule="auto" w:before="36"/>
        <w:ind w:right="231"/>
        <w:jc w:val="both"/>
      </w:pPr>
      <w:r>
        <w:rPr/>
        <w:t>真履行职责，对公司财务状况、重大事项以及公司董事、经理和其他高级管理人员履行职责 </w:t>
      </w:r>
      <w:r>
        <w:rPr>
          <w:spacing w:val="-3"/>
        </w:rPr>
        <w:t>的合法合规性进行监督，维护公司及股东的合法权益。公司监事会设监事</w:t>
      </w:r>
      <w:r>
        <w:rPr>
          <w:rFonts w:ascii="Times New Roman" w:hAnsi="Times New Roman" w:cs="Times New Roman" w:eastAsia="Times New Roman" w:hint="default"/>
          <w:spacing w:val="-3"/>
        </w:rPr>
        <w:t>3</w:t>
      </w:r>
      <w:r>
        <w:rPr>
          <w:spacing w:val="-3"/>
        </w:rPr>
        <w:t>名，其中职工代表</w:t>
      </w:r>
    </w:p>
    <w:p>
      <w:pPr>
        <w:spacing w:after="0" w:line="357" w:lineRule="auto"/>
        <w:jc w:val="both"/>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48" w:lineRule="auto" w:before="26"/>
        <w:ind w:left="154" w:right="231"/>
        <w:jc w:val="both"/>
      </w:pPr>
      <w:r>
        <w:rPr>
          <w:spacing w:val="-3"/>
        </w:rPr>
        <w:t>监事</w:t>
      </w:r>
      <w:r>
        <w:rPr>
          <w:rFonts w:ascii="Times New Roman" w:hAnsi="Times New Roman" w:cs="Times New Roman" w:eastAsia="Times New Roman" w:hint="default"/>
          <w:spacing w:val="-3"/>
        </w:rPr>
        <w:t>1</w:t>
      </w:r>
      <w:r>
        <w:rPr>
          <w:spacing w:val="-3"/>
        </w:rPr>
        <w:t>名，公司监事会的人数、成员构成及监事的任职资格符合相关法律、法规的要求。监事</w:t>
      </w:r>
      <w:r>
        <w:rPr>
          <w:spacing w:val="-81"/>
        </w:rPr>
        <w:t> </w:t>
      </w:r>
      <w:r>
        <w:rPr>
          <w:spacing w:val="-81"/>
        </w:rPr>
      </w:r>
      <w:r>
        <w:rPr/>
        <w:t>会能够严格按照《监事会议事规则》的要求召集、召开监事会，表决程序符合法律、法规的 要求。</w:t>
      </w:r>
    </w:p>
    <w:p>
      <w:pPr>
        <w:pStyle w:val="BodyText"/>
        <w:spacing w:line="357" w:lineRule="auto" w:before="202"/>
        <w:ind w:left="633" w:right="251"/>
        <w:jc w:val="left"/>
      </w:pPr>
      <w:r>
        <w:rPr/>
        <w:t>（六）绩效评价与激励约束机制 董事会薪酬与考核委员会负责对公司的董事、监事、高级管理人员进行绩效考核，建立</w:t>
      </w:r>
    </w:p>
    <w:p>
      <w:pPr>
        <w:pStyle w:val="BodyText"/>
        <w:spacing w:line="357" w:lineRule="auto" w:before="36"/>
        <w:ind w:right="268"/>
        <w:jc w:val="both"/>
      </w:pPr>
      <w:r>
        <w:rPr/>
        <w:t>并逐步完善公正、透明的绩效评价标准和激励约束机制。《公司章程》明确规定了高级管理 人员的履职行为、权限和职责，高级管理人员的聘任公开、透明，符合有关法律、法规的规 定，现有的考核及激励约束机制符合公司的发展情况。</w:t>
      </w:r>
    </w:p>
    <w:p>
      <w:pPr>
        <w:pStyle w:val="BodyText"/>
        <w:spacing w:line="357" w:lineRule="auto" w:before="192"/>
        <w:ind w:left="633" w:right="251"/>
        <w:jc w:val="left"/>
      </w:pPr>
      <w:r>
        <w:rPr/>
        <w:t>（七）独立董事履职情况 公司独立董事按照《公司章程》和《独立董事工作制度》等规定，独立、客观、公正地</w:t>
      </w:r>
    </w:p>
    <w:p>
      <w:pPr>
        <w:pStyle w:val="BodyText"/>
        <w:spacing w:line="350" w:lineRule="auto" w:before="36"/>
        <w:ind w:right="93"/>
        <w:jc w:val="left"/>
      </w:pPr>
      <w:r>
        <w:rPr/>
        <w:t>履行职责，出席和列席了报告期内历次董事会和股东大会，对董事会议案行认真审议，根据 相关规定对公司的重大事项发表独立意见。</w:t>
      </w:r>
      <w:r>
        <w:rPr>
          <w:rFonts w:ascii="Times New Roman" w:hAnsi="Times New Roman" w:cs="Times New Roman" w:eastAsia="Times New Roman" w:hint="default"/>
        </w:rPr>
        <w:t>2012</w:t>
      </w:r>
      <w:r>
        <w:rPr/>
        <w:t>年度，独立董事未对董事会审议的各项议案 </w:t>
      </w:r>
      <w:r>
        <w:rPr>
          <w:spacing w:val="-2"/>
        </w:rPr>
        <w:t>及其他相关事项提出异议。独立董事通过实地考察和内外调研，运用其专业知识和经验特长，</w:t>
      </w:r>
      <w:r>
        <w:rPr/>
        <w:t> 为公司经营和发展提出合理化意见和建议。</w:t>
      </w:r>
    </w:p>
    <w:p>
      <w:pPr>
        <w:pStyle w:val="BodyText"/>
        <w:spacing w:line="357" w:lineRule="auto" w:before="199"/>
        <w:ind w:left="633" w:right="251"/>
        <w:jc w:val="left"/>
      </w:pPr>
      <w:r>
        <w:rPr/>
        <w:t>（八）相关利益者 公司能够充分尊重银行及其他债权人、员工、消费者、供应商、经销商等利益相关者的</w:t>
      </w:r>
    </w:p>
    <w:p>
      <w:pPr>
        <w:pStyle w:val="BodyText"/>
        <w:spacing w:line="240" w:lineRule="auto" w:before="36"/>
        <w:ind w:right="0"/>
        <w:jc w:val="both"/>
      </w:pPr>
      <w:r>
        <w:rPr/>
        <w:t>合法权利，与利益相关者积极合作，共同推动公司持续、健康地发展。</w:t>
      </w:r>
    </w:p>
    <w:p>
      <w:pPr>
        <w:spacing w:line="240" w:lineRule="auto" w:before="9"/>
        <w:rPr>
          <w:rFonts w:ascii="宋体" w:hAnsi="宋体" w:cs="宋体" w:eastAsia="宋体" w:hint="default"/>
          <w:sz w:val="23"/>
          <w:szCs w:val="23"/>
        </w:rPr>
      </w:pPr>
    </w:p>
    <w:p>
      <w:pPr>
        <w:pStyle w:val="BodyText"/>
        <w:spacing w:line="357" w:lineRule="auto"/>
        <w:ind w:left="633" w:right="251"/>
        <w:jc w:val="left"/>
      </w:pPr>
      <w:r>
        <w:rPr/>
        <w:t>（九）关于信息披露与透明度 公司根据《深圳证券交易所创业板股票上市规则》、《上市公司信息披露管理办法》、</w:t>
      </w:r>
    </w:p>
    <w:p>
      <w:pPr>
        <w:pStyle w:val="BodyText"/>
        <w:spacing w:line="350" w:lineRule="auto" w:before="36"/>
        <w:ind w:right="230"/>
        <w:jc w:val="both"/>
      </w:pPr>
      <w:r>
        <w:rPr/>
        <w:t>《公司章程》以及公司《信息披露管理制度》等相关法规制度的规定，认真履行信息披露义 </w:t>
      </w:r>
      <w:r>
        <w:rPr>
          <w:spacing w:val="-3"/>
        </w:rPr>
        <w:t>务。公司指定《证券时报》和巨潮资讯网（</w:t>
      </w:r>
      <w:hyperlink r:id="rId28">
        <w:r>
          <w:rPr>
            <w:rFonts w:ascii="Times New Roman" w:hAnsi="Times New Roman" w:cs="Times New Roman" w:eastAsia="Times New Roman" w:hint="default"/>
            <w:spacing w:val="-3"/>
          </w:rPr>
          <w:t>http://www.cninfo.com.cn</w:t>
        </w:r>
      </w:hyperlink>
      <w:r>
        <w:rPr>
          <w:spacing w:val="-3"/>
        </w:rPr>
        <w:t>）为公司信息披露的指定</w:t>
      </w:r>
      <w:r>
        <w:rPr>
          <w:spacing w:val="-70"/>
        </w:rPr>
        <w:t> </w:t>
      </w:r>
      <w:r>
        <w:rPr>
          <w:spacing w:val="-70"/>
        </w:rPr>
      </w:r>
      <w:r>
        <w:rPr/>
        <w:t>报纸和网站。公司指定董事会秘书负责信息披露工作，并负责投资者关系管理，接待投资者 的来访和咨询，设立专门机构并配备了相应人员，真实、准确、及时、公平、完整地披露有 关信息，确保公司所有股东能够以平等的机会获得信息。</w:t>
      </w:r>
      <w:r>
        <w:rPr>
          <w:rFonts w:ascii="Times New Roman" w:hAnsi="Times New Roman" w:cs="Times New Roman" w:eastAsia="Times New Roman" w:hint="default"/>
        </w:rPr>
        <w:t>2012</w:t>
      </w:r>
      <w:r>
        <w:rPr/>
        <w:t>年度公司信息披露的内部控制 得到了有效执行。</w:t>
      </w:r>
    </w:p>
    <w:p>
      <w:pPr>
        <w:pStyle w:val="BodyText"/>
        <w:spacing w:line="357" w:lineRule="auto" w:before="199"/>
        <w:ind w:left="633" w:right="95"/>
        <w:jc w:val="left"/>
      </w:pPr>
      <w:r>
        <w:rPr/>
        <w:t>（十）投资者关系管理情况 </w:t>
      </w:r>
      <w:r>
        <w:rPr>
          <w:spacing w:val="-3"/>
        </w:rPr>
        <w:t>投资者关系工作是一项长期、持续的重要工作，公司不断学习先进投资者关系管理经验，</w:t>
      </w:r>
    </w:p>
    <w:p>
      <w:pPr>
        <w:pStyle w:val="BodyText"/>
        <w:spacing w:line="240" w:lineRule="auto" w:before="36"/>
        <w:ind w:right="0"/>
        <w:jc w:val="both"/>
      </w:pPr>
      <w:r>
        <w:rPr/>
        <w:t>以更好的方式和途径使广大投资者能够平等地获取公司经营管理、未来发展等信息，构建与</w:t>
      </w:r>
    </w:p>
    <w:p>
      <w:pPr>
        <w:spacing w:after="0" w:line="240" w:lineRule="auto"/>
        <w:jc w:val="both"/>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left="154" w:right="210"/>
        <w:jc w:val="left"/>
      </w:pPr>
      <w:r>
        <w:rPr/>
        <w:t>投资者的良好互动关系，树立公司在资本市场的规范形象。报告期内，公司严格执行《投资 者关系管理制度》，认真做好投资者关系管理工作：</w:t>
      </w:r>
    </w:p>
    <w:p>
      <w:pPr>
        <w:pStyle w:val="BodyText"/>
        <w:spacing w:line="240" w:lineRule="auto" w:before="36"/>
        <w:ind w:left="633" w:right="3307"/>
        <w:jc w:val="left"/>
      </w:pPr>
      <w:r>
        <w:rPr>
          <w:rFonts w:ascii="Times New Roman" w:hAnsi="Times New Roman" w:cs="Times New Roman" w:eastAsia="Times New Roman" w:hint="default"/>
        </w:rPr>
        <w:t>1</w:t>
      </w:r>
      <w:r>
        <w:rPr/>
        <w:t>、日常工作</w:t>
      </w:r>
    </w:p>
    <w:p>
      <w:pPr>
        <w:pStyle w:val="BodyText"/>
        <w:spacing w:line="348" w:lineRule="auto" w:before="135"/>
        <w:ind w:right="91" w:firstLine="480"/>
        <w:jc w:val="left"/>
      </w:pPr>
      <w:r>
        <w:rPr/>
        <w:t>（</w:t>
      </w:r>
      <w:r>
        <w:rPr>
          <w:rFonts w:ascii="Times New Roman" w:hAnsi="Times New Roman" w:cs="Times New Roman" w:eastAsia="Times New Roman" w:hint="default"/>
        </w:rPr>
        <w:t>1</w:t>
      </w:r>
      <w:r>
        <w:rPr/>
        <w:t>）指定董事会秘书作为投资者关系管理负责人，安排专人负责投资者来访接待工作， 积极做好投资者关系管理工作档案的建立和保管，合理、妥善地安排个人投资者、机构投资 者、行业分析师等相关人员到公司进行调研，并切实做好相关信息的保密工作。</w:t>
      </w:r>
    </w:p>
    <w:p>
      <w:pPr>
        <w:pStyle w:val="BodyText"/>
        <w:spacing w:line="338" w:lineRule="auto" w:before="46"/>
        <w:ind w:right="191" w:firstLine="480"/>
        <w:jc w:val="both"/>
      </w:pPr>
      <w:r>
        <w:rPr>
          <w:spacing w:val="-3"/>
        </w:rPr>
        <w:t>（</w:t>
      </w:r>
      <w:r>
        <w:rPr>
          <w:rFonts w:ascii="Times New Roman" w:hAnsi="Times New Roman" w:cs="Times New Roman" w:eastAsia="Times New Roman" w:hint="default"/>
          <w:spacing w:val="-3"/>
        </w:rPr>
        <w:t>2</w:t>
      </w:r>
      <w:r>
        <w:rPr>
          <w:spacing w:val="-3"/>
        </w:rPr>
        <w:t>）通过公司网站、投资者关系管理电话、电子信箱、互动平台等多种渠道与投资者加</w:t>
      </w:r>
      <w:r>
        <w:rPr/>
        <w:t> 强沟通，尽可能解答投资者的疑问。</w:t>
      </w:r>
    </w:p>
    <w:p>
      <w:pPr>
        <w:pStyle w:val="BodyText"/>
        <w:spacing w:line="240" w:lineRule="auto" w:before="55"/>
        <w:ind w:left="633" w:right="3307"/>
        <w:jc w:val="left"/>
      </w:pPr>
      <w:r>
        <w:rPr>
          <w:rFonts w:ascii="Times New Roman" w:hAnsi="Times New Roman" w:cs="Times New Roman" w:eastAsia="Times New Roman" w:hint="default"/>
        </w:rPr>
        <w:t>2</w:t>
      </w:r>
      <w:r>
        <w:rPr/>
        <w:t>、互动交流</w:t>
      </w:r>
    </w:p>
    <w:p>
      <w:pPr>
        <w:pStyle w:val="BodyText"/>
        <w:spacing w:line="348" w:lineRule="auto" w:before="135"/>
        <w:ind w:right="191" w:firstLine="480"/>
        <w:jc w:val="both"/>
      </w:pPr>
      <w:r>
        <w:rPr>
          <w:spacing w:val="-2"/>
        </w:rPr>
        <w:t>（</w:t>
      </w:r>
      <w:r>
        <w:rPr>
          <w:rFonts w:ascii="Times New Roman" w:hAnsi="Times New Roman" w:cs="Times New Roman" w:eastAsia="Times New Roman" w:hint="default"/>
          <w:spacing w:val="-2"/>
        </w:rPr>
        <w:t>1</w:t>
      </w:r>
      <w:r>
        <w:rPr>
          <w:spacing w:val="-2"/>
        </w:rPr>
        <w:t>）报告期内，公司召开了</w:t>
      </w:r>
      <w:r>
        <w:rPr>
          <w:rFonts w:ascii="Times New Roman" w:hAnsi="Times New Roman" w:cs="Times New Roman" w:eastAsia="Times New Roman" w:hint="default"/>
          <w:spacing w:val="-2"/>
        </w:rPr>
        <w:t>2011</w:t>
      </w:r>
      <w:r>
        <w:rPr>
          <w:spacing w:val="-2"/>
        </w:rPr>
        <w:t>年年度股东大会并举行了</w:t>
      </w:r>
      <w:r>
        <w:rPr>
          <w:rFonts w:ascii="Times New Roman" w:hAnsi="Times New Roman" w:cs="Times New Roman" w:eastAsia="Times New Roman" w:hint="default"/>
          <w:spacing w:val="-2"/>
        </w:rPr>
        <w:t>2011</w:t>
      </w:r>
      <w:r>
        <w:rPr>
          <w:spacing w:val="-2"/>
        </w:rPr>
        <w:t>年度网上业绩说明会。在</w:t>
      </w:r>
      <w:r>
        <w:rPr/>
        <w:t> 会上，公司认真听取了投资者的建议和意见，并就公司经营以及未来发展等问题与投资者进 行了深入的沟通和交流。</w:t>
      </w:r>
    </w:p>
    <w:p>
      <w:pPr>
        <w:pStyle w:val="BodyText"/>
        <w:spacing w:line="350" w:lineRule="auto" w:before="46"/>
        <w:ind w:right="191" w:firstLine="480"/>
        <w:jc w:val="both"/>
      </w:pPr>
      <w:r>
        <w:rPr>
          <w:spacing w:val="-1"/>
        </w:rPr>
        <w:t>（</w:t>
      </w:r>
      <w:r>
        <w:rPr>
          <w:rFonts w:ascii="Times New Roman" w:hAnsi="Times New Roman" w:cs="Times New Roman" w:eastAsia="Times New Roman" w:hint="default"/>
          <w:spacing w:val="-1"/>
        </w:rPr>
        <w:t>2</w:t>
      </w:r>
      <w:r>
        <w:rPr>
          <w:spacing w:val="-1"/>
        </w:rPr>
        <w:t>）报告期内，公司通过</w:t>
      </w:r>
      <w:r>
        <w:rPr>
          <w:rFonts w:ascii="Times New Roman" w:hAnsi="Times New Roman" w:cs="Times New Roman" w:eastAsia="Times New Roman" w:hint="default"/>
          <w:spacing w:val="-1"/>
        </w:rPr>
        <w:t>“</w:t>
      </w:r>
      <w:r>
        <w:rPr>
          <w:spacing w:val="-1"/>
        </w:rPr>
        <w:t>投资者关系互动平台</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深交所互动易</w:t>
      </w:r>
      <w:r>
        <w:rPr>
          <w:rFonts w:ascii="Times New Roman" w:hAnsi="Times New Roman" w:cs="Times New Roman" w:eastAsia="Times New Roman" w:hint="default"/>
          <w:spacing w:val="-1"/>
        </w:rPr>
        <w:t>”</w:t>
      </w:r>
      <w:r>
        <w:rPr>
          <w:spacing w:val="-1"/>
        </w:rPr>
        <w:t>，就投资者关心的问</w:t>
      </w:r>
      <w:r>
        <w:rPr/>
        <w:t> 题进行了充分、深入、详细的分析、说明和答复，建立了投资者与公司之间规范、直接、快 速的交流与沟通渠道，提高了公司规范运作水平，更好的保护了投资者特别是中小投资者的 合法权益。</w:t>
      </w:r>
    </w:p>
    <w:p>
      <w:pPr>
        <w:spacing w:before="55"/>
        <w:ind w:left="154" w:right="3307"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33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79"/>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4" w:right="33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page/2012-04-19/60854858.PD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spacing w:before="35"/>
        <w:ind w:left="154" w:right="33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940"/>
        </w:sectPr>
      </w:pPr>
    </w:p>
    <w:p>
      <w:pPr>
        <w:spacing w:line="240" w:lineRule="auto" w:before="4"/>
        <w:rPr>
          <w:rFonts w:ascii="宋体" w:hAnsi="宋体" w:cs="宋体" w:eastAsia="宋体" w:hint="default"/>
          <w:b/>
          <w:bCs/>
          <w:sz w:val="15"/>
          <w:szCs w:val="1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89"/>
              <w:jc w:val="both"/>
              <w:rPr>
                <w:rFonts w:ascii="Times New Roman" w:hAnsi="Times New Roman" w:cs="Times New Roman" w:eastAsia="Times New Roman" w:hint="default"/>
                <w:sz w:val="18"/>
                <w:szCs w:val="18"/>
              </w:rPr>
            </w:pPr>
            <w:hyperlink r:id="rId29">
              <w:r>
                <w:rPr>
                  <w:rFonts w:ascii="Times New Roman"/>
                  <w:spacing w:val="-1"/>
                  <w:sz w:val="18"/>
                </w:rPr>
                <w:t>http://www.cninfo.com.cn/final</w:t>
              </w:r>
            </w:hyperlink>
            <w:r>
              <w:rPr>
                <w:rFonts w:ascii="Times New Roman"/>
                <w:spacing w:val="-35"/>
                <w:sz w:val="18"/>
              </w:rPr>
              <w:t> </w:t>
            </w:r>
            <w:r>
              <w:rPr>
                <w:rFonts w:ascii="Times New Roman"/>
                <w:spacing w:val="-35"/>
                <w:sz w:val="18"/>
              </w:rPr>
            </w:r>
            <w:r>
              <w:rPr>
                <w:rFonts w:ascii="Times New Roman"/>
                <w:sz w:val="18"/>
              </w:rPr>
              <w:t>page/2012-06-08/61109445.PD</w:t>
            </w:r>
            <w:r>
              <w:rPr>
                <w:rFonts w:ascii="Times New Roman"/>
                <w:sz w:val="18"/>
              </w:rPr>
              <w:t> F</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page/2012-08-13/61413867.PD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pacing w:val="-1"/>
                  <w:sz w:val="18"/>
                  <w:szCs w:val="18"/>
                </w:rPr>
                <w:t>http://www.cninfo.com.cn/final</w:t>
              </w:r>
            </w:hyperlink>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Times New Roman" w:hAnsi="Times New Roman" w:cs="Times New Roman" w:eastAsia="Times New Roman" w:hint="default"/>
                <w:sz w:val="18"/>
                <w:szCs w:val="18"/>
              </w:rPr>
              <w:t>page/2012-11-15/61799910.PD</w:t>
            </w:r>
            <w:r>
              <w:rPr>
                <w:rFonts w:ascii="Times New Roman" w:hAnsi="Times New Roman" w:cs="Times New Roman" w:eastAsia="Times New Roman" w:hint="default"/>
                <w:sz w:val="18"/>
                <w:szCs w:val="18"/>
              </w:rPr>
              <w:t>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61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page/2012-03-20/60692000.PD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page/2012-03-28/60739620.PD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page/2012-04-26/60909480.PD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page/2012-05-15/60995696.PD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page/2012-05-23/61032317.PD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page/2012-07-28/61334041.PD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b/>
          <w:bCs/>
          <w:sz w:val="15"/>
          <w:szCs w:val="1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81"/>
              <w:jc w:val="both"/>
              <w:rPr>
                <w:rFonts w:ascii="Times New Roman" w:hAnsi="Times New Roman" w:cs="Times New Roman" w:eastAsia="Times New Roman" w:hint="default"/>
                <w:sz w:val="18"/>
                <w:szCs w:val="18"/>
              </w:rPr>
            </w:pPr>
            <w:hyperlink r:id="rId29">
              <w:r>
                <w:rPr>
                  <w:rFonts w:ascii="Times New Roman"/>
                  <w:sz w:val="18"/>
                </w:rPr>
                <w:t>http://www.cninfo.com.cn/final</w:t>
              </w:r>
            </w:hyperlink>
            <w:r>
              <w:rPr>
                <w:rFonts w:ascii="Times New Roman"/>
                <w:sz w:val="18"/>
              </w:rPr>
              <w:t> page/2012-08-16/61428617.PD F</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29">
              <w:r>
                <w:rPr>
                  <w:rFonts w:ascii="Times New Roman" w:hAnsi="Times New Roman" w:cs="Times New Roman" w:eastAsia="Times New Roman" w:hint="default"/>
                  <w:sz w:val="18"/>
                  <w:szCs w:val="18"/>
                </w:rPr>
                <w:t>http://www.cninfo.com.cn/final</w:t>
              </w:r>
            </w:hyperlink>
            <w:r>
              <w:rPr>
                <w:rFonts w:ascii="Times New Roman" w:hAnsi="Times New Roman" w:cs="Times New Roman" w:eastAsia="Times New Roman" w:hint="default"/>
                <w:sz w:val="18"/>
                <w:szCs w:val="18"/>
              </w:rPr>
              <w:t> page/2012-10-26/61709961.PD 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610"/>
        <w:jc w:val="left"/>
        <w:rPr>
          <w:b w:val="0"/>
          <w:bCs w:val="0"/>
        </w:rPr>
      </w:pPr>
      <w:r>
        <w:rPr/>
        <w:t>四、年度报告重大差错责任追究制度的建立与执行情况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ind w:right="111" w:firstLine="480"/>
        <w:jc w:val="both"/>
      </w:pPr>
      <w:r>
        <w:rPr>
          <w:spacing w:val="-12"/>
        </w:rPr>
        <w:t>公司严格按照《公司法》、《上市公司信息披露管理办法》、《深圳证券交易所创业板股票</w:t>
      </w:r>
      <w:r>
        <w:rPr/>
        <w:t> 上市交易规则》等相关法律法规的规定，健全公司信息披露管理制度，提高规范运作水平， 增强信息披露的真实性、准确性、完整性和及时性。公司结合实际情况，经第二届董事会第 </w:t>
      </w:r>
      <w:r>
        <w:rPr>
          <w:spacing w:val="-5"/>
        </w:rPr>
        <w:t>四次会议审议并制定了《年报信息披露重大差错责任追究制度》。该制度对年报编制和披露的</w:t>
      </w:r>
      <w:r>
        <w:rPr>
          <w:spacing w:val="-117"/>
        </w:rPr>
        <w:t> </w:t>
      </w:r>
      <w:r>
        <w:rPr>
          <w:spacing w:val="-117"/>
        </w:rPr>
      </w:r>
      <w:r>
        <w:rPr/>
        <w:t>每一环节都进行规定，明确了参与编制和披露工作人员各自的责任。该制度的建立进一步完 善了公司的内部控制，加大了对年报信息披露责任人的问责力度，保障和提高了年报信息披 露的质量和透明度。截至本报告期末，公司未发生重大会计差错更正、重大遗漏信息补充以 及业绩预告修正等情况，不存在董事会对有关责任人采取问责措施的情形。</w:t>
      </w:r>
    </w:p>
    <w:p>
      <w:pPr>
        <w:spacing w:line="240" w:lineRule="auto" w:before="9"/>
        <w:rPr>
          <w:rFonts w:ascii="宋体" w:hAnsi="宋体" w:cs="宋体" w:eastAsia="宋体" w:hint="default"/>
          <w:sz w:val="19"/>
          <w:szCs w:val="19"/>
        </w:rPr>
      </w:pPr>
    </w:p>
    <w:p>
      <w:pPr>
        <w:pStyle w:val="Heading2"/>
        <w:spacing w:line="240" w:lineRule="auto"/>
        <w:ind w:left="153" w:right="610"/>
        <w:jc w:val="left"/>
        <w:rPr>
          <w:b w:val="0"/>
          <w:bCs w:val="0"/>
        </w:rPr>
      </w:pPr>
      <w:r>
        <w:rPr/>
        <w:t>五、监事会工作情况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54" w:right="63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615" w:right="574"/>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1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郑州新开普电子股份有限公司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before="51"/>
        <w:ind w:left="615" w:right="57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615" w:right="575"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2"/>
        <w:rPr>
          <w:rFonts w:ascii="宋体" w:hAnsi="宋体" w:cs="宋体" w:eastAsia="宋体" w:hint="default"/>
          <w:b/>
          <w:bCs/>
          <w:sz w:val="28"/>
          <w:szCs w:val="28"/>
        </w:rPr>
      </w:pPr>
    </w:p>
    <w:p>
      <w:pPr>
        <w:pStyle w:val="BodyText"/>
        <w:spacing w:line="240" w:lineRule="auto" w:before="26"/>
        <w:ind w:left="0" w:right="135"/>
        <w:jc w:val="right"/>
      </w:pPr>
      <w:r>
        <w:rPr>
          <w:spacing w:val="-1"/>
        </w:rPr>
        <w:t>中瑞岳华审字</w:t>
      </w:r>
      <w:r>
        <w:rPr>
          <w:rFonts w:ascii="Times New Roman" w:hAnsi="Times New Roman" w:cs="Times New Roman" w:eastAsia="Times New Roman" w:hint="default"/>
          <w:spacing w:val="-1"/>
        </w:rPr>
        <w:t>[2013]</w:t>
      </w:r>
      <w:r>
        <w:rPr>
          <w:spacing w:val="-1"/>
        </w:rPr>
        <w:t>第</w:t>
      </w:r>
      <w:r>
        <w:rPr>
          <w:rFonts w:ascii="Times New Roman" w:hAnsi="Times New Roman" w:cs="Times New Roman" w:eastAsia="Times New Roman" w:hint="default"/>
          <w:spacing w:val="-1"/>
        </w:rPr>
        <w:t>1764</w:t>
      </w:r>
      <w:r>
        <w:rPr>
          <w:spacing w:val="-1"/>
        </w:rPr>
        <w:t>号</w:t>
      </w:r>
    </w:p>
    <w:p>
      <w:pPr>
        <w:spacing w:line="240" w:lineRule="auto" w:before="5"/>
        <w:rPr>
          <w:rFonts w:ascii="宋体" w:hAnsi="宋体" w:cs="宋体" w:eastAsia="宋体" w:hint="default"/>
          <w:sz w:val="26"/>
          <w:szCs w:val="26"/>
        </w:rPr>
      </w:pPr>
    </w:p>
    <w:p>
      <w:pPr>
        <w:pStyle w:val="Heading2"/>
        <w:spacing w:line="240" w:lineRule="auto" w:before="26"/>
        <w:ind w:right="610"/>
        <w:jc w:val="left"/>
        <w:rPr>
          <w:b w:val="0"/>
          <w:bCs w:val="0"/>
        </w:rPr>
      </w:pPr>
      <w:r>
        <w:rPr/>
        <w:t>郑州新开普电子股份有限公司全体股东：</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BodyText"/>
        <w:spacing w:line="338" w:lineRule="auto"/>
        <w:ind w:right="101" w:firstLine="480"/>
        <w:jc w:val="both"/>
      </w:pPr>
      <w:r>
        <w:rPr>
          <w:spacing w:val="6"/>
        </w:rPr>
        <w:t>我们审计了后附的郑州新开普电子股份有限公司</w:t>
      </w:r>
      <w:r>
        <w:rPr>
          <w:rFonts w:ascii="Times New Roman" w:hAnsi="Times New Roman" w:cs="Times New Roman" w:eastAsia="Times New Roman" w:hint="default"/>
          <w:spacing w:val="6"/>
        </w:rPr>
        <w:t>(</w:t>
      </w:r>
      <w:r>
        <w:rPr>
          <w:spacing w:val="6"/>
        </w:rPr>
        <w:t>以下简称</w:t>
      </w:r>
      <w:r>
        <w:rPr>
          <w:rFonts w:ascii="Times New Roman" w:hAnsi="Times New Roman" w:cs="Times New Roman" w:eastAsia="Times New Roman" w:hint="default"/>
          <w:spacing w:val="6"/>
        </w:rPr>
        <w:t>“</w:t>
      </w:r>
      <w:r>
        <w:rPr>
          <w:spacing w:val="6"/>
        </w:rPr>
        <w:t>贵公司</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59"/>
        </w:rPr>
        <w:t> </w:t>
      </w:r>
      <w:r>
        <w:rPr>
          <w:spacing w:val="7"/>
        </w:rPr>
        <w:t>财务报表，包括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日的合并及母公司的资产负债表，</w:t>
      </w:r>
      <w:r>
        <w:rPr>
          <w:rFonts w:ascii="Times New Roman" w:hAnsi="Times New Roman" w:cs="Times New Roman" w:eastAsia="Times New Roman" w:hint="default"/>
        </w:rPr>
        <w:t>2012</w:t>
      </w:r>
      <w:r>
        <w:rPr/>
        <w:t>年度合并及母公司的利润表、合并及母</w:t>
      </w:r>
      <w:r>
        <w:rPr>
          <w:spacing w:val="-98"/>
        </w:rPr>
        <w:t> </w:t>
      </w:r>
      <w:r>
        <w:rPr/>
        <w:t>公司的现金流量表和合并及母公司的所有者权益变动表以及财务报表附注。</w:t>
      </w:r>
    </w:p>
    <w:p>
      <w:pPr>
        <w:spacing w:line="240" w:lineRule="auto" w:before="0"/>
        <w:rPr>
          <w:rFonts w:ascii="宋体" w:hAnsi="宋体" w:cs="宋体" w:eastAsia="宋体" w:hint="default"/>
          <w:sz w:val="24"/>
          <w:szCs w:val="24"/>
        </w:rPr>
      </w:pPr>
    </w:p>
    <w:p>
      <w:pPr>
        <w:spacing w:line="357" w:lineRule="auto" w:before="209"/>
        <w:ind w:left="633" w:right="94"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编制和公允列报财务报表是贵公司管理层的责任。这种责任包括：（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）按照企业会计准</w:t>
      </w:r>
    </w:p>
    <w:p>
      <w:pPr>
        <w:pStyle w:val="BodyText"/>
        <w:spacing w:line="338" w:lineRule="auto" w:before="5"/>
        <w:ind w:left="154" w:right="94"/>
        <w:jc w:val="left"/>
      </w:pPr>
      <w:r>
        <w:rPr>
          <w:spacing w:val="-3"/>
        </w:rPr>
        <w:t>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）设计、执行和维护必要的内部控制，以</w:t>
      </w:r>
      <w:r>
        <w:rPr>
          <w:spacing w:val="-82"/>
        </w:rPr>
        <w:t> </w:t>
      </w:r>
      <w:r>
        <w:rPr>
          <w:spacing w:val="-82"/>
        </w:rPr>
      </w:r>
      <w:r>
        <w:rPr/>
        <w:t>使财务报表不存在由于舞弊或错误导致的重大错报。</w:t>
      </w:r>
    </w:p>
    <w:p>
      <w:pPr>
        <w:spacing w:line="240" w:lineRule="auto" w:before="0"/>
        <w:rPr>
          <w:rFonts w:ascii="宋体" w:hAnsi="宋体" w:cs="宋体" w:eastAsia="宋体" w:hint="default"/>
          <w:sz w:val="24"/>
          <w:szCs w:val="24"/>
        </w:rPr>
      </w:pPr>
    </w:p>
    <w:p>
      <w:pPr>
        <w:spacing w:line="357" w:lineRule="auto" w:before="209"/>
        <w:ind w:left="634" w:right="94"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before="36"/>
        <w:ind w:right="94"/>
        <w:jc w:val="left"/>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pStyle w:val="BodyText"/>
        <w:spacing w:line="240" w:lineRule="auto" w:before="36"/>
        <w:ind w:left="634" w:right="94"/>
        <w:jc w:val="left"/>
      </w:pPr>
      <w:r>
        <w:rPr/>
        <w:t>审计工作涉及实施审计程序，以获取有关财务报表金额和披露的审计证据。选择的审计</w:t>
      </w:r>
    </w:p>
    <w:p>
      <w:pPr>
        <w:spacing w:after="0" w:line="240" w:lineRule="auto"/>
        <w:jc w:val="left"/>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right="93"/>
        <w:jc w:val="left"/>
      </w:pP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t>当的审计程序，但目的并非对内部控制的有效性发表意见。审计工作还包括评价管理层选用</w:t>
      </w:r>
      <w:r>
        <w:rPr>
          <w:spacing w:val="-83"/>
        </w:rPr>
        <w:t> </w:t>
      </w:r>
      <w:r>
        <w:rPr>
          <w:spacing w:val="-83"/>
        </w:rPr>
      </w:r>
      <w:r>
        <w:rPr/>
        <w:t>会计政策的恰当性和作出会计估计的合理性，以及评价财务报表的总体列报。</w:t>
      </w:r>
    </w:p>
    <w:p>
      <w:pPr>
        <w:pStyle w:val="BodyText"/>
        <w:spacing w:line="240" w:lineRule="auto" w:before="36"/>
        <w:ind w:left="633" w:right="95"/>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ind w:left="633" w:right="95"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我们认为，上述财务报表在所有重大方面按照企业会计准则的规定编制，公允反映了郑</w:t>
      </w:r>
    </w:p>
    <w:p>
      <w:pPr>
        <w:pStyle w:val="BodyText"/>
        <w:spacing w:line="338" w:lineRule="auto" w:before="36"/>
        <w:ind w:right="227"/>
        <w:jc w:val="both"/>
      </w:pPr>
      <w:r>
        <w:rPr/>
        <w:t>州新开普电子股份有限公司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日的合并财务状况以及</w:t>
      </w:r>
      <w:r>
        <w:rPr>
          <w:rFonts w:ascii="Times New Roman" w:hAnsi="Times New Roman" w:cs="Times New Roman" w:eastAsia="Times New Roman" w:hint="default"/>
        </w:rPr>
        <w:t>2012</w:t>
      </w:r>
      <w:r>
        <w:rPr/>
        <w:t>年度的合并经营成果和</w:t>
      </w:r>
      <w:r>
        <w:rPr>
          <w:spacing w:val="-96"/>
        </w:rPr>
        <w:t> </w:t>
      </w:r>
      <w:r>
        <w:rPr/>
        <w:t>合并现金流量，以及郑州新开普电子股份有限公司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w:t>
      </w:r>
      <w:r>
        <w:rPr>
          <w:spacing w:val="-90"/>
        </w:rPr>
        <w:t> </w:t>
      </w:r>
      <w:r>
        <w:rPr/>
        <w:t>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8"/>
          <w:szCs w:val="28"/>
        </w:rPr>
      </w:pPr>
    </w:p>
    <w:p>
      <w:pPr>
        <w:pStyle w:val="BodyText"/>
        <w:tabs>
          <w:tab w:pos="6524" w:val="left" w:leader="none"/>
        </w:tabs>
        <w:spacing w:line="240" w:lineRule="auto"/>
        <w:ind w:left="596" w:right="95"/>
        <w:jc w:val="left"/>
      </w:pPr>
      <w:r>
        <w:rPr/>
        <w:t>中瑞岳华会计师事务所（特殊普伙）</w:t>
        <w:tab/>
        <w:t>中国注册会计师：</w:t>
      </w:r>
    </w:p>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51" w:footer="982" w:top="1220" w:bottom="1180" w:left="980" w:right="900"/>
        </w:sectPr>
      </w:pPr>
    </w:p>
    <w:p>
      <w:pPr>
        <w:spacing w:line="240" w:lineRule="auto" w:before="0"/>
        <w:rPr>
          <w:rFonts w:ascii="宋体" w:hAnsi="宋体" w:cs="宋体" w:eastAsia="宋体" w:hint="default"/>
          <w:sz w:val="24"/>
          <w:szCs w:val="24"/>
        </w:rPr>
      </w:pPr>
    </w:p>
    <w:p>
      <w:pPr>
        <w:pStyle w:val="BodyText"/>
        <w:spacing w:line="240" w:lineRule="auto" w:before="180"/>
        <w:ind w:left="1899" w:right="-19"/>
        <w:jc w:val="left"/>
      </w:pPr>
      <w:r>
        <w:rPr/>
        <w:t>中国</w:t>
      </w:r>
      <w:r>
        <w:rPr>
          <w:rFonts w:ascii="Times New Roman" w:hAnsi="Times New Roman" w:cs="Times New Roman" w:eastAsia="Times New Roman" w:hint="default"/>
        </w:rPr>
        <w:t>·</w:t>
      </w:r>
      <w:r>
        <w:rPr/>
        <w:t>北京</w:t>
      </w:r>
    </w:p>
    <w:p>
      <w:pPr>
        <w:pStyle w:val="BodyText"/>
        <w:spacing w:line="240" w:lineRule="auto" w:before="26"/>
        <w:ind w:left="1899" w:right="0"/>
        <w:jc w:val="left"/>
      </w:pPr>
      <w:r>
        <w:rPr/>
        <w:br w:type="column"/>
      </w:r>
      <w:r>
        <w:rPr/>
        <w:t>中国注册会计师：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8"/>
        <w:ind w:left="2615"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26</w:t>
      </w:r>
      <w:r>
        <w:rPr/>
        <w:t>日</w:t>
      </w:r>
    </w:p>
    <w:p>
      <w:pPr>
        <w:spacing w:after="0" w:line="240" w:lineRule="auto"/>
        <w:jc w:val="left"/>
        <w:sectPr>
          <w:type w:val="continuous"/>
          <w:pgSz w:w="11910" w:h="16840"/>
          <w:pgMar w:top="1220" w:bottom="1180" w:left="980" w:right="900"/>
          <w:cols w:num="2" w:equalWidth="0">
            <w:col w:w="2941" w:space="1684"/>
            <w:col w:w="5405"/>
          </w:cols>
        </w:sectPr>
      </w:pPr>
    </w:p>
    <w:p>
      <w:pPr>
        <w:spacing w:line="240" w:lineRule="auto" w:before="0"/>
        <w:rPr>
          <w:rFonts w:ascii="宋体" w:hAnsi="宋体" w:cs="宋体" w:eastAsia="宋体" w:hint="default"/>
          <w:sz w:val="20"/>
          <w:szCs w:val="20"/>
        </w:rPr>
      </w:pPr>
    </w:p>
    <w:p>
      <w:pPr>
        <w:pStyle w:val="Heading2"/>
        <w:spacing w:line="240" w:lineRule="auto" w:before="202"/>
        <w:ind w:right="61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277,253,940.96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297,151,329.68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430,510.00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129,608,517.88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94,525,068.72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9,372,904.99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5,745,560.28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2,258,849.03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2,853,231.03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8,402,196.06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6,229,036.27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51,871,911.37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53,973,741.81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479,198,830.29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460,477,967.79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27,836,182.28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26,223,190.88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27,271,816.72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4,779,550.59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10,822,024.25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7,554,399.25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9,463.31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3,318,766.15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2,650,313.22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69,254,474.75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41,216,917.25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548,453,305.04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501,694,885.04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25,084,886.91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23,991,406.55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7,132,595.06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6,365,679.75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712,598.90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695,864.68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11,211,837.25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4,649,898.74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4,364,113.70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301,898.00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48,506,031.82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36,004,747.72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8,489,175.00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7,445,595.00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8,489,175.00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7,445,595.00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56,995,206.82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43,450,342.72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259,989,044.44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304,589,044.44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14,518,976.99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10,481,437.48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127,750,076.79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98,574,060.40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491,458,098.22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458,244,542.32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491,458,098.22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458,244,542.32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548,453,305.04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501,694,885.04</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94"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276,962,283.80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295,741,516.88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430,510.00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129,608,517.88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93,446,068.72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9,372,904.99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5,745,560.28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2,258,849.03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2,853,231.03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8,396,196.06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6,229,036.27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51,871,911.37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53,973,741.81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478,901,173.13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457,989,154.99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27,835,950.04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26,222,506.48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27,271,816.72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4,779,550.59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10,821,977.05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7,554,068.85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9,463.31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3,318,641.15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2,577,563.22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70,254,070.31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42,143,152.45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549,155,243.44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500,132,307.44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28,679,908.43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25,063,148.76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7,132,595.06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6,365,679.75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712,475.40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695,741.18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11,198,161.62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4,506,825.58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7,484,113.70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2,151,898.00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55,207,254.21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38,783,293.27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8,489,175.00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7,345,595.00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8,489,175.00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7,345,595.00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63,696,429.21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46,128,888.27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259,989,044.44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304,589,044.44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14,518,976.99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10,481,437.48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121,750,792.80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94,332,937.25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485,458,814.23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454,003,419.17</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549,155,243.44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500,132,307.44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7"/>
        <w:rPr>
          <w:rFonts w:ascii="Times New Roman" w:hAnsi="Times New Roman" w:cs="Times New Roman" w:eastAsia="Times New Roman" w:hint="default"/>
          <w:sz w:val="14"/>
          <w:szCs w:val="14"/>
        </w:rPr>
      </w:pPr>
    </w:p>
    <w:p>
      <w:pPr>
        <w:tabs>
          <w:tab w:pos="3663" w:val="left" w:leader="none"/>
          <w:tab w:pos="7893" w:val="left" w:leader="none"/>
        </w:tabs>
        <w:spacing w:before="44"/>
        <w:ind w:left="153" w:right="94"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0"/>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184,266,436.98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184,266,436.98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163,968,509.32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146,949,526.95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96,536,894.23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88,294,522.64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2,496,974.83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1,921,729.74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42,797,378.17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32,624,829.63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25,877,839.04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22,474,675.40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-7,347,016.44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-2,188,923.59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3,606,439.49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3,822,693.13</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45,468,271.75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37,266,910.03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3,296,623.56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11,043,777.27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120,057.30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34,320.98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48,730,574.33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48,190,630.00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6,597,018.43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6,331,284.06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42,133,555.90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41,859,345.94</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42,133,555.90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41,859,345.94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42,133,555.90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41,859,345.94</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42,133,555.90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41,859,345.94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663" w:val="left" w:leader="none"/>
          <w:tab w:pos="7893" w:val="left" w:leader="none"/>
        </w:tabs>
        <w:spacing w:before="141"/>
        <w:ind w:left="153" w:right="94"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184,266,436.98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99,979,125.73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89,058,804.33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2,416,101.55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1,898,234.83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42,797,378.17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32,624,829.63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24,051,798.70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21,201,433.45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-7,342,899.07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-2,182,867.82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3,796,939.49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3,711,193.13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43,738,336.50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37,904,809.43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3,195,772.97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10,879,632.82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120,057.30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57.30</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46,899,788.49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48,664,384.95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6,524,393.43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6,359,159.06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40,375,395.06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42,305,225.89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40,375,395.06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42,305,225.89</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94"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202,825,299.07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175,688,119.70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6,997,799.04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10,563,070.87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5,859,281.01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213,388,369.94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188,545,199.75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97,252,635.40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101,767,207.88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49,397,310.20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37,857,788.96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25,936,692.30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24,669,589.80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24,583,338.25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23,334,516.84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197,169,976.15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187,629,103.48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16,218,393.79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916,096.27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3,284,670.00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30,428,412.45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19,380,774.70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30,428,412.45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19,380,774.70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-27,143,742.45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-19,380,524.70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307,820,907.50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322,670,907.50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1,100,008.07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7,791,900.92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8,972,040.06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43,691,908.99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-8,972,040.06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278,978,998.51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-19,897,388.72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260,514,570.08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297,151,329.68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36,636,759.60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277,253,940.96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297,151,329.68</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94"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202,825,299.07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175,688,119.70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6,834,075.67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10,533,191.21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5,853,623.84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213,358,490.28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188,375,819.21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97,252,635.40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103,303,929.62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47,625,198.77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36,278,537.69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25,041,975.53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24,572,672.14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26,102,131.15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23,252,801.71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196,021,940.85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187,407,941.16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17,336,549.43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967,878.05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3,284,670.00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30,428,412.45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19,380,774.70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30,428,412.45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19,380,774.70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-27,143,742.45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-19,380,524.70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307,820,907.50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322,670,907.50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1,100,008.07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7,791,900.92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8,972,040.06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43,691,908.99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-8,972,040.06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278,978,998.51</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-18,779,233.08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260,566,351.86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5"/>
        <w:rPr>
          <w:rFonts w:ascii="Times New Roman" w:hAnsi="Times New Roman" w:cs="Times New Roman" w:eastAsia="Times New Roman"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295,741,516.88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35,175,165.02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276,962,283.80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295,741,516.88</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94"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82" w:top="1220" w:bottom="1180" w:left="980" w:right="1020"/>
        </w:sectPr>
      </w:pPr>
    </w:p>
    <w:p>
      <w:pPr>
        <w:spacing w:line="360"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220" w:bottom="1180" w:left="980" w:right="1020"/>
          <w:cols w:num="2" w:equalWidth="0">
            <w:col w:w="3395" w:space="5524"/>
            <w:col w:w="991"/>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4"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3"/>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3"/>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0"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2"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304,589,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044.44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10,481,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437.48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98,574,0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60.40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458,244,54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2.32</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304,589,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044.44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10,481,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437.48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98,574,0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60.40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458,244,54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2.32</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4,037,5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39.51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29,176,0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16.39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33,213,555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42,133,5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55.90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42,133,555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42,133,5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55.90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42,133,555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4,037,5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39.51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-12,957,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539.51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4,037,5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39.51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-4,037,5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39.51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2"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044.44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14,518,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976.99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127,750,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076.79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491,458,09</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8.22</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33,400,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16,541,5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37.86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6,250,9</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14.89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60,945,2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37.05</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117,137,68</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9.80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33,400,</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16,541,5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37.86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6,250,9</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14.89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60,945,2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37.05</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117,137,68</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9.80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288,047,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506.58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4,230,5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22.59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37,628,8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23.35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341,106,85</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2.52</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41,859,3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41,859,345</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Times New Roman" w:hAnsi="Times New Roman" w:cs="Times New Roman" w:eastAsia="Times New Roman" w:hint="default"/>
                <w:sz w:val="18"/>
                <w:szCs w:val="18"/>
              </w:rPr>
            </w:pPr>
            <w:r>
              <w:rPr>
                <w:rFonts w:ascii="Times New Roman"/>
                <w:sz w:val="18"/>
              </w:rPr>
              <w:t>45.94</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41,859,3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45.94</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41,859,345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288,047,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506.58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299,247,50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6.58</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288,047,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506.58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299,247,50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6.58</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4,230,5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22.59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-4,230,5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22.59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4,230,5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22.59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-4,230,5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22.59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304,589,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044.44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10,481,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437.48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98,574,0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60.40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458,244,54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2.32</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94"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0"/>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编制单位：郑州新开普电子股份有限公司</w:t>
      </w:r>
    </w:p>
    <w:p>
      <w:pPr>
        <w:spacing w:after="0"/>
        <w:jc w:val="left"/>
        <w:rPr>
          <w:rFonts w:ascii="宋体" w:hAnsi="宋体" w:cs="宋体" w:eastAsia="宋体" w:hint="default"/>
          <w:sz w:val="18"/>
          <w:szCs w:val="18"/>
        </w:rPr>
        <w:sectPr>
          <w:footerReference w:type="default" r:id="rId30"/>
          <w:pgSz w:w="11910" w:h="16840"/>
          <w:pgMar w:footer="982" w:header="851" w:top="1220" w:bottom="1180" w:left="980" w:right="1020"/>
        </w:sectPr>
      </w:pPr>
    </w:p>
    <w:p>
      <w:pPr>
        <w:spacing w:line="240" w:lineRule="auto" w:before="11"/>
        <w:rPr>
          <w:rFonts w:ascii="宋体" w:hAnsi="宋体" w:cs="宋体" w:eastAsia="宋体" w:hint="default"/>
          <w:sz w:val="12"/>
          <w:szCs w:val="12"/>
        </w:rPr>
      </w:pPr>
      <w:r>
        <w:rPr/>
        <w:pict>
          <v:group style="position:absolute;margin-left:180.779999pt;margin-top:700.830017pt;width:42.55pt;height:56.5pt;mso-position-horizontal-relative:page;mso-position-vertical-relative:page;z-index:-885400" coordorigin="3616,14017" coordsize="851,1130">
            <v:group style="position:absolute;left:3627;top:14028;width:2;height:705" coordorigin="3627,14028" coordsize="2,705">
              <v:shape style="position:absolute;left:3627;top:14028;width:2;height:705" coordorigin="3627,14028" coordsize="0,705" path="m3627,14028l3627,14732e" filled="false" stroked="true" strokeweight="1.140pt" strokecolor="#ffffff">
                <v:path arrowok="t"/>
              </v:shape>
            </v:group>
            <v:group style="position:absolute;left:3638;top:14028;width:828;height:352" coordorigin="3638,14028" coordsize="828,352">
              <v:shape style="position:absolute;left:3638;top:14028;width:828;height:352" coordorigin="3638,14028" coordsize="828,352" path="m3638,14380l4466,14380,4466,14028,3638,14028,3638,14380xe" filled="true" fillcolor="#ffffff" stroked="false">
                <v:path arrowok="t"/>
                <v:fill type="solid"/>
              </v:shape>
            </v:group>
            <v:group style="position:absolute;left:3638;top:14380;width:828;height:353" coordorigin="3638,14380" coordsize="828,353">
              <v:shape style="position:absolute;left:3638;top:14380;width:828;height:353" coordorigin="3638,14380" coordsize="828,353" path="m3638,14732l4466,14732,4466,14380,3638,14380,3638,14732xe" filled="true" fillcolor="#ffffff" stroked="false">
                <v:path arrowok="t"/>
                <v:fill type="solid"/>
              </v:shape>
            </v:group>
            <v:group style="position:absolute;left:3627;top:14742;width:2;height:393" coordorigin="3627,14742" coordsize="2,393">
              <v:shape style="position:absolute;left:3627;top:14742;width:2;height:393" coordorigin="3627,14742" coordsize="0,393" path="m3627,14742l3627,15134e" filled="false" stroked="true" strokeweight="1.140pt" strokecolor="#ffffff">
                <v:path arrowok="t"/>
              </v:shape>
            </v:group>
            <v:group style="position:absolute;left:3638;top:14742;width:828;height:393" coordorigin="3638,14742" coordsize="828,393">
              <v:shape style="position:absolute;left:3638;top:14742;width:828;height:393" coordorigin="3638,14742" coordsize="828,393" path="m3638,15134l4466,15134,4466,14742,3638,14742,3638,15134xe" filled="true" fillcolor="#ffffff" stroked="false">
                <v:path arrowok="t"/>
                <v:fill type="solid"/>
              </v:shape>
            </v:group>
            <w10:wrap type="none"/>
          </v:group>
        </w:pict>
      </w:r>
    </w:p>
    <w:p>
      <w:pPr>
        <w:spacing w:before="44"/>
        <w:ind w:left="153" w:right="61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7"/>
        <w:gridCol w:w="884"/>
        <w:gridCol w:w="886"/>
        <w:gridCol w:w="886"/>
        <w:gridCol w:w="887"/>
        <w:gridCol w:w="886"/>
        <w:gridCol w:w="886"/>
        <w:gridCol w:w="893"/>
      </w:tblGrid>
      <w:tr>
        <w:trPr>
          <w:trHeight w:val="402"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4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304,589,04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4.44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10,481,437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94,332,937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454,003,41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9.17</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304,589,04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4.44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10,481,437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94,332,937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454,003,41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9.17</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-44,600,00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27,417,855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31,455,395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40,375,395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40,375,395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40,375,395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40,375,395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-12,957,53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9.51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4,037,539.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-44,600,00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162" w:lineRule="exact" w:before="91"/>
              <w:ind w:right="19"/>
              <w:jc w:val="right"/>
              <w:rPr>
                <w:rFonts w:ascii="Times New Roman" w:hAnsi="Times New Roman" w:cs="Times New Roman" w:eastAsia="Times New Roman" w:hint="default"/>
                <w:sz w:val="18"/>
                <w:szCs w:val="18"/>
              </w:rPr>
            </w:pPr>
            <w:r>
              <w:rPr>
                <w:rFonts w:ascii="Times New Roman"/>
                <w:sz w:val="18"/>
              </w:rPr>
              <w:t>44,600,000</w:t>
            </w:r>
          </w:p>
          <w:p>
            <w:pPr>
              <w:pStyle w:val="TableParagraph"/>
              <w:spacing w:line="170"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-44,600,00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982" w:header="851" w:top="1220" w:bottom="1180" w:left="980" w:right="1020"/>
          <w:pgNumType w:start="101"/>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259,989,04</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4.44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14,518,976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121,750,79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2.80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485,458,81</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4.23</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7"/>
        <w:gridCol w:w="884"/>
        <w:gridCol w:w="886"/>
        <w:gridCol w:w="883"/>
        <w:gridCol w:w="884"/>
        <w:gridCol w:w="884"/>
        <w:gridCol w:w="883"/>
        <w:gridCol w:w="882"/>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0" w:hRule="exact"/>
        </w:trPr>
        <w:tc>
          <w:tcPr>
            <w:tcW w:w="2472"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2"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16,541,537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6,250,914.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56,258,233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112,450,68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6.70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16,541,537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6,250,914.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56,258,233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112,450,68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6.70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288,047,50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6.58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4,230,522.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38,074,703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341,552,73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2.47</w:t>
            </w: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42,305,225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42,305,225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42,305,225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42,305,225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288,047,50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6.58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299,247,50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6.58</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288,047,50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6.58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299,247,50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6.58</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4,230,522.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-4,230,522.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4,230,522.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-4,230,522.</w:t>
            </w: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4"/>
        <w:rPr>
          <w:rFonts w:ascii="宋体" w:hAnsi="宋体" w:cs="宋体" w:eastAsia="宋体" w:hint="default"/>
          <w:sz w:val="15"/>
          <w:szCs w:val="15"/>
        </w:rPr>
      </w:pPr>
      <w:r>
        <w:rPr/>
        <w:pict>
          <v:group style="position:absolute;margin-left:181.679993pt;margin-top:170.429993pt;width:42.6pt;height:40.9pt;mso-position-horizontal-relative:page;mso-position-vertical-relative:page;z-index:-885376" coordorigin="3634,3409" coordsize="852,818">
            <v:group style="position:absolute;left:3645;top:3420;width:2;height:393" coordorigin="3645,3420" coordsize="2,393">
              <v:shape style="position:absolute;left:3645;top:3420;width:2;height:393" coordorigin="3645,3420" coordsize="0,393" path="m3645,3420l3645,3812e" filled="false" stroked="true" strokeweight="1.140pt" strokecolor="#ffffff">
                <v:path arrowok="t"/>
              </v:shape>
            </v:group>
            <v:group style="position:absolute;left:3656;top:3420;width:830;height:393" coordorigin="3656,3420" coordsize="830,393">
              <v:shape style="position:absolute;left:3656;top:3420;width:830;height:393" coordorigin="3656,3420" coordsize="830,393" path="m3656,3812l4486,3812,4486,3420,3656,3420,3656,3812xe" filled="true" fillcolor="#ffffff" stroked="false">
                <v:path arrowok="t"/>
                <v:fill type="solid"/>
              </v:shape>
            </v:group>
            <v:group style="position:absolute;left:3645;top:3822;width:2;height:393" coordorigin="3645,3822" coordsize="2,393">
              <v:shape style="position:absolute;left:3645;top:3822;width:2;height:393" coordorigin="3645,3822" coordsize="0,393" path="m3645,3822l3645,4214e" filled="false" stroked="true" strokeweight="1.140pt" strokecolor="#ffffff">
                <v:path arrowok="t"/>
              </v:shape>
            </v:group>
            <v:group style="position:absolute;left:3656;top:3822;width:830;height:393" coordorigin="3656,3822" coordsize="830,393">
              <v:shape style="position:absolute;left:3656;top:3822;width:830;height:393" coordorigin="3656,3822" coordsize="830,393" path="m3656,4214l4486,4214,4486,3822,3656,3822,3656,421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59</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304,589,04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4.44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10,481,437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94,332,937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454,003,41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9.17</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95" w:firstLine="0"/>
        <w:jc w:val="lef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3"/>
        <w:rPr>
          <w:rFonts w:ascii="宋体" w:hAnsi="宋体" w:cs="宋体" w:eastAsia="宋体" w:hint="default"/>
          <w:sz w:val="24"/>
          <w:szCs w:val="24"/>
        </w:rPr>
      </w:pPr>
    </w:p>
    <w:p>
      <w:pPr>
        <w:pStyle w:val="Heading2"/>
        <w:spacing w:line="240" w:lineRule="auto"/>
        <w:ind w:right="95"/>
        <w:jc w:val="left"/>
        <w:rPr>
          <w:b w:val="0"/>
          <w:bCs w:val="0"/>
        </w:rPr>
      </w:pPr>
      <w:r>
        <w:rPr/>
        <w:t>三、公司基本情况</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left="633" w:right="95"/>
        <w:jc w:val="left"/>
      </w:pPr>
      <w:r>
        <w:rPr>
          <w:rFonts w:ascii="Times New Roman" w:hAnsi="Times New Roman" w:cs="Times New Roman" w:eastAsia="Times New Roman" w:hint="default"/>
        </w:rPr>
        <w:t>1</w:t>
      </w:r>
      <w:r>
        <w:rPr/>
        <w:t>、历史沿革 郑州新开普电子股份有限公司（以下简称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），系由郑州新开普电子技</w:t>
      </w:r>
    </w:p>
    <w:p>
      <w:pPr>
        <w:pStyle w:val="BodyText"/>
        <w:spacing w:line="340" w:lineRule="auto" w:before="27"/>
        <w:ind w:right="95"/>
        <w:jc w:val="left"/>
        <w:rPr>
          <w:rFonts w:ascii="Times New Roman" w:hAnsi="Times New Roman" w:cs="Times New Roman" w:eastAsia="Times New Roman" w:hint="default"/>
        </w:rPr>
      </w:pPr>
      <w:r>
        <w:rPr>
          <w:spacing w:val="-2"/>
        </w:rPr>
        <w:t>术有限公司（以下简称</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w:t>
      </w:r>
      <w:r>
        <w:rPr>
          <w:spacing w:val="-2"/>
        </w:rPr>
        <w:t>）整体变更为股份有限公司而设立。有限公司系由杨维国、</w:t>
      </w:r>
      <w:r>
        <w:rPr>
          <w:spacing w:val="-90"/>
        </w:rPr>
        <w:t> </w:t>
      </w:r>
      <w:r>
        <w:rPr>
          <w:spacing w:val="-90"/>
        </w:rPr>
      </w:r>
      <w:r>
        <w:rPr/>
        <w:t>尚卫国、赵利宾、杜建平、傅常顺、刘桂林、郎金文、尹涛、王为真、葛晓阁、华梦阳、刘</w:t>
      </w:r>
      <w:r>
        <w:rPr>
          <w:spacing w:val="-83"/>
        </w:rPr>
        <w:t> </w:t>
      </w:r>
      <w:r>
        <w:rPr>
          <w:spacing w:val="-83"/>
        </w:rPr>
      </w:r>
      <w:r>
        <w:rPr>
          <w:spacing w:val="16"/>
        </w:rPr>
        <w:t>恩臣等</w:t>
      </w:r>
      <w:r>
        <w:rPr>
          <w:spacing w:val="-94"/>
        </w:rPr>
        <w:t> </w:t>
      </w:r>
      <w:r>
        <w:rPr>
          <w:rFonts w:ascii="Times New Roman" w:hAnsi="Times New Roman" w:cs="Times New Roman" w:eastAsia="Times New Roman" w:hint="default"/>
        </w:rPr>
        <w:t>12</w:t>
      </w:r>
      <w:r>
        <w:rPr>
          <w:rFonts w:ascii="Times New Roman" w:hAnsi="Times New Roman" w:cs="Times New Roman" w:eastAsia="Times New Roman" w:hint="default"/>
          <w:spacing w:val="-34"/>
        </w:rPr>
        <w:t> </w:t>
      </w:r>
      <w:r>
        <w:rPr>
          <w:spacing w:val="22"/>
        </w:rPr>
        <w:t>个自然人共同出资组建，于</w:t>
      </w:r>
      <w:r>
        <w:rPr>
          <w:spacing w:val="-9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4"/>
        </w:rPr>
        <w:t> </w:t>
      </w:r>
      <w:r>
        <w:rPr/>
        <w:t>年</w:t>
      </w:r>
      <w:r>
        <w:rPr>
          <w:spacing w:val="-94"/>
        </w:rPr>
        <w:t> </w:t>
      </w: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月</w:t>
      </w:r>
      <w:r>
        <w:rPr>
          <w:spacing w:val="-94"/>
        </w:rPr>
        <w:t> </w:t>
      </w:r>
      <w:r>
        <w:rPr>
          <w:rFonts w:ascii="Times New Roman" w:hAnsi="Times New Roman" w:cs="Times New Roman" w:eastAsia="Times New Roman" w:hint="default"/>
        </w:rPr>
        <w:t>25</w:t>
      </w:r>
      <w:r>
        <w:rPr>
          <w:rFonts w:ascii="Times New Roman" w:hAnsi="Times New Roman" w:cs="Times New Roman" w:eastAsia="Times New Roman" w:hint="default"/>
          <w:spacing w:val="-34"/>
        </w:rPr>
        <w:t> </w:t>
      </w:r>
      <w:r>
        <w:rPr>
          <w:spacing w:val="23"/>
        </w:rPr>
        <w:t>日在郑州市设立，领有注册号码为</w:t>
      </w:r>
      <w:r>
        <w:rPr>
          <w:spacing w:val="-113"/>
        </w:rPr>
        <w:t> </w:t>
      </w:r>
      <w:r>
        <w:rPr>
          <w:rFonts w:ascii="Times New Roman" w:hAnsi="Times New Roman" w:cs="Times New Roman" w:eastAsia="Times New Roman" w:hint="default"/>
          <w:spacing w:val="-2"/>
        </w:rPr>
        <w:t>4101002114985</w:t>
      </w:r>
      <w:r>
        <w:rPr>
          <w:spacing w:val="-2"/>
        </w:rPr>
        <w:t>《企业法人营业执照》，注册资本为人民币</w:t>
      </w:r>
      <w:r>
        <w:rPr>
          <w:rFonts w:ascii="Times New Roman" w:hAnsi="Times New Roman" w:cs="Times New Roman" w:eastAsia="Times New Roman" w:hint="default"/>
          <w:spacing w:val="-2"/>
        </w:rPr>
        <w:t>51.00</w:t>
      </w:r>
      <w:r>
        <w:rPr>
          <w:spacing w:val="-2"/>
        </w:rPr>
        <w:t>万元，实收资本为</w:t>
      </w:r>
      <w:r>
        <w:rPr>
          <w:rFonts w:ascii="Times New Roman" w:hAnsi="Times New Roman" w:cs="Times New Roman" w:eastAsia="Times New Roman" w:hint="default"/>
          <w:spacing w:val="-2"/>
        </w:rPr>
        <w:t>51.00</w:t>
      </w:r>
      <w:r>
        <w:rPr>
          <w:spacing w:val="-2"/>
        </w:rPr>
        <w:t>万元。</w:t>
      </w:r>
      <w:r>
        <w:rPr>
          <w:spacing w:val="-98"/>
        </w:rPr>
        <w:t> </w:t>
      </w:r>
      <w:r>
        <w:rPr/>
        <w:t>经</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日有限公司股东会第七次决议，原股东刘桂林、尹涛、王为真分别将其持有的</w:t>
      </w:r>
      <w:r>
        <w:rPr>
          <w:spacing w:val="-100"/>
        </w:rPr>
        <w:t> </w:t>
      </w:r>
      <w:r>
        <w:rPr>
          <w:spacing w:val="-100"/>
        </w:rPr>
      </w:r>
      <w:r>
        <w:rPr/>
        <w:t>股份全部转让给股东杨维国。经</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日有限公司股东会第十次决议通过，有限公司决 定新增注册资本</w:t>
      </w:r>
      <w:r>
        <w:rPr>
          <w:rFonts w:ascii="Times New Roman" w:hAnsi="Times New Roman" w:cs="Times New Roman" w:eastAsia="Times New Roman" w:hint="default"/>
        </w:rPr>
        <w:t>449.00</w:t>
      </w:r>
      <w:r>
        <w:rPr/>
        <w:t>万元，变更后注册资本为人民币</w:t>
      </w:r>
      <w:r>
        <w:rPr>
          <w:rFonts w:ascii="Times New Roman" w:hAnsi="Times New Roman" w:cs="Times New Roman" w:eastAsia="Times New Roman" w:hint="default"/>
        </w:rPr>
        <w:t>500.00</w:t>
      </w:r>
      <w:r>
        <w:rPr/>
        <w:t>万元。经</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日有限公 </w:t>
      </w:r>
      <w:r>
        <w:rPr>
          <w:spacing w:val="-5"/>
        </w:rPr>
        <w:t>司第十二次股东会决议通过，新增注册资本</w:t>
      </w:r>
      <w:r>
        <w:rPr>
          <w:rFonts w:ascii="Times New Roman" w:hAnsi="Times New Roman" w:cs="Times New Roman" w:eastAsia="Times New Roman" w:hint="default"/>
          <w:spacing w:val="-5"/>
        </w:rPr>
        <w:t>50.00</w:t>
      </w:r>
      <w:r>
        <w:rPr>
          <w:spacing w:val="-5"/>
        </w:rPr>
        <w:t>万元，变更后注册资本为</w:t>
      </w:r>
      <w:r>
        <w:rPr>
          <w:rFonts w:ascii="Times New Roman" w:hAnsi="Times New Roman" w:cs="Times New Roman" w:eastAsia="Times New Roman" w:hint="default"/>
          <w:spacing w:val="-5"/>
        </w:rPr>
        <w:t>550.00</w:t>
      </w:r>
      <w:r>
        <w:rPr>
          <w:spacing w:val="-5"/>
        </w:rPr>
        <w:t>万元。经</w:t>
      </w:r>
      <w:r>
        <w:rPr>
          <w:rFonts w:ascii="Times New Roman" w:hAnsi="Times New Roman" w:cs="Times New Roman" w:eastAsia="Times New Roman" w:hint="default"/>
          <w:spacing w:val="-5"/>
        </w:rPr>
        <w:t>2004</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日有限公司股东会第十五次决议通过，新增注册资本</w:t>
      </w:r>
      <w:r>
        <w:rPr>
          <w:rFonts w:ascii="Times New Roman" w:hAnsi="Times New Roman" w:cs="Times New Roman" w:eastAsia="Times New Roman" w:hint="default"/>
        </w:rPr>
        <w:t>458.00</w:t>
      </w:r>
      <w:r>
        <w:rPr/>
        <w:t>万元，变更后注册资本为 人民币</w:t>
      </w:r>
      <w:r>
        <w:rPr>
          <w:rFonts w:ascii="Times New Roman" w:hAnsi="Times New Roman" w:cs="Times New Roman" w:eastAsia="Times New Roman" w:hint="default"/>
        </w:rPr>
        <w:t>1,008.00</w:t>
      </w:r>
      <w:r>
        <w:rPr/>
        <w:t>万元。根据有限公司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日召开的股东会决议及</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日召开的 公司发起人会议暨创立大会决议和修改后的章程规定，同意有限公司整体改制为股份有限公</w:t>
      </w:r>
      <w:r>
        <w:rPr>
          <w:spacing w:val="-83"/>
        </w:rPr>
        <w:t> </w:t>
      </w:r>
      <w:r>
        <w:rPr>
          <w:spacing w:val="-83"/>
        </w:rPr>
      </w:r>
      <w:r>
        <w:rPr>
          <w:spacing w:val="3"/>
        </w:rPr>
        <w:t>司，由全体股东以有限公司</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日的净资产进行出资并于公司成立日（即</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p>
    <w:p>
      <w:pPr>
        <w:spacing w:after="0" w:line="340" w:lineRule="auto"/>
        <w:jc w:val="left"/>
        <w:rPr>
          <w:rFonts w:ascii="Times New Roman" w:hAnsi="Times New Roman" w:cs="Times New Roman" w:eastAsia="Times New Roman" w:hint="default"/>
        </w:rPr>
        <w:sectPr>
          <w:pgSz w:w="11910" w:h="16840"/>
          <w:pgMar w:header="851" w:footer="982" w:top="1220" w:bottom="1180" w:left="980" w:right="900"/>
        </w:sectPr>
      </w:pPr>
    </w:p>
    <w:p>
      <w:pPr>
        <w:spacing w:line="240" w:lineRule="auto" w:before="8"/>
        <w:rPr>
          <w:rFonts w:ascii="Times New Roman" w:hAnsi="Times New Roman" w:cs="Times New Roman" w:eastAsia="Times New Roman" w:hint="default"/>
          <w:sz w:val="18"/>
          <w:szCs w:val="18"/>
        </w:rPr>
      </w:pPr>
    </w:p>
    <w:p>
      <w:pPr>
        <w:pStyle w:val="BodyText"/>
        <w:spacing w:line="338" w:lineRule="auto" w:before="26"/>
        <w:ind w:right="128"/>
        <w:jc w:val="both"/>
      </w:pPr>
      <w:r>
        <w:rPr>
          <w:spacing w:val="-2"/>
        </w:rPr>
        <w:t>月</w:t>
      </w:r>
      <w:r>
        <w:rPr>
          <w:rFonts w:ascii="Times New Roman" w:hAnsi="Times New Roman" w:cs="Times New Roman" w:eastAsia="Times New Roman" w:hint="default"/>
          <w:spacing w:val="-2"/>
        </w:rPr>
        <w:t>12</w:t>
      </w:r>
      <w:r>
        <w:rPr>
          <w:spacing w:val="-2"/>
        </w:rPr>
        <w:t>日）一次缴足。本公司于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日在郑州市工商行政管理局办理工商登记，取得企</w:t>
      </w:r>
      <w:r>
        <w:rPr>
          <w:spacing w:val="-114"/>
        </w:rPr>
        <w:t> </w:t>
      </w:r>
      <w:r>
        <w:rPr>
          <w:spacing w:val="-114"/>
        </w:rPr>
      </w:r>
      <w:r>
        <w:rPr>
          <w:spacing w:val="-4"/>
        </w:rPr>
        <w:t>业法人营业执照（注册号：</w:t>
      </w:r>
      <w:r>
        <w:rPr>
          <w:rFonts w:ascii="Times New Roman" w:hAnsi="Times New Roman" w:cs="Times New Roman" w:eastAsia="Times New Roman" w:hint="default"/>
          <w:spacing w:val="-4"/>
        </w:rPr>
        <w:t>410199100002906</w:t>
      </w:r>
      <w:r>
        <w:rPr>
          <w:spacing w:val="-4"/>
        </w:rPr>
        <w:t>号），股份公司设立时股本为</w:t>
      </w:r>
      <w:r>
        <w:rPr>
          <w:rFonts w:ascii="Times New Roman" w:hAnsi="Times New Roman" w:cs="Times New Roman" w:eastAsia="Times New Roman" w:hint="default"/>
          <w:spacing w:val="-4"/>
        </w:rPr>
        <w:t>2,745.00</w:t>
      </w:r>
      <w:r>
        <w:rPr>
          <w:spacing w:val="-4"/>
        </w:rPr>
        <w:t>万元。</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45"/>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日，根据本公司</w:t>
      </w:r>
      <w:r>
        <w:rPr>
          <w:rFonts w:ascii="Times New Roman" w:hAnsi="Times New Roman" w:cs="Times New Roman" w:eastAsia="Times New Roman" w:hint="default"/>
        </w:rPr>
        <w:t>2008</w:t>
      </w:r>
      <w:r>
        <w:rPr/>
        <w:t>年第二次临时股东大会决议和修改后的章程规定，本公司按每</w:t>
      </w:r>
      <w:r>
        <w:rPr>
          <w:spacing w:val="-90"/>
        </w:rPr>
        <w:t> </w:t>
      </w:r>
      <w:r>
        <w:rPr>
          <w:spacing w:val="-90"/>
        </w:rPr>
      </w:r>
      <w:r>
        <w:rPr/>
        <w:t>股</w:t>
      </w:r>
      <w:r>
        <w:rPr>
          <w:rFonts w:ascii="Times New Roman" w:hAnsi="Times New Roman" w:cs="Times New Roman" w:eastAsia="Times New Roman" w:hint="default"/>
        </w:rPr>
        <w:t>1.00</w:t>
      </w:r>
      <w:r>
        <w:rPr/>
        <w:t>元的价格向公司员工进行定向增资，申请增加注册资本人民币</w:t>
      </w:r>
      <w:r>
        <w:rPr>
          <w:rFonts w:ascii="Times New Roman" w:hAnsi="Times New Roman" w:cs="Times New Roman" w:eastAsia="Times New Roman" w:hint="default"/>
        </w:rPr>
        <w:t>105.00</w:t>
      </w:r>
      <w:r>
        <w:rPr/>
        <w:t>万元，每股面值</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spacing w:val="-1"/>
        </w:rPr>
        <w:t>元，计增加股本</w:t>
      </w:r>
      <w:r>
        <w:rPr>
          <w:rFonts w:ascii="Times New Roman" w:hAnsi="Times New Roman" w:cs="Times New Roman" w:eastAsia="Times New Roman" w:hint="default"/>
          <w:spacing w:val="-1"/>
        </w:rPr>
        <w:t>105.00</w:t>
      </w:r>
      <w:r>
        <w:rPr>
          <w:spacing w:val="-1"/>
        </w:rPr>
        <w:t>万元，变更后注册资本为人民币</w:t>
      </w:r>
      <w:r>
        <w:rPr>
          <w:rFonts w:ascii="Times New Roman" w:hAnsi="Times New Roman" w:cs="Times New Roman" w:eastAsia="Times New Roman" w:hint="default"/>
          <w:spacing w:val="-1"/>
        </w:rPr>
        <w:t>2,850.00</w:t>
      </w:r>
      <w:r>
        <w:rPr>
          <w:spacing w:val="-1"/>
        </w:rPr>
        <w:t>万元。公司法定代表人为杨维</w:t>
      </w:r>
      <w:r>
        <w:rPr>
          <w:spacing w:val="-96"/>
        </w:rPr>
        <w:t> </w:t>
      </w:r>
      <w:r>
        <w:rPr>
          <w:spacing w:val="-96"/>
        </w:rPr>
      </w:r>
      <w:r>
        <w:rPr/>
        <w:t>国。注册地：郑州高新技术产业开发区翠竹街</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863</w:t>
      </w:r>
      <w:r>
        <w:rPr/>
        <w:t>国家软件基地新开普大厦。</w:t>
      </w:r>
    </w:p>
    <w:p>
      <w:pPr>
        <w:pStyle w:val="BodyText"/>
        <w:spacing w:line="240" w:lineRule="auto" w:before="27"/>
        <w:ind w:left="633" w:right="84"/>
        <w:jc w:val="left"/>
      </w:pPr>
      <w:r>
        <w:rPr/>
        <w:t>增加注册资本后，各股东认缴注册资本额和出资比例为：</w:t>
      </w:r>
    </w:p>
    <w:p>
      <w:pPr>
        <w:spacing w:line="240" w:lineRule="auto" w:before="7"/>
        <w:rPr>
          <w:rFonts w:ascii="宋体" w:hAnsi="宋体" w:cs="宋体" w:eastAsia="宋体" w:hint="default"/>
          <w:sz w:val="10"/>
          <w:szCs w:val="10"/>
        </w:rPr>
      </w:pPr>
    </w:p>
    <w:tbl>
      <w:tblPr>
        <w:tblW w:w="0" w:type="auto"/>
        <w:jc w:val="left"/>
        <w:tblInd w:w="608" w:type="dxa"/>
        <w:tblLayout w:type="fixed"/>
        <w:tblCellMar>
          <w:top w:w="0" w:type="dxa"/>
          <w:left w:w="0" w:type="dxa"/>
          <w:bottom w:w="0" w:type="dxa"/>
          <w:right w:w="0" w:type="dxa"/>
        </w:tblCellMar>
        <w:tblLook w:val="01E0"/>
      </w:tblPr>
      <w:tblGrid>
        <w:gridCol w:w="940"/>
        <w:gridCol w:w="1767"/>
        <w:gridCol w:w="4024"/>
        <w:gridCol w:w="1864"/>
      </w:tblGrid>
      <w:tr>
        <w:trPr>
          <w:trHeight w:val="471" w:hRule="exact"/>
        </w:trPr>
        <w:tc>
          <w:tcPr>
            <w:tcW w:w="940"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8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投资方</w:t>
            </w:r>
            <w:r>
              <w:rPr>
                <w:rFonts w:ascii="宋体" w:hAnsi="宋体" w:cs="宋体" w:eastAsia="宋体" w:hint="default"/>
                <w:sz w:val="24"/>
                <w:szCs w:val="24"/>
              </w:rPr>
            </w: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6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认缴注册资本额（万元）</w:t>
            </w:r>
            <w:r>
              <w:rPr>
                <w:rFonts w:ascii="宋体" w:hAnsi="宋体" w:cs="宋体" w:eastAsia="宋体" w:hint="default"/>
                <w:sz w:val="24"/>
                <w:szCs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9"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出资比例</w:t>
            </w:r>
            <w:r>
              <w:rPr>
                <w:rFonts w:ascii="Times New Roman" w:hAnsi="Times New Roman" w:cs="Times New Roman" w:eastAsia="Times New Roman" w:hint="default"/>
                <w:sz w:val="24"/>
                <w:szCs w:val="24"/>
                <w:u w:val="single" w:color="000000"/>
              </w:rPr>
              <w:t>%</w:t>
            </w:r>
            <w:r>
              <w:rPr>
                <w:rFonts w:ascii="Times New Roman" w:hAnsi="Times New Roman" w:cs="Times New Roman" w:eastAsia="Times New Roman" w:hint="default"/>
                <w:sz w:val="24"/>
                <w:szCs w:val="24"/>
              </w:rPr>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杨维国</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7"/>
              <w:jc w:val="right"/>
              <w:rPr>
                <w:rFonts w:ascii="Times New Roman" w:hAnsi="Times New Roman" w:cs="Times New Roman" w:eastAsia="Times New Roman" w:hint="default"/>
                <w:sz w:val="24"/>
                <w:szCs w:val="24"/>
              </w:rPr>
            </w:pPr>
            <w:r>
              <w:rPr>
                <w:rFonts w:ascii="Times New Roman"/>
                <w:sz w:val="24"/>
              </w:rPr>
              <w:t>988.20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34.67</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尚卫国</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234.60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8.23</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赵利宾</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7"/>
              <w:jc w:val="right"/>
              <w:rPr>
                <w:rFonts w:ascii="Times New Roman" w:hAnsi="Times New Roman" w:cs="Times New Roman" w:eastAsia="Times New Roman" w:hint="default"/>
                <w:sz w:val="24"/>
                <w:szCs w:val="24"/>
              </w:rPr>
            </w:pPr>
            <w:r>
              <w:rPr>
                <w:rFonts w:ascii="Times New Roman"/>
                <w:sz w:val="24"/>
              </w:rPr>
              <w:t>219.60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7.71</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华梦阳</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219.60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7.71</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傅常顺</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219.60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7.71</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刘恩臣</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7"/>
              <w:jc w:val="right"/>
              <w:rPr>
                <w:rFonts w:ascii="Times New Roman" w:hAnsi="Times New Roman" w:cs="Times New Roman" w:eastAsia="Times New Roman" w:hint="default"/>
                <w:sz w:val="24"/>
                <w:szCs w:val="24"/>
              </w:rPr>
            </w:pPr>
            <w:r>
              <w:rPr>
                <w:rFonts w:ascii="Times New Roman"/>
                <w:sz w:val="24"/>
              </w:rPr>
              <w:t>192.15</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6.74</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付秋生</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192.15</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6.74</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杜建平</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164.70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5.78</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葛晓阁</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7"/>
              <w:jc w:val="right"/>
              <w:rPr>
                <w:rFonts w:ascii="Times New Roman" w:hAnsi="Times New Roman" w:cs="Times New Roman" w:eastAsia="Times New Roman" w:hint="default"/>
                <w:sz w:val="24"/>
                <w:szCs w:val="24"/>
              </w:rPr>
            </w:pPr>
            <w:r>
              <w:rPr>
                <w:rFonts w:ascii="Times New Roman"/>
                <w:sz w:val="24"/>
              </w:rPr>
              <w:t>164.70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5.78</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郎金文</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164.70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5.78</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陈振亚</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15.00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0.53</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于照永</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7"/>
              <w:jc w:val="right"/>
              <w:rPr>
                <w:rFonts w:ascii="Times New Roman" w:hAnsi="Times New Roman" w:cs="Times New Roman" w:eastAsia="Times New Roman" w:hint="default"/>
                <w:sz w:val="24"/>
                <w:szCs w:val="24"/>
              </w:rPr>
            </w:pPr>
            <w:r>
              <w:rPr>
                <w:rFonts w:ascii="Times New Roman"/>
                <w:sz w:val="24"/>
              </w:rPr>
              <w:t>15.00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0.53</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王</w:t>
            </w:r>
            <w:r>
              <w:rPr>
                <w:rFonts w:ascii="宋体" w:hAnsi="宋体" w:cs="宋体" w:eastAsia="宋体" w:hint="default"/>
                <w:spacing w:val="72"/>
                <w:sz w:val="24"/>
                <w:szCs w:val="24"/>
              </w:rPr>
              <w:t> </w:t>
            </w:r>
            <w:r>
              <w:rPr>
                <w:rFonts w:ascii="宋体" w:hAnsi="宋体" w:cs="宋体" w:eastAsia="宋体" w:hint="default"/>
                <w:sz w:val="24"/>
                <w:szCs w:val="24"/>
              </w:rPr>
              <w:t>卓</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15.00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0.53</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杨文寿</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t>15.00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0.53</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邵彦超</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7"/>
              <w:jc w:val="right"/>
              <w:rPr>
                <w:rFonts w:ascii="Times New Roman" w:hAnsi="Times New Roman" w:cs="Times New Roman" w:eastAsia="Times New Roman" w:hint="default"/>
                <w:sz w:val="24"/>
                <w:szCs w:val="24"/>
              </w:rPr>
            </w:pPr>
            <w:r>
              <w:rPr>
                <w:rFonts w:ascii="Times New Roman"/>
                <w:sz w:val="24"/>
              </w:rPr>
              <w:t>15.00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0.53</w:t>
            </w:r>
          </w:p>
        </w:tc>
      </w:tr>
      <w:tr>
        <w:trPr>
          <w:trHeight w:val="488"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李永革</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15.00</w:t>
            </w:r>
            <w:r>
              <w:rPr>
                <w:rFonts w:ascii="Times New Roman"/>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0.53</w:t>
            </w:r>
            <w:r>
              <w:rPr>
                <w:rFonts w:ascii="Times New Roman"/>
                <w:sz w:val="24"/>
              </w:rPr>
            </w:r>
          </w:p>
        </w:tc>
      </w:tr>
      <w:tr>
        <w:trPr>
          <w:trHeight w:val="470"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67" w:type="dxa"/>
            <w:tcBorders>
              <w:top w:val="nil" w:sz="6" w:space="0" w:color="auto"/>
              <w:left w:val="nil" w:sz="6" w:space="0" w:color="auto"/>
              <w:bottom w:val="nil" w:sz="6" w:space="0" w:color="auto"/>
              <w:right w:val="nil" w:sz="6" w:space="0" w:color="auto"/>
            </w:tcBorders>
          </w:tcPr>
          <w:p>
            <w:pPr/>
          </w:p>
        </w:tc>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2,850.00</w:t>
            </w:r>
            <w:r>
              <w:rPr>
                <w:rFonts w:ascii="Times New Roman"/>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w:t>
            </w:r>
            <w:r>
              <w:rPr>
                <w:rFonts w:ascii="Times New Roman"/>
                <w:sz w:val="24"/>
              </w:rPr>
            </w:r>
          </w:p>
        </w:tc>
      </w:tr>
    </w:tbl>
    <w:p>
      <w:pPr>
        <w:pStyle w:val="BodyText"/>
        <w:spacing w:line="338" w:lineRule="auto" w:before="51"/>
        <w:ind w:left="154" w:right="108" w:firstLine="48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日，根据本公司</w:t>
      </w:r>
      <w:r>
        <w:rPr>
          <w:rFonts w:ascii="Times New Roman" w:hAnsi="Times New Roman" w:cs="Times New Roman" w:eastAsia="Times New Roman" w:hint="default"/>
        </w:rPr>
        <w:t>2010</w:t>
      </w:r>
      <w:r>
        <w:rPr/>
        <w:t>年第一次临时股东大会决议和修改后的章程规定，本公</w:t>
      </w:r>
      <w:r>
        <w:rPr>
          <w:spacing w:val="1"/>
        </w:rPr>
        <w:t> </w:t>
      </w:r>
      <w:r>
        <w:rPr>
          <w:spacing w:val="-2"/>
        </w:rPr>
        <w:t>司按每股</w:t>
      </w:r>
      <w:r>
        <w:rPr>
          <w:rFonts w:ascii="Times New Roman" w:hAnsi="Times New Roman" w:cs="Times New Roman" w:eastAsia="Times New Roman" w:hint="default"/>
          <w:spacing w:val="-2"/>
        </w:rPr>
        <w:t>2.20</w:t>
      </w:r>
      <w:r>
        <w:rPr>
          <w:spacing w:val="-2"/>
        </w:rPr>
        <w:t>元的价格向公司员工进行定向增资，申请增加注册资本人民币</w:t>
      </w:r>
      <w:r>
        <w:rPr>
          <w:rFonts w:ascii="Times New Roman" w:hAnsi="Times New Roman" w:cs="Times New Roman" w:eastAsia="Times New Roman" w:hint="default"/>
          <w:spacing w:val="-2"/>
        </w:rPr>
        <w:t>156.00</w:t>
      </w:r>
      <w:r>
        <w:rPr>
          <w:spacing w:val="-2"/>
        </w:rPr>
        <w:t>万元，每股</w:t>
      </w:r>
      <w:r>
        <w:rPr>
          <w:spacing w:val="-110"/>
        </w:rPr>
        <w:t> </w:t>
      </w:r>
      <w:r>
        <w:rPr>
          <w:spacing w:val="-110"/>
        </w:rPr>
      </w:r>
      <w:r>
        <w:rPr/>
        <w:t>面值</w:t>
      </w:r>
      <w:r>
        <w:rPr>
          <w:rFonts w:ascii="Times New Roman" w:hAnsi="Times New Roman" w:cs="Times New Roman" w:eastAsia="Times New Roman" w:hint="default"/>
        </w:rPr>
        <w:t>1</w:t>
      </w:r>
      <w:r>
        <w:rPr/>
        <w:t>元，计增加股本</w:t>
      </w:r>
      <w:r>
        <w:rPr>
          <w:rFonts w:ascii="Times New Roman" w:hAnsi="Times New Roman" w:cs="Times New Roman" w:eastAsia="Times New Roman" w:hint="default"/>
        </w:rPr>
        <w:t>156.00</w:t>
      </w:r>
      <w:r>
        <w:rPr/>
        <w:t>万元，变更后注册资本为人民币</w:t>
      </w:r>
      <w:r>
        <w:rPr>
          <w:rFonts w:ascii="Times New Roman" w:hAnsi="Times New Roman" w:cs="Times New Roman" w:eastAsia="Times New Roman" w:hint="default"/>
        </w:rPr>
        <w:t>3,006.00</w:t>
      </w:r>
      <w:r>
        <w:rPr/>
        <w:t>万元。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 根据本公司</w:t>
      </w:r>
      <w:r>
        <w:rPr>
          <w:rFonts w:ascii="Times New Roman" w:hAnsi="Times New Roman" w:cs="Times New Roman" w:eastAsia="Times New Roman" w:hint="default"/>
        </w:rPr>
        <w:t>2010</w:t>
      </w:r>
      <w:r>
        <w:rPr/>
        <w:t>年第二次临时股东大会决议和修改后的章程规定，本公司按每股</w:t>
      </w:r>
      <w:r>
        <w:rPr>
          <w:rFonts w:ascii="Times New Roman" w:hAnsi="Times New Roman" w:cs="Times New Roman" w:eastAsia="Times New Roman" w:hint="default"/>
        </w:rPr>
        <w:t>5.38</w:t>
      </w:r>
      <w:r>
        <w:rPr/>
        <w:t>元的价</w:t>
      </w:r>
    </w:p>
    <w:p>
      <w:pPr>
        <w:spacing w:after="0" w:line="338" w:lineRule="auto"/>
        <w:jc w:val="both"/>
        <w:sectPr>
          <w:footerReference w:type="default" r:id="rId32"/>
          <w:pgSz w:w="11910" w:h="16840"/>
          <w:pgMar w:footer="982" w:header="851" w:top="1220" w:bottom="1180" w:left="980" w:right="1000"/>
          <w:pgNumType w:start="104"/>
        </w:sectPr>
      </w:pPr>
    </w:p>
    <w:p>
      <w:pPr>
        <w:spacing w:line="240" w:lineRule="auto" w:before="5"/>
        <w:rPr>
          <w:rFonts w:ascii="宋体" w:hAnsi="宋体" w:cs="宋体" w:eastAsia="宋体" w:hint="default"/>
          <w:sz w:val="16"/>
          <w:szCs w:val="16"/>
        </w:rPr>
      </w:pPr>
    </w:p>
    <w:p>
      <w:pPr>
        <w:pStyle w:val="BodyText"/>
        <w:spacing w:line="338" w:lineRule="auto" w:before="26"/>
        <w:ind w:right="111"/>
        <w:jc w:val="both"/>
      </w:pPr>
      <w:r>
        <w:rPr/>
        <w:t>格向无锡国联卓成创业投资有限公司进行定向增资，申请增加注册资本人民币</w:t>
      </w:r>
      <w:r>
        <w:rPr>
          <w:rFonts w:ascii="Times New Roman" w:hAnsi="Times New Roman" w:cs="Times New Roman" w:eastAsia="Times New Roman" w:hint="default"/>
        </w:rPr>
        <w:t>334.00</w:t>
      </w:r>
      <w:r>
        <w:rPr/>
        <w:t>万元，</w:t>
      </w:r>
      <w:r>
        <w:rPr>
          <w:spacing w:val="-44"/>
        </w:rPr>
        <w:t> </w:t>
      </w:r>
      <w:r>
        <w:rPr/>
        <w:t>每股面值</w:t>
      </w:r>
      <w:r>
        <w:rPr>
          <w:rFonts w:ascii="Times New Roman" w:hAnsi="Times New Roman" w:cs="Times New Roman" w:eastAsia="Times New Roman" w:hint="default"/>
        </w:rPr>
        <w:t>1</w:t>
      </w:r>
      <w:r>
        <w:rPr/>
        <w:t>元，计增加股本</w:t>
      </w:r>
      <w:r>
        <w:rPr>
          <w:rFonts w:ascii="Times New Roman" w:hAnsi="Times New Roman" w:cs="Times New Roman" w:eastAsia="Times New Roman" w:hint="default"/>
        </w:rPr>
        <w:t>334.00</w:t>
      </w:r>
      <w:r>
        <w:rPr/>
        <w:t>万元，变更后注册资本为人民币</w:t>
      </w:r>
      <w:r>
        <w:rPr>
          <w:rFonts w:ascii="Times New Roman" w:hAnsi="Times New Roman" w:cs="Times New Roman" w:eastAsia="Times New Roman" w:hint="default"/>
        </w:rPr>
        <w:t>3,340.00</w:t>
      </w:r>
      <w:r>
        <w:rPr/>
        <w:t>万元。根据本公司</w:t>
      </w:r>
      <w:r>
        <w:rPr>
          <w:spacing w:val="-38"/>
        </w:rPr>
        <w:t> </w:t>
      </w:r>
      <w:r>
        <w:rPr>
          <w:rFonts w:ascii="Times New Roman" w:hAnsi="Times New Roman" w:cs="Times New Roman" w:eastAsia="Times New Roman" w:hint="default"/>
        </w:rPr>
        <w:t>2010</w:t>
      </w:r>
      <w:r>
        <w:rPr/>
        <w:t>年第二次临时股东大会决议和修改后的章程及股份转让合同规定，股份转让方华梦阳、</w:t>
      </w:r>
      <w:r>
        <w:rPr>
          <w:spacing w:val="-84"/>
        </w:rPr>
        <w:t> </w:t>
      </w:r>
      <w:r>
        <w:rPr>
          <w:spacing w:val="-84"/>
        </w:rPr>
      </w:r>
      <w:r>
        <w:rPr/>
        <w:t>赵利宾、傅常顺、尚卫国、刘恩臣分别将其持有本公司股份共计</w:t>
      </w:r>
      <w:r>
        <w:rPr>
          <w:rFonts w:ascii="Times New Roman" w:hAnsi="Times New Roman" w:cs="Times New Roman" w:eastAsia="Times New Roman" w:hint="default"/>
        </w:rPr>
        <w:t>147.00</w:t>
      </w:r>
      <w:r>
        <w:rPr/>
        <w:t>万股以</w:t>
      </w:r>
      <w:r>
        <w:rPr>
          <w:rFonts w:ascii="Times New Roman" w:hAnsi="Times New Roman" w:cs="Times New Roman" w:eastAsia="Times New Roman" w:hint="default"/>
        </w:rPr>
        <w:t>147.00</w:t>
      </w:r>
      <w:r>
        <w:rPr/>
        <w:t>万的价格 </w:t>
      </w:r>
      <w:r>
        <w:rPr>
          <w:spacing w:val="-6"/>
        </w:rPr>
        <w:t>转让给张振京等</w:t>
      </w:r>
      <w:r>
        <w:rPr>
          <w:rFonts w:ascii="Times New Roman" w:hAnsi="Times New Roman" w:cs="Times New Roman" w:eastAsia="Times New Roman" w:hint="default"/>
          <w:spacing w:val="-6"/>
        </w:rPr>
        <w:t>43</w:t>
      </w:r>
      <w:r>
        <w:rPr>
          <w:spacing w:val="-6"/>
        </w:rPr>
        <w:t>位公司员工。股权转让已经河南产权交易中心鉴证（豫产交鉴</w:t>
      </w:r>
      <w:r>
        <w:rPr>
          <w:rFonts w:ascii="Times New Roman" w:hAnsi="Times New Roman" w:cs="Times New Roman" w:eastAsia="Times New Roman" w:hint="default"/>
          <w:spacing w:val="-6"/>
        </w:rPr>
        <w:t>[2010]18</w:t>
      </w:r>
      <w:r>
        <w:rPr>
          <w:spacing w:val="-6"/>
        </w:rPr>
        <w:t>号）。</w:t>
      </w:r>
    </w:p>
    <w:p>
      <w:pPr>
        <w:pStyle w:val="BodyText"/>
        <w:spacing w:line="240" w:lineRule="auto" w:before="27"/>
        <w:ind w:left="634" w:right="95"/>
        <w:jc w:val="left"/>
      </w:pPr>
      <w:r>
        <w:rPr/>
        <w:t>增加注册资本及股份转让后，各股东认缴注册资本额和出资比例为：</w:t>
      </w:r>
    </w:p>
    <w:p>
      <w:pPr>
        <w:spacing w:line="240" w:lineRule="auto" w:before="7"/>
        <w:rPr>
          <w:rFonts w:ascii="宋体" w:hAnsi="宋体" w:cs="宋体" w:eastAsia="宋体" w:hint="default"/>
          <w:sz w:val="10"/>
          <w:szCs w:val="10"/>
        </w:rPr>
      </w:pPr>
    </w:p>
    <w:tbl>
      <w:tblPr>
        <w:tblW w:w="0" w:type="auto"/>
        <w:jc w:val="left"/>
        <w:tblInd w:w="608" w:type="dxa"/>
        <w:tblLayout w:type="fixed"/>
        <w:tblCellMar>
          <w:top w:w="0" w:type="dxa"/>
          <w:left w:w="0" w:type="dxa"/>
          <w:bottom w:w="0" w:type="dxa"/>
          <w:right w:w="0" w:type="dxa"/>
        </w:tblCellMar>
        <w:tblLook w:val="01E0"/>
      </w:tblPr>
      <w:tblGrid>
        <w:gridCol w:w="3805"/>
        <w:gridCol w:w="3402"/>
        <w:gridCol w:w="1689"/>
      </w:tblGrid>
      <w:tr>
        <w:trPr>
          <w:trHeight w:val="471"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3"/>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投资方</w:t>
            </w:r>
            <w:r>
              <w:rPr>
                <w:rFonts w:ascii="宋体" w:hAnsi="宋体" w:cs="宋体" w:eastAsia="宋体" w:hint="default"/>
                <w:sz w:val="24"/>
                <w:szCs w:val="24"/>
              </w:rPr>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9"/>
              <w:jc w:val="righ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认缴注册资本额（万元）</w:t>
            </w:r>
            <w:r>
              <w:rPr>
                <w:rFonts w:ascii="宋体" w:hAnsi="宋体" w:cs="宋体" w:eastAsia="宋体" w:hint="default"/>
                <w:sz w:val="24"/>
                <w:szCs w:val="24"/>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出资比例</w:t>
            </w:r>
            <w:r>
              <w:rPr>
                <w:rFonts w:ascii="Times New Roman" w:hAnsi="Times New Roman" w:cs="Times New Roman" w:eastAsia="Times New Roman" w:hint="default"/>
                <w:sz w:val="24"/>
                <w:szCs w:val="24"/>
                <w:u w:val="single" w:color="000000"/>
              </w:rPr>
              <w:t>%</w:t>
            </w:r>
            <w:r>
              <w:rPr>
                <w:rFonts w:ascii="Times New Roman" w:hAnsi="Times New Roman" w:cs="Times New Roman" w:eastAsia="Times New Roman" w:hint="default"/>
                <w:sz w:val="24"/>
                <w:szCs w:val="24"/>
              </w:rPr>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杨维国</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1,060.00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31.7365</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无锡国联卓成创业投资有限公司</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334.00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10.0000</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尚卫国</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218.55</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6.5434</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付秋生</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210.45</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6.3009</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赵利宾</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180.00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5.3892</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华梦阳</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180.00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5.3892</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刘恩臣</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180.00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5.3892</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傅常顺</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180.00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5.3892</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杜建平</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180.00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5.3892</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葛晓阁</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180.00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5.3892</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郎金文</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180.00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5.3892</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吴凤辉</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20.00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0.5988</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李永革</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0.4491</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陈振亚</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0.4491</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于照永</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15.00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0.4491</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王卓</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0.4491</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杨文寿</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0.4491</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邵彦超</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15.00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0.4491</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李文坚</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15.00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0.4491</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张振京</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9"/>
              <w:jc w:val="right"/>
              <w:rPr>
                <w:rFonts w:ascii="Times New Roman" w:hAnsi="Times New Roman" w:cs="Times New Roman" w:eastAsia="Times New Roman" w:hint="default"/>
                <w:sz w:val="24"/>
                <w:szCs w:val="24"/>
              </w:rPr>
            </w:pPr>
            <w:r>
              <w:rPr>
                <w:rFonts w:ascii="Times New Roman"/>
                <w:sz w:val="24"/>
              </w:rPr>
              <w:t>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70"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焦征海</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29"/>
              <w:jc w:val="right"/>
              <w:rPr>
                <w:rFonts w:ascii="Times New Roman" w:hAnsi="Times New Roman" w:cs="Times New Roman" w:eastAsia="Times New Roman" w:hint="default"/>
                <w:sz w:val="24"/>
                <w:szCs w:val="24"/>
              </w:rPr>
            </w:pPr>
            <w:r>
              <w:rPr>
                <w:rFonts w:ascii="Times New Roman"/>
                <w:sz w:val="24"/>
              </w:rPr>
              <w:t>5.00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0.1497</w:t>
            </w:r>
          </w:p>
        </w:tc>
      </w:tr>
    </w:tbl>
    <w:p>
      <w:pPr>
        <w:spacing w:after="0" w:line="240" w:lineRule="auto"/>
        <w:jc w:val="right"/>
        <w:rPr>
          <w:rFonts w:ascii="Times New Roman" w:hAnsi="Times New Roman" w:cs="Times New Roman" w:eastAsia="Times New Roman" w:hint="default"/>
          <w:sz w:val="24"/>
          <w:szCs w:val="24"/>
        </w:rPr>
        <w:sectPr>
          <w:pgSz w:w="11910" w:h="16840"/>
          <w:pgMar w:header="851" w:footer="982" w:top="1220" w:bottom="1180" w:left="980" w:right="900"/>
        </w:sectPr>
      </w:pPr>
    </w:p>
    <w:p>
      <w:pPr>
        <w:spacing w:line="240" w:lineRule="auto" w:before="6"/>
        <w:rPr>
          <w:rFonts w:ascii="Times New Roman" w:hAnsi="Times New Roman" w:cs="Times New Roman" w:eastAsia="Times New Roman" w:hint="default"/>
          <w:sz w:val="19"/>
          <w:szCs w:val="19"/>
        </w:rPr>
      </w:pPr>
    </w:p>
    <w:tbl>
      <w:tblPr>
        <w:tblW w:w="0" w:type="auto"/>
        <w:jc w:val="left"/>
        <w:tblInd w:w="608" w:type="dxa"/>
        <w:tblLayout w:type="fixed"/>
        <w:tblCellMar>
          <w:top w:w="0" w:type="dxa"/>
          <w:left w:w="0" w:type="dxa"/>
          <w:bottom w:w="0" w:type="dxa"/>
          <w:right w:w="0" w:type="dxa"/>
        </w:tblCellMar>
        <w:tblLook w:val="01E0"/>
      </w:tblPr>
      <w:tblGrid>
        <w:gridCol w:w="3606"/>
        <w:gridCol w:w="3933"/>
        <w:gridCol w:w="1357"/>
      </w:tblGrid>
      <w:tr>
        <w:trPr>
          <w:trHeight w:val="470"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秦天福</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王勇军</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韩雪</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张建英</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郭永旺</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苏扬鸣</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杨长昆</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陈卫国</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吴冠军</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马东亚</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沈延晓</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张翀</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王葆玲</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李军艳</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5.00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0.1497</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张晋</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秦玉昆</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郭伍</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刘建新</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崔红松</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肖难</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陈传兵</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高永辉</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毕强伟</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关虎</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冯一新</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于滨</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丁广勇</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70"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阎玉玺</w:t>
            </w: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bl>
    <w:p>
      <w:pPr>
        <w:spacing w:after="0" w:line="240" w:lineRule="auto"/>
        <w:jc w:val="right"/>
        <w:rPr>
          <w:rFonts w:ascii="Times New Roman" w:hAnsi="Times New Roman" w:cs="Times New Roman" w:eastAsia="Times New Roman" w:hint="default"/>
          <w:sz w:val="24"/>
          <w:szCs w:val="24"/>
        </w:rPr>
        <w:sectPr>
          <w:pgSz w:w="11910" w:h="16840"/>
          <w:pgMar w:header="851" w:footer="982" w:top="1220" w:bottom="1180" w:left="980" w:right="1020"/>
        </w:sectPr>
      </w:pPr>
    </w:p>
    <w:p>
      <w:pPr>
        <w:spacing w:line="240" w:lineRule="auto" w:before="6"/>
        <w:rPr>
          <w:rFonts w:ascii="Times New Roman" w:hAnsi="Times New Roman" w:cs="Times New Roman" w:eastAsia="Times New Roman" w:hint="default"/>
          <w:sz w:val="19"/>
          <w:szCs w:val="19"/>
        </w:rPr>
      </w:pPr>
    </w:p>
    <w:tbl>
      <w:tblPr>
        <w:tblW w:w="0" w:type="auto"/>
        <w:jc w:val="left"/>
        <w:tblInd w:w="608" w:type="dxa"/>
        <w:tblLayout w:type="fixed"/>
        <w:tblCellMar>
          <w:top w:w="0" w:type="dxa"/>
          <w:left w:w="0" w:type="dxa"/>
          <w:bottom w:w="0" w:type="dxa"/>
          <w:right w:w="0" w:type="dxa"/>
        </w:tblCellMar>
        <w:tblLook w:val="01E0"/>
      </w:tblPr>
      <w:tblGrid>
        <w:gridCol w:w="3396"/>
        <w:gridCol w:w="4143"/>
        <w:gridCol w:w="1357"/>
      </w:tblGrid>
      <w:tr>
        <w:trPr>
          <w:trHeight w:val="470"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曾劲松</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马超锋</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徐亚飞</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彭勇平</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尚勤强</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华燚</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任海伦</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刘建军</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李江</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谢伟</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袁胜兵</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t>2.00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0.0599</w:t>
            </w:r>
          </w:p>
        </w:tc>
      </w:tr>
      <w:tr>
        <w:trPr>
          <w:trHeight w:val="488"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赵鑫</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2.00</w:t>
            </w:r>
            <w:r>
              <w:rPr>
                <w:rFonts w:ascii="Times New Roman"/>
                <w:sz w:val="24"/>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0.0599</w:t>
            </w:r>
            <w:r>
              <w:rPr>
                <w:rFonts w:ascii="Times New Roman"/>
                <w:sz w:val="24"/>
              </w:rPr>
            </w:r>
          </w:p>
        </w:tc>
      </w:tr>
      <w:tr>
        <w:trPr>
          <w:trHeight w:val="470" w:hRule="exact"/>
        </w:trPr>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3,340.00</w:t>
            </w:r>
            <w:r>
              <w:rPr>
                <w:rFonts w:ascii="Times New Roman"/>
                <w:sz w:val="24"/>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w:t>
            </w:r>
            <w:r>
              <w:rPr>
                <w:rFonts w:ascii="Times New Roman"/>
                <w:sz w:val="24"/>
              </w:rPr>
            </w:r>
          </w:p>
        </w:tc>
      </w:tr>
    </w:tbl>
    <w:p>
      <w:pPr>
        <w:pStyle w:val="BodyText"/>
        <w:spacing w:line="338" w:lineRule="auto" w:before="53"/>
        <w:ind w:left="154" w:right="94" w:firstLine="48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日，根据本公司</w:t>
      </w:r>
      <w:r>
        <w:rPr>
          <w:rFonts w:ascii="Times New Roman" w:hAnsi="Times New Roman" w:cs="Times New Roman" w:eastAsia="Times New Roman" w:hint="default"/>
        </w:rPr>
        <w:t>2010</w:t>
      </w:r>
      <w:r>
        <w:rPr/>
        <w:t>年第五次临时股东大会决议及修改后的公司章程（草</w:t>
      </w:r>
      <w:r>
        <w:rPr>
          <w:spacing w:val="1"/>
        </w:rPr>
        <w:t> </w:t>
      </w:r>
      <w:r>
        <w:rPr>
          <w:spacing w:val="-4"/>
        </w:rPr>
        <w:t>案），本公司申请增加注册资本人民币</w:t>
      </w:r>
      <w:r>
        <w:rPr>
          <w:rFonts w:ascii="Times New Roman" w:hAnsi="Times New Roman" w:cs="Times New Roman" w:eastAsia="Times New Roman" w:hint="default"/>
          <w:spacing w:val="-4"/>
        </w:rPr>
        <w:t>1,120.00</w:t>
      </w:r>
      <w:r>
        <w:rPr>
          <w:spacing w:val="-4"/>
        </w:rPr>
        <w:t>万元，每股面值</w:t>
      </w:r>
      <w:r>
        <w:rPr>
          <w:rFonts w:ascii="Times New Roman" w:hAnsi="Times New Roman" w:cs="Times New Roman" w:eastAsia="Times New Roman" w:hint="default"/>
          <w:spacing w:val="-4"/>
        </w:rPr>
        <w:t>1</w:t>
      </w:r>
      <w:r>
        <w:rPr>
          <w:spacing w:val="-4"/>
        </w:rPr>
        <w:t>元，计增加股本</w:t>
      </w:r>
      <w:r>
        <w:rPr>
          <w:rFonts w:ascii="Times New Roman" w:hAnsi="Times New Roman" w:cs="Times New Roman" w:eastAsia="Times New Roman" w:hint="default"/>
          <w:spacing w:val="-4"/>
        </w:rPr>
        <w:t>1,120.00</w:t>
      </w:r>
      <w:r>
        <w:rPr>
          <w:spacing w:val="-4"/>
        </w:rPr>
        <w:t>万元。</w:t>
      </w:r>
      <w:r>
        <w:rPr/>
        <w:t> </w:t>
      </w:r>
      <w:r>
        <w:rPr>
          <w:spacing w:val="2"/>
        </w:rPr>
        <w:t>经中国证券监督管理委员会证监许可</w:t>
      </w:r>
      <w:r>
        <w:rPr>
          <w:rFonts w:ascii="Times New Roman" w:hAnsi="Times New Roman" w:cs="Times New Roman" w:eastAsia="Times New Roman" w:hint="default"/>
          <w:spacing w:val="2"/>
        </w:rPr>
        <w:t>[2011]1067</w:t>
      </w:r>
      <w:r>
        <w:rPr>
          <w:spacing w:val="2"/>
        </w:rPr>
        <w:t>号《关于核准郑州新开普电子股份有限公司</w:t>
      </w:r>
      <w:r>
        <w:rPr>
          <w:spacing w:val="-112"/>
        </w:rPr>
        <w:t> </w:t>
      </w:r>
      <w:r>
        <w:rPr/>
        <w:t>首次公开发行股票并在创业板上市的批复》批准的发行方案，本公司于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20</w:t>
      </w:r>
      <w:r>
        <w:rPr/>
        <w:t>日以公</w:t>
      </w:r>
      <w:r>
        <w:rPr>
          <w:spacing w:val="-95"/>
        </w:rPr>
        <w:t> </w:t>
      </w:r>
      <w:r>
        <w:rPr>
          <w:spacing w:val="10"/>
        </w:rPr>
        <w:t>开发售方式发行</w:t>
      </w:r>
      <w:r>
        <w:rPr>
          <w:rFonts w:ascii="Times New Roman" w:hAnsi="Times New Roman" w:cs="Times New Roman" w:eastAsia="Times New Roman" w:hint="default"/>
          <w:spacing w:val="10"/>
        </w:rPr>
        <w:t>A</w:t>
      </w:r>
      <w:r>
        <w:rPr>
          <w:spacing w:val="10"/>
        </w:rPr>
        <w:t>股，公开发售结束后本公司股份为</w:t>
      </w:r>
      <w:r>
        <w:rPr>
          <w:rFonts w:ascii="Times New Roman" w:hAnsi="Times New Roman" w:cs="Times New Roman" w:eastAsia="Times New Roman" w:hint="default"/>
          <w:spacing w:val="10"/>
        </w:rPr>
        <w:t>4,460.00</w:t>
      </w:r>
      <w:r>
        <w:rPr>
          <w:spacing w:val="10"/>
        </w:rPr>
        <w:t>万股，变更后的注册资本为</w:t>
      </w:r>
      <w:r>
        <w:rPr>
          <w:spacing w:val="-84"/>
        </w:rPr>
        <w:t> </w:t>
      </w:r>
      <w:r>
        <w:rPr>
          <w:rFonts w:ascii="Times New Roman" w:hAnsi="Times New Roman" w:cs="Times New Roman" w:eastAsia="Times New Roman" w:hint="default"/>
        </w:rPr>
        <w:t>4,460.00</w:t>
      </w:r>
      <w:r>
        <w:rPr/>
        <w:t>万元。</w:t>
      </w:r>
    </w:p>
    <w:p>
      <w:pPr>
        <w:pStyle w:val="BodyText"/>
        <w:spacing w:line="240" w:lineRule="auto" w:before="27"/>
        <w:ind w:left="634" w:right="95"/>
        <w:jc w:val="left"/>
      </w:pPr>
      <w:r>
        <w:rPr/>
        <w:t>增加注册资本后，各股东认缴注册资本额和出资比例为：</w:t>
      </w:r>
    </w:p>
    <w:p>
      <w:pPr>
        <w:spacing w:line="240" w:lineRule="auto" w:before="7"/>
        <w:rPr>
          <w:rFonts w:ascii="宋体" w:hAnsi="宋体" w:cs="宋体" w:eastAsia="宋体" w:hint="default"/>
          <w:sz w:val="10"/>
          <w:szCs w:val="10"/>
        </w:rPr>
      </w:pPr>
    </w:p>
    <w:tbl>
      <w:tblPr>
        <w:tblW w:w="0" w:type="auto"/>
        <w:jc w:val="left"/>
        <w:tblInd w:w="608" w:type="dxa"/>
        <w:tblLayout w:type="fixed"/>
        <w:tblCellMar>
          <w:top w:w="0" w:type="dxa"/>
          <w:left w:w="0" w:type="dxa"/>
          <w:bottom w:w="0" w:type="dxa"/>
          <w:right w:w="0" w:type="dxa"/>
        </w:tblCellMar>
        <w:tblLook w:val="01E0"/>
      </w:tblPr>
      <w:tblGrid>
        <w:gridCol w:w="3805"/>
        <w:gridCol w:w="3374"/>
        <w:gridCol w:w="1607"/>
      </w:tblGrid>
      <w:tr>
        <w:trPr>
          <w:trHeight w:val="471"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3"/>
              <w:jc w:val="center"/>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投资方</w:t>
            </w:r>
            <w:r>
              <w:rPr>
                <w:rFonts w:ascii="宋体" w:hAnsi="宋体" w:cs="宋体" w:eastAsia="宋体" w:hint="default"/>
                <w:sz w:val="24"/>
                <w:szCs w:val="24"/>
              </w:rPr>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23"/>
              <w:jc w:val="righ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认缴注册资本额（万元）</w:t>
            </w:r>
            <w:r>
              <w:rPr>
                <w:rFonts w:ascii="宋体" w:hAnsi="宋体" w:cs="宋体" w:eastAsia="宋体" w:hint="default"/>
                <w:sz w:val="24"/>
                <w:szCs w:val="24"/>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出资比例</w:t>
            </w:r>
            <w:r>
              <w:rPr>
                <w:rFonts w:ascii="Times New Roman" w:hAnsi="Times New Roman" w:cs="Times New Roman" w:eastAsia="Times New Roman" w:hint="default"/>
                <w:sz w:val="24"/>
                <w:szCs w:val="24"/>
                <w:u w:val="single" w:color="000000"/>
              </w:rPr>
              <w:t>%</w:t>
            </w:r>
            <w:r>
              <w:rPr>
                <w:rFonts w:ascii="Times New Roman" w:hAnsi="Times New Roman" w:cs="Times New Roman" w:eastAsia="Times New Roman" w:hint="default"/>
                <w:sz w:val="24"/>
                <w:szCs w:val="24"/>
              </w:rPr>
            </w:r>
          </w:p>
        </w:tc>
      </w:tr>
      <w:tr>
        <w:trPr>
          <w:trHeight w:val="487"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杨维国</w:t>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t>1,060.00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23.7669</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无锡国联卓成创业投资有限公司</w:t>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t>334.00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7.4888</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尚卫国</w:t>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218.55</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4.9003</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付秋生</w:t>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210.45</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4.7187</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赵利宾</w:t>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t>180.00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华梦阳</w:t>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180.00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70"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刘恩臣</w:t>
            </w:r>
          </w:p>
        </w:tc>
        <w:tc>
          <w:tcPr>
            <w:tcW w:w="33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180.00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bl>
    <w:p>
      <w:pPr>
        <w:spacing w:after="0" w:line="240" w:lineRule="auto"/>
        <w:jc w:val="right"/>
        <w:rPr>
          <w:rFonts w:ascii="Times New Roman" w:hAnsi="Times New Roman" w:cs="Times New Roman" w:eastAsia="Times New Roman" w:hint="default"/>
          <w:sz w:val="24"/>
          <w:szCs w:val="24"/>
        </w:rPr>
        <w:sectPr>
          <w:pgSz w:w="11910" w:h="16840"/>
          <w:pgMar w:header="851" w:footer="982" w:top="1220" w:bottom="1180" w:left="980" w:right="900"/>
        </w:sectPr>
      </w:pPr>
    </w:p>
    <w:p>
      <w:pPr>
        <w:spacing w:line="240" w:lineRule="auto" w:before="6"/>
        <w:rPr>
          <w:rFonts w:ascii="Times New Roman" w:hAnsi="Times New Roman" w:cs="Times New Roman" w:eastAsia="Times New Roman" w:hint="default"/>
          <w:sz w:val="19"/>
          <w:szCs w:val="19"/>
        </w:rPr>
      </w:pPr>
    </w:p>
    <w:tbl>
      <w:tblPr>
        <w:tblW w:w="0" w:type="auto"/>
        <w:jc w:val="left"/>
        <w:tblInd w:w="608" w:type="dxa"/>
        <w:tblLayout w:type="fixed"/>
        <w:tblCellMar>
          <w:top w:w="0" w:type="dxa"/>
          <w:left w:w="0" w:type="dxa"/>
          <w:bottom w:w="0" w:type="dxa"/>
          <w:right w:w="0" w:type="dxa"/>
        </w:tblCellMar>
        <w:tblLook w:val="01E0"/>
      </w:tblPr>
      <w:tblGrid>
        <w:gridCol w:w="3486"/>
        <w:gridCol w:w="3998"/>
        <w:gridCol w:w="1303"/>
      </w:tblGrid>
      <w:tr>
        <w:trPr>
          <w:trHeight w:val="47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傅常顺</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05"/>
              <w:jc w:val="right"/>
              <w:rPr>
                <w:rFonts w:ascii="Times New Roman" w:hAnsi="Times New Roman" w:cs="Times New Roman" w:eastAsia="Times New Roman" w:hint="default"/>
                <w:sz w:val="24"/>
                <w:szCs w:val="24"/>
              </w:rPr>
            </w:pPr>
            <w:r>
              <w:rPr>
                <w:rFonts w:ascii="Times New Roman"/>
                <w:sz w:val="24"/>
              </w:rPr>
              <w:t>180.00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杜建平</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180.00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葛晓阁</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180.00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郎金文</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180.00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吴凤辉</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20.00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0.4486</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李永革</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15.00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0.3364</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陈振亚</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15.00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0.3364</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于照永</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15.00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0.3364</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王卓</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15.00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0.3364</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杨文寿</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15.00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0.3364</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邵彦超</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15.00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0.3364</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李文坚</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15.00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0.3364</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张振京</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焦征海</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秦天福</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王勇军</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韩雪</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张建英</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郭永旺</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苏扬鸣</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杨长昆</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陈卫国</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吴冠军</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马东亚</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沈延晓</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张翀</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88"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王葆玲</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0.1121</w:t>
            </w:r>
          </w:p>
        </w:tc>
      </w:tr>
      <w:tr>
        <w:trPr>
          <w:trHeight w:val="470"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李军艳</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5"/>
              <w:jc w:val="right"/>
              <w:rPr>
                <w:rFonts w:ascii="Times New Roman" w:hAnsi="Times New Roman" w:cs="Times New Roman" w:eastAsia="Times New Roman" w:hint="default"/>
                <w:sz w:val="24"/>
                <w:szCs w:val="24"/>
              </w:rPr>
            </w:pPr>
            <w:r>
              <w:rPr>
                <w:rFonts w:ascii="Times New Roman"/>
                <w:sz w:val="24"/>
              </w:rPr>
              <w:t>5.00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0.1121</w:t>
            </w:r>
          </w:p>
        </w:tc>
      </w:tr>
    </w:tbl>
    <w:p>
      <w:pPr>
        <w:spacing w:after="0" w:line="240" w:lineRule="auto"/>
        <w:jc w:val="right"/>
        <w:rPr>
          <w:rFonts w:ascii="Times New Roman" w:hAnsi="Times New Roman" w:cs="Times New Roman" w:eastAsia="Times New Roman" w:hint="default"/>
          <w:sz w:val="24"/>
          <w:szCs w:val="24"/>
        </w:rPr>
        <w:sectPr>
          <w:pgSz w:w="11910" w:h="16840"/>
          <w:pgMar w:header="851" w:footer="982" w:top="1220" w:bottom="1180" w:left="980" w:right="1020"/>
        </w:sectPr>
      </w:pPr>
    </w:p>
    <w:p>
      <w:pPr>
        <w:spacing w:line="240" w:lineRule="auto" w:before="6"/>
        <w:rPr>
          <w:rFonts w:ascii="Times New Roman" w:hAnsi="Times New Roman" w:cs="Times New Roman" w:eastAsia="Times New Roman" w:hint="default"/>
          <w:sz w:val="19"/>
          <w:szCs w:val="19"/>
        </w:rPr>
      </w:pPr>
    </w:p>
    <w:tbl>
      <w:tblPr>
        <w:tblW w:w="0" w:type="auto"/>
        <w:jc w:val="left"/>
        <w:tblInd w:w="608" w:type="dxa"/>
        <w:tblLayout w:type="fixed"/>
        <w:tblCellMar>
          <w:top w:w="0" w:type="dxa"/>
          <w:left w:w="0" w:type="dxa"/>
          <w:bottom w:w="0" w:type="dxa"/>
          <w:right w:w="0" w:type="dxa"/>
        </w:tblCellMar>
        <w:tblLook w:val="01E0"/>
      </w:tblPr>
      <w:tblGrid>
        <w:gridCol w:w="3962"/>
        <w:gridCol w:w="3462"/>
        <w:gridCol w:w="1363"/>
      </w:tblGrid>
      <w:tr>
        <w:trPr>
          <w:trHeight w:val="470"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张晋</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秦玉昆</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郭伍</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刘建新</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崔红松</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肖难</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陈传兵</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高永辉</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毕强伟</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关虎</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冯一新</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于滨</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丁广勇</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阎玉玺</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曾劲松</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马超锋</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徐亚飞</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彭勇平</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尚勤强</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华燚</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任海伦</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刘建军</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李江</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谢伟</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袁胜兵</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赵鑫</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t>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0.0448</w:t>
            </w:r>
          </w:p>
        </w:tc>
      </w:tr>
      <w:tr>
        <w:trPr>
          <w:trHeight w:val="48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社会公众</w:t>
            </w:r>
            <w:r>
              <w:rPr>
                <w:rFonts w:ascii="Times New Roman" w:hAnsi="Times New Roman" w:cs="Times New Roman" w:eastAsia="Times New Roman" w:hint="default"/>
                <w:sz w:val="24"/>
                <w:szCs w:val="24"/>
              </w:rPr>
              <w:t>A</w:t>
            </w:r>
            <w:r>
              <w:rPr>
                <w:rFonts w:ascii="宋体" w:hAnsi="宋体" w:cs="宋体" w:eastAsia="宋体" w:hint="default"/>
                <w:sz w:val="24"/>
                <w:szCs w:val="24"/>
              </w:rPr>
              <w:t>股股东</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4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1,120.00</w:t>
            </w:r>
            <w:r>
              <w:rPr>
                <w:rFonts w:ascii="Times New Roman"/>
                <w:sz w:val="24"/>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25.1122</w:t>
            </w:r>
            <w:r>
              <w:rPr>
                <w:rFonts w:ascii="Times New Roman"/>
                <w:sz w:val="24"/>
              </w:rPr>
            </w:r>
          </w:p>
        </w:tc>
      </w:tr>
      <w:tr>
        <w:trPr>
          <w:trHeight w:val="469" w:hRule="exact"/>
        </w:trPr>
        <w:tc>
          <w:tcPr>
            <w:tcW w:w="3962" w:type="dxa"/>
            <w:tcBorders>
              <w:top w:val="nil" w:sz="6" w:space="0" w:color="auto"/>
              <w:left w:val="nil" w:sz="6" w:space="0" w:color="auto"/>
              <w:bottom w:val="nil" w:sz="6" w:space="0" w:color="auto"/>
              <w:right w:val="nil" w:sz="6" w:space="0" w:color="auto"/>
            </w:tcBorders>
          </w:tcPr>
          <w:p>
            <w:pPr>
              <w:pStyle w:val="TableParagraph"/>
              <w:tabs>
                <w:tab w:pos="658" w:val="left" w:leader="none"/>
              </w:tabs>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4,460.00</w:t>
            </w:r>
            <w:r>
              <w:rPr>
                <w:rFonts w:ascii="Times New Roman"/>
                <w:sz w:val="24"/>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851" w:footer="982" w:top="1220" w:bottom="1180" w:left="980" w:right="1020"/>
        </w:sectPr>
      </w:pPr>
    </w:p>
    <w:p>
      <w:pPr>
        <w:spacing w:line="240" w:lineRule="auto" w:before="8"/>
        <w:rPr>
          <w:rFonts w:ascii="Times New Roman" w:hAnsi="Times New Roman" w:cs="Times New Roman" w:eastAsia="Times New Roman" w:hint="default"/>
          <w:sz w:val="18"/>
          <w:szCs w:val="18"/>
        </w:rPr>
      </w:pPr>
    </w:p>
    <w:p>
      <w:pPr>
        <w:pStyle w:val="BodyText"/>
        <w:spacing w:line="340" w:lineRule="auto" w:before="26"/>
        <w:ind w:left="154" w:right="227" w:firstLine="48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日，根据本公司</w:t>
      </w:r>
      <w:r>
        <w:rPr>
          <w:rFonts w:ascii="Times New Roman" w:hAnsi="Times New Roman" w:cs="Times New Roman" w:eastAsia="Times New Roman" w:hint="default"/>
        </w:rPr>
        <w:t>2011</w:t>
      </w:r>
      <w:r>
        <w:rPr/>
        <w:t>年年度股东大会决议和修改后章程的规定，公司申请增</w:t>
      </w:r>
      <w:r>
        <w:rPr>
          <w:spacing w:val="1"/>
        </w:rPr>
        <w:t> </w:t>
      </w:r>
      <w:r>
        <w:rPr/>
        <w:t>加注册资本人民币</w:t>
      </w:r>
      <w:r>
        <w:rPr>
          <w:rFonts w:ascii="Times New Roman" w:hAnsi="Times New Roman" w:cs="Times New Roman" w:eastAsia="Times New Roman" w:hint="default"/>
        </w:rPr>
        <w:t>4,460.00</w:t>
      </w:r>
      <w:r>
        <w:rPr/>
        <w:t>万元，按每</w:t>
      </w:r>
      <w:r>
        <w:rPr>
          <w:rFonts w:ascii="Times New Roman" w:hAnsi="Times New Roman" w:cs="Times New Roman" w:eastAsia="Times New Roman" w:hint="default"/>
        </w:rPr>
        <w:t>10.00</w:t>
      </w:r>
      <w:r>
        <w:rPr/>
        <w:t>股转增</w:t>
      </w:r>
      <w:r>
        <w:rPr>
          <w:rFonts w:ascii="Times New Roman" w:hAnsi="Times New Roman" w:cs="Times New Roman" w:eastAsia="Times New Roman" w:hint="default"/>
        </w:rPr>
        <w:t>10.00</w:t>
      </w:r>
      <w:r>
        <w:rPr/>
        <w:t>股的比例，以资本公积向全体股东转</w:t>
      </w:r>
      <w:r>
        <w:rPr>
          <w:spacing w:val="-86"/>
        </w:rPr>
        <w:t> </w:t>
      </w:r>
      <w:r>
        <w:rPr/>
        <w:t>增股份总额</w:t>
      </w:r>
      <w:r>
        <w:rPr>
          <w:rFonts w:ascii="Times New Roman" w:hAnsi="Times New Roman" w:cs="Times New Roman" w:eastAsia="Times New Roman" w:hint="default"/>
        </w:rPr>
        <w:t>4,460.00</w:t>
      </w:r>
      <w:r>
        <w:rPr/>
        <w:t>万股，每股面值</w:t>
      </w:r>
      <w:r>
        <w:rPr>
          <w:rFonts w:ascii="Times New Roman" w:hAnsi="Times New Roman" w:cs="Times New Roman" w:eastAsia="Times New Roman" w:hint="default"/>
        </w:rPr>
        <w:t>1.00</w:t>
      </w:r>
      <w:r>
        <w:rPr/>
        <w:t>元，计增加股本</w:t>
      </w:r>
      <w:r>
        <w:rPr>
          <w:rFonts w:ascii="Times New Roman" w:hAnsi="Times New Roman" w:cs="Times New Roman" w:eastAsia="Times New Roman" w:hint="default"/>
        </w:rPr>
        <w:t>4,460.00</w:t>
      </w:r>
      <w:r>
        <w:rPr/>
        <w:t>万元，变更后的注册资本为</w:t>
      </w:r>
      <w:r>
        <w:rPr>
          <w:spacing w:val="-44"/>
        </w:rPr>
        <w:t> </w:t>
      </w:r>
      <w:r>
        <w:rPr>
          <w:spacing w:val="-44"/>
        </w:rPr>
      </w:r>
      <w:r>
        <w:rPr/>
        <w:t>人民币</w:t>
      </w:r>
      <w:r>
        <w:rPr>
          <w:rFonts w:ascii="Times New Roman" w:hAnsi="Times New Roman" w:cs="Times New Roman" w:eastAsia="Times New Roman" w:hint="default"/>
        </w:rPr>
        <w:t>8,920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日，部分已解禁的外部个人股东、外部单位股东、员工股东</w:t>
      </w:r>
      <w:r>
        <w:rPr>
          <w:spacing w:val="-45"/>
        </w:rPr>
        <w:t> </w:t>
      </w:r>
      <w:r>
        <w:rPr/>
        <w:t>出售其持有股份，该部分股份转入社会公众股股东，经变更后，各股东认缴注册资本额和出</w:t>
      </w:r>
      <w:r>
        <w:rPr>
          <w:spacing w:val="-83"/>
        </w:rPr>
        <w:t> </w:t>
      </w:r>
      <w:r>
        <w:rPr>
          <w:spacing w:val="-83"/>
        </w:rPr>
      </w:r>
      <w:r>
        <w:rPr/>
        <w:t>资比例为：</w:t>
      </w:r>
    </w:p>
    <w:p>
      <w:pPr>
        <w:spacing w:line="240" w:lineRule="auto" w:before="11"/>
        <w:rPr>
          <w:rFonts w:ascii="宋体" w:hAnsi="宋体" w:cs="宋体" w:eastAsia="宋体" w:hint="default"/>
          <w:sz w:val="2"/>
          <w:szCs w:val="2"/>
        </w:rPr>
      </w:pPr>
    </w:p>
    <w:tbl>
      <w:tblPr>
        <w:tblW w:w="0" w:type="auto"/>
        <w:jc w:val="left"/>
        <w:tblInd w:w="608" w:type="dxa"/>
        <w:tblLayout w:type="fixed"/>
        <w:tblCellMar>
          <w:top w:w="0" w:type="dxa"/>
          <w:left w:w="0" w:type="dxa"/>
          <w:bottom w:w="0" w:type="dxa"/>
          <w:right w:w="0" w:type="dxa"/>
        </w:tblCellMar>
        <w:tblLook w:val="01E0"/>
      </w:tblPr>
      <w:tblGrid>
        <w:gridCol w:w="3220"/>
        <w:gridCol w:w="3959"/>
        <w:gridCol w:w="1607"/>
      </w:tblGrid>
      <w:tr>
        <w:trPr>
          <w:trHeight w:val="471"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0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投资方</w:t>
            </w:r>
            <w:r>
              <w:rPr>
                <w:rFonts w:ascii="宋体" w:hAnsi="宋体" w:cs="宋体" w:eastAsia="宋体" w:hint="default"/>
                <w:sz w:val="24"/>
                <w:szCs w:val="24"/>
              </w:rPr>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23"/>
              <w:jc w:val="righ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认缴注册资本额（万元）</w:t>
            </w:r>
            <w:r>
              <w:rPr>
                <w:rFonts w:ascii="宋体" w:hAnsi="宋体" w:cs="宋体" w:eastAsia="宋体" w:hint="default"/>
                <w:sz w:val="24"/>
                <w:szCs w:val="24"/>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出资比例</w:t>
            </w:r>
            <w:r>
              <w:rPr>
                <w:rFonts w:ascii="Times New Roman" w:hAnsi="Times New Roman" w:cs="Times New Roman" w:eastAsia="Times New Roman" w:hint="default"/>
                <w:sz w:val="24"/>
                <w:szCs w:val="24"/>
                <w:u w:val="single" w:color="000000"/>
              </w:rPr>
              <w:t>%</w:t>
            </w:r>
            <w:r>
              <w:rPr>
                <w:rFonts w:ascii="Times New Roman" w:hAnsi="Times New Roman" w:cs="Times New Roman" w:eastAsia="Times New Roman" w:hint="default"/>
                <w:sz w:val="24"/>
                <w:szCs w:val="24"/>
              </w:rPr>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杨维国</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t>2,120.00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23.7669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尚卫国</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437.10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4.9003</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付秋生</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t>420.90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4.7187</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赵利宾</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360.00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华梦阳</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360.00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刘恩臣</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t>360.00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傅常顺</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360.00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杜建平</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360.00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葛晓阁</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t>360.00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郎金文</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t>360.00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t>4.0359</w:t>
            </w:r>
          </w:p>
        </w:tc>
      </w:tr>
      <w:tr>
        <w:trPr>
          <w:trHeight w:val="48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社会公众</w:t>
            </w:r>
            <w:r>
              <w:rPr>
                <w:rFonts w:ascii="Times New Roman" w:hAnsi="Times New Roman" w:cs="Times New Roman" w:eastAsia="Times New Roman" w:hint="default"/>
                <w:sz w:val="24"/>
                <w:szCs w:val="24"/>
              </w:rPr>
              <w:t>A</w:t>
            </w:r>
            <w:r>
              <w:rPr>
                <w:rFonts w:ascii="宋体" w:hAnsi="宋体" w:cs="宋体" w:eastAsia="宋体" w:hint="default"/>
                <w:sz w:val="24"/>
                <w:szCs w:val="24"/>
              </w:rPr>
              <w:t>股股东</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0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3,422.00</w:t>
            </w:r>
            <w:r>
              <w:rPr>
                <w:rFonts w:ascii="Times New Roman"/>
                <w:sz w:val="24"/>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38.3628</w:t>
            </w:r>
            <w:r>
              <w:rPr>
                <w:rFonts w:ascii="Times New Roman"/>
                <w:sz w:val="24"/>
              </w:rPr>
            </w:r>
          </w:p>
        </w:tc>
      </w:tr>
      <w:tr>
        <w:trPr>
          <w:trHeight w:val="469" w:hRule="exact"/>
        </w:trPr>
        <w:tc>
          <w:tcPr>
            <w:tcW w:w="3220" w:type="dxa"/>
            <w:tcBorders>
              <w:top w:val="nil" w:sz="6" w:space="0" w:color="auto"/>
              <w:left w:val="nil" w:sz="6" w:space="0" w:color="auto"/>
              <w:bottom w:val="nil" w:sz="6" w:space="0" w:color="auto"/>
              <w:right w:val="nil" w:sz="6" w:space="0" w:color="auto"/>
            </w:tcBorders>
          </w:tcPr>
          <w:p>
            <w:pPr>
              <w:pStyle w:val="TableParagraph"/>
              <w:tabs>
                <w:tab w:pos="658" w:val="left" w:leader="none"/>
              </w:tabs>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39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8,920.00</w:t>
            </w:r>
            <w:r>
              <w:rPr>
                <w:rFonts w:ascii="Times New Roman"/>
                <w:sz w:val="24"/>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100.00</w:t>
            </w:r>
            <w:r>
              <w:rPr>
                <w:rFonts w:ascii="Times New Roman"/>
                <w:sz w:val="24"/>
              </w:rPr>
            </w:r>
          </w:p>
        </w:tc>
      </w:tr>
    </w:tbl>
    <w:p>
      <w:pPr>
        <w:pStyle w:val="BodyText"/>
        <w:spacing w:line="348" w:lineRule="auto" w:before="53"/>
        <w:ind w:left="633" w:right="5291"/>
        <w:jc w:val="left"/>
      </w:pPr>
      <w:r>
        <w:rPr>
          <w:rFonts w:ascii="Times New Roman" w:hAnsi="Times New Roman" w:cs="Times New Roman" w:eastAsia="Times New Roman" w:hint="default"/>
        </w:rPr>
        <w:t>2</w:t>
      </w:r>
      <w:r>
        <w:rPr/>
        <w:t>、所处行业 本公司所属行业为计算机系统服务业。 </w:t>
      </w:r>
      <w:r>
        <w:rPr>
          <w:rFonts w:ascii="Times New Roman" w:hAnsi="Times New Roman" w:cs="Times New Roman" w:eastAsia="Times New Roman" w:hint="default"/>
        </w:rPr>
        <w:t>3</w:t>
      </w:r>
      <w:r>
        <w:rPr/>
        <w:t>、经营范围</w:t>
      </w:r>
    </w:p>
    <w:p>
      <w:pPr>
        <w:pStyle w:val="BodyText"/>
        <w:spacing w:line="352" w:lineRule="auto" w:before="16"/>
        <w:ind w:right="101" w:firstLine="480"/>
        <w:jc w:val="left"/>
      </w:pPr>
      <w:r>
        <w:rPr/>
        <w:t>本公司经批准的经营范围：计算机系统集成，计算机及相关产品、仪器仪表、各类智能</w:t>
      </w:r>
      <w:r>
        <w:rPr>
          <w:spacing w:val="1"/>
        </w:rPr>
        <w:t> </w:t>
      </w:r>
      <w:r>
        <w:rPr>
          <w:spacing w:val="-3"/>
        </w:rPr>
        <w:t>卡应用产品、智能卡机具、智能卡终端、智能卡节能产品、智能卡家电及软件的设计、开发、</w:t>
      </w:r>
      <w:r>
        <w:rPr>
          <w:spacing w:val="-82"/>
        </w:rPr>
        <w:t> </w:t>
      </w:r>
      <w:r>
        <w:rPr>
          <w:spacing w:val="-82"/>
        </w:rPr>
      </w:r>
      <w:r>
        <w:rPr/>
        <w:t>生产、销售、维护；第二类增值电信业务中的信息服务业务（不含固定电话信息服务和互联</w:t>
      </w:r>
      <w:r>
        <w:rPr>
          <w:spacing w:val="-83"/>
        </w:rPr>
        <w:t> </w:t>
      </w:r>
      <w:r>
        <w:rPr>
          <w:spacing w:val="-83"/>
        </w:rPr>
      </w:r>
      <w:r>
        <w:rPr>
          <w:spacing w:val="-2"/>
        </w:rPr>
        <w:t>网信息服务、截止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日）计算机技术咨询、服务（国家法律法规禁止的不得经营；</w:t>
      </w:r>
      <w:r>
        <w:rPr>
          <w:spacing w:val="-114"/>
        </w:rPr>
        <w:t> </w:t>
      </w:r>
      <w:r>
        <w:rPr>
          <w:spacing w:val="-114"/>
        </w:rPr>
      </w:r>
      <w:r>
        <w:rPr/>
        <w:t>应经审批的未获批准前不得经营），从事货物和技术的进出口业务（国家法律、法规规定应</w:t>
      </w:r>
      <w:r>
        <w:rPr>
          <w:spacing w:val="-83"/>
        </w:rPr>
        <w:t> </w:t>
      </w:r>
      <w:r>
        <w:rPr>
          <w:spacing w:val="-83"/>
        </w:rPr>
      </w:r>
      <w:r>
        <w:rPr/>
        <w:t>经审批方可经营或禁止进出口的货物和技术除外）。</w:t>
      </w:r>
    </w:p>
    <w:p>
      <w:pPr>
        <w:pStyle w:val="BodyText"/>
        <w:spacing w:line="240" w:lineRule="auto" w:before="41"/>
        <w:ind w:left="633" w:right="95"/>
        <w:jc w:val="left"/>
      </w:pPr>
      <w:r>
        <w:rPr>
          <w:rFonts w:ascii="Times New Roman" w:hAnsi="Times New Roman" w:cs="Times New Roman" w:eastAsia="Times New Roman" w:hint="default"/>
        </w:rPr>
        <w:t>4</w:t>
      </w:r>
      <w:r>
        <w:rPr/>
        <w:t>、主营业务</w:t>
      </w:r>
    </w:p>
    <w:p>
      <w:pPr>
        <w:spacing w:after="0" w:line="240"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right="108" w:firstLine="480"/>
        <w:jc w:val="both"/>
      </w:pPr>
      <w:r>
        <w:rPr/>
        <w:t>本公司主营业务为智能一卡通系统的应用软件及各种智能终端的研发、生产和销售，主</w:t>
      </w:r>
      <w:r>
        <w:rPr>
          <w:spacing w:val="1"/>
        </w:rPr>
        <w:t> </w:t>
      </w:r>
      <w:r>
        <w:rPr/>
        <w:t>要面向广大学校、企事业、城市等社区型客户，为其提供身份识别、小额支付、资源管控、</w:t>
      </w:r>
      <w:r>
        <w:rPr>
          <w:spacing w:val="-83"/>
        </w:rPr>
        <w:t> </w:t>
      </w:r>
      <w:r>
        <w:rPr>
          <w:spacing w:val="-83"/>
        </w:rPr>
      </w:r>
      <w:r>
        <w:rPr/>
        <w:t>系统集成等多种功能为一体的智能一卡通系统整体解决方案及个性化定制服务。</w:t>
      </w:r>
    </w:p>
    <w:p>
      <w:pPr>
        <w:spacing w:line="499" w:lineRule="auto" w:before="36"/>
        <w:ind w:left="153" w:right="2651" w:firstLine="480"/>
        <w:jc w:val="left"/>
        <w:rPr>
          <w:rFonts w:ascii="宋体" w:hAnsi="宋体" w:cs="宋体" w:eastAsia="宋体" w:hint="default"/>
          <w:sz w:val="24"/>
          <w:szCs w:val="24"/>
        </w:rPr>
      </w:pPr>
      <w:r>
        <w:rPr>
          <w:rFonts w:ascii="宋体" w:hAnsi="宋体" w:cs="宋体" w:eastAsia="宋体" w:hint="default"/>
          <w:sz w:val="24"/>
          <w:szCs w:val="24"/>
        </w:rPr>
        <w:t>本财务报表业经本公司董事会于</w:t>
      </w: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日决议批准报出。 </w:t>
      </w:r>
      <w:r>
        <w:rPr>
          <w:rFonts w:ascii="宋体" w:hAnsi="宋体" w:cs="宋体" w:eastAsia="宋体" w:hint="default"/>
          <w:b/>
          <w:bCs/>
          <w:sz w:val="24"/>
          <w:szCs w:val="24"/>
        </w:rPr>
        <w:t>四、公司主要会计政策、会计估计和前期差错</w:t>
      </w:r>
      <w:r>
        <w:rPr>
          <w:rFonts w:ascii="宋体" w:hAnsi="宋体" w:cs="宋体" w:eastAsia="宋体" w:hint="default"/>
          <w:sz w:val="24"/>
          <w:szCs w:val="24"/>
        </w:rPr>
      </w:r>
    </w:p>
    <w:p>
      <w:pPr>
        <w:spacing w:before="63"/>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3" w:lineRule="auto"/>
        <w:ind w:right="108" w:firstLine="480"/>
        <w:jc w:val="both"/>
      </w:pPr>
      <w:r>
        <w:rPr/>
        <w:t>本公司财务报表以持续经营假设为基础编制，根据实际发生的交易和事项，按照财政部</w:t>
      </w:r>
      <w:r>
        <w:rPr>
          <w:spacing w:val="1"/>
        </w:rPr>
        <w:t> </w:t>
      </w:r>
      <w:r>
        <w:rPr>
          <w:spacing w:val="-2"/>
        </w:rPr>
        <w:t>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日颁布的《企业会计准则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w:t>
      </w:r>
      <w:r>
        <w:rPr>
          <w:spacing w:val="-114"/>
        </w:rPr>
        <w:t> </w:t>
      </w:r>
      <w:r>
        <w:rPr>
          <w:spacing w:val="-114"/>
        </w:rPr>
      </w:r>
      <w:r>
        <w:rPr/>
        <w:t>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w:t>
      </w:r>
      <w:r>
        <w:rPr>
          <w:spacing w:val="-79"/>
        </w:rPr>
        <w:t> </w:t>
      </w:r>
      <w:r>
        <w:rPr/>
        <w:t>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w:t>
      </w:r>
      <w:r>
        <w:rPr>
          <w:spacing w:val="-95"/>
        </w:rPr>
        <w:t> </w:t>
      </w:r>
      <w:r>
        <w:rPr/>
        <w:t>一般规定》（</w:t>
      </w:r>
      <w:r>
        <w:rPr>
          <w:rFonts w:ascii="Times New Roman" w:hAnsi="Times New Roman" w:cs="Times New Roman" w:eastAsia="Times New Roman" w:hint="default"/>
        </w:rPr>
        <w:t>2010</w:t>
      </w:r>
      <w:r>
        <w:rPr/>
        <w:t>年修订）的披露规定编制。</w:t>
      </w:r>
    </w:p>
    <w:p>
      <w:pPr>
        <w:pStyle w:val="BodyText"/>
        <w:spacing w:line="357" w:lineRule="auto" w:before="21"/>
        <w:ind w:right="108" w:firstLine="480"/>
        <w:jc w:val="both"/>
      </w:pPr>
      <w:r>
        <w:rPr/>
        <w:t>根据企业会计准则的相关规定，本公司会计核算以权责发生制为基础。除某些金融工具</w:t>
      </w:r>
      <w:r>
        <w:rPr>
          <w:spacing w:val="1"/>
        </w:rPr>
        <w:t> </w:t>
      </w:r>
      <w:r>
        <w:rPr/>
        <w:t>外，本财务报表均以历史成本为计量基础。资产如果发生减值，则按照相关规定计提相应的</w:t>
      </w:r>
      <w:r>
        <w:rPr>
          <w:spacing w:val="-83"/>
        </w:rPr>
        <w:t> </w:t>
      </w:r>
      <w:r>
        <w:rPr>
          <w:spacing w:val="-83"/>
        </w:rPr>
      </w:r>
      <w:r>
        <w:rPr/>
        <w:t>减值准备。</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left="154" w:right="108" w:firstLine="480"/>
        <w:jc w:val="both"/>
      </w:pPr>
      <w:r>
        <w:rPr/>
        <w:t>本公司编制的财务报表符合企业会计准则的要求，真实、完整地反映了本公司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2012</w:t>
      </w:r>
      <w:r>
        <w:rPr/>
        <w:t>年度的经营成果和现金流量等有关信息。此外，本公司的财务报表</w:t>
      </w:r>
      <w:r>
        <w:rPr>
          <w:spacing w:val="-88"/>
        </w:rPr>
        <w:t> </w:t>
      </w:r>
      <w:r>
        <w:rPr>
          <w:spacing w:val="-88"/>
        </w:rPr>
      </w:r>
      <w:r>
        <w:rPr/>
        <w:t>在所有重大方面符合中国证券监督管理委员会</w:t>
      </w:r>
      <w:r>
        <w:rPr>
          <w:rFonts w:ascii="Times New Roman" w:hAnsi="Times New Roman" w:cs="Times New Roman" w:eastAsia="Times New Roman" w:hint="default"/>
        </w:rPr>
        <w:t>2010</w:t>
      </w:r>
      <w:r>
        <w:rPr/>
        <w:t>年修订的《公开发行证券的公司信息披露</w:t>
      </w:r>
      <w:r>
        <w:rPr>
          <w:spacing w:val="-84"/>
        </w:rPr>
        <w:t> </w:t>
      </w:r>
      <w:r>
        <w:rPr/>
        <w:t>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1"/>
        <w:rPr>
          <w:rFonts w:ascii="宋体" w:hAnsi="宋体" w:cs="宋体" w:eastAsia="宋体" w:hint="default"/>
          <w:sz w:val="20"/>
          <w:szCs w:val="2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10" w:firstLine="480"/>
        <w:jc w:val="both"/>
      </w:pPr>
      <w:r>
        <w:rPr/>
        <w:t>本公司的会计期间分为年度和中期，会计中期指短于一个完整的会计年度的报告期间。</w:t>
      </w:r>
      <w:r>
        <w:rPr>
          <w:spacing w:val="1"/>
        </w:rPr>
        <w:t> </w:t>
      </w:r>
      <w:r>
        <w:rPr/>
        <w:t>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3"/>
        <w:rPr>
          <w:rFonts w:ascii="宋体" w:hAnsi="宋体" w:cs="宋体" w:eastAsia="宋体" w:hint="default"/>
          <w:sz w:val="19"/>
          <w:szCs w:val="19"/>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人民币为本公司经营所处的主要经济环境中的货币，本公司以人民币为记账本位币。本 公司编制本财务报表时所采用的货币为人民币。</w:t>
      </w:r>
    </w:p>
    <w:p>
      <w:pPr>
        <w:spacing w:after="0" w:line="357" w:lineRule="auto"/>
        <w:jc w:val="both"/>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95" w:firstLine="480"/>
        <w:jc w:val="left"/>
      </w:pPr>
      <w:r>
        <w:rPr>
          <w:spacing w:val="-3"/>
        </w:rPr>
        <w:t>参与合并的企业在合并前后均受同一方或相同的多方最终控制，且该控制并非暂时性的，</w:t>
      </w:r>
      <w:r>
        <w:rPr/>
        <w:t> 为同一控制下的企业合并。同一控制下的企业合并，在合并日取得对其他参与合并企业控制</w:t>
      </w:r>
      <w:r>
        <w:rPr>
          <w:spacing w:val="-83"/>
        </w:rPr>
        <w:t> </w:t>
      </w:r>
      <w:r>
        <w:rPr>
          <w:spacing w:val="-83"/>
        </w:rPr>
      </w:r>
      <w:r>
        <w:rPr/>
        <w:t>权的一方为合并方，参与合并的其他企业为被合并方。合并日，是指合并方实际取得对被合</w:t>
      </w:r>
      <w:r>
        <w:rPr>
          <w:spacing w:val="-83"/>
        </w:rPr>
        <w:t> </w:t>
      </w:r>
      <w:r>
        <w:rPr>
          <w:spacing w:val="-83"/>
        </w:rPr>
      </w:r>
      <w:r>
        <w:rPr/>
        <w:t>并方控制权的日期。</w:t>
      </w:r>
    </w:p>
    <w:p>
      <w:pPr>
        <w:pStyle w:val="BodyText"/>
        <w:spacing w:line="357" w:lineRule="auto" w:before="36"/>
        <w:ind w:right="95" w:firstLine="480"/>
        <w:jc w:val="left"/>
      </w:pPr>
      <w:r>
        <w:rPr/>
        <w:t>合并方取得的资产和负债均按合并日在被合并方的账面价值计量。合并方取得的净资产</w:t>
      </w:r>
      <w:r>
        <w:rPr>
          <w:spacing w:val="1"/>
        </w:rPr>
        <w:t> </w:t>
      </w:r>
      <w:r>
        <w:rPr/>
        <w:t>账面价值与支付的合并对价账面价值（或发行股份面值总额）的差额，调整资本公积（股本</w:t>
      </w:r>
      <w:r>
        <w:rPr>
          <w:spacing w:val="-83"/>
        </w:rPr>
        <w:t> </w:t>
      </w:r>
      <w:r>
        <w:rPr>
          <w:spacing w:val="-83"/>
        </w:rPr>
      </w:r>
      <w:r>
        <w:rPr/>
        <w:t>溢价）；资本公积（股本溢价）不足以冲减的，调整留存收益。</w:t>
      </w:r>
      <w:r>
        <w:rPr/>
        <w:t> 合并方为进行企业合并发生的各项直接费用，于发生时计入当期损益。</w:t>
      </w:r>
    </w:p>
    <w:p>
      <w:pPr>
        <w:spacing w:line="240" w:lineRule="auto" w:before="8"/>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228" w:firstLine="480"/>
        <w:jc w:val="both"/>
      </w:pPr>
      <w:r>
        <w:rPr/>
        <w:t>参与合并的企业在合并前后不受同一方或相同的多方最终控制的，为非同一控制下的企</w:t>
      </w:r>
      <w:r>
        <w:rPr>
          <w:spacing w:val="1"/>
        </w:rPr>
        <w:t> </w:t>
      </w:r>
      <w:r>
        <w:rPr/>
        <w:t>业合并。非同一控制下的企业合并，在购买日取得对其他参与合并企业控制权的一方为购买</w:t>
      </w:r>
      <w:r>
        <w:rPr>
          <w:spacing w:val="-83"/>
        </w:rPr>
        <w:t> </w:t>
      </w:r>
      <w:r>
        <w:rPr>
          <w:spacing w:val="-83"/>
        </w:rPr>
      </w:r>
      <w:r>
        <w:rPr/>
        <w:t>方，参与合并的其他企业为被购买方。购买日，是指为购买方实际取得对被购买方控制权的</w:t>
      </w:r>
      <w:r>
        <w:rPr>
          <w:spacing w:val="-83"/>
        </w:rPr>
        <w:t> </w:t>
      </w:r>
      <w:r>
        <w:rPr>
          <w:spacing w:val="-83"/>
        </w:rPr>
      </w:r>
      <w:r>
        <w:rPr/>
        <w:t>日期。</w:t>
      </w:r>
    </w:p>
    <w:p>
      <w:pPr>
        <w:pStyle w:val="BodyText"/>
        <w:spacing w:line="355" w:lineRule="auto" w:before="36"/>
        <w:ind w:right="228" w:firstLine="480"/>
        <w:jc w:val="both"/>
      </w:pPr>
      <w:r>
        <w:rPr/>
        <w:t>对于非同一控制下的企业合并，合并成本包含购买日购买方为取得对被购买方的控制权</w:t>
      </w:r>
      <w:r>
        <w:rPr>
          <w:spacing w:val="1"/>
        </w:rPr>
        <w:t> </w:t>
      </w:r>
      <w:r>
        <w:rPr/>
        <w:t>而付出的资产、发生或承担的负债以及发行的权益性证券的公允价值，为企业合并发生的审</w:t>
      </w:r>
      <w:r>
        <w:rPr>
          <w:spacing w:val="-83"/>
        </w:rPr>
        <w:t> </w:t>
      </w:r>
      <w:r>
        <w:rPr>
          <w:spacing w:val="-83"/>
        </w:rPr>
      </w:r>
      <w:r>
        <w:rPr/>
        <w:t>计、法律服务、评估咨询等中介费用以及其他管理费用于发生时计入当期损益。购买方作为</w:t>
      </w:r>
      <w:r>
        <w:rPr>
          <w:spacing w:val="-83"/>
        </w:rPr>
        <w:t> </w:t>
      </w:r>
      <w:r>
        <w:rPr>
          <w:spacing w:val="-83"/>
        </w:rPr>
      </w:r>
      <w:r>
        <w:rPr/>
        <w:t>合并对价发行的权益性证券或债务性证券的交易费用，计入权益性证券或债务性证券的初始</w:t>
      </w:r>
      <w:r>
        <w:rPr>
          <w:spacing w:val="-83"/>
        </w:rPr>
        <w:t> </w:t>
      </w:r>
      <w:r>
        <w:rPr>
          <w:spacing w:val="-83"/>
        </w:rPr>
      </w:r>
      <w:r>
        <w:rPr/>
        <w:t>确认金额。所涉及的或有对价按其在购买日的公允价值计入合并成本，购买日后</w:t>
      </w:r>
      <w:r>
        <w:rPr>
          <w:rFonts w:ascii="Times New Roman" w:hAnsi="Times New Roman" w:cs="Times New Roman" w:eastAsia="Times New Roman" w:hint="default"/>
        </w:rPr>
        <w:t>12</w:t>
      </w:r>
      <w:r>
        <w:rPr/>
        <w:t>个月内出</w:t>
      </w:r>
      <w:r>
        <w:rPr>
          <w:spacing w:val="-85"/>
        </w:rPr>
        <w:t> </w:t>
      </w:r>
      <w:r>
        <w:rPr/>
        <w:t>现对购买日已存在情况的新的或进一步证据而需要调整或有对价的，相应调整合并商誉。通</w:t>
      </w:r>
      <w:r>
        <w:rPr>
          <w:spacing w:val="-83"/>
        </w:rPr>
        <w:t> </w:t>
      </w:r>
      <w:r>
        <w:rPr>
          <w:spacing w:val="-83"/>
        </w:rPr>
      </w:r>
      <w:r>
        <w:rPr/>
        <w:t>过多次交换交易分步实现的企业合并，在本公司合并财务报表中，对于购买日之前持有的被</w:t>
      </w:r>
      <w:r>
        <w:rPr>
          <w:spacing w:val="-83"/>
        </w:rPr>
        <w:t> </w:t>
      </w:r>
      <w:r>
        <w:rPr>
          <w:spacing w:val="-83"/>
        </w:rPr>
      </w:r>
      <w:r>
        <w:rPr/>
        <w:t>购买方的股权，按照该股权在购买日的公允价值进行重新计量，公允价值与其账面价值的差</w:t>
      </w:r>
      <w:r>
        <w:rPr>
          <w:spacing w:val="-83"/>
        </w:rPr>
        <w:t> </w:t>
      </w:r>
      <w:r>
        <w:rPr>
          <w:spacing w:val="-83"/>
        </w:rPr>
      </w:r>
      <w:r>
        <w:rPr/>
        <w:t>额计入购买日所属当期投资收益，同时将与购买日之前持有的被购买方的股权相关的其他综</w:t>
      </w:r>
      <w:r>
        <w:rPr>
          <w:spacing w:val="-83"/>
        </w:rPr>
        <w:t> </w:t>
      </w:r>
      <w:r>
        <w:rPr>
          <w:spacing w:val="-83"/>
        </w:rPr>
      </w:r>
      <w:r>
        <w:rPr/>
        <w:t>合收益转为当期投资收益，合并成本为购买日之前持有的被购买方的股权在购买日的公允价</w:t>
      </w:r>
      <w:r>
        <w:rPr>
          <w:spacing w:val="-83"/>
        </w:rPr>
        <w:t> </w:t>
      </w:r>
      <w:r>
        <w:rPr>
          <w:spacing w:val="-83"/>
        </w:rPr>
      </w:r>
      <w:r>
        <w:rPr/>
        <w:t>值与购买日增持的被购买方股权在购买日的公允价值之和。</w:t>
      </w:r>
    </w:p>
    <w:p>
      <w:pPr>
        <w:pStyle w:val="BodyText"/>
        <w:spacing w:line="357" w:lineRule="auto" w:before="38"/>
        <w:ind w:right="95" w:firstLine="480"/>
        <w:jc w:val="left"/>
      </w:pPr>
      <w:r>
        <w:rPr/>
        <w:t>购买方发生的合并成本及在合并中取得的可辨认净资产按购买日的公允价值计量。合并</w:t>
      </w:r>
      <w:r>
        <w:rPr>
          <w:spacing w:val="1"/>
        </w:rPr>
        <w:t> </w:t>
      </w:r>
      <w:r>
        <w:rPr/>
        <w:t>成本大于合并中取得的被购买方于购买日可辨认净资产公允价值份额的差额，确认为商誉。</w:t>
      </w:r>
    </w:p>
    <w:p>
      <w:pPr>
        <w:spacing w:after="0" w:line="357"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right="108"/>
        <w:jc w:val="both"/>
      </w:pPr>
      <w:r>
        <w:rPr/>
        <w:t>合并成本小于合并中取得的被购买方可辨认净资产公允价值份额的，首先对取得的被购买方</w:t>
      </w:r>
      <w:r>
        <w:rPr>
          <w:spacing w:val="-83"/>
        </w:rPr>
        <w:t> </w:t>
      </w:r>
      <w:r>
        <w:rPr>
          <w:spacing w:val="-83"/>
        </w:rPr>
      </w:r>
      <w:r>
        <w:rPr/>
        <w:t>各项可辨认资产、负债及或有负债的公允价值以及合并成本的计量进行复核，复核后合并成</w:t>
      </w:r>
      <w:r>
        <w:rPr>
          <w:spacing w:val="-83"/>
        </w:rPr>
        <w:t> </w:t>
      </w:r>
      <w:r>
        <w:rPr>
          <w:spacing w:val="-83"/>
        </w:rPr>
      </w:r>
      <w:r>
        <w:rPr/>
        <w:t>本仍小于合并中取得的被购买方可辨认净资产公允价值份额的，其差额计入当期损益。</w:t>
      </w:r>
    </w:p>
    <w:p>
      <w:pPr>
        <w:pStyle w:val="BodyText"/>
        <w:spacing w:line="352" w:lineRule="auto" w:before="36"/>
        <w:ind w:left="154" w:right="108" w:firstLine="480"/>
        <w:jc w:val="both"/>
      </w:pPr>
      <w:r>
        <w:rPr/>
        <w:t>购买方取得被购买方的可抵扣暂时性差异，在购买日因不符合递延所得税资产确认条件</w:t>
      </w:r>
      <w:r>
        <w:rPr>
          <w:spacing w:val="1"/>
        </w:rPr>
        <w:t> </w:t>
      </w:r>
      <w:r>
        <w:rPr/>
        <w:t>而未予确认的，在购买日后</w:t>
      </w:r>
      <w:r>
        <w:rPr>
          <w:rFonts w:ascii="Times New Roman" w:hAnsi="Times New Roman" w:cs="Times New Roman" w:eastAsia="Times New Roman" w:hint="default"/>
        </w:rPr>
        <w:t>12</w:t>
      </w:r>
      <w:r>
        <w:rPr/>
        <w:t>个月内，如取得新的或进一步的信息表明购买日的相关情况已</w:t>
      </w:r>
      <w:r>
        <w:rPr>
          <w:spacing w:val="-84"/>
        </w:rPr>
        <w:t> </w:t>
      </w:r>
      <w:r>
        <w:rPr>
          <w:spacing w:val="-84"/>
        </w:rPr>
      </w:r>
      <w:r>
        <w:rPr/>
        <w:t>经存在，预期被购买方在购买日可抵扣暂时性差异带来的经济利益能够实现的，则确认相关</w:t>
      </w:r>
      <w:r>
        <w:rPr>
          <w:spacing w:val="-83"/>
        </w:rPr>
        <w:t> </w:t>
      </w:r>
      <w:r>
        <w:rPr>
          <w:spacing w:val="-83"/>
        </w:rPr>
      </w:r>
      <w:r>
        <w:rPr/>
        <w:t>的递延所得税资产，同时减少商誉，商誉不足冲减的，差额部分确认为当期损益；除上述情</w:t>
      </w:r>
      <w:r>
        <w:rPr>
          <w:spacing w:val="-83"/>
        </w:rPr>
        <w:t> </w:t>
      </w:r>
      <w:r>
        <w:rPr>
          <w:spacing w:val="-83"/>
        </w:rPr>
      </w:r>
      <w:r>
        <w:rPr/>
        <w:t>况以外，确认与企业合并相关的递延所得税资产的，计入当期损益。</w:t>
      </w:r>
    </w:p>
    <w:p>
      <w:pPr>
        <w:spacing w:line="240" w:lineRule="auto" w:before="13"/>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left="633" w:right="94"/>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合并财务报表的合并范围以控制为基础予以确定。控制是指本公司能够决定被投资单位</w:t>
      </w:r>
    </w:p>
    <w:p>
      <w:pPr>
        <w:pStyle w:val="BodyText"/>
        <w:spacing w:line="338" w:lineRule="auto" w:before="55"/>
        <w:ind w:right="111"/>
        <w:jc w:val="both"/>
      </w:pPr>
      <w:r>
        <w:rPr>
          <w:spacing w:val="-1"/>
        </w:rPr>
        <w:t>的财务和经营政策</w:t>
      </w:r>
      <w:r>
        <w:rPr>
          <w:rFonts w:ascii="Times New Roman" w:hAnsi="Times New Roman" w:cs="Times New Roman" w:eastAsia="Times New Roman" w:hint="default"/>
          <w:spacing w:val="-1"/>
        </w:rPr>
        <w:t>,</w:t>
      </w:r>
      <w:r>
        <w:rPr>
          <w:spacing w:val="-1"/>
        </w:rPr>
        <w:t>并能据以从被投资单位的经营活动中获取利益的权力。合并范围包括本公</w:t>
      </w:r>
      <w:r>
        <w:rPr>
          <w:spacing w:val="-101"/>
        </w:rPr>
        <w:t> </w:t>
      </w:r>
      <w:r>
        <w:rPr>
          <w:spacing w:val="-101"/>
        </w:rPr>
      </w:r>
      <w:r>
        <w:rPr/>
        <w:t>司及全部子公司。子公司，是指被本公司控制的企业或主体。</w:t>
      </w:r>
    </w:p>
    <w:p>
      <w:pPr>
        <w:pStyle w:val="BodyText"/>
        <w:spacing w:line="338" w:lineRule="auto" w:before="55"/>
        <w:ind w:left="993" w:right="94" w:hanging="360"/>
        <w:jc w:val="left"/>
      </w:pPr>
      <w:r>
        <w:rPr/>
        <w:t>（</w:t>
      </w:r>
      <w:r>
        <w:rPr>
          <w:rFonts w:ascii="Times New Roman" w:hAnsi="Times New Roman" w:cs="Times New Roman" w:eastAsia="Times New Roman" w:hint="default"/>
        </w:rPr>
        <w:t>2</w:t>
      </w:r>
      <w:r>
        <w:rPr/>
        <w:t>）合并财务报表编制的方法 </w:t>
      </w:r>
      <w:r>
        <w:rPr>
          <w:spacing w:val="-3"/>
        </w:rPr>
        <w:t>从取得子公司的净资产和生产经营决策的实际控制权之日起，本公司开始将其纳入合</w:t>
      </w:r>
    </w:p>
    <w:p>
      <w:pPr>
        <w:pStyle w:val="BodyText"/>
        <w:spacing w:line="357" w:lineRule="auto" w:before="55"/>
        <w:ind w:right="108"/>
        <w:jc w:val="both"/>
      </w:pPr>
      <w:r>
        <w:rPr/>
        <w:t>并范围；从丧失实际控制权之日起停止纳入合并范围。对于处置的子公司，处置日前的经营</w:t>
      </w:r>
      <w:r>
        <w:rPr>
          <w:spacing w:val="-83"/>
        </w:rPr>
        <w:t> </w:t>
      </w:r>
      <w:r>
        <w:rPr>
          <w:spacing w:val="-83"/>
        </w:rPr>
      </w:r>
      <w:r>
        <w:rPr/>
        <w:t>成果和现金流量已经适当地包括在合并利润表和合并现金流量表中；当期处置的子公司，不</w:t>
      </w:r>
      <w:r>
        <w:rPr>
          <w:spacing w:val="-83"/>
        </w:rPr>
        <w:t> </w:t>
      </w:r>
      <w:r>
        <w:rPr>
          <w:spacing w:val="-83"/>
        </w:rPr>
      </w:r>
      <w:r>
        <w:rPr/>
        <w:t>调整合并资产负债表的期初数。非同一控制下企业合并增加的子公司，其购买日后的经营成</w:t>
      </w:r>
      <w:r>
        <w:rPr>
          <w:spacing w:val="-83"/>
        </w:rPr>
        <w:t> </w:t>
      </w:r>
      <w:r>
        <w:rPr>
          <w:spacing w:val="-83"/>
        </w:rPr>
      </w:r>
      <w:r>
        <w:rPr/>
        <w:t>果及现金流量已经适当地包括在合并利润表和合并现金流量表中，且不调整合并财务报表的</w:t>
      </w:r>
      <w:r>
        <w:rPr>
          <w:spacing w:val="-83"/>
        </w:rPr>
        <w:t> </w:t>
      </w:r>
      <w:r>
        <w:rPr>
          <w:spacing w:val="-83"/>
        </w:rPr>
      </w:r>
      <w:r>
        <w:rPr/>
        <w:t>期初数和对比数。同一控制下企业合并增加的子公司，其自合并当期期初至合并日的经营成</w:t>
      </w:r>
      <w:r>
        <w:rPr>
          <w:spacing w:val="-83"/>
        </w:rPr>
        <w:t> </w:t>
      </w:r>
      <w:r>
        <w:rPr>
          <w:spacing w:val="-83"/>
        </w:rPr>
      </w:r>
      <w:r>
        <w:rPr/>
        <w:t>果和现金流量已经适当地包括在合并利润表和合并现金流量表中，并且同时调整合并财务报</w:t>
      </w:r>
      <w:r>
        <w:rPr>
          <w:spacing w:val="-83"/>
        </w:rPr>
        <w:t> </w:t>
      </w:r>
      <w:r>
        <w:rPr>
          <w:spacing w:val="-83"/>
        </w:rPr>
      </w:r>
      <w:r>
        <w:rPr/>
        <w:t>表的对比数。</w:t>
      </w:r>
    </w:p>
    <w:p>
      <w:pPr>
        <w:pStyle w:val="BodyText"/>
        <w:spacing w:line="357" w:lineRule="auto" w:before="36"/>
        <w:ind w:right="108" w:firstLine="480"/>
        <w:jc w:val="both"/>
      </w:pPr>
      <w:r>
        <w:rPr/>
        <w:t>在编制合并财务报表时，子公司与本公司采用的会计政策或会计期间不一致的，按照本</w:t>
      </w:r>
      <w:r>
        <w:rPr>
          <w:spacing w:val="1"/>
        </w:rPr>
        <w:t> </w:t>
      </w:r>
      <w:r>
        <w:rPr/>
        <w:t>公司的会计政策和会计期间对子公司财务报表进行必要的调整。对于非同一控制下企业合并</w:t>
      </w:r>
      <w:r>
        <w:rPr>
          <w:spacing w:val="-83"/>
        </w:rPr>
        <w:t> </w:t>
      </w:r>
      <w:r>
        <w:rPr>
          <w:spacing w:val="-83"/>
        </w:rPr>
      </w:r>
      <w:r>
        <w:rPr/>
        <w:t>取得的子公司，以购买日可辨认净资产公允价值为基础对其财务报表进行调整。</w:t>
      </w:r>
    </w:p>
    <w:p>
      <w:pPr>
        <w:pStyle w:val="BodyText"/>
        <w:spacing w:line="357" w:lineRule="auto" w:before="36"/>
        <w:ind w:left="633" w:right="94"/>
        <w:jc w:val="left"/>
      </w:pPr>
      <w:r>
        <w:rPr/>
        <w:t>集团内所有重大往来余额、交易及未实现利润在合并财务报表编制时予以抵销。 子公司的股东权益及当期净损益中不属于本公司所拥有的部分分别作为少数股东权益及</w:t>
      </w:r>
    </w:p>
    <w:p>
      <w:pPr>
        <w:spacing w:after="0" w:line="357" w:lineRule="auto"/>
        <w:jc w:val="left"/>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0" w:lineRule="auto" w:before="26"/>
        <w:ind w:right="107"/>
        <w:jc w:val="both"/>
      </w:pPr>
      <w:r>
        <w:rPr/>
        <w:t>少数股东损益在合并财务报表中股东权益及净利润项下单独列示。子公司当期净损益中属于</w:t>
      </w:r>
      <w:r>
        <w:rPr>
          <w:spacing w:val="-83"/>
        </w:rPr>
        <w:t> </w:t>
      </w:r>
      <w:r>
        <w:rPr>
          <w:spacing w:val="-83"/>
        </w:rPr>
      </w:r>
      <w:r>
        <w:rPr/>
        <w:t>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w:t>
      </w:r>
      <w:r>
        <w:rPr>
          <w:spacing w:val="-80"/>
        </w:rPr>
        <w:t> </w:t>
      </w:r>
      <w:r>
        <w:rPr/>
        <w:t>分担的子公司的亏损超过了少数股东在该子公司期初所有者权益中所享有的份额，冲减少数</w:t>
      </w:r>
      <w:r>
        <w:rPr>
          <w:spacing w:val="-83"/>
        </w:rPr>
        <w:t> </w:t>
      </w:r>
      <w:r>
        <w:rPr>
          <w:spacing w:val="-83"/>
        </w:rPr>
      </w:r>
      <w:r>
        <w:rPr/>
        <w:t>股东权益。</w:t>
      </w:r>
    </w:p>
    <w:p>
      <w:pPr>
        <w:pStyle w:val="BodyText"/>
        <w:spacing w:line="350" w:lineRule="auto" w:before="43"/>
        <w:ind w:right="111" w:firstLine="480"/>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w:t>
      </w:r>
      <w:r>
        <w:rPr>
          <w:spacing w:val="-3"/>
        </w:rPr>
        <w:t>失控制权时一并转为当期投资收益。其后，对该部分剩余股权按照《企业会计准则第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1"/>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 量，详见本附注四、</w:t>
      </w:r>
      <w:r>
        <w:rPr>
          <w:rFonts w:ascii="Times New Roman" w:hAnsi="Times New Roman" w:cs="Times New Roman" w:eastAsia="Times New Roman" w:hint="default"/>
        </w:rPr>
        <w:t>10“</w:t>
      </w:r>
      <w:r>
        <w:rPr/>
        <w:t>长期股权投资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7“</w:t>
      </w:r>
      <w:r>
        <w:rPr/>
        <w:t>金融工具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）对同一子公司的股权在连续两个会计年度买入再卖出，或卖出再买入的应披露相关的会计处理方法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08" w:firstLine="480"/>
        <w:jc w:val="both"/>
      </w:pPr>
      <w:r>
        <w:rPr/>
        <w:t>本公司现金及现金等价物包括库存现金、可以随时用于支付的存款以及本公司持有的期</w:t>
      </w:r>
      <w:r>
        <w:rPr>
          <w:spacing w:val="1"/>
        </w:rPr>
        <w:t> </w:t>
      </w:r>
      <w:r>
        <w:rPr/>
        <w:t>限短（一般为从购买日起，三个月内到期）、流动性强、易于转换为已知金额的现金、价值</w:t>
      </w:r>
      <w:r>
        <w:rPr>
          <w:spacing w:val="-83"/>
        </w:rPr>
        <w:t> </w:t>
      </w:r>
      <w:r>
        <w:rPr>
          <w:spacing w:val="-83"/>
        </w:rPr>
      </w:r>
      <w:r>
        <w:rPr/>
        <w:t>变动风险很小的投资。</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left="633" w:right="94"/>
        <w:jc w:val="left"/>
      </w:pPr>
      <w:r>
        <w:rPr/>
        <w:t>（</w:t>
      </w:r>
      <w:r>
        <w:rPr>
          <w:rFonts w:ascii="Times New Roman" w:hAnsi="Times New Roman" w:cs="Times New Roman" w:eastAsia="Times New Roman" w:hint="default"/>
        </w:rPr>
        <w:t>1</w:t>
      </w:r>
      <w:r>
        <w:rPr/>
        <w:t>）外币交易的折算方法 本公司发生的外币交易在初始确认时，按交易日的即期汇率（通常指中国人民银行公布</w:t>
      </w:r>
    </w:p>
    <w:p>
      <w:pPr>
        <w:pStyle w:val="BodyText"/>
        <w:spacing w:line="357" w:lineRule="auto" w:before="55"/>
        <w:ind w:right="108"/>
        <w:jc w:val="both"/>
      </w:pPr>
      <w:r>
        <w:rPr/>
        <w:t>的当日外汇牌价的中间价，下同）折算为记账本位币金额，但公司发生的外币兑换业务或涉</w:t>
      </w:r>
      <w:r>
        <w:rPr>
          <w:spacing w:val="-83"/>
        </w:rPr>
        <w:t> </w:t>
      </w:r>
      <w:r>
        <w:rPr>
          <w:spacing w:val="-83"/>
        </w:rPr>
      </w:r>
      <w:r>
        <w:rPr/>
        <w:t>及外币兑换的交易事项，按照实际采用的汇率折算为记账本位币金额。</w:t>
      </w:r>
    </w:p>
    <w:p>
      <w:pPr>
        <w:pStyle w:val="BodyText"/>
        <w:spacing w:line="338" w:lineRule="auto" w:before="36"/>
        <w:ind w:left="633" w:right="94"/>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240" w:lineRule="auto" w:before="55"/>
        <w:ind w:right="0"/>
        <w:jc w:val="both"/>
      </w:pPr>
      <w:r>
        <w:rPr/>
        <w:t>差额，除：①属于与购建符合资本化条件的资产相关的外币专门借款产生的汇兑差额按照借</w:t>
      </w:r>
    </w:p>
    <w:p>
      <w:pPr>
        <w:spacing w:after="0" w:line="240"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right="94"/>
        <w:jc w:val="left"/>
      </w:pPr>
      <w:r>
        <w:rPr/>
        <w:t>款费用资本化的原则处理；以及②可供出售的外币货币性项目除摊余成本之外的其他账面余</w:t>
      </w:r>
      <w:r>
        <w:rPr>
          <w:spacing w:val="-83"/>
        </w:rPr>
        <w:t> </w:t>
      </w:r>
      <w:r>
        <w:rPr>
          <w:spacing w:val="-83"/>
        </w:rPr>
      </w:r>
      <w:r>
        <w:rPr/>
        <w:t>额变动产生的汇兑差额计入其他综合收益之外，均计入当期损益。</w:t>
      </w:r>
      <w:r>
        <w:rPr/>
        <w:t> 以历史成本计量的外币非货币性项目，仍采用交易发生日的即期汇率折算的记账本位币金额</w:t>
      </w:r>
      <w:r>
        <w:rPr>
          <w:spacing w:val="-83"/>
        </w:rPr>
        <w:t> </w:t>
      </w:r>
      <w:r>
        <w:rPr>
          <w:spacing w:val="-83"/>
        </w:rPr>
      </w:r>
      <w:r>
        <w:rPr/>
        <w:t>计量。以公允价值计量的外币非货币性项目，采用公允价值确定日的即期汇率折算，折算后</w:t>
      </w:r>
      <w:r>
        <w:rPr>
          <w:spacing w:val="-83"/>
        </w:rPr>
        <w:t> </w:t>
      </w:r>
      <w:r>
        <w:rPr>
          <w:spacing w:val="-83"/>
        </w:rPr>
      </w:r>
      <w:r>
        <w:rPr/>
        <w:t>的记账本位币金额与原记账本位币金额的差额，作为公允价值变动（含汇率变动）处理，计</w:t>
      </w:r>
      <w:r>
        <w:rPr>
          <w:spacing w:val="-83"/>
        </w:rPr>
        <w:t> </w:t>
      </w:r>
      <w:r>
        <w:rPr>
          <w:spacing w:val="-83"/>
        </w:rPr>
      </w:r>
      <w:r>
        <w:rPr/>
        <w:t>入当期损益或确认为其他综合收益并计入资本公积。</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ind w:right="107" w:firstLine="480"/>
        <w:jc w:val="both"/>
      </w:pPr>
      <w:r>
        <w:rPr/>
        <w:t>编制合并财务报表涉及境外经营的，如有实质上构成对境外经营净投资的外币货币性项</w:t>
      </w:r>
      <w:r>
        <w:rPr>
          <w:spacing w:val="1"/>
        </w:rPr>
        <w:t> </w:t>
      </w:r>
      <w:r>
        <w:rPr/>
        <w:t>目，因汇率变动而产生的汇兑差额，列入所有者权益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w:t>
      </w:r>
      <w:r>
        <w:rPr>
          <w:spacing w:val="-80"/>
        </w:rPr>
        <w:t> </w:t>
      </w:r>
      <w:r>
        <w:rPr/>
        <w:t>营时，计入处置当期损益。</w:t>
      </w:r>
    </w:p>
    <w:p>
      <w:pPr>
        <w:pStyle w:val="BodyText"/>
        <w:spacing w:line="355" w:lineRule="auto" w:before="46"/>
        <w:ind w:right="107" w:firstLine="480"/>
        <w:jc w:val="both"/>
      </w:pPr>
      <w:r>
        <w:rPr/>
        <w:t>境外经营的外币财务报表按以下方法折算为人民币报表：资产负债表中的资产和负债项</w:t>
      </w:r>
      <w:r>
        <w:rPr>
          <w:spacing w:val="1"/>
        </w:rPr>
        <w:t> </w:t>
      </w:r>
      <w:r>
        <w:rPr/>
        <w:t>目，采用资产负债表日的即期汇率折算；所有者权益类项目除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w:t>
      </w:r>
      <w:r>
        <w:rPr>
          <w:spacing w:val="-80"/>
        </w:rPr>
        <w:t> </w:t>
      </w:r>
      <w:r>
        <w:rPr/>
        <w:t>目采用发生时的即期汇率折算。利润表中的收入和费用项目，采用交易发生日的即期汇率折</w:t>
      </w:r>
      <w:r>
        <w:rPr>
          <w:spacing w:val="-83"/>
        </w:rPr>
        <w:t> </w:t>
      </w:r>
      <w:r>
        <w:rPr>
          <w:spacing w:val="-83"/>
        </w:rPr>
      </w:r>
      <w:r>
        <w:rPr/>
        <w:t>算。年初未分配利润为上一年折算后的年末未分配利润；年末未分配利润按折算后的利润分</w:t>
      </w:r>
      <w:r>
        <w:rPr>
          <w:spacing w:val="-83"/>
        </w:rPr>
        <w:t> </w:t>
      </w:r>
      <w:r>
        <w:rPr>
          <w:spacing w:val="-83"/>
        </w:rPr>
      </w:r>
      <w:r>
        <w:rPr/>
        <w:t>配各项目计算列示；折算后资产类项目与负债类项目和股东权益类项目合计数的差额，作为</w:t>
      </w:r>
      <w:r>
        <w:rPr>
          <w:spacing w:val="-83"/>
        </w:rPr>
        <w:t> </w:t>
      </w:r>
      <w:r>
        <w:rPr>
          <w:spacing w:val="-83"/>
        </w:rPr>
      </w:r>
      <w:r>
        <w:rPr/>
        <w:t>外币报表折算差额，确认为其他综合收益并在资产负债表中股东权益项目下单独列示。处置</w:t>
      </w:r>
      <w:r>
        <w:rPr>
          <w:spacing w:val="-83"/>
        </w:rPr>
        <w:t> </w:t>
      </w:r>
      <w:r>
        <w:rPr>
          <w:spacing w:val="-83"/>
        </w:rPr>
      </w:r>
      <w:r>
        <w:rPr/>
        <w:t>境外经营并丧失控制权时，将资产负债表中股东权益项目下列示的、与该境外经营相关的外</w:t>
      </w:r>
      <w:r>
        <w:rPr>
          <w:spacing w:val="-83"/>
        </w:rPr>
        <w:t> </w:t>
      </w:r>
      <w:r>
        <w:rPr>
          <w:spacing w:val="-83"/>
        </w:rPr>
      </w:r>
      <w:r>
        <w:rPr/>
        <w:t>币报表折算差额，全部或按处置该境外经营的比例转入处置当期损益。</w:t>
      </w:r>
    </w:p>
    <w:p>
      <w:pPr>
        <w:pStyle w:val="BodyText"/>
        <w:spacing w:line="357" w:lineRule="auto" w:before="38"/>
        <w:ind w:right="110" w:firstLine="480"/>
        <w:jc w:val="both"/>
      </w:pPr>
      <w:r>
        <w:rPr/>
        <w:t>外币现金流量，采用现金流量发生日的即期汇率折算。汇率变动对现金的影响额作为调</w:t>
      </w:r>
      <w:r>
        <w:rPr>
          <w:spacing w:val="1"/>
        </w:rPr>
        <w:t> </w:t>
      </w:r>
      <w:r>
        <w:rPr/>
        <w:t>节项目，在现金流量表中单独列报。</w:t>
      </w:r>
    </w:p>
    <w:p>
      <w:pPr>
        <w:pStyle w:val="BodyText"/>
        <w:spacing w:line="240" w:lineRule="auto" w:before="36"/>
        <w:ind w:left="633" w:right="610"/>
        <w:jc w:val="left"/>
      </w:pPr>
      <w:r>
        <w:rPr/>
        <w:t>年初数和上年实际数按照上年财务报表折算后的数额列示。</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金融工具，是指形成一个企业的金融资产，并形成其他单位的金融负债或权益工具的合 同。金融工具包括金融资产、金融负债和权益工具。</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538" w:right="0"/>
        <w:jc w:val="left"/>
      </w:pPr>
      <w:r>
        <w:rPr>
          <w:spacing w:val="-3"/>
        </w:rPr>
        <w:t>以常规方式买卖金融资产，按交易日进行会计确认和终止确认。金融资产在初始确认时划</w:t>
      </w:r>
    </w:p>
    <w:p>
      <w:pPr>
        <w:spacing w:after="0" w:line="240" w:lineRule="auto"/>
        <w:jc w:val="left"/>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left="154" w:right="148"/>
        <w:jc w:val="both"/>
      </w:pPr>
      <w:r>
        <w:rPr/>
        <w:t>分为以公允价值计量且其变动计入当期损益的金融资产、持有至到期投资、贷款和应收款项 以及可供出售金融资产。</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初始确认金融资产，以公允价值计量。对于以公允价值计量且其变动计入当期损益的金 融资产，相关的交易费用直接计入当期损益，对于其他类别的金融资产，相关交易费用计入 初始确认金额。</w:t>
      </w:r>
    </w:p>
    <w:p>
      <w:pPr>
        <w:pStyle w:val="BodyText"/>
        <w:spacing w:line="357" w:lineRule="auto" w:before="36"/>
        <w:ind w:left="634" w:right="137"/>
        <w:jc w:val="left"/>
      </w:pPr>
      <w:r>
        <w:rPr/>
        <w:t>①</w:t>
      </w:r>
      <w:r>
        <w:rPr>
          <w:spacing w:val="-24"/>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45" w:lineRule="auto" w:before="5"/>
        <w:ind w:left="154" w:right="148"/>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 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348" w:lineRule="auto" w:before="48"/>
        <w:ind w:left="154" w:right="148"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57" w:lineRule="auto" w:before="46"/>
        <w:ind w:left="154" w:right="148"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57" w:lineRule="auto" w:before="36"/>
        <w:ind w:left="634" w:right="130"/>
        <w:jc w:val="left"/>
      </w:pPr>
      <w:r>
        <w:rPr/>
        <w:t>①</w:t>
      </w:r>
      <w:r>
        <w:rPr>
          <w:spacing w:val="-24"/>
        </w:rPr>
        <w:t> </w:t>
      </w:r>
      <w:r>
        <w:rPr/>
        <w:t>以公允价值计量且其变动计入当期损益的金融资产</w:t>
      </w:r>
      <w:r>
        <w:rPr/>
        <w:t> 包括交易性金融资产和指定为以公允价值计量且其变动计入当期损益的金融资产。本公</w:t>
      </w:r>
    </w:p>
    <w:p>
      <w:pPr>
        <w:pStyle w:val="BodyText"/>
        <w:spacing w:line="357" w:lineRule="auto" w:before="36"/>
        <w:ind w:left="634" w:right="137" w:hanging="480"/>
        <w:jc w:val="left"/>
      </w:pPr>
      <w:r>
        <w:rPr/>
        <w:t>司以公允价值计量且其变动计入当期损益的金融资产均为交易性金融资产。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48" w:lineRule="auto" w:before="5"/>
        <w:ind w:left="0" w:right="148"/>
        <w:jc w:val="right"/>
      </w:pPr>
      <w:r>
        <w:rPr>
          <w:spacing w:val="-1"/>
        </w:rPr>
        <w:t>为了近期内出售或回购；</w:t>
      </w:r>
      <w:r>
        <w:rPr>
          <w:rFonts w:ascii="Times New Roman" w:hAnsi="Times New Roman" w:cs="Times New Roman" w:eastAsia="Times New Roman" w:hint="default"/>
          <w:spacing w:val="-1"/>
        </w:rPr>
        <w:t>B.</w:t>
      </w:r>
      <w:r>
        <w:rPr>
          <w:spacing w:val="-1"/>
        </w:rPr>
        <w:t>属于进行集中管理的可辨认金融工具组合的一部分，且有客观证</w:t>
      </w:r>
      <w:r>
        <w:rPr>
          <w:spacing w:val="-109"/>
        </w:rPr>
        <w:t> </w:t>
      </w:r>
      <w:r>
        <w:rPr>
          <w:spacing w:val="-1"/>
        </w:rPr>
        <w:t>据表明本公司近期采用短期获利方式对该组合进行管理；</w:t>
      </w:r>
      <w:r>
        <w:rPr>
          <w:rFonts w:ascii="Times New Roman" w:hAnsi="Times New Roman" w:cs="Times New Roman" w:eastAsia="Times New Roman" w:hint="default"/>
          <w:spacing w:val="-1"/>
        </w:rPr>
        <w:t>C.</w:t>
      </w:r>
      <w:r>
        <w:rPr>
          <w:spacing w:val="-1"/>
        </w:rPr>
        <w:t>属于衍生工具，但是，被指定且</w:t>
      </w:r>
      <w:r>
        <w:rPr>
          <w:spacing w:val="-109"/>
        </w:rPr>
        <w:t> </w:t>
      </w:r>
      <w:r>
        <w:rPr/>
        <w:t>为有效套期工具的衍生工具、属于财务担保合同的衍生工具、与在活跃市场中没有报价且其 公允价值不能可靠计量的权益工具投资挂钩并须通过交付该权益工具结算的衍生工具除外。 交易性金融资产采用公允价值进行后续计量，公允价值变动形成的利得或损失以及与该</w:t>
      </w:r>
    </w:p>
    <w:p>
      <w:pPr>
        <w:spacing w:after="0" w:line="348" w:lineRule="auto"/>
        <w:jc w:val="right"/>
        <w:sectPr>
          <w:footerReference w:type="default" r:id="rId33"/>
          <w:pgSz w:w="11910" w:h="16840"/>
          <w:pgMar w:footer="982" w:header="851" w:top="1220" w:bottom="1180" w:left="980" w:right="1020"/>
          <w:pgNumType w:start="116"/>
        </w:sectPr>
      </w:pPr>
    </w:p>
    <w:p>
      <w:pPr>
        <w:spacing w:line="240" w:lineRule="auto" w:before="5"/>
        <w:rPr>
          <w:rFonts w:ascii="宋体" w:hAnsi="宋体" w:cs="宋体" w:eastAsia="宋体" w:hint="default"/>
          <w:sz w:val="16"/>
          <w:szCs w:val="16"/>
        </w:rPr>
      </w:pPr>
    </w:p>
    <w:p>
      <w:pPr>
        <w:pStyle w:val="BodyText"/>
        <w:spacing w:line="240" w:lineRule="auto" w:before="26"/>
        <w:ind w:left="154" w:right="610"/>
        <w:jc w:val="left"/>
      </w:pPr>
      <w:r>
        <w:rPr/>
        <w:t>金融资产相关的股利和利息收入计入当期损益。</w:t>
      </w:r>
    </w:p>
    <w:p>
      <w:pPr>
        <w:pStyle w:val="BodyText"/>
        <w:spacing w:line="357" w:lineRule="auto" w:before="154"/>
        <w:ind w:left="633" w:right="131"/>
        <w:jc w:val="left"/>
      </w:pPr>
      <w:r>
        <w:rPr/>
        <w:t>②</w:t>
      </w:r>
      <w:r>
        <w:rPr>
          <w:spacing w:val="-24"/>
        </w:rPr>
        <w:t> </w:t>
      </w:r>
      <w:r>
        <w:rPr/>
        <w:t>持有至到期投资</w:t>
      </w:r>
      <w:r>
        <w:rPr/>
        <w:t> 是指到期日固定、回收金额固定或可确定，且本公司有明确意图和能力持有至到期的非</w:t>
      </w:r>
    </w:p>
    <w:p>
      <w:pPr>
        <w:pStyle w:val="BodyText"/>
        <w:spacing w:line="357" w:lineRule="auto" w:before="36"/>
        <w:ind w:left="633" w:right="131" w:hanging="480"/>
        <w:jc w:val="left"/>
      </w:pPr>
      <w:r>
        <w:rPr/>
        <w:t>衍生金融资产。 持有至到期投资采用实际利率法，按摊余成本进行后续计量，在终止确认、发生减值或</w:t>
      </w:r>
    </w:p>
    <w:p>
      <w:pPr>
        <w:pStyle w:val="BodyText"/>
        <w:spacing w:line="357" w:lineRule="auto" w:before="36"/>
        <w:ind w:left="633" w:right="131" w:hanging="480"/>
        <w:jc w:val="left"/>
      </w:pPr>
      <w:r>
        <w:rPr/>
        <w:t>摊销时产生的利得或损失，计入当期损益。 实际利率法是指按照金融资产或金融负债（含一组金融资产或金融负债）的实际利率计</w:t>
      </w:r>
    </w:p>
    <w:p>
      <w:pPr>
        <w:pStyle w:val="BodyText"/>
        <w:spacing w:line="357" w:lineRule="auto" w:before="36"/>
        <w:ind w:right="148"/>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57" w:lineRule="auto" w:before="36"/>
        <w:ind w:right="148" w:firstLine="480"/>
        <w:jc w:val="both"/>
      </w:pPr>
      <w:r>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55" w:lineRule="auto" w:before="36"/>
        <w:ind w:right="148" w:firstLine="480"/>
        <w:jc w:val="both"/>
      </w:pPr>
      <w:r>
        <w:rPr/>
        <w:t>因持有意图或能力发生改变，使某项投资不再适合划分为持有至到期投资的，本公司将 其重分类为可供出售金融资产，并以公允价值进行后续计量。如持有至到期投资部分出售或 重分类的金额较大，且不属于《企业会计准则第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金融工具确认和计量》第十六条规定 的例外情况，使该投资的剩余部分不再适合划分为持有至到期投资的，本公司将该投资的剩 余部分重分类为可供出售金融资产，并以公允价值进行后续计量。重分类日，该投资的账面 价值与其公允价值之间的差额计入所有者权益，在该可供出售金融资产发生减值或终止确认 时转出，计入当期损益。</w:t>
      </w:r>
    </w:p>
    <w:p>
      <w:pPr>
        <w:pStyle w:val="BodyText"/>
        <w:spacing w:line="357" w:lineRule="auto" w:before="38"/>
        <w:ind w:left="633" w:right="131"/>
        <w:jc w:val="left"/>
      </w:pPr>
      <w:r>
        <w:rPr/>
        <w:t>③</w:t>
      </w:r>
      <w:r>
        <w:rPr>
          <w:spacing w:val="-24"/>
        </w:rPr>
        <w:t> </w:t>
      </w:r>
      <w:r>
        <w:rPr/>
        <w:t>贷款和应收款项</w:t>
      </w:r>
      <w:r>
        <w:rPr/>
        <w:t> 是指在活跃市场中没有报价、回收金额固定或可确定的非衍生金融资产。本公司划分为</w:t>
      </w:r>
    </w:p>
    <w:p>
      <w:pPr>
        <w:pStyle w:val="BodyText"/>
        <w:spacing w:line="357" w:lineRule="auto" w:before="36"/>
        <w:ind w:left="634" w:right="130" w:hanging="480"/>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40" w:lineRule="auto" w:before="36"/>
        <w:ind w:left="154" w:right="610"/>
        <w:jc w:val="left"/>
      </w:pPr>
      <w:r>
        <w:rPr/>
        <w:t>摊销时产生的利得或损失，计入当期损益。</w:t>
      </w:r>
    </w:p>
    <w:p>
      <w:pPr>
        <w:pStyle w:val="BodyText"/>
        <w:spacing w:line="357" w:lineRule="auto" w:before="154"/>
        <w:ind w:left="634" w:right="130"/>
        <w:jc w:val="left"/>
      </w:pPr>
      <w:r>
        <w:rPr/>
        <w:t>④</w:t>
      </w:r>
      <w:r>
        <w:rPr>
          <w:spacing w:val="-24"/>
        </w:rPr>
        <w:t> </w:t>
      </w:r>
      <w:r>
        <w:rPr/>
        <w:t>可供出售金融资产</w:t>
      </w:r>
      <w:r>
        <w:rPr/>
        <w:t> 包括初始确认时即被指定为可供出售的非衍生金融资产，以及除了以公允价值计量且其</w:t>
      </w:r>
    </w:p>
    <w:p>
      <w:pPr>
        <w:pStyle w:val="BodyText"/>
        <w:spacing w:line="357" w:lineRule="auto" w:before="36"/>
        <w:ind w:left="634" w:right="130" w:hanging="480"/>
        <w:jc w:val="left"/>
      </w:pPr>
      <w:r>
        <w:rPr/>
        <w:t>变动计入当期损益的金融资产、贷款和应收款项、持有至到期投资以外的金融资产。 可供出售金融资产采用公允价值进行后续计量，公允价值变动形成的利得或损失，除减</w:t>
      </w:r>
    </w:p>
    <w:p>
      <w:pPr>
        <w:spacing w:after="0" w:line="357" w:lineRule="auto"/>
        <w:jc w:val="left"/>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left="154" w:right="190"/>
        <w:jc w:val="left"/>
      </w:pPr>
      <w:r>
        <w:rPr/>
        <w:t>值损失和外币货币性金融资产与摊余成本相关的汇兑差额计入当期损益外，确认为其他综合 收益并计入资本公积，在该金融资产终止确认时转出，计入当期损益。</w:t>
      </w:r>
    </w:p>
    <w:p>
      <w:pPr>
        <w:pStyle w:val="BodyText"/>
        <w:spacing w:line="357" w:lineRule="auto" w:before="36"/>
        <w:ind w:right="208" w:firstLine="480"/>
        <w:jc w:val="both"/>
      </w:pPr>
      <w:r>
        <w:rPr/>
        <w:t>可供出售金融资产持有期间取得的利息及被投资单位宣告发放的现金股利，计入投资收 益。</w:t>
      </w:r>
    </w:p>
    <w:p>
      <w:pPr>
        <w:pStyle w:val="BodyText"/>
        <w:spacing w:line="352" w:lineRule="auto" w:before="36"/>
        <w:ind w:right="208" w:firstLine="480"/>
        <w:jc w:val="both"/>
      </w:pPr>
      <w:r>
        <w:rPr/>
        <w:t>因持有意图或能力发生改变，或公允价值不再能够可靠计量，或根据《企业会计准则第 </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金融工具确认和计量》第十六条规定将持有至到期投资重分类为可供出售金融资产的 期限已超过两个完整的会计年度，使金融资产不再适合按照公允价值计量时，本公司将可供 出售金融资产改按成本或摊余成本计量。重分类日，该金融资产的成本或摊余成本为该日的 公允价值或账面价值。</w:t>
      </w:r>
    </w:p>
    <w:p>
      <w:pPr>
        <w:pStyle w:val="BodyText"/>
        <w:spacing w:line="357" w:lineRule="auto" w:before="41"/>
        <w:ind w:right="208" w:firstLine="480"/>
        <w:jc w:val="both"/>
      </w:pPr>
      <w:r>
        <w:rPr/>
        <w:t>该金融资产有固定到期日的，与该金融资产相关、原计入其他综合收益的利得或损失， 在该金融资产的剩余期限内，采用实际利率法摊销，计入当期损益；该金融资产的摊余成本 与到期日金额之间的差额，在该金融资产的剩余期限内，采用实际利率法摊销，计入当期损 益。该金融资产没有固定到期日的，原计入其他综合收益的利得或损失仍保留在所有者权益 中，在该金融资产被处置时转出，计入当期损益。</w:t>
      </w:r>
    </w:p>
    <w:p>
      <w:pPr>
        <w:spacing w:line="240" w:lineRule="auto" w:before="8"/>
        <w:rPr>
          <w:rFonts w:ascii="宋体" w:hAnsi="宋体" w:cs="宋体" w:eastAsia="宋体" w:hint="default"/>
          <w:sz w:val="21"/>
          <w:szCs w:val="21"/>
        </w:rPr>
      </w:pPr>
    </w:p>
    <w:p>
      <w:pPr>
        <w:spacing w:before="0"/>
        <w:ind w:left="154" w:right="1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12" w:firstLine="480"/>
        <w:jc w:val="both"/>
      </w:pPr>
      <w:r>
        <w:rPr>
          <w:spacing w:val="-3"/>
        </w:rPr>
        <w:t>满足下列条件之一的金融资产，予以终止确认：①</w:t>
      </w:r>
      <w:r>
        <w:rPr>
          <w:spacing w:val="-20"/>
        </w:rPr>
        <w:t> </w:t>
      </w:r>
      <w:r>
        <w:rPr/>
        <w:t>收取该金融资产现金流量的合同权利</w:t>
      </w:r>
      <w:r>
        <w:rPr/>
        <w:t> 终止；②</w:t>
      </w:r>
      <w:r>
        <w:rPr>
          <w:spacing w:val="-24"/>
        </w:rPr>
        <w:t> </w:t>
      </w:r>
      <w:r>
        <w:rPr/>
        <w:t>该金融资产已转移，且将金融资产所有权上几乎所有的风险和报酬转移给转入方；</w:t>
      </w:r>
    </w:p>
    <w:p>
      <w:pPr>
        <w:pStyle w:val="BodyText"/>
        <w:spacing w:line="357" w:lineRule="auto" w:before="36"/>
        <w:ind w:right="191"/>
        <w:jc w:val="left"/>
      </w:pPr>
      <w:r>
        <w:rPr/>
        <w:t>③该金融资产已转移，虽然企业既没有转移也没有保留金融资产所有权上几乎所有的风险和 报酬，但是放弃了对该金融资产控制。</w:t>
      </w:r>
    </w:p>
    <w:p>
      <w:pPr>
        <w:pStyle w:val="BodyText"/>
        <w:spacing w:line="357" w:lineRule="auto" w:before="36"/>
        <w:ind w:right="208"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57" w:lineRule="auto" w:before="36"/>
        <w:ind w:right="208"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57" w:lineRule="auto" w:before="36"/>
        <w:ind w:right="208"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spacing w:after="0" w:line="357" w:lineRule="auto"/>
        <w:jc w:val="both"/>
        <w:sectPr>
          <w:pgSz w:w="11910" w:h="16840"/>
          <w:pgMar w:header="851" w:footer="982" w:top="1220" w:bottom="1180" w:left="980" w:right="960"/>
        </w:sectPr>
      </w:pPr>
    </w:p>
    <w:p>
      <w:pPr>
        <w:spacing w:line="240" w:lineRule="auto" w:before="8"/>
        <w:rPr>
          <w:rFonts w:ascii="宋体" w:hAnsi="宋体" w:cs="宋体" w:eastAsia="宋体" w:hint="default"/>
          <w:sz w:val="11"/>
          <w:szCs w:val="11"/>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268" w:firstLine="480"/>
        <w:jc w:val="both"/>
      </w:pPr>
      <w:r>
        <w:rPr/>
        <w:t>金融负债的现时义务全部或部分已经解除的，才能终止确认该金融负债或其一部分。本 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57" w:lineRule="auto" w:before="36"/>
        <w:ind w:left="154" w:right="268" w:firstLine="480"/>
        <w:jc w:val="both"/>
      </w:pPr>
      <w:r>
        <w:rPr/>
        <w:t>金融负债全部或部分终止确认的，将终止确认部分的账面价值与支付的对价（包括转出 的非现金资产或承担的新金融负债）之间的差额，计入当期损益。</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92" w:firstLine="480"/>
        <w:jc w:val="left"/>
      </w:pPr>
      <w:r>
        <w:rPr>
          <w:spacing w:val="-3"/>
        </w:rPr>
        <w:t>公允价值，指在公平交易中，熟悉情况的交易双方自愿进行资产交换或债务清偿的金额。</w:t>
      </w:r>
      <w:r>
        <w:rPr/>
        <w:t> 金融工具存在活跃市场的，本公司采用活跃市场中的报价确定其公允价值。活跃市场中的报 价是指易于定期从交易所、经纪商、行业协会、定价服务机构等获得的价格，且代表了在公 平交易中实际发生的市场交易的价格。金融工具不存在活跃市场的，本公司采用估值技术确 定其公允价值。估值技术包括参考熟悉情况并自愿交易的各方最近进行的市场交易中使用的 </w:t>
      </w:r>
      <w:r>
        <w:rPr>
          <w:spacing w:val="-2"/>
        </w:rPr>
        <w:t>价格、参照实质上相同的其他金融工具当前的公允价值、现金流量折现法和期权定价模型等。</w:t>
      </w:r>
    </w:p>
    <w:p>
      <w:pPr>
        <w:spacing w:line="240" w:lineRule="auto" w:before="8"/>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92" w:firstLine="480"/>
        <w:jc w:val="left"/>
      </w:pPr>
      <w:r>
        <w:rPr/>
        <w:t>除了以公允价值计量且其变动计入当期损益的金融资产外，本公司在每个资产负债表日 </w:t>
      </w:r>
      <w:r>
        <w:rPr>
          <w:spacing w:val="-2"/>
        </w:rPr>
        <w:t>对其他金融资产的账面价值进行检查，有客观证据表明金融资产发生减值的，计提减值准备。</w:t>
      </w:r>
    </w:p>
    <w:p>
      <w:pPr>
        <w:pStyle w:val="BodyText"/>
        <w:spacing w:line="357" w:lineRule="auto" w:before="36"/>
        <w:ind w:left="154" w:right="268" w:firstLine="480"/>
        <w:jc w:val="both"/>
      </w:pPr>
      <w:r>
        <w:rPr/>
        <w:t>本公司对单项金额重大的金融资产单独进行减值测试；对单项金额不重大的金融资产， 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BodyText"/>
        <w:spacing w:line="357" w:lineRule="auto" w:before="36"/>
        <w:ind w:left="634" w:right="250"/>
        <w:jc w:val="left"/>
      </w:pPr>
      <w:r>
        <w:rPr/>
        <w:t>①</w:t>
      </w:r>
      <w:r>
        <w:rPr>
          <w:spacing w:val="-24"/>
        </w:rPr>
        <w:t> </w:t>
      </w:r>
      <w:r>
        <w:rPr/>
        <w:t>持有至到期投资、贷款和应收款项减值</w:t>
      </w:r>
      <w:r>
        <w:rPr/>
        <w:t> 以成本或摊余成本计量的金融资产将其账面价值减记至预计未来现金流量现值，减记金</w:t>
      </w:r>
    </w:p>
    <w:p>
      <w:pPr>
        <w:pStyle w:val="BodyText"/>
        <w:spacing w:line="357" w:lineRule="auto" w:before="36"/>
        <w:ind w:left="154" w:right="268"/>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w:t>
      </w:r>
    </w:p>
    <w:p>
      <w:pPr>
        <w:spacing w:after="0" w:line="357" w:lineRule="auto"/>
        <w:jc w:val="both"/>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240" w:lineRule="auto" w:before="26"/>
        <w:ind w:left="154" w:right="95"/>
        <w:jc w:val="left"/>
      </w:pPr>
      <w:r>
        <w:rPr/>
        <w:t>的摊余成本。</w:t>
      </w:r>
    </w:p>
    <w:p>
      <w:pPr>
        <w:pStyle w:val="BodyText"/>
        <w:spacing w:line="357" w:lineRule="auto" w:before="154"/>
        <w:ind w:left="633" w:right="251"/>
        <w:jc w:val="left"/>
      </w:pPr>
      <w:r>
        <w:rPr/>
        <w:t>②</w:t>
      </w:r>
      <w:r>
        <w:rPr>
          <w:spacing w:val="-24"/>
        </w:rPr>
        <w:t> </w:t>
      </w:r>
      <w:r>
        <w:rPr/>
        <w:t>可供出售金融资产减值</w:t>
      </w:r>
      <w:r>
        <w:rPr/>
        <w:t> 当综合相关因素判断可供出售权益工具投资公允价值下跌是严重或非暂时性下跌时，表</w:t>
      </w:r>
    </w:p>
    <w:p>
      <w:pPr>
        <w:pStyle w:val="BodyText"/>
        <w:spacing w:line="240" w:lineRule="auto" w:before="36"/>
        <w:ind w:right="0"/>
        <w:jc w:val="left"/>
      </w:pPr>
      <w:r>
        <w:rPr/>
        <w:t>明该可供出售权益工具投资发生减值。其中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p>
    <w:p>
      <w:pPr>
        <w:pStyle w:val="BodyText"/>
        <w:spacing w:line="338" w:lineRule="auto" w:before="135"/>
        <w:ind w:left="634" w:right="250" w:hanging="480"/>
        <w:jc w:val="left"/>
      </w:pP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可供出售金融资产发生减值时，将原计入资本公积的因公允价值下降形成的累计损失予</w:t>
      </w:r>
    </w:p>
    <w:p>
      <w:pPr>
        <w:pStyle w:val="BodyText"/>
        <w:spacing w:line="357" w:lineRule="auto" w:before="55"/>
        <w:ind w:left="154" w:right="250"/>
        <w:jc w:val="left"/>
      </w:pPr>
      <w:r>
        <w:rPr/>
        <w:t>以转出并计入当期损益，该转出的累计损失为该资产初始取得成本扣除已收回本金和已摊销 金额、当前公允价值和原已计入损益的减值损失后的余额。</w:t>
      </w:r>
    </w:p>
    <w:p>
      <w:pPr>
        <w:pStyle w:val="BodyText"/>
        <w:spacing w:line="357" w:lineRule="auto" w:before="36"/>
        <w:ind w:left="154" w:right="268"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57" w:lineRule="auto" w:before="36"/>
        <w:ind w:left="154" w:right="268" w:firstLine="480"/>
        <w:jc w:val="both"/>
      </w:pPr>
      <w:r>
        <w:rPr/>
        <w:t>在活跃市场中没有报价且其公允价值不能可靠计量的权益工具投资，或与该权益工具挂 钩并须通过交付该权益工具结算的衍生金融资产的减值损失，不予转回。</w:t>
      </w:r>
    </w:p>
    <w:p>
      <w:pPr>
        <w:spacing w:line="240" w:lineRule="auto" w:before="8"/>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）将尚未到期的持有至到期投资重分类为可供出售金融资产的，说明持有意图或能力发生改变的依据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left="633" w:right="251"/>
        <w:jc w:val="left"/>
      </w:pPr>
      <w:r>
        <w:rPr/>
        <w:t>（</w:t>
      </w:r>
      <w:r>
        <w:rPr>
          <w:rFonts w:ascii="Times New Roman" w:hAnsi="Times New Roman" w:cs="Times New Roman" w:eastAsia="Times New Roman" w:hint="default"/>
        </w:rPr>
        <w:t>1</w:t>
      </w:r>
      <w:r>
        <w:rPr/>
        <w:t>）坏账准备的确认标准 本公司在资产负债表日对应收款项账面价值进行检查，对存在下列客观证据表明应收款</w:t>
      </w:r>
    </w:p>
    <w:p>
      <w:pPr>
        <w:pStyle w:val="BodyText"/>
        <w:spacing w:line="338" w:lineRule="auto" w:before="55"/>
        <w:ind w:right="228"/>
        <w:jc w:val="both"/>
      </w:pPr>
      <w:r>
        <w:rPr>
          <w:spacing w:val="-2"/>
        </w:rPr>
        <w:t>项发生减值的，计提减值准备：</w:t>
      </w:r>
      <w:r>
        <w:rPr>
          <w:rFonts w:ascii="Times New Roman" w:hAnsi="Times New Roman" w:cs="Times New Roman" w:eastAsia="Times New Roman" w:hint="default"/>
          <w:spacing w:val="-2"/>
        </w:rPr>
        <w:t>a</w:t>
      </w:r>
      <w:r>
        <w:rPr>
          <w:spacing w:val="-2"/>
        </w:rPr>
        <w:t>、债务人破产或死亡，以其破产财产或遗产依法清偿后，仍</w:t>
      </w:r>
      <w:r>
        <w:rPr>
          <w:spacing w:val="-109"/>
        </w:rPr>
        <w:t> </w:t>
      </w:r>
      <w:r>
        <w:rPr>
          <w:spacing w:val="-109"/>
        </w:rPr>
      </w:r>
      <w:r>
        <w:rPr>
          <w:spacing w:val="-3"/>
        </w:rPr>
        <w:t>然不能收回的款项；</w:t>
      </w:r>
      <w:r>
        <w:rPr>
          <w:rFonts w:ascii="Times New Roman" w:hAnsi="Times New Roman" w:cs="Times New Roman" w:eastAsia="Times New Roman" w:hint="default"/>
          <w:spacing w:val="-3"/>
        </w:rPr>
        <w:t>b</w:t>
      </w:r>
      <w:r>
        <w:rPr>
          <w:spacing w:val="-3"/>
        </w:rPr>
        <w:t>、债务人逾期未履行偿债义务，并且具有明显特征表明确实不能收回的</w:t>
      </w:r>
      <w:r>
        <w:rPr>
          <w:spacing w:val="-81"/>
        </w:rPr>
        <w:t> </w:t>
      </w:r>
      <w:r>
        <w:rPr>
          <w:spacing w:val="-81"/>
        </w:rPr>
      </w:r>
      <w:r>
        <w:rPr/>
        <w:t>款项。</w:t>
      </w:r>
    </w:p>
    <w:p>
      <w:pPr>
        <w:pStyle w:val="BodyText"/>
        <w:spacing w:line="240" w:lineRule="auto" w:before="55"/>
        <w:ind w:left="633" w:right="95"/>
        <w:jc w:val="left"/>
      </w:pPr>
      <w:r>
        <w:rPr/>
        <w:t>以上确实不能收回的款项，报经董事会批准后作为坏账转销。</w:t>
      </w:r>
    </w:p>
    <w:p>
      <w:pPr>
        <w:pStyle w:val="BodyText"/>
        <w:spacing w:line="240" w:lineRule="auto" w:before="154"/>
        <w:ind w:left="633" w:right="95"/>
        <w:jc w:val="left"/>
      </w:pPr>
      <w:r>
        <w:rPr/>
        <w:t>（</w:t>
      </w:r>
      <w:r>
        <w:rPr>
          <w:rFonts w:ascii="Times New Roman" w:hAnsi="Times New Roman" w:cs="Times New Roman" w:eastAsia="Times New Roman" w:hint="default"/>
        </w:rPr>
        <w:t>2</w:t>
      </w:r>
      <w:r>
        <w:rPr/>
        <w:t>）坏账准备的计提方法</w:t>
      </w:r>
    </w:p>
    <w:p>
      <w:pPr>
        <w:pStyle w:val="BodyText"/>
        <w:spacing w:line="357" w:lineRule="auto" w:before="135"/>
        <w:ind w:left="634" w:right="95"/>
        <w:jc w:val="left"/>
      </w:pPr>
      <w:r>
        <w:rPr/>
        <w:t>①</w:t>
      </w:r>
      <w:r>
        <w:rPr>
          <w:spacing w:val="-24"/>
        </w:rPr>
        <w:t> </w:t>
      </w:r>
      <w:r>
        <w:rPr/>
        <w:t>单项金额重大并单项计提坏账准备的应收款项坏账准备的确认标准、计提方法</w:t>
      </w:r>
      <w:r>
        <w:rPr/>
        <w:t> </w:t>
      </w:r>
      <w:r>
        <w:rPr>
          <w:spacing w:val="3"/>
        </w:rPr>
        <w:t>本公司将金额为人民币</w:t>
      </w:r>
      <w:r>
        <w:rPr>
          <w:rFonts w:ascii="Times New Roman" w:hAnsi="Times New Roman" w:cs="Times New Roman" w:eastAsia="Times New Roman" w:hint="default"/>
          <w:spacing w:val="3"/>
        </w:rPr>
        <w:t>100</w:t>
      </w:r>
      <w:r>
        <w:rPr>
          <w:spacing w:val="3"/>
        </w:rPr>
        <w:t>万元以上的应收账款及</w:t>
      </w:r>
      <w:r>
        <w:rPr>
          <w:rFonts w:ascii="Times New Roman" w:hAnsi="Times New Roman" w:cs="Times New Roman" w:eastAsia="Times New Roman" w:hint="default"/>
          <w:spacing w:val="3"/>
        </w:rPr>
        <w:t>50</w:t>
      </w:r>
      <w:r>
        <w:rPr>
          <w:spacing w:val="3"/>
        </w:rPr>
        <w:t>万元以上的其他应收款确认为单项</w:t>
      </w:r>
    </w:p>
    <w:p>
      <w:pPr>
        <w:pStyle w:val="BodyText"/>
        <w:spacing w:line="357" w:lineRule="auto" w:before="5"/>
        <w:ind w:left="634" w:right="95" w:hanging="480"/>
        <w:jc w:val="left"/>
      </w:pPr>
      <w:r>
        <w:rPr/>
        <w:t>金额重大的应收款项。 </w:t>
      </w:r>
      <w:r>
        <w:rPr>
          <w:spacing w:val="-3"/>
        </w:rPr>
        <w:t>本公司对单项金额重大的应收款项单独进行减值测试，单独测试未发生减值的金融资产，</w:t>
      </w:r>
    </w:p>
    <w:p>
      <w:pPr>
        <w:pStyle w:val="BodyText"/>
        <w:spacing w:line="357" w:lineRule="auto" w:before="36"/>
        <w:ind w:left="154" w:right="92"/>
        <w:jc w:val="left"/>
      </w:pPr>
      <w:r>
        <w:rPr>
          <w:spacing w:val="-2"/>
        </w:rPr>
        <w:t>包括在具有类似信用风险特征的金融资产组合中进行减值测试。其中，合并范围内的关联方、</w:t>
      </w:r>
      <w:r>
        <w:rPr/>
        <w:t> 押金、保证金不计提坏账；其他关联方及非关联方的应收款项，以账龄为信用风险组合，按</w:t>
      </w:r>
    </w:p>
    <w:p>
      <w:pPr>
        <w:spacing w:after="0" w:line="357"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57" w:lineRule="auto" w:before="26"/>
        <w:ind w:left="633" w:right="94" w:hanging="480"/>
        <w:jc w:val="left"/>
      </w:pPr>
      <w:r>
        <w:rPr/>
        <w:t>账龄分析法计提坏账准备。 对于单项金额非重大的应收款项，如果有客观证据表明其发生了减值的应收款项，单独</w:t>
      </w:r>
    </w:p>
    <w:p>
      <w:pPr>
        <w:pStyle w:val="BodyText"/>
        <w:spacing w:line="357" w:lineRule="auto" w:before="36"/>
        <w:ind w:left="633" w:right="94" w:hanging="480"/>
        <w:jc w:val="left"/>
      </w:pPr>
      <w:r>
        <w:rPr/>
        <w:t>确认减值损失。 单项测试已确认减值损失的应收款项，不再包括在具有类似信用风险特征的应收款项组</w:t>
      </w:r>
    </w:p>
    <w:p>
      <w:pPr>
        <w:pStyle w:val="BodyText"/>
        <w:spacing w:line="240" w:lineRule="auto" w:before="36"/>
        <w:ind w:right="610"/>
        <w:jc w:val="left"/>
      </w:pPr>
      <w:r>
        <w:rPr/>
        <w:t>合中进行减值测试。</w:t>
      </w:r>
    </w:p>
    <w:p>
      <w:pPr>
        <w:pStyle w:val="BodyText"/>
        <w:spacing w:line="348" w:lineRule="auto" w:before="154"/>
        <w:ind w:left="634" w:right="94"/>
        <w:jc w:val="left"/>
      </w:pPr>
      <w:r>
        <w:rPr/>
        <w:t>②</w:t>
      </w:r>
      <w:r>
        <w:rPr>
          <w:spacing w:val="-24"/>
        </w:rPr>
        <w:t> </w:t>
      </w:r>
      <w:r>
        <w:rPr/>
        <w:t>按信用风险组合计提坏账准备的应收款项的确定依据、坏账准备计提方法</w:t>
      </w:r>
      <w:r>
        <w:rPr/>
        <w:t> </w:t>
      </w:r>
      <w:r>
        <w:rPr>
          <w:rFonts w:ascii="Times New Roman" w:hAnsi="Times New Roman" w:cs="Times New Roman" w:eastAsia="Times New Roman" w:hint="default"/>
        </w:rPr>
        <w:t>A</w:t>
      </w:r>
      <w:r>
        <w:rPr/>
        <w:t>．信用风险特征组合的确定依据 本公司对单项金额不重大以及金额重大但单项测试未发生减值的应收款项，按信用风险</w:t>
      </w:r>
    </w:p>
    <w:p>
      <w:pPr>
        <w:pStyle w:val="BodyText"/>
        <w:spacing w:line="357" w:lineRule="auto" w:before="46"/>
        <w:ind w:left="154" w:right="108"/>
        <w:jc w:val="both"/>
      </w:pPr>
      <w:r>
        <w:rPr/>
        <w:t>特征的相似性和相关性对金融资产进行分组。这些信用风险通常反映债务人按照该等资产的</w:t>
      </w:r>
      <w:r>
        <w:rPr>
          <w:spacing w:val="-83"/>
        </w:rPr>
        <w:t> </w:t>
      </w:r>
      <w:r>
        <w:rPr>
          <w:spacing w:val="-83"/>
        </w:rPr>
      </w:r>
      <w:r>
        <w:rPr/>
        <w:t>合同条款偿还所有到期金额的能力，并且与被检查资产的未来现金流量测算相关。确定以账</w:t>
      </w:r>
      <w:r>
        <w:rPr>
          <w:spacing w:val="-83"/>
        </w:rPr>
        <w:t> </w:t>
      </w:r>
      <w:r>
        <w:rPr>
          <w:spacing w:val="-83"/>
        </w:rPr>
      </w:r>
      <w:r>
        <w:rPr/>
        <w:t>龄为信用风险组合。</w:t>
      </w:r>
    </w:p>
    <w:p>
      <w:pPr>
        <w:pStyle w:val="BodyText"/>
        <w:spacing w:line="338" w:lineRule="auto" w:before="36"/>
        <w:ind w:left="634" w:right="94"/>
        <w:jc w:val="left"/>
      </w:pPr>
      <w:r>
        <w:rPr>
          <w:rFonts w:ascii="Times New Roman" w:hAnsi="Times New Roman" w:cs="Times New Roman" w:eastAsia="Times New Roman" w:hint="default"/>
        </w:rPr>
        <w:t>B</w:t>
      </w:r>
      <w:r>
        <w:rPr/>
        <w:t>．根据信用风险特征组合确定的坏账准备计提方法 按组合方式实施减值测试时，坏账准备金额系根据应收款项组合结构及类似信用风险特</w:t>
      </w:r>
    </w:p>
    <w:p>
      <w:pPr>
        <w:pStyle w:val="BodyText"/>
        <w:spacing w:line="357" w:lineRule="auto" w:before="55"/>
        <w:ind w:left="154" w:right="108"/>
        <w:jc w:val="both"/>
      </w:pPr>
      <w:r>
        <w:rPr/>
        <w:t>征（债务人根据合同条款偿还欠款的能力）按历史损失经验及目前经济状况与预计应收款项</w:t>
      </w:r>
      <w:r>
        <w:rPr>
          <w:spacing w:val="-83"/>
        </w:rPr>
        <w:t> </w:t>
      </w:r>
      <w:r>
        <w:rPr>
          <w:spacing w:val="-83"/>
        </w:rPr>
      </w:r>
      <w:r>
        <w:rPr/>
        <w:t>组合中已经存在的损失评估确定。</w:t>
      </w:r>
    </w:p>
    <w:p>
      <w:pPr>
        <w:pStyle w:val="BodyText"/>
        <w:spacing w:line="240" w:lineRule="auto" w:before="36"/>
        <w:ind w:left="634" w:right="610"/>
        <w:jc w:val="left"/>
      </w:pPr>
      <w:r>
        <w:rPr/>
        <w:t>采用账龄分析法计提坏账准备的组合计提方法：</w:t>
      </w:r>
    </w:p>
    <w:p>
      <w:pPr>
        <w:spacing w:line="240" w:lineRule="auto" w:before="9"/>
        <w:rPr>
          <w:rFonts w:ascii="宋体" w:hAnsi="宋体" w:cs="宋体" w:eastAsia="宋体" w:hint="default"/>
          <w:sz w:val="8"/>
          <w:szCs w:val="8"/>
        </w:rPr>
      </w:pPr>
    </w:p>
    <w:tbl>
      <w:tblPr>
        <w:tblW w:w="0" w:type="auto"/>
        <w:jc w:val="left"/>
        <w:tblInd w:w="438" w:type="dxa"/>
        <w:tblLayout w:type="fixed"/>
        <w:tblCellMar>
          <w:top w:w="0" w:type="dxa"/>
          <w:left w:w="0" w:type="dxa"/>
          <w:bottom w:w="0" w:type="dxa"/>
          <w:right w:w="0" w:type="dxa"/>
        </w:tblCellMar>
        <w:tblLook w:val="01E0"/>
      </w:tblPr>
      <w:tblGrid>
        <w:gridCol w:w="3206"/>
        <w:gridCol w:w="3034"/>
        <w:gridCol w:w="2815"/>
      </w:tblGrid>
      <w:tr>
        <w:trPr>
          <w:trHeight w:val="347" w:hRule="exact"/>
        </w:trPr>
        <w:tc>
          <w:tcPr>
            <w:tcW w:w="3206" w:type="dxa"/>
            <w:tcBorders>
              <w:top w:val="single" w:sz="6" w:space="0" w:color="000000"/>
              <w:left w:val="single" w:sz="6" w:space="0" w:color="000000"/>
              <w:bottom w:val="single" w:sz="6" w:space="0" w:color="000000"/>
              <w:right w:val="single" w:sz="6" w:space="0" w:color="000000"/>
            </w:tcBorders>
          </w:tcPr>
          <w:p>
            <w:pPr>
              <w:pStyle w:val="TableParagraph"/>
              <w:tabs>
                <w:tab w:pos="461"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7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62" w:right="0"/>
              <w:jc w:val="left"/>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7" w:hRule="exact"/>
        </w:trPr>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5.00</w:t>
            </w:r>
          </w:p>
        </w:tc>
      </w:tr>
      <w:tr>
        <w:trPr>
          <w:trHeight w:val="347" w:hRule="exact"/>
        </w:trPr>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48" w:hRule="exact"/>
        </w:trPr>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47" w:hRule="exact"/>
        </w:trPr>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50.00</w:t>
            </w:r>
          </w:p>
        </w:tc>
      </w:tr>
      <w:tr>
        <w:trPr>
          <w:trHeight w:val="347" w:hRule="exact"/>
        </w:trPr>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年以上</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68"/>
              <w:jc w:val="left"/>
              <w:rPr>
                <w:rFonts w:ascii="宋体" w:hAnsi="宋体" w:cs="宋体" w:eastAsia="宋体" w:hint="default"/>
                <w:sz w:val="18"/>
                <w:szCs w:val="18"/>
              </w:rPr>
            </w:pPr>
            <w:r>
              <w:rPr>
                <w:rFonts w:ascii="宋体" w:hAnsi="宋体" w:cs="宋体" w:eastAsia="宋体" w:hint="default"/>
                <w:sz w:val="18"/>
                <w:szCs w:val="18"/>
              </w:rPr>
              <w:t>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万元以上的 其他应收款。</w:t>
            </w:r>
          </w:p>
        </w:tc>
      </w:tr>
      <w:tr>
        <w:trPr>
          <w:trHeight w:val="403"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spacing w:after="0" w:line="240" w:lineRule="auto"/>
        <w:jc w:val="center"/>
        <w:rPr>
          <w:rFonts w:ascii="宋体" w:hAnsi="宋体" w:cs="宋体" w:eastAsia="宋体"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b/>
          <w:bCs/>
          <w:sz w:val="15"/>
          <w:szCs w:val="1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6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43"/>
        <w:gridCol w:w="6225"/>
      </w:tblGrid>
      <w:tr>
        <w:trPr>
          <w:trHeight w:val="402" w:hRule="exact"/>
        </w:trPr>
        <w:tc>
          <w:tcPr>
            <w:tcW w:w="3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有客观证据表明其发生了减值的应收款项，单独确认减值损失。</w:t>
            </w:r>
          </w:p>
        </w:tc>
      </w:tr>
      <w:tr>
        <w:trPr>
          <w:trHeight w:val="402" w:hRule="exact"/>
        </w:trPr>
        <w:tc>
          <w:tcPr>
            <w:tcW w:w="3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154" w:right="610"/>
        <w:jc w:val="left"/>
      </w:pPr>
      <w:r>
        <w:rPr/>
        <w:t>存货主要包括原材料、在产品及自制半成品、发出商品、产成品、库存商品等。</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357" w:lineRule="auto" w:before="144"/>
        <w:ind w:right="110" w:firstLine="480"/>
        <w:jc w:val="both"/>
      </w:pPr>
      <w:r>
        <w:rPr/>
        <w:t>存货在取得时按实际成本计价，存货成本包括采购成本、加工成本和其他成本。领用和</w:t>
      </w:r>
      <w:r>
        <w:rPr>
          <w:spacing w:val="1"/>
        </w:rPr>
        <w:t> </w:t>
      </w:r>
      <w:r>
        <w:rPr/>
        <w:t>发出时按加权平均法计价。</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spacing w:after="0" w:line="357"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left="154" w:right="148"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57" w:lineRule="auto" w:before="36"/>
        <w:ind w:left="154" w:right="148"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10"/>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7931"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 包装物 摊销方法：一次摊销法</w:t>
      </w:r>
    </w:p>
    <w:p>
      <w:pPr>
        <w:spacing w:line="240" w:lineRule="auto" w:before="13"/>
        <w:rPr>
          <w:rFonts w:ascii="宋体" w:hAnsi="宋体" w:cs="宋体" w:eastAsia="宋体" w:hint="default"/>
          <w:sz w:val="19"/>
          <w:szCs w:val="19"/>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对于企业合并形成的长期股权投资，如为同一控制下的企业合并取得的长期股权投资， 在合并日按照取得被合并方所有者权益账面价值的份额作为初始投资成本。通过非同一控制 下的企业合并取得的长期股权投资，企业合并成本包括购买方付出的资产、发生或承担的负 债、发行的权益性证券的公允价值之和；购买方为企业合并发生的审计、法律服务、评估咨 询等中介费用以及其他相关管理费用，应当于发生时计入当期损益；购买方作为合并对价发 行的权益性证券或债务性证券的交易费用，应当计入权益性证券或债务性证券的初始确认金 额。除企业合并形成的长期股权投资外的其他股权投资，按成本进行初始计量，该成本视长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w:t>
      </w:r>
    </w:p>
    <w:p>
      <w:pPr>
        <w:spacing w:after="0" w:line="357" w:lineRule="auto"/>
        <w:jc w:val="both"/>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11" w:firstLine="480"/>
        <w:jc w:val="both"/>
      </w:pPr>
      <w:r>
        <w:rPr/>
        <w:t>对被投资单位不具有共同控制或重大影响并且在活跃市场中没有报价、公允价值不能可 靠计量的长期股权投资，采用成本法核算；对被投资单位具有共同控制或重大影响的长期股 权投资，采用权益法核算；对被投资单位不具有控制、共同控制或重大影响并且公允价值能 够可靠计量的长期股权投资，作为可供出售金融资产或以公允价值计量且其变动计入当期损 益的金融资产核算。此外，公司财务报表采用成本法核算能够对被投资单位实施控制的长期 </w:t>
      </w:r>
      <w:r>
        <w:rPr>
          <w:spacing w:val="-7"/>
        </w:rPr>
        <w:t>股权投资。①</w:t>
      </w:r>
      <w:r>
        <w:rPr>
          <w:spacing w:val="-38"/>
        </w:rPr>
        <w:t> </w:t>
      </w:r>
      <w:r>
        <w:rPr/>
        <w:t>成本法核算的长期股权投资采用成本法核算时，长期股权投资按初始投资成本</w:t>
      </w:r>
      <w:r>
        <w:rPr/>
        <w:t> 计价，除取得投资时实际支付的价款或者对价中包含的已宣告但尚未发放的现金股利或者利 </w:t>
      </w:r>
      <w:r>
        <w:rPr>
          <w:spacing w:val="-3"/>
        </w:rPr>
        <w:t>润外，当期投资收益按照享有被投资单位宣告发放的现金股利或利润确认。②</w:t>
      </w:r>
      <w:r>
        <w:rPr>
          <w:spacing w:val="18"/>
        </w:rPr>
        <w:t> </w:t>
      </w:r>
      <w:r>
        <w:rPr/>
        <w:t>权益法核算的</w:t>
      </w:r>
      <w:r>
        <w:rPr/>
        <w:t> 长期股权投资采用权益法核算时，长期股权投资的初始投资成本大于投资时应享有被投资单 位可辨认净资产公允价值份额的，不调整长期股权投资的初始投资成本；初始投资成本小于 投资时应享有被投资单位可辨认净资产公允价值份额的，其差额计入当期损益，同时调整长 期股权投资的成本。采用权益法核算时，当期投资损益为应享有或应分担的被投资单位当年 实现的净损益的份额。在确认应享有被投资单位净损益的份额时，以取得投资时被投资单位 各项可辨认资产等的公允价值为基础，并按照本公司的会计政策及会计期间，对被投资单位 的净利润进行调整后确认。对于本公司与联营企业及合营之间发生的未实现内部交易损益， 按照持股比例计算属于本公司的部分予以抵销，在此基础上确认投资损益。但本公司与被投 资单位发生的未实现内部交易损失，按照《企业会计准则第</w:t>
      </w:r>
      <w:r>
        <w:rPr>
          <w:spacing w:val="-60"/>
        </w:rPr>
        <w:t>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资产减值》等规定属于 所转让资产减值损失的，不予以抵销。对被投资单位的其他综合收益，相应调整长期股权投 资的账面价值确认为其他综合收益并计入资本公积。在确认应分担被投资单位发生的净亏损 时，以长期股权投资的账面价值和其他实质上构成对被投资单位净投资的长期权益减记至零 为限。此外，如本公司对被投资单位负有承担额外损失的义务，则按预计承担的义务确认预 计负债，计入当期投资损失。被投资单位以后期间实现净利润的，本公司在收益分享额弥补 </w:t>
      </w:r>
      <w:r>
        <w:rPr>
          <w:spacing w:val="-3"/>
        </w:rPr>
        <w:t>未确认的亏损分担额后，恢复确认收益分享额。③</w:t>
      </w:r>
      <w:r>
        <w:rPr>
          <w:spacing w:val="-17"/>
        </w:rPr>
        <w:t> </w:t>
      </w:r>
      <w:r>
        <w:rPr/>
        <w:t>收购少数股权在编制合并财务报表时，因</w:t>
      </w:r>
      <w:r>
        <w:rPr/>
        <w:t> 购买少数股权新增的长期股权投资与按照新增持股比例计算应享有子公司自购买日（或合并 日）开始持续计算的净资产份额之间的差额，调整资本公积，资本公积不足冲减的，调整留 </w:t>
      </w:r>
      <w:r>
        <w:rPr>
          <w:spacing w:val="-9"/>
        </w:rPr>
        <w:t>存收益。④</w:t>
      </w:r>
      <w:r>
        <w:rPr>
          <w:spacing w:val="-35"/>
        </w:rPr>
        <w:t> </w:t>
      </w:r>
      <w:r>
        <w:rPr/>
        <w:t>处置长期股权投资在合并财务报表中，母公司在不丧失控制权的情况下部分处置</w:t>
      </w:r>
      <w:r>
        <w:rPr/>
        <w:t> 对子公司的长期股权投资，处置价款与处置长期股权投资相对应享有子公司净资产的差额计 入所有者权益；母公司部分处置对子公司的长期股权投资导致丧失对子公司控制权的，按本</w:t>
      </w:r>
    </w:p>
    <w:p>
      <w:pPr>
        <w:spacing w:after="0" w:line="357"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2" w:lineRule="auto" w:before="26"/>
        <w:ind w:right="110"/>
        <w:jc w:val="both"/>
      </w:pPr>
      <w:r>
        <w:rPr>
          <w:spacing w:val="-5"/>
        </w:rPr>
        <w:t>附注四、</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w:t>
      </w:r>
      <w:r>
        <w:rPr>
          <w:spacing w:val="-5"/>
        </w:rPr>
        <w:t>合并财务报表编制的方法</w:t>
      </w:r>
      <w:r>
        <w:rPr>
          <w:rFonts w:ascii="Times New Roman" w:hAnsi="Times New Roman" w:cs="Times New Roman" w:eastAsia="Times New Roman" w:hint="default"/>
          <w:spacing w:val="-5"/>
        </w:rPr>
        <w:t>”</w:t>
      </w:r>
      <w:r>
        <w:rPr>
          <w:spacing w:val="-5"/>
        </w:rPr>
        <w:t>中所述的相关会计政策处理。其他情形下的长期</w:t>
      </w:r>
      <w:r>
        <w:rPr>
          <w:spacing w:val="-112"/>
        </w:rPr>
        <w:t> </w:t>
      </w:r>
      <w:r>
        <w:rPr>
          <w:spacing w:val="-112"/>
        </w:rPr>
      </w:r>
      <w:r>
        <w:rPr/>
        <w:t>股权投资处置，对于处置的股权，其账面价值与实际取得价款的差额，计入当期损益；采用</w:t>
      </w:r>
      <w:r>
        <w:rPr/>
        <w:t> 权益法核算的长期股权投资，在处置时将原计入所有者权益的其他综合收益部分按相应的比 例转入当期损益。对于剩余股权，按其账面价值确认为长期股权投资或其他相关金融资产， 并按前述长期股权投资或金融资产的会计政策进行后续计量。涉及对剩余股权由成本法转为 权益法核算的，按相关规定进行追溯调整。</w:t>
      </w:r>
    </w:p>
    <w:p>
      <w:pPr>
        <w:spacing w:line="240" w:lineRule="auto" w:before="10"/>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48" w:firstLine="480"/>
        <w:jc w:val="both"/>
      </w:pPr>
      <w:r>
        <w:rPr/>
        <w:t>控制是指有权决定一个企业的财务和经营政策，并能据以从该企业的经营活动中获取利 益。共同控制是指按照合同约定对某项经济活动所共有的控制，仅在与该项经济活动相关的 重要财务和经营决策需要分享控制权的投资方一致同意时存在。重大影响是指对一个企业的 财务和经营政策有参与决策的权力，但并不能够控制或者与其他方一起共同控制这些政策的 制定。在确定能否对被投资单位实施控制或施加重大影响时，已考虑投资企业和其他持有的 被投资单位当期可转换公司债券、当期可执行认股权证等潜在表决权因素。</w:t>
      </w:r>
    </w:p>
    <w:p>
      <w:pPr>
        <w:spacing w:line="240" w:lineRule="auto" w:before="5"/>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48" w:firstLine="480"/>
        <w:jc w:val="both"/>
      </w:pPr>
      <w:r>
        <w:rPr/>
        <w:t>本公司在每一个资产负债表日检查长期股权投资是否存在可能发生减值的迹象。如果该 资产存在减值迹象，则估计其可收回金额。如果资产的可收回金额低于其账面价值，按其差 额计提资产减值准备，并计入当期损益。</w:t>
      </w:r>
    </w:p>
    <w:p>
      <w:pPr>
        <w:pStyle w:val="BodyText"/>
        <w:spacing w:line="240" w:lineRule="auto" w:before="36"/>
        <w:ind w:left="633" w:right="610"/>
        <w:jc w:val="left"/>
      </w:pPr>
      <w:r>
        <w:rPr/>
        <w:t>长期股权投资的减值损失一经确认，在以后会计期间不予转回。</w:t>
      </w:r>
    </w:p>
    <w:p>
      <w:pPr>
        <w:spacing w:line="240" w:lineRule="auto" w:before="8"/>
        <w:rPr>
          <w:rFonts w:ascii="宋体" w:hAnsi="宋体" w:cs="宋体" w:eastAsia="宋体" w:hint="default"/>
          <w:sz w:val="30"/>
          <w:szCs w:val="30"/>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left="573" w:right="191"/>
        <w:jc w:val="left"/>
      </w:pPr>
      <w:r>
        <w:rPr/>
        <w:t>（</w:t>
      </w:r>
      <w:r>
        <w:rPr>
          <w:rFonts w:ascii="Times New Roman" w:hAnsi="Times New Roman" w:cs="Times New Roman" w:eastAsia="Times New Roman" w:hint="default"/>
        </w:rPr>
        <w:t>1</w:t>
      </w:r>
      <w:r>
        <w:rPr/>
        <w:t>）投资性房地产的种类和计量模式 本公司投资性房地产的种类：出租的土地使用权、出租的建筑物、持有并准备增值后转</w:t>
      </w:r>
    </w:p>
    <w:p>
      <w:pPr>
        <w:pStyle w:val="BodyText"/>
        <w:spacing w:line="357" w:lineRule="auto" w:before="55"/>
        <w:ind w:right="8291"/>
        <w:jc w:val="left"/>
      </w:pPr>
      <w:r>
        <w:rPr/>
        <w:t>让的土地使用 权。</w:t>
      </w:r>
    </w:p>
    <w:p>
      <w:pPr>
        <w:pStyle w:val="BodyText"/>
        <w:spacing w:line="240" w:lineRule="auto" w:before="36"/>
        <w:ind w:left="573" w:right="610"/>
        <w:jc w:val="left"/>
      </w:pPr>
      <w:r>
        <w:rPr/>
        <w:t>本公司投资性房地产按照成本进行初始计量，采用成本模式进行后续计量。</w:t>
      </w:r>
    </w:p>
    <w:p>
      <w:pPr>
        <w:pStyle w:val="BodyText"/>
        <w:spacing w:line="338" w:lineRule="auto" w:before="154"/>
        <w:ind w:left="573" w:right="191"/>
        <w:jc w:val="left"/>
      </w:pPr>
      <w:r>
        <w:rPr/>
        <w:t>（</w:t>
      </w:r>
      <w:r>
        <w:rPr>
          <w:rFonts w:ascii="Times New Roman" w:hAnsi="Times New Roman" w:cs="Times New Roman" w:eastAsia="Times New Roman" w:hint="default"/>
        </w:rPr>
        <w:t>2</w:t>
      </w:r>
      <w:r>
        <w:rPr/>
        <w:t>）采用成本模式核算政策 本公司投资性房地产中出租的建筑物采用年限平均法计提折旧。具体核算政策与固定资</w:t>
      </w:r>
    </w:p>
    <w:p>
      <w:pPr>
        <w:pStyle w:val="BodyText"/>
        <w:spacing w:line="240" w:lineRule="auto" w:before="55"/>
        <w:ind w:right="0"/>
        <w:jc w:val="both"/>
      </w:pPr>
      <w:r>
        <w:rPr/>
        <w:t>产部分相同。</w:t>
      </w:r>
    </w:p>
    <w:p>
      <w:pPr>
        <w:spacing w:after="0" w:line="240"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left="154" w:right="208" w:firstLine="420"/>
        <w:jc w:val="both"/>
      </w:pPr>
      <w:r>
        <w:rPr/>
        <w:t>本公司投资性房地产中出租的土地使用权、持有并准备增值后转让的土地使用权采用直 线法摊销。具</w:t>
      </w:r>
    </w:p>
    <w:p>
      <w:pPr>
        <w:pStyle w:val="BodyText"/>
        <w:spacing w:line="357" w:lineRule="auto" w:before="36"/>
        <w:ind w:left="573" w:right="191" w:hanging="420"/>
        <w:jc w:val="left"/>
      </w:pPr>
      <w:r>
        <w:rPr/>
        <w:t>体核算政策与无形资产部分相同。 资产负债表日，本公司对投资性房地产检查是否存在可能发生减值的迹象，当存在减值</w:t>
      </w:r>
    </w:p>
    <w:p>
      <w:pPr>
        <w:pStyle w:val="BodyText"/>
        <w:spacing w:line="357" w:lineRule="auto" w:before="36"/>
        <w:ind w:right="131"/>
        <w:jc w:val="left"/>
      </w:pPr>
      <w:r>
        <w:rPr/>
        <w:t>迹象时应进行减值测试确认其可收回金额，按账面价值与可收回金额孰低计提减值准备，减 值损失一经计提，在以后会</w:t>
      </w:r>
    </w:p>
    <w:p>
      <w:pPr>
        <w:pStyle w:val="BodyText"/>
        <w:spacing w:line="240" w:lineRule="auto" w:before="36"/>
        <w:ind w:right="610"/>
        <w:jc w:val="left"/>
      </w:pPr>
      <w:r>
        <w:rPr/>
        <w:t>计期间不再转回。</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30"/>
        <w:jc w:val="left"/>
      </w:pPr>
      <w:r>
        <w:rPr/>
        <w:t>固定资产是指为生产商品、提供劳务、出租或经营管理而持有的，使用寿命超过一个会计年 度的有形资产。</w:t>
      </w:r>
    </w:p>
    <w:p>
      <w:pPr>
        <w:spacing w:line="240" w:lineRule="auto" w:before="5"/>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48" w:firstLine="480"/>
        <w:jc w:val="both"/>
      </w:pPr>
      <w:r>
        <w:rPr/>
        <w:t>融资租赁为实质上转移了与资产所有权有关的全部风险和报酬的租赁，其所有权最终可 能转移，也可能不转移。以融资租赁方式租入的固定资产采用与自有固定资产一致的政策计 提租赁资产折旧。能够合理确定租赁期届满时取得租赁资产所有权的在租赁资产使用寿命内 计提折旧，无法合理确定租赁期届满能够取得租赁资产所有权的，在租赁期与租赁资产使用 寿命两者中较短的期间内计提折旧。</w:t>
      </w:r>
    </w:p>
    <w:p>
      <w:pPr>
        <w:spacing w:line="240" w:lineRule="auto" w:before="5"/>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48" w:firstLine="480"/>
        <w:jc w:val="both"/>
      </w:pPr>
      <w:r>
        <w:rPr/>
        <w:t>固定资产按成本并考虑预计弃置费用因素的影响进行初始计量。固定资产从达到预定可 使用状态的次月起，采用年限平均法在使用寿命内计提折旧。各类固定资产的使用寿命、预 计净残值和年折旧率如下：</w:t>
      </w:r>
    </w:p>
    <w:p>
      <w:pPr>
        <w:spacing w:line="240" w:lineRule="auto" w:before="7"/>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2"/>
        <w:rPr>
          <w:rFonts w:ascii="宋体" w:hAnsi="宋体" w:cs="宋体" w:eastAsia="宋体" w:hint="default"/>
          <w:sz w:val="19"/>
          <w:szCs w:val="19"/>
        </w:rPr>
      </w:pPr>
    </w:p>
    <w:p>
      <w:pPr>
        <w:spacing w:before="35"/>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0"/>
        <w:jc w:val="left"/>
      </w:pPr>
      <w:r>
        <w:rPr/>
        <w:t>固定资产的减值测试方法和减值准备计提方法详见附注四、</w:t>
      </w:r>
      <w:r>
        <w:rPr>
          <w:rFonts w:ascii="Times New Roman" w:hAnsi="Times New Roman" w:cs="Times New Roman" w:eastAsia="Times New Roman" w:hint="default"/>
        </w:rPr>
        <w:t>17“</w:t>
      </w:r>
      <w:r>
        <w:rPr/>
        <w:t>非流动非金融资产减值</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9"/>
          <w:szCs w:val="29"/>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268" w:firstLine="480"/>
        <w:jc w:val="both"/>
      </w:pPr>
      <w:r>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BodyText"/>
        <w:spacing w:line="357" w:lineRule="auto" w:before="36"/>
        <w:ind w:right="268" w:firstLine="480"/>
        <w:jc w:val="both"/>
      </w:pPr>
      <w:r>
        <w:rPr/>
        <w:t>固定资产出售、转让、报废或毁损的处置收入扣除其账面价值和相关税费后的差额计入 当期损益。</w:t>
      </w:r>
    </w:p>
    <w:p>
      <w:pPr>
        <w:pStyle w:val="BodyText"/>
        <w:spacing w:line="357" w:lineRule="auto" w:before="36"/>
        <w:ind w:right="268" w:firstLine="480"/>
        <w:jc w:val="both"/>
      </w:pPr>
      <w:r>
        <w:rPr/>
        <w:t>本公司至少于年度终了对固定资产的使用寿命、预计净残值和折旧方法进行复核，如发 生改变则作为会计估计变更处理。</w:t>
      </w:r>
    </w:p>
    <w:p>
      <w:pPr>
        <w:spacing w:line="240" w:lineRule="auto" w:before="8"/>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268" w:firstLine="480"/>
        <w:jc w:val="both"/>
      </w:pPr>
      <w:r>
        <w:rPr/>
        <w:t>在建工程成本按实际工程支出确定，包括在建期间发生的各项工程支出、工程达到预定 可使用状态前的资本化的借款费用以及其他相关费用等。</w:t>
      </w:r>
    </w:p>
    <w:p>
      <w:pPr>
        <w:spacing w:line="240" w:lineRule="auto" w:before="5"/>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34" w:right="95"/>
        <w:jc w:val="left"/>
      </w:pPr>
      <w:r>
        <w:rPr/>
        <w:t>在建工程在达到预定可使用状态后结转为固定资产。</w:t>
      </w:r>
    </w:p>
    <w:p>
      <w:pPr>
        <w:spacing w:line="240" w:lineRule="auto" w:before="5"/>
        <w:rPr>
          <w:rFonts w:ascii="宋体" w:hAnsi="宋体" w:cs="宋体" w:eastAsia="宋体" w:hint="default"/>
          <w:sz w:val="30"/>
          <w:szCs w:val="30"/>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right="228" w:firstLine="525"/>
        <w:jc w:val="both"/>
      </w:pPr>
      <w:r>
        <w:rPr/>
        <w:t>本公司于资产负债表日对在建工程进行全面检查，如果有证据表明在建工程已经发生了 减值，估计可收回金额低于其账面价值时，账面价值减记至可收回金额，减记的金额确认为</w:t>
      </w:r>
      <w:r>
        <w:rPr>
          <w:spacing w:val="-83"/>
        </w:rPr>
        <w:t> </w:t>
      </w:r>
      <w:r>
        <w:rPr>
          <w:spacing w:val="-83"/>
        </w:rPr>
      </w:r>
      <w:r>
        <w:rPr/>
        <w:t>资产减值损失，计入当期损益，同时计提相应的资产减值准备。资产减值损失一经确认，在</w:t>
      </w:r>
      <w:r>
        <w:rPr>
          <w:spacing w:val="-83"/>
        </w:rPr>
        <w:t> </w:t>
      </w:r>
      <w:r>
        <w:rPr>
          <w:spacing w:val="-83"/>
        </w:rPr>
      </w:r>
      <w:r>
        <w:rPr/>
        <w:t>以后会计期间不再转回。存在下列一项或若干项情况的，应当对在建工程进行减值测试：</w:t>
      </w:r>
    </w:p>
    <w:p>
      <w:pPr>
        <w:pStyle w:val="BodyText"/>
        <w:spacing w:line="240" w:lineRule="auto" w:before="36"/>
        <w:ind w:left="574" w:right="95"/>
        <w:jc w:val="left"/>
      </w:pPr>
      <w:r>
        <w:rPr>
          <w:rFonts w:ascii="Times New Roman" w:hAnsi="Times New Roman" w:cs="Times New Roman" w:eastAsia="Times New Roman" w:hint="default"/>
        </w:rPr>
        <w:t>1.</w:t>
      </w:r>
      <w:r>
        <w:rPr/>
        <w:t>长期停建并且预计在未来</w:t>
      </w:r>
      <w:r>
        <w:rPr>
          <w:rFonts w:ascii="Times New Roman" w:hAnsi="Times New Roman" w:cs="Times New Roman" w:eastAsia="Times New Roman" w:hint="default"/>
        </w:rPr>
        <w:t>3</w:t>
      </w:r>
      <w:r>
        <w:rPr/>
        <w:t>年内不会重新开工的在建工程；</w:t>
      </w:r>
    </w:p>
    <w:p>
      <w:pPr>
        <w:pStyle w:val="BodyText"/>
        <w:spacing w:line="338" w:lineRule="auto" w:before="135"/>
        <w:ind w:left="154" w:right="231" w:firstLine="420"/>
        <w:jc w:val="both"/>
      </w:pPr>
      <w:r>
        <w:rPr>
          <w:rFonts w:ascii="Times New Roman" w:hAnsi="Times New Roman" w:cs="Times New Roman" w:eastAsia="Times New Roman" w:hint="default"/>
          <w:spacing w:val="-3"/>
        </w:rPr>
        <w:t>2.</w:t>
      </w:r>
      <w:r>
        <w:rPr>
          <w:spacing w:val="-3"/>
        </w:rPr>
        <w:t>所建项目无论在性能上，还是在技术上已经落后，并且给企业带来的经济利益具有很大</w:t>
      </w:r>
      <w:r>
        <w:rPr/>
        <w:t> 的不确定性；</w:t>
      </w:r>
    </w:p>
    <w:p>
      <w:pPr>
        <w:spacing w:after="0" w:line="338" w:lineRule="auto"/>
        <w:jc w:val="both"/>
        <w:sectPr>
          <w:pgSz w:w="11910" w:h="16840"/>
          <w:pgMar w:header="851" w:footer="982" w:top="1220" w:bottom="1180" w:left="980" w:right="900"/>
        </w:sectPr>
      </w:pPr>
    </w:p>
    <w:p>
      <w:pPr>
        <w:spacing w:line="240" w:lineRule="auto" w:before="6"/>
        <w:rPr>
          <w:rFonts w:ascii="宋体" w:hAnsi="宋体" w:cs="宋体" w:eastAsia="宋体" w:hint="default"/>
          <w:sz w:val="16"/>
          <w:szCs w:val="16"/>
        </w:rPr>
      </w:pPr>
    </w:p>
    <w:p>
      <w:pPr>
        <w:pStyle w:val="BodyText"/>
        <w:spacing w:line="240" w:lineRule="auto" w:before="26"/>
        <w:ind w:left="634" w:right="86"/>
        <w:jc w:val="left"/>
      </w:pPr>
      <w:r>
        <w:rPr>
          <w:rFonts w:ascii="Times New Roman" w:hAnsi="Times New Roman" w:cs="Times New Roman" w:eastAsia="Times New Roman" w:hint="default"/>
        </w:rPr>
        <w:t>3.</w:t>
      </w:r>
      <w:r>
        <w:rPr/>
        <w:t>其他足以证明在建工程已经发生减值的情形。</w:t>
      </w:r>
    </w:p>
    <w:p>
      <w:pPr>
        <w:spacing w:line="240" w:lineRule="auto" w:before="0"/>
        <w:rPr>
          <w:rFonts w:ascii="宋体" w:hAnsi="宋体" w:cs="宋体" w:eastAsia="宋体" w:hint="default"/>
          <w:sz w:val="29"/>
          <w:szCs w:val="29"/>
        </w:rPr>
      </w:pPr>
    </w:p>
    <w:p>
      <w:pPr>
        <w:spacing w:before="0"/>
        <w:ind w:left="154" w:right="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208" w:firstLine="384"/>
        <w:jc w:val="both"/>
      </w:pPr>
      <w:r>
        <w:rPr>
          <w:spacing w:val="-3"/>
        </w:rPr>
        <w:t>借款费用包括借款利息、折价或溢价的摊销、辅助费用以及因外币借款而发生的汇兑差额</w:t>
      </w:r>
      <w:r>
        <w:rPr/>
        <w:t> 等。借款费用确认的基本原则是：企业发生的借款费用，可直接归属于符合资本化条件的资</w:t>
      </w:r>
      <w:r>
        <w:rPr>
          <w:spacing w:val="-83"/>
        </w:rPr>
        <w:t> </w:t>
      </w:r>
      <w:r>
        <w:rPr>
          <w:spacing w:val="-83"/>
        </w:rPr>
      </w:r>
      <w:r>
        <w:rPr/>
        <w:t>产购建或者生产的，应当予以资本化，计入相关资产成本；其他借款费用，应当在发生时根</w:t>
      </w:r>
      <w:r>
        <w:rPr>
          <w:spacing w:val="-83"/>
        </w:rPr>
        <w:t> </w:t>
      </w:r>
      <w:r>
        <w:rPr>
          <w:spacing w:val="-83"/>
        </w:rPr>
      </w:r>
      <w:r>
        <w:rPr/>
        <w:t>据其发生额确认为费用，计入当期损益。</w:t>
      </w:r>
    </w:p>
    <w:p>
      <w:pPr>
        <w:spacing w:line="240" w:lineRule="auto" w:before="8"/>
        <w:rPr>
          <w:rFonts w:ascii="宋体" w:hAnsi="宋体" w:cs="宋体" w:eastAsia="宋体" w:hint="default"/>
          <w:sz w:val="21"/>
          <w:szCs w:val="21"/>
        </w:rPr>
      </w:pPr>
    </w:p>
    <w:p>
      <w:pPr>
        <w:spacing w:before="0"/>
        <w:ind w:left="154"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86" w:firstLine="384"/>
        <w:jc w:val="left"/>
      </w:pPr>
      <w:r>
        <w:rPr/>
        <w:t>可直接归属于符合资本化条件的资产的购建或者生产的借款费用，在资产支出已经发生、 借款费用已经发生、为使资产达到预定可使用或可销售状态所必要的购建或生产活动已经开 始时，开始资本化；构建或者生产的符合资本化条件的资产达到预定可使用状态或者可销售 状态时，停止资本化。</w:t>
      </w:r>
    </w:p>
    <w:p>
      <w:pPr>
        <w:spacing w:line="240" w:lineRule="auto" w:before="8"/>
        <w:rPr>
          <w:rFonts w:ascii="宋体" w:hAnsi="宋体" w:cs="宋体" w:eastAsia="宋体" w:hint="default"/>
          <w:sz w:val="21"/>
          <w:szCs w:val="21"/>
        </w:rPr>
      </w:pPr>
    </w:p>
    <w:p>
      <w:pPr>
        <w:spacing w:before="0"/>
        <w:ind w:left="154"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210" w:firstLine="480"/>
        <w:jc w:val="both"/>
      </w:pPr>
      <w:r>
        <w:rPr/>
        <w:t>如果符合资本化条件的资产在购建或生产过程中发生非正常中断、并且中断时间连续超</w:t>
      </w:r>
      <w:r>
        <w:rPr>
          <w:spacing w:val="1"/>
        </w:rPr>
        <w:t> </w:t>
      </w:r>
      <w:r>
        <w:rPr/>
        <w:t>过</w:t>
      </w:r>
      <w:r>
        <w:rPr>
          <w:rFonts w:ascii="Times New Roman" w:hAnsi="Times New Roman" w:cs="Times New Roman" w:eastAsia="Times New Roman" w:hint="default"/>
        </w:rPr>
        <w:t>3</w:t>
      </w:r>
      <w:r>
        <w:rPr/>
        <w:t>个月的，暂停借款费用的资本化，直至资产的购建或生产活动重新开始。</w:t>
      </w:r>
    </w:p>
    <w:p>
      <w:pPr>
        <w:spacing w:line="240" w:lineRule="auto" w:before="3"/>
        <w:rPr>
          <w:rFonts w:ascii="宋体" w:hAnsi="宋体" w:cs="宋体" w:eastAsia="宋体" w:hint="default"/>
          <w:sz w:val="19"/>
          <w:szCs w:val="19"/>
        </w:rPr>
      </w:pPr>
    </w:p>
    <w:p>
      <w:pPr>
        <w:spacing w:before="0"/>
        <w:ind w:left="154"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248"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57" w:lineRule="auto" w:before="36"/>
        <w:ind w:right="248" w:firstLine="480"/>
        <w:jc w:val="both"/>
      </w:pPr>
      <w:r>
        <w:rPr/>
        <w:t>资本化期间内，外币专门借款的汇兑差额全部予以资本化；外币一般借款的汇兑差额计 入当期损益。</w:t>
      </w:r>
    </w:p>
    <w:p>
      <w:pPr>
        <w:spacing w:line="240" w:lineRule="auto" w:before="8"/>
        <w:rPr>
          <w:rFonts w:ascii="宋体" w:hAnsi="宋体" w:cs="宋体" w:eastAsia="宋体" w:hint="default"/>
          <w:sz w:val="21"/>
          <w:szCs w:val="21"/>
        </w:rPr>
      </w:pPr>
    </w:p>
    <w:p>
      <w:pPr>
        <w:spacing w:before="0"/>
        <w:ind w:left="154" w:right="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86"/>
        <w:jc w:val="left"/>
      </w:pPr>
      <w:r>
        <w:rPr/>
        <w:t>无。</w:t>
      </w:r>
    </w:p>
    <w:p>
      <w:pPr>
        <w:spacing w:after="0" w:line="240" w:lineRule="auto"/>
        <w:jc w:val="left"/>
        <w:sectPr>
          <w:footerReference w:type="default" r:id="rId34"/>
          <w:pgSz w:w="11910" w:h="16840"/>
          <w:pgMar w:footer="982" w:header="851" w:top="1220" w:bottom="1180" w:left="980" w:right="920"/>
          <w:pgNumType w:start="128"/>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无。</w:t>
      </w:r>
    </w:p>
    <w:p>
      <w:pPr>
        <w:spacing w:line="240" w:lineRule="auto" w:before="9"/>
        <w:rPr>
          <w:rFonts w:ascii="宋体" w:hAnsi="宋体" w:cs="宋体" w:eastAsia="宋体" w:hint="default"/>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633" w:right="131"/>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57" w:lineRule="auto" w:before="36"/>
        <w:ind w:right="131"/>
        <w:jc w:val="left"/>
      </w:pPr>
      <w:r>
        <w:rPr/>
        <w:t>入本公司且其成本能可靠地计量，则计入无形资产成本。除此以外的其他项目的支出，在发 生时计入当期损益。</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08" w:firstLine="420"/>
        <w:jc w:val="both"/>
      </w:pPr>
      <w:r>
        <w:rPr>
          <w:spacing w:val="2"/>
        </w:rPr>
        <w:t>①对使用寿命有限的无形资产，估计其使用寿命时通常考虑以下因素：①运用该资产生 </w:t>
      </w:r>
      <w:r>
        <w:rPr/>
        <w:t>产的产品通常的寿命周期、可获得的类似资产使用寿命的信息；②技术、工艺等方面的现阶</w:t>
      </w:r>
      <w:r>
        <w:rPr>
          <w:spacing w:val="-83"/>
        </w:rPr>
        <w:t> </w:t>
      </w:r>
      <w:r>
        <w:rPr>
          <w:spacing w:val="-83"/>
        </w:rPr>
      </w:r>
      <w:r>
        <w:rPr/>
        <w:t>段情况及对未来发展趋势的估计；③以该资产生产的产品或提供劳务的市场需求情况；④现</w:t>
      </w:r>
      <w:r>
        <w:rPr>
          <w:spacing w:val="-83"/>
        </w:rPr>
        <w:t> </w:t>
      </w:r>
      <w:r>
        <w:rPr>
          <w:spacing w:val="-83"/>
        </w:rPr>
      </w:r>
      <w:r>
        <w:rPr/>
        <w:t>在或潜在的竞争者预期采取的行动；⑤为维持该资产带来经济利益能力的预期维护支出，以</w:t>
      </w:r>
      <w:r>
        <w:rPr>
          <w:spacing w:val="-83"/>
        </w:rPr>
        <w:t> </w:t>
      </w:r>
      <w:r>
        <w:rPr>
          <w:spacing w:val="-83"/>
        </w:rPr>
      </w:r>
      <w:r>
        <w:rPr/>
        <w:t>及公司预计支付有关支出的能力；⑥对该资产控制期限的相关法律规定或类似限制，如特许</w:t>
      </w:r>
      <w:r>
        <w:rPr>
          <w:spacing w:val="-83"/>
        </w:rPr>
        <w:t> </w:t>
      </w:r>
      <w:r>
        <w:rPr>
          <w:spacing w:val="-83"/>
        </w:rPr>
      </w:r>
      <w:r>
        <w:rPr/>
        <w:t>使用期、租赁期等；⑦与公司持有其他资产使用寿命的关联性等。</w:t>
      </w:r>
    </w:p>
    <w:p>
      <w:pPr>
        <w:pStyle w:val="BodyText"/>
        <w:spacing w:line="357" w:lineRule="auto" w:before="36"/>
        <w:ind w:right="108" w:firstLine="420"/>
        <w:jc w:val="both"/>
      </w:pPr>
      <w:r>
        <w:rPr>
          <w:spacing w:val="2"/>
        </w:rPr>
        <w:t>②使用寿命有限的无形资产，在使用寿命内按照与该项无形资产有关的经济利益的预期 </w:t>
      </w:r>
      <w:r>
        <w:rPr/>
        <w:t>实现方式系统合理地摊销，无法可靠确定预期实现方式的，采用直线法摊销。</w:t>
      </w: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13"/>
        <w:rPr>
          <w:rFonts w:ascii="宋体" w:hAnsi="宋体" w:cs="宋体" w:eastAsia="宋体" w:hint="default"/>
          <w:sz w:val="18"/>
          <w:szCs w:val="18"/>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本公司将无法预见该资产为公司带来经济利益的期限，或使用期限不确定等无形资产确 定为使用寿命不确定的无形资产。</w:t>
      </w:r>
    </w:p>
    <w:p>
      <w:pPr>
        <w:pStyle w:val="BodyText"/>
        <w:spacing w:line="357" w:lineRule="auto" w:before="77"/>
        <w:ind w:right="108" w:firstLine="480"/>
        <w:jc w:val="both"/>
      </w:pPr>
      <w:r>
        <w:rPr/>
        <w:t>使用寿命不确定的判断依据：①来源于合同性权利或其他法定权利，但合同规定或法律</w:t>
      </w:r>
      <w:r>
        <w:rPr>
          <w:spacing w:val="1"/>
        </w:rPr>
        <w:t> </w:t>
      </w:r>
      <w:r>
        <w:rPr/>
        <w:t>规定无明确使用年限；②综合同行业情况或相关专家论证等，仍无法判断无形资产为公司带</w:t>
      </w:r>
      <w:r>
        <w:rPr>
          <w:spacing w:val="-83"/>
        </w:rPr>
        <w:t> </w:t>
      </w:r>
      <w:r>
        <w:rPr>
          <w:spacing w:val="-83"/>
        </w:rPr>
      </w:r>
      <w:r>
        <w:rPr/>
        <w:t>来经济利益的期限。每年年末，对使用寿命不确定无形资产使用寿命进行复核，主要采取自</w:t>
      </w:r>
      <w:r>
        <w:rPr>
          <w:spacing w:val="-83"/>
        </w:rPr>
        <w:t> </w:t>
      </w:r>
      <w:r>
        <w:rPr>
          <w:spacing w:val="-83"/>
        </w:rPr>
      </w:r>
      <w:r>
        <w:rPr/>
        <w:t>下而上的方式，由无形资产使用相关部门进行基础复核，评价使用寿命不确定判断依据是否</w:t>
      </w:r>
      <w:r>
        <w:rPr>
          <w:spacing w:val="-83"/>
        </w:rPr>
        <w:t> </w:t>
      </w:r>
      <w:r>
        <w:rPr>
          <w:spacing w:val="-83"/>
        </w:rPr>
      </w:r>
      <w:r>
        <w:rPr/>
        <w:t>存在变化等。</w:t>
      </w:r>
    </w:p>
    <w:p>
      <w:pPr>
        <w:spacing w:after="0" w:line="357" w:lineRule="auto"/>
        <w:jc w:val="both"/>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48" w:firstLine="480"/>
        <w:jc w:val="both"/>
      </w:pPr>
      <w:r>
        <w:rPr/>
        <w:t>资产负债表日，检查无形资产预计给公司带来未来经济利益的能力，按资产的可收回金 额应当根据资产的公允价值减去处置费用后的净额与资产预计未来现金流量的现值两者之间 较高者确定计提无形资产减值准备。</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划分内部研究开发项目的研究阶段和开发阶段的具体标准：为获取新的技术和知识等进 行的有计划的调查阶段，应确定为研究阶段，该阶段具有计划性和探索性等特点；在进行商 业性生产或使用前，将研究成果或其他知识应用于某项计划或设计，以生产出新的或具有实 质性改进的材料、装置、产品等阶段，应确定为开发阶段，该阶段具有针对性和形成成果的 可能性较大等特点。</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633" w:right="131"/>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240" w:lineRule="auto" w:before="36"/>
        <w:ind w:right="610"/>
        <w:jc w:val="left"/>
      </w:pPr>
      <w:r>
        <w:rPr/>
        <w:t>的支出计入当期损益：</w:t>
      </w:r>
    </w:p>
    <w:p>
      <w:pPr>
        <w:pStyle w:val="BodyText"/>
        <w:spacing w:line="240" w:lineRule="auto" w:before="154"/>
        <w:ind w:left="633" w:right="610"/>
        <w:jc w:val="left"/>
      </w:pPr>
      <w:r>
        <w:rPr/>
        <w:t>①</w:t>
      </w:r>
      <w:r>
        <w:rPr>
          <w:spacing w:val="-24"/>
        </w:rPr>
        <w:t> </w:t>
      </w:r>
      <w:r>
        <w:rPr/>
        <w:t>完成该无形资产以使其能够使用或出售在技术上具有可行性；</w:t>
      </w:r>
    </w:p>
    <w:p>
      <w:pPr>
        <w:pStyle w:val="BodyText"/>
        <w:spacing w:line="240" w:lineRule="auto" w:before="154"/>
        <w:ind w:left="634" w:right="610"/>
        <w:jc w:val="left"/>
      </w:pPr>
      <w:r>
        <w:rPr/>
        <w:t>②</w:t>
      </w:r>
      <w:r>
        <w:rPr>
          <w:spacing w:val="-24"/>
        </w:rPr>
        <w:t> </w:t>
      </w:r>
      <w:r>
        <w:rPr/>
        <w:t>具有完成该无形资产并使用或出售的意图；</w:t>
      </w:r>
    </w:p>
    <w:p>
      <w:pPr>
        <w:pStyle w:val="BodyText"/>
        <w:spacing w:line="357" w:lineRule="auto" w:before="154"/>
        <w:ind w:left="154" w:right="111" w:firstLine="480"/>
        <w:jc w:val="both"/>
      </w:pPr>
      <w:r>
        <w:rPr/>
        <w:t>③</w:t>
      </w:r>
      <w:r>
        <w:rPr>
          <w:spacing w:val="-79"/>
        </w:rPr>
        <w:t> </w:t>
      </w:r>
      <w:r>
        <w:rPr/>
        <w:t>无形资产产生经济利益的方式，包括能够证明运用该无形资产生产的产品存在市场或</w:t>
      </w:r>
      <w:r>
        <w:rPr/>
        <w:t> 无形资产自身存在市场，无形资产将在内部使用的，能够证明其有用性；</w:t>
      </w:r>
    </w:p>
    <w:p>
      <w:pPr>
        <w:pStyle w:val="BodyText"/>
        <w:spacing w:line="357" w:lineRule="auto" w:before="36"/>
        <w:ind w:left="154" w:right="111" w:firstLine="480"/>
        <w:jc w:val="both"/>
      </w:pPr>
      <w:r>
        <w:rPr/>
        <w:t>④</w:t>
      </w:r>
      <w:r>
        <w:rPr>
          <w:spacing w:val="-79"/>
        </w:rPr>
        <w:t> </w:t>
      </w:r>
      <w:r>
        <w:rPr/>
        <w:t>有足够的技术、财务资源和其他资源支持，以完成该无形资产的开发，并有能力使用</w:t>
      </w:r>
      <w:r>
        <w:rPr/>
        <w:t> 或出售该无形资产；</w:t>
      </w:r>
    </w:p>
    <w:p>
      <w:pPr>
        <w:pStyle w:val="BodyText"/>
        <w:spacing w:line="357" w:lineRule="auto" w:before="36"/>
        <w:ind w:left="634" w:right="610"/>
        <w:jc w:val="left"/>
      </w:pPr>
      <w:r>
        <w:rPr/>
        <w:t>⑤</w:t>
      </w:r>
      <w:r>
        <w:rPr>
          <w:spacing w:val="-24"/>
        </w:rPr>
        <w:t> </w:t>
      </w:r>
      <w:r>
        <w:rPr/>
        <w:t>归属于该无形资产开发阶段的支出能够可靠地计量。</w:t>
      </w:r>
      <w:r>
        <w:rPr/>
        <w:t> 无法区分研究阶段支出和开发阶段支出的，将发生的研发支出全部计入当期损益。</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长期待摊费用为已经发生但应由报告期和以后各期负担的分摊期限在一年以上的各项费 用。长期待摊费用在预计受益期间按直线法摊销。</w:t>
      </w:r>
    </w:p>
    <w:p>
      <w:pPr>
        <w:spacing w:after="0" w:line="357" w:lineRule="auto"/>
        <w:jc w:val="both"/>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208" w:firstLine="420"/>
        <w:jc w:val="both"/>
      </w:pPr>
      <w:r>
        <w:rPr/>
        <w:t>当与对外担保、未决诉讼或仲裁、产品质量保证、裁员计划、亏损合同、重组义务、固 定资产弃置义务等或有事项相关的义务同时符合以下条件，则将其确认为负债。</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right="111" w:firstLine="480"/>
        <w:jc w:val="both"/>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w:t>
      </w:r>
      <w:r>
        <w:rPr/>
        <w:t> 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 计量。</w:t>
      </w:r>
    </w:p>
    <w:p>
      <w:pPr>
        <w:spacing w:line="240" w:lineRule="auto" w:before="1"/>
        <w:rPr>
          <w:rFonts w:ascii="宋体" w:hAnsi="宋体" w:cs="宋体" w:eastAsia="宋体" w:hint="default"/>
          <w:sz w:val="23"/>
          <w:szCs w:val="23"/>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在资产负债表日，考虑与或有事项有关的风险、不确定性和货币时间价值等因素，按照 履行相关现时义务所需支出的最佳估计数对预计负债进行计量。</w:t>
      </w:r>
    </w:p>
    <w:p>
      <w:pPr>
        <w:pStyle w:val="BodyText"/>
        <w:spacing w:line="357" w:lineRule="auto" w:before="36"/>
        <w:ind w:right="148" w:firstLine="480"/>
        <w:jc w:val="both"/>
      </w:pPr>
      <w:r>
        <w:rPr/>
        <w:t>如果清偿预计负债所需支出全部或部分预期由第三方补偿的，补偿金额在基本确定能够 收到时，作为资产单独确认，且确认的补偿金额不超过预计负债的账面价值。</w:t>
      </w:r>
    </w:p>
    <w:p>
      <w:pPr>
        <w:pStyle w:val="BodyText"/>
        <w:spacing w:line="338" w:lineRule="auto" w:before="36"/>
        <w:ind w:left="633" w:right="131"/>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w:t>
      </w:r>
    </w:p>
    <w:p>
      <w:pPr>
        <w:pStyle w:val="BodyText"/>
        <w:spacing w:line="357" w:lineRule="auto" w:before="55"/>
        <w:ind w:right="131"/>
        <w:jc w:val="left"/>
      </w:pPr>
      <w:r>
        <w:rPr/>
        <w:t>变成亏损合同，且该亏损合同产生的义务满足上述预计负债的确认条件的，将合同预计损失 超过合同标的资产已确认的减值损失（如有）的部分，确认为预计负债。</w:t>
      </w:r>
    </w:p>
    <w:p>
      <w:pPr>
        <w:pStyle w:val="BodyText"/>
        <w:spacing w:line="338" w:lineRule="auto" w:before="36"/>
        <w:ind w:left="633" w:right="131"/>
        <w:jc w:val="left"/>
      </w:pPr>
      <w:r>
        <w:rPr/>
        <w:t>（</w:t>
      </w:r>
      <w:r>
        <w:rPr>
          <w:rFonts w:ascii="Times New Roman" w:hAnsi="Times New Roman" w:cs="Times New Roman" w:eastAsia="Times New Roman" w:hint="default"/>
        </w:rPr>
        <w:t>2</w:t>
      </w:r>
      <w:r>
        <w:rPr/>
        <w:t>）重组义务 对于有详细、正式并且已经对外公告的重组计划，在满足前述预计负债的确认条件的情</w:t>
      </w:r>
    </w:p>
    <w:p>
      <w:pPr>
        <w:pStyle w:val="BodyText"/>
        <w:spacing w:line="357" w:lineRule="auto" w:before="55"/>
        <w:ind w:right="131"/>
        <w:jc w:val="left"/>
      </w:pPr>
      <w:r>
        <w:rPr/>
        <w:t>况下，按照与重组有关的直接支出确定预计负债金额。对于出售部分业务的重组义务，只有 在本公司承诺出售部分业务（即签订了约束性出售协议时），才确认与重组相关的义务。</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本公司的股份支付分为以现金结算的股份支付和以权益结算的股份支付。</w:t>
      </w:r>
    </w:p>
    <w:p>
      <w:pPr>
        <w:spacing w:after="0" w:line="240" w:lineRule="auto"/>
        <w:jc w:val="left"/>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left="154" w:right="148" w:firstLine="480"/>
        <w:jc w:val="both"/>
      </w:pPr>
      <w:r>
        <w:rPr/>
        <w:t>①以现金结算的股份支付以现金结算的股份支付，按照本公司承担的以股份或其他权益 工具为基础计算确定的负债的公允价值计量。</w:t>
      </w:r>
    </w:p>
    <w:p>
      <w:pPr>
        <w:pStyle w:val="BodyText"/>
        <w:spacing w:line="357" w:lineRule="auto" w:before="74"/>
        <w:ind w:right="148" w:firstLine="480"/>
        <w:jc w:val="both"/>
      </w:pPr>
      <w:r>
        <w:rPr/>
        <w:t>授予后立即可行权的以现金结算的股份支付，在授予日以本公司承担负债的公允价值计 入相关成本或费用，相应增加负债。</w:t>
      </w:r>
    </w:p>
    <w:p>
      <w:pPr>
        <w:pStyle w:val="BodyText"/>
        <w:spacing w:line="357" w:lineRule="auto" w:before="76"/>
        <w:ind w:right="148" w:firstLine="480"/>
        <w:jc w:val="both"/>
      </w:pPr>
      <w:r>
        <w:rPr/>
        <w:t>存在等待期的以现金结算的股份支付，在等待期内的每个资产负债表日以对可行权情况 的最佳估计为基础，按本公司承担负债的公允价值金额，将当期取得的服务计入成本或费用 和相应的负债。</w:t>
      </w:r>
    </w:p>
    <w:p>
      <w:pPr>
        <w:pStyle w:val="BodyText"/>
        <w:spacing w:line="357" w:lineRule="auto" w:before="74"/>
        <w:ind w:right="148" w:firstLine="480"/>
        <w:jc w:val="both"/>
      </w:pPr>
      <w:r>
        <w:rPr/>
        <w:t>②以权益工具结算的股份支付以权益结算的股份支付，以授予职工权益工具的公允价值 计量。</w:t>
      </w:r>
    </w:p>
    <w:p>
      <w:pPr>
        <w:pStyle w:val="BodyText"/>
        <w:spacing w:line="357" w:lineRule="auto" w:before="74"/>
        <w:ind w:right="148" w:firstLine="480"/>
        <w:jc w:val="both"/>
      </w:pPr>
      <w:r>
        <w:rPr/>
        <w:t>授予后立即可行权的以权益结算的股份支付，在授予日以权益工具的公允价值计入相关 成本或费用，相应增加资本公积。</w:t>
      </w:r>
    </w:p>
    <w:p>
      <w:pPr>
        <w:pStyle w:val="BodyText"/>
        <w:spacing w:line="357" w:lineRule="auto" w:before="76"/>
        <w:ind w:right="148" w:firstLine="480"/>
        <w:jc w:val="both"/>
      </w:pPr>
      <w:r>
        <w:rPr/>
        <w:t>存在等待期的以权益结算的股份支付，在等待期内的每个资产负债表日，以对可行权权 益工具数量的最佳估计为基础，按权益工具授予日的公允价值，将当期取得的服务计入成本 或费用和资本公积。</w:t>
      </w:r>
    </w:p>
    <w:p>
      <w:pPr>
        <w:spacing w:line="240" w:lineRule="auto" w:before="5"/>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48" w:firstLine="480"/>
        <w:jc w:val="both"/>
      </w:pPr>
      <w:r>
        <w:rPr/>
        <w:t>①对于授予职工的股份，其公允价值按公司股份的市场价格计量，同时考虑授予股份所 依据的条款和条件（不包括市场条件之外的可行权条件）进行调整。</w:t>
      </w:r>
    </w:p>
    <w:p>
      <w:pPr>
        <w:pStyle w:val="BodyText"/>
        <w:spacing w:line="357" w:lineRule="auto" w:before="36"/>
        <w:ind w:right="148" w:firstLine="480"/>
        <w:jc w:val="both"/>
      </w:pPr>
      <w:r>
        <w:rPr/>
        <w:t>②对于授予职工的股票期权，在许多情况下难以获得其市场价格。如果不存在条款和条 件相似的交易期权，公司选择适用的期权定价模型估计所授予的期权的公允价值。</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148" w:firstLine="480"/>
        <w:jc w:val="both"/>
      </w:pPr>
      <w:r>
        <w:rPr/>
        <w:t>在等待期内每个资产负债表日，公司根据最新取得的可行权职工人数变动等后续信息作 出最佳估计，修正预计可行权的权益工具数量，以作出可行权权益工具的最佳估计。</w:t>
      </w:r>
    </w:p>
    <w:p>
      <w:pPr>
        <w:spacing w:line="240" w:lineRule="auto" w:before="5"/>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148" w:firstLine="480"/>
        <w:jc w:val="both"/>
      </w:pPr>
      <w:r>
        <w:rPr/>
        <w:t>授予后立即可行权的以现金结算的股份支付，在授予日以本公司承担负债的公允价值计 入相关成本或费用，相应增加负债。并在结算前的每个资产负债表日和结算日对负债的公允 价值重新计量，将其变动计入损益。</w:t>
      </w:r>
    </w:p>
    <w:p>
      <w:pPr>
        <w:spacing w:after="0" w:line="357"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left="154" w:right="148" w:firstLine="480"/>
        <w:jc w:val="both"/>
      </w:pPr>
      <w:r>
        <w:rPr/>
        <w:t>完成等待期内的服务或达到规定业绩条件以后才可行权的以现金结算的股份支付，在等 待期内的每个资产负债表日以对可行权情况的最佳估计为基础，按本公司承担负债的公允价 值金额，将当期取得的服务计入成本或费用和相应的负债。</w:t>
      </w:r>
    </w:p>
    <w:p>
      <w:pPr>
        <w:pStyle w:val="BodyText"/>
        <w:spacing w:line="357" w:lineRule="auto" w:before="36"/>
        <w:ind w:right="148" w:firstLine="480"/>
        <w:jc w:val="both"/>
      </w:pPr>
      <w:r>
        <w:rPr/>
        <w:t>授予后立即可行权的换取职工服务的以权益结算的股份支付，在授予日以权益工具的公 允价值计入相关成本或费用，相应增加资本公积。</w:t>
      </w:r>
    </w:p>
    <w:p>
      <w:pPr>
        <w:pStyle w:val="BodyText"/>
        <w:spacing w:line="357" w:lineRule="auto" w:before="36"/>
        <w:ind w:right="148" w:firstLine="480"/>
        <w:jc w:val="both"/>
      </w:pPr>
      <w:r>
        <w:rPr/>
        <w:t>完成等待期内的服务或达到规定业绩条件以后才可行权换取职工服务的以权益结算的股 份支付，在等待期内的每个资产负债表日，以对可行权权益工具数量的最佳估计为基础，按 权益工具授予日的公允价值，将当期取得的服务计入成本或费用和资本公积。</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无。</w:t>
      </w:r>
    </w:p>
    <w:p>
      <w:pPr>
        <w:spacing w:line="240" w:lineRule="auto" w:before="9"/>
        <w:rPr>
          <w:rFonts w:ascii="宋体" w:hAnsi="宋体" w:cs="宋体" w:eastAsia="宋体" w:hint="default"/>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11" w:firstLine="480"/>
        <w:jc w:val="both"/>
      </w:pPr>
      <w:r>
        <w:rPr>
          <w:spacing w:val="-3"/>
        </w:rPr>
        <w:t>本公司商品销售采取“直销+经销”并重的销售模式。经销模式的主要特征是公司与经销</w:t>
      </w:r>
      <w:r>
        <w:rPr/>
        <w:t> 商之间实际发生买卖关系，经销商按双方约定的价格从本公司购进产品，取得商品所有权， 然后销售给最终用户，通过差价来获得利润。直销模式是公司直接向最终用户销售产品的一 种销售方式，直销模式下的销售又可分为附安装义务的销售和不附安装义务的销售。</w:t>
      </w:r>
    </w:p>
    <w:p>
      <w:pPr>
        <w:pStyle w:val="BodyText"/>
        <w:spacing w:line="357" w:lineRule="auto" w:before="76"/>
        <w:ind w:right="148" w:firstLine="480"/>
        <w:jc w:val="both"/>
      </w:pPr>
      <w:r>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240" w:lineRule="auto" w:before="76"/>
        <w:ind w:left="633" w:right="610"/>
        <w:jc w:val="left"/>
      </w:pPr>
      <w:r>
        <w:rPr/>
        <w:t>具体收入确认时点如下：</w:t>
      </w:r>
    </w:p>
    <w:p>
      <w:pPr>
        <w:spacing w:line="240" w:lineRule="auto" w:before="7"/>
        <w:rPr>
          <w:rFonts w:ascii="宋体" w:hAnsi="宋体" w:cs="宋体" w:eastAsia="宋体" w:hint="default"/>
          <w:sz w:val="6"/>
          <w:szCs w:val="6"/>
        </w:rPr>
      </w:pPr>
    </w:p>
    <w:tbl>
      <w:tblPr>
        <w:tblW w:w="0" w:type="auto"/>
        <w:jc w:val="left"/>
        <w:tblInd w:w="122" w:type="dxa"/>
        <w:tblLayout w:type="fixed"/>
        <w:tblCellMar>
          <w:top w:w="0" w:type="dxa"/>
          <w:left w:w="0" w:type="dxa"/>
          <w:bottom w:w="0" w:type="dxa"/>
          <w:right w:w="0" w:type="dxa"/>
        </w:tblCellMar>
        <w:tblLook w:val="01E0"/>
      </w:tblPr>
      <w:tblGrid>
        <w:gridCol w:w="1150"/>
        <w:gridCol w:w="3119"/>
        <w:gridCol w:w="4855"/>
      </w:tblGrid>
      <w:tr>
        <w:trPr>
          <w:trHeight w:val="415" w:hRule="exact"/>
        </w:trPr>
        <w:tc>
          <w:tcPr>
            <w:tcW w:w="11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9" w:right="0"/>
              <w:jc w:val="left"/>
              <w:rPr>
                <w:rFonts w:ascii="宋体" w:hAnsi="宋体" w:cs="宋体" w:eastAsia="宋体" w:hint="default"/>
                <w:sz w:val="21"/>
                <w:szCs w:val="21"/>
              </w:rPr>
            </w:pPr>
            <w:r>
              <w:rPr>
                <w:rFonts w:ascii="宋体" w:hAnsi="宋体" w:cs="宋体" w:eastAsia="宋体" w:hint="default"/>
                <w:sz w:val="21"/>
                <w:szCs w:val="21"/>
              </w:rPr>
              <w:t>销售模式</w:t>
            </w:r>
          </w:p>
        </w:tc>
        <w:tc>
          <w:tcPr>
            <w:tcW w:w="31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直销模式</w:t>
            </w:r>
          </w:p>
        </w:tc>
        <w:tc>
          <w:tcPr>
            <w:tcW w:w="485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经销模式</w:t>
            </w:r>
          </w:p>
        </w:tc>
      </w:tr>
      <w:tr>
        <w:trPr>
          <w:trHeight w:val="368" w:hRule="exact"/>
        </w:trPr>
        <w:tc>
          <w:tcPr>
            <w:tcW w:w="1150" w:type="dxa"/>
            <w:tcBorders>
              <w:top w:val="single" w:sz="6" w:space="0" w:color="000000"/>
              <w:left w:val="single" w:sz="12" w:space="0" w:color="000000"/>
              <w:bottom w:val="nil" w:sz="6" w:space="0" w:color="auto"/>
              <w:right w:val="single" w:sz="6" w:space="0" w:color="000000"/>
            </w:tcBorders>
          </w:tcPr>
          <w:p>
            <w:pPr/>
          </w:p>
        </w:tc>
        <w:tc>
          <w:tcPr>
            <w:tcW w:w="311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pacing w:val="4"/>
                <w:sz w:val="21"/>
                <w:szCs w:val="21"/>
              </w:rPr>
              <w:t>1、附安装义务销售：在履行完</w:t>
            </w:r>
            <w:r>
              <w:rPr>
                <w:rFonts w:ascii="宋体" w:hAnsi="宋体" w:cs="宋体" w:eastAsia="宋体" w:hint="default"/>
                <w:sz w:val="21"/>
                <w:szCs w:val="21"/>
              </w:rPr>
            </w:r>
          </w:p>
        </w:tc>
        <w:tc>
          <w:tcPr>
            <w:tcW w:w="4855"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1、无需安装调试或经销商可自行安装调试的产品：</w:t>
            </w:r>
          </w:p>
        </w:tc>
      </w:tr>
      <w:tr>
        <w:trPr>
          <w:trHeight w:val="311" w:hRule="exact"/>
        </w:trPr>
        <w:tc>
          <w:tcPr>
            <w:tcW w:w="1150" w:type="dxa"/>
            <w:tcBorders>
              <w:top w:val="nil" w:sz="6" w:space="0" w:color="auto"/>
              <w:left w:val="single" w:sz="12" w:space="0" w:color="000000"/>
              <w:bottom w:val="nil" w:sz="6" w:space="0" w:color="auto"/>
              <w:right w:val="single" w:sz="6" w:space="0" w:color="000000"/>
            </w:tcBorders>
          </w:tcPr>
          <w:p>
            <w:pP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毕安装义务，经客户验收合格</w:t>
            </w:r>
            <w:r>
              <w:rPr>
                <w:rFonts w:ascii="宋体" w:hAnsi="宋体" w:cs="宋体" w:eastAsia="宋体" w:hint="default"/>
                <w:sz w:val="21"/>
                <w:szCs w:val="21"/>
              </w:rPr>
            </w:r>
          </w:p>
        </w:tc>
        <w:tc>
          <w:tcPr>
            <w:tcW w:w="4855" w:type="dxa"/>
            <w:tcBorders>
              <w:top w:val="nil" w:sz="6" w:space="0" w:color="auto"/>
              <w:left w:val="single" w:sz="6" w:space="0" w:color="000000"/>
              <w:bottom w:val="nil" w:sz="6" w:space="0" w:color="auto"/>
              <w:right w:val="single" w:sz="12"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经销商收到货物，验收合格、账目核对并确认付款</w:t>
            </w:r>
          </w:p>
        </w:tc>
      </w:tr>
      <w:tr>
        <w:trPr>
          <w:trHeight w:val="312" w:hRule="exact"/>
        </w:trPr>
        <w:tc>
          <w:tcPr>
            <w:tcW w:w="1150" w:type="dxa"/>
            <w:tcBorders>
              <w:top w:val="nil" w:sz="6" w:space="0" w:color="auto"/>
              <w:left w:val="single" w:sz="12" w:space="0" w:color="000000"/>
              <w:bottom w:val="nil" w:sz="6" w:space="0" w:color="auto"/>
              <w:right w:val="single" w:sz="6" w:space="0" w:color="000000"/>
            </w:tcBorders>
          </w:tcPr>
          <w:p>
            <w:pP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后，开具发票账单交付客户，确</w:t>
            </w:r>
          </w:p>
        </w:tc>
        <w:tc>
          <w:tcPr>
            <w:tcW w:w="4855"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后，开具发票交付经销商，确认收入。</w:t>
            </w:r>
          </w:p>
        </w:tc>
      </w:tr>
      <w:tr>
        <w:trPr>
          <w:trHeight w:val="313" w:hRule="exact"/>
        </w:trPr>
        <w:tc>
          <w:tcPr>
            <w:tcW w:w="1150" w:type="dxa"/>
            <w:tcBorders>
              <w:top w:val="nil" w:sz="6" w:space="0" w:color="auto"/>
              <w:left w:val="single" w:sz="12" w:space="0" w:color="000000"/>
              <w:bottom w:val="nil" w:sz="6" w:space="0" w:color="auto"/>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收入确</w:t>
            </w: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认收入。</w:t>
            </w:r>
          </w:p>
        </w:tc>
        <w:tc>
          <w:tcPr>
            <w:tcW w:w="4855"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2、需本公司提供技术支持的新产品、复杂系统项目</w:t>
            </w:r>
          </w:p>
        </w:tc>
      </w:tr>
      <w:tr>
        <w:trPr>
          <w:trHeight w:val="312" w:hRule="exact"/>
        </w:trPr>
        <w:tc>
          <w:tcPr>
            <w:tcW w:w="1150" w:type="dxa"/>
            <w:tcBorders>
              <w:top w:val="nil" w:sz="6" w:space="0" w:color="auto"/>
              <w:left w:val="single" w:sz="12" w:space="0" w:color="000000"/>
              <w:bottom w:val="nil" w:sz="6" w:space="0" w:color="auto"/>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认时点</w:t>
            </w: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2、不附安装义务销售：在客户</w:t>
            </w:r>
            <w:r>
              <w:rPr>
                <w:rFonts w:ascii="宋体" w:hAnsi="宋体" w:cs="宋体" w:eastAsia="宋体" w:hint="default"/>
                <w:sz w:val="21"/>
                <w:szCs w:val="21"/>
              </w:rPr>
            </w:r>
          </w:p>
        </w:tc>
        <w:tc>
          <w:tcPr>
            <w:tcW w:w="4855" w:type="dxa"/>
            <w:tcBorders>
              <w:top w:val="nil" w:sz="6" w:space="0" w:color="auto"/>
              <w:left w:val="single" w:sz="6" w:space="0" w:color="000000"/>
              <w:bottom w:val="nil" w:sz="6" w:space="0" w:color="auto"/>
              <w:right w:val="single" w:sz="12"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产品：经销商在收到货物、待系统安装和调试通过</w:t>
            </w:r>
          </w:p>
        </w:tc>
      </w:tr>
      <w:tr>
        <w:trPr>
          <w:trHeight w:val="311" w:hRule="exact"/>
        </w:trPr>
        <w:tc>
          <w:tcPr>
            <w:tcW w:w="1150" w:type="dxa"/>
            <w:tcBorders>
              <w:top w:val="nil" w:sz="6" w:space="0" w:color="auto"/>
              <w:left w:val="single" w:sz="12" w:space="0" w:color="000000"/>
              <w:bottom w:val="nil" w:sz="6" w:space="0" w:color="auto"/>
              <w:right w:val="single" w:sz="6" w:space="0" w:color="000000"/>
            </w:tcBorders>
          </w:tcPr>
          <w:p>
            <w:pP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收到货物，验收合格并确认付款</w:t>
            </w:r>
          </w:p>
        </w:tc>
        <w:tc>
          <w:tcPr>
            <w:tcW w:w="4855" w:type="dxa"/>
            <w:tcBorders>
              <w:top w:val="nil" w:sz="6" w:space="0" w:color="auto"/>
              <w:left w:val="single" w:sz="6" w:space="0" w:color="000000"/>
              <w:bottom w:val="nil" w:sz="6" w:space="0" w:color="auto"/>
              <w:right w:val="single" w:sz="12"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后（本公司提供技术支持），对方确认产品合格。</w:t>
            </w:r>
          </w:p>
        </w:tc>
      </w:tr>
      <w:tr>
        <w:trPr>
          <w:trHeight w:val="313" w:hRule="exact"/>
        </w:trPr>
        <w:tc>
          <w:tcPr>
            <w:tcW w:w="1150" w:type="dxa"/>
            <w:tcBorders>
              <w:top w:val="nil" w:sz="6" w:space="0" w:color="auto"/>
              <w:left w:val="single" w:sz="12" w:space="0" w:color="000000"/>
              <w:bottom w:val="nil" w:sz="6" w:space="0" w:color="auto"/>
              <w:right w:val="single" w:sz="6" w:space="0" w:color="000000"/>
            </w:tcBorders>
          </w:tcPr>
          <w:p>
            <w:pP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后，开具发票账单交付客户，确</w:t>
            </w:r>
          </w:p>
        </w:tc>
        <w:tc>
          <w:tcPr>
            <w:tcW w:w="4855"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经销商确认产品合格、账目核对并同意付款后，</w:t>
            </w:r>
            <w:r>
              <w:rPr>
                <w:rFonts w:ascii="宋体" w:hAnsi="宋体" w:cs="宋体" w:eastAsia="宋体" w:hint="default"/>
                <w:spacing w:val="-25"/>
                <w:sz w:val="21"/>
                <w:szCs w:val="21"/>
              </w:rPr>
              <w:t> </w:t>
            </w:r>
            <w:r>
              <w:rPr>
                <w:rFonts w:ascii="宋体" w:hAnsi="宋体" w:cs="宋体" w:eastAsia="宋体" w:hint="default"/>
                <w:sz w:val="21"/>
                <w:szCs w:val="21"/>
              </w:rPr>
              <w:t>开</w:t>
            </w:r>
          </w:p>
        </w:tc>
      </w:tr>
      <w:tr>
        <w:trPr>
          <w:trHeight w:val="376" w:hRule="exact"/>
        </w:trPr>
        <w:tc>
          <w:tcPr>
            <w:tcW w:w="1150" w:type="dxa"/>
            <w:tcBorders>
              <w:top w:val="nil" w:sz="6" w:space="0" w:color="auto"/>
              <w:left w:val="single" w:sz="12" w:space="0" w:color="000000"/>
              <w:bottom w:val="single" w:sz="12" w:space="0" w:color="000000"/>
              <w:right w:val="single" w:sz="6" w:space="0" w:color="000000"/>
            </w:tcBorders>
          </w:tcPr>
          <w:p>
            <w:pPr/>
          </w:p>
        </w:tc>
        <w:tc>
          <w:tcPr>
            <w:tcW w:w="3119" w:type="dxa"/>
            <w:tcBorders>
              <w:top w:val="nil" w:sz="6" w:space="0" w:color="auto"/>
              <w:left w:val="single" w:sz="6" w:space="0" w:color="000000"/>
              <w:bottom w:val="single" w:sz="12"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认收入。</w:t>
            </w:r>
          </w:p>
        </w:tc>
        <w:tc>
          <w:tcPr>
            <w:tcW w:w="4855" w:type="dxa"/>
            <w:tcBorders>
              <w:top w:val="nil" w:sz="6" w:space="0" w:color="auto"/>
              <w:left w:val="single" w:sz="6" w:space="0" w:color="000000"/>
              <w:bottom w:val="single" w:sz="12" w:space="0" w:color="000000"/>
              <w:right w:val="single" w:sz="12"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具发票交付经销商，确认收入。</w:t>
            </w:r>
          </w:p>
        </w:tc>
      </w:tr>
    </w:tbl>
    <w:p>
      <w:pPr>
        <w:spacing w:after="0" w:line="262" w:lineRule="exact"/>
        <w:jc w:val="left"/>
        <w:rPr>
          <w:rFonts w:ascii="宋体" w:hAnsi="宋体" w:cs="宋体" w:eastAsia="宋体" w:hint="default"/>
          <w:sz w:val="21"/>
          <w:szCs w:val="21"/>
        </w:rPr>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574" w:right="94"/>
        <w:jc w:val="left"/>
      </w:pPr>
      <w:r>
        <w:rPr/>
        <w:t>让渡资产使用权收入包括利息收入、使用费收入等，在同时满足以下条件时予以确认：</w:t>
      </w:r>
    </w:p>
    <w:p>
      <w:pPr>
        <w:pStyle w:val="BodyText"/>
        <w:spacing w:line="240" w:lineRule="auto" w:before="154"/>
        <w:ind w:left="574" w:right="610"/>
        <w:jc w:val="left"/>
      </w:pPr>
      <w:r>
        <w:rPr/>
        <w:t>①</w:t>
      </w:r>
      <w:r>
        <w:rPr>
          <w:spacing w:val="-24"/>
        </w:rPr>
        <w:t> </w:t>
      </w:r>
      <w:r>
        <w:rPr/>
        <w:t>与交易相关的经济利益能够流入企业公司；</w:t>
      </w:r>
    </w:p>
    <w:p>
      <w:pPr>
        <w:pStyle w:val="BodyText"/>
        <w:spacing w:line="357" w:lineRule="auto" w:before="154"/>
        <w:ind w:left="574" w:right="1390"/>
        <w:jc w:val="left"/>
      </w:pPr>
      <w:r>
        <w:rPr/>
        <w:t>②</w:t>
      </w:r>
      <w:r>
        <w:rPr>
          <w:spacing w:val="-24"/>
        </w:rPr>
        <w:t> </w:t>
      </w:r>
      <w:r>
        <w:rPr/>
        <w:t>收入的金额能够可靠地计量。</w:t>
      </w:r>
      <w:r>
        <w:rPr/>
        <w:t> 利息收入金额，按照他人使用本公司货币资金的时间和实际利率计算确定。</w:t>
      </w:r>
    </w:p>
    <w:p>
      <w:pPr>
        <w:pStyle w:val="BodyText"/>
        <w:spacing w:line="240" w:lineRule="auto" w:before="77"/>
        <w:ind w:left="154" w:right="610"/>
        <w:jc w:val="left"/>
      </w:pPr>
      <w:r>
        <w:rPr/>
        <w:t>使用费收入金额，按照有关合同或协议约定的收费时间和方法计算确定。</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ind w:right="111" w:firstLine="480"/>
        <w:jc w:val="both"/>
      </w:pPr>
      <w:r>
        <w:rPr/>
        <w:t>在提供劳务交易的结果能够可靠估计的情况下，于资产负债表日按照完工百分比法确认 </w:t>
      </w:r>
      <w:r>
        <w:rPr>
          <w:spacing w:val="-1"/>
        </w:rPr>
        <w:t>提供的劳务收入。劳务交易的完工进度按已完工作的测量</w:t>
      </w:r>
      <w:r>
        <w:rPr>
          <w:rFonts w:ascii="Times New Roman" w:hAnsi="Times New Roman" w:cs="Times New Roman" w:eastAsia="Times New Roman" w:hint="default"/>
          <w:spacing w:val="-1"/>
        </w:rPr>
        <w:t>/</w:t>
      </w:r>
      <w:r>
        <w:rPr>
          <w:spacing w:val="-1"/>
        </w:rPr>
        <w:t>已经提供的劳务占应提供劳务总量</w:t>
      </w:r>
      <w:r>
        <w:rPr>
          <w:spacing w:val="-108"/>
        </w:rPr>
        <w:t> </w:t>
      </w:r>
      <w:r>
        <w:rPr/>
        <w:t>的比例</w:t>
      </w:r>
      <w:r>
        <w:rPr>
          <w:rFonts w:ascii="Times New Roman" w:hAnsi="Times New Roman" w:cs="Times New Roman" w:eastAsia="Times New Roman" w:hint="default"/>
        </w:rPr>
        <w:t>/</w:t>
      </w:r>
      <w:r>
        <w:rPr/>
        <w:t>已经发生的劳务成本占估计总成本的比例确定。</w:t>
      </w:r>
    </w:p>
    <w:p>
      <w:pPr>
        <w:pStyle w:val="BodyText"/>
        <w:spacing w:line="357" w:lineRule="auto" w:before="16"/>
        <w:ind w:right="148" w:firstLine="480"/>
        <w:jc w:val="both"/>
      </w:pPr>
      <w:r>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BodyText"/>
        <w:spacing w:line="357" w:lineRule="auto" w:before="36"/>
        <w:ind w:right="94" w:firstLine="480"/>
        <w:jc w:val="left"/>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 本公司与其他企业签订的合同或协议包括销售商品和提供劳务时，如销售商品部分和提供劳</w:t>
      </w:r>
      <w:r>
        <w:rPr>
          <w:spacing w:val="-83"/>
        </w:rPr>
        <w:t> </w:t>
      </w:r>
      <w:r>
        <w:rPr>
          <w:spacing w:val="-83"/>
        </w:rPr>
      </w:r>
      <w:r>
        <w:rPr/>
        <w:t>务部分能够区分并单独计量的，将销售商品部分和提供劳务部分分别处理；如销售商品部分</w:t>
      </w:r>
      <w:r>
        <w:rPr>
          <w:spacing w:val="-83"/>
        </w:rPr>
        <w:t> </w:t>
      </w:r>
      <w:r>
        <w:rPr>
          <w:spacing w:val="-83"/>
        </w:rPr>
      </w:r>
      <w:r>
        <w:rPr/>
        <w:t>和提供劳务部分不能够区分，或虽能区分但不能够单独计量的，将该合同全部作为销售商品</w:t>
      </w:r>
      <w:r>
        <w:rPr>
          <w:spacing w:val="-83"/>
        </w:rPr>
        <w:t> </w:t>
      </w:r>
      <w:r>
        <w:rPr>
          <w:spacing w:val="-83"/>
        </w:rPr>
      </w:r>
      <w:r>
        <w:rPr/>
        <w:t>处理。</w:t>
      </w:r>
    </w:p>
    <w:p>
      <w:pPr>
        <w:spacing w:line="240" w:lineRule="auto" w:before="8"/>
        <w:rPr>
          <w:rFonts w:ascii="宋体" w:hAnsi="宋体" w:cs="宋体" w:eastAsia="宋体" w:hint="default"/>
          <w:sz w:val="21"/>
          <w:szCs w:val="21"/>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8" w:lineRule="auto"/>
        <w:ind w:left="154" w:right="111" w:firstLine="480"/>
        <w:jc w:val="both"/>
      </w:pPr>
      <w:r>
        <w:rPr>
          <w:spacing w:val="-3"/>
        </w:rPr>
        <w:t>（</w:t>
      </w:r>
      <w:r>
        <w:rPr>
          <w:rFonts w:ascii="Times New Roman" w:hAnsi="Times New Roman" w:cs="Times New Roman" w:eastAsia="Times New Roman" w:hint="default"/>
          <w:spacing w:val="-3"/>
        </w:rPr>
        <w:t>1</w:t>
      </w:r>
      <w:r>
        <w:rPr>
          <w:spacing w:val="-3"/>
        </w:rPr>
        <w:t>）在提供劳务交易的结果能够可靠估计的情况下，于资产负债表日按照完工百分比法</w:t>
      </w:r>
      <w:r>
        <w:rPr/>
        <w:t> </w:t>
      </w:r>
      <w:r>
        <w:rPr>
          <w:spacing w:val="-2"/>
        </w:rPr>
        <w:t>确认提供的劳务收入。劳务交易的完工进度按已完工作的测量/已经提供的劳务占应提供劳务</w:t>
      </w:r>
      <w:r>
        <w:rPr/>
        <w:t> 总量的比例/已经发生的劳务成本占估计总成本的比例确定。</w:t>
      </w:r>
    </w:p>
    <w:p>
      <w:pPr>
        <w:pStyle w:val="BodyText"/>
        <w:spacing w:line="357" w:lineRule="auto" w:before="46"/>
        <w:ind w:left="154" w:right="148" w:firstLine="480"/>
        <w:jc w:val="both"/>
      </w:pPr>
      <w:r>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spacing w:after="0" w:line="357" w:lineRule="auto"/>
        <w:jc w:val="both"/>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57" w:lineRule="auto" w:before="26"/>
        <w:ind w:left="154" w:right="268"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48" w:lineRule="auto" w:before="36"/>
        <w:ind w:left="154" w:right="231" w:firstLine="480"/>
        <w:jc w:val="both"/>
      </w:pPr>
      <w:r>
        <w:rPr>
          <w:spacing w:val="-3"/>
        </w:rPr>
        <w:t>（</w:t>
      </w:r>
      <w:r>
        <w:rPr>
          <w:rFonts w:ascii="Times New Roman" w:hAnsi="Times New Roman" w:cs="Times New Roman" w:eastAsia="Times New Roman" w:hint="default"/>
          <w:spacing w:val="-3"/>
        </w:rPr>
        <w:t>2</w:t>
      </w:r>
      <w:r>
        <w:rPr>
          <w:spacing w:val="-3"/>
        </w:rPr>
        <w:t>）在建造合同的结果能够可靠估计的情况下，于资产负债表日按照完工百分比法确认</w:t>
      </w:r>
      <w:r>
        <w:rPr/>
        <w:t> 合同收入和合同费用。合同完工进度按累计实际发生的合同成本占合同预计总成本的比例确 定。</w:t>
      </w:r>
    </w:p>
    <w:p>
      <w:pPr>
        <w:pStyle w:val="BodyText"/>
        <w:spacing w:line="357" w:lineRule="auto" w:before="46"/>
        <w:ind w:left="154" w:right="268" w:firstLine="480"/>
        <w:jc w:val="both"/>
      </w:pPr>
      <w:r>
        <w:rPr/>
        <w:t>建造合同的结果能够可靠估计是指同时满足：①合同总收入能够可靠地计量；②与合同 相关的经济利益很可能流入企业；③实际发生的合同成本能够清楚地区分和可靠地计量；④ 合同完工进度和为完成合同尚需发生的成本能够可靠地确定。</w:t>
      </w:r>
    </w:p>
    <w:p>
      <w:pPr>
        <w:pStyle w:val="BodyText"/>
        <w:spacing w:line="357" w:lineRule="auto" w:before="36"/>
        <w:ind w:left="154" w:right="92" w:firstLine="480"/>
        <w:jc w:val="left"/>
      </w:pPr>
      <w:r>
        <w:rPr/>
        <w:t>如建造合同的结果不能可靠地估计，但合同成本能够收回的，合同收入根据能够收回的 </w:t>
      </w:r>
      <w:r>
        <w:rPr>
          <w:spacing w:val="-2"/>
        </w:rPr>
        <w:t>实际合同成本予以确认，合同成本在其发生的当期确认为合同费用；合同成本不可能收回的，</w:t>
      </w:r>
      <w:r>
        <w:rPr/>
        <w:t> 在发生时立即确认为合同费用，不确认合同收入。使建造合同的结果不能可靠估计的不确定 因素不复存在的，按照完工百分比法确定与建造合同有关的收入和费用。</w:t>
      </w:r>
    </w:p>
    <w:p>
      <w:pPr>
        <w:pStyle w:val="BodyText"/>
        <w:spacing w:line="240" w:lineRule="auto" w:before="36"/>
        <w:ind w:left="634" w:right="95"/>
        <w:jc w:val="left"/>
      </w:pPr>
      <w:r>
        <w:rPr/>
        <w:t>合同预计总成本超过合同总收入的，将预计损失确认为当期费用。</w:t>
      </w:r>
    </w:p>
    <w:p>
      <w:pPr>
        <w:spacing w:line="240" w:lineRule="auto" w:before="8"/>
        <w:rPr>
          <w:rFonts w:ascii="宋体" w:hAnsi="宋体" w:cs="宋体" w:eastAsia="宋体" w:hint="default"/>
          <w:sz w:val="30"/>
          <w:szCs w:val="30"/>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268" w:firstLine="480"/>
        <w:jc w:val="both"/>
      </w:pPr>
      <w:r>
        <w:rPr/>
        <w:t>政府补助是指本公司从政府无偿取得货币性资产和非货币性资产，不包括政府作为所有 者投入的资本。政府补助分为与资产相关的政府补助和与收益相关的政府补助。</w:t>
      </w:r>
    </w:p>
    <w:p>
      <w:pPr>
        <w:spacing w:line="240" w:lineRule="auto" w:before="5"/>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268" w:firstLine="480"/>
        <w:jc w:val="both"/>
      </w:pPr>
      <w:r>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BodyText"/>
        <w:spacing w:line="357" w:lineRule="auto" w:before="36"/>
        <w:ind w:right="95" w:firstLine="480"/>
        <w:jc w:val="left"/>
      </w:pPr>
      <w:r>
        <w:rPr/>
        <w:t>与资产相关的政府补助，确认为递延收益，并在相关资产的使用寿命内平均分配计入当 </w:t>
      </w:r>
      <w:r>
        <w:rPr>
          <w:spacing w:val="-3"/>
        </w:rPr>
        <w:t>期损益。与收益相关的政府补助，用于补偿以后期间的相关费用和损失的，确认为递延收益，</w:t>
      </w:r>
      <w:r>
        <w:rPr>
          <w:spacing w:val="-81"/>
        </w:rPr>
        <w:t> </w:t>
      </w:r>
      <w:r>
        <w:rPr>
          <w:spacing w:val="-81"/>
        </w:rPr>
      </w:r>
      <w:r>
        <w:rPr/>
        <w:t>并在确认相关费用的期间计入当期损益；用于补偿已经发生的相关费用和损失的，直接计入 当期损益。</w:t>
      </w:r>
    </w:p>
    <w:p>
      <w:pPr>
        <w:pStyle w:val="BodyText"/>
        <w:spacing w:line="240" w:lineRule="auto" w:before="36"/>
        <w:ind w:left="633" w:right="95"/>
        <w:jc w:val="left"/>
      </w:pPr>
      <w:r>
        <w:rPr>
          <w:spacing w:val="-3"/>
        </w:rPr>
        <w:t>已确认的政府补助需要返还时，存在相关递延收益余额的，冲减相关递延收益账面余额，</w:t>
      </w:r>
    </w:p>
    <w:p>
      <w:pPr>
        <w:spacing w:after="0" w:line="240"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240" w:lineRule="auto" w:before="26"/>
        <w:ind w:left="154" w:right="95"/>
        <w:jc w:val="left"/>
      </w:pPr>
      <w:r>
        <w:rPr/>
        <w:t>超出部分计入当期损益；不存在相关递延收益的，直接计入当期损益。</w:t>
      </w:r>
    </w:p>
    <w:p>
      <w:pPr>
        <w:spacing w:line="240" w:lineRule="auto" w:before="8"/>
        <w:rPr>
          <w:rFonts w:ascii="宋体" w:hAnsi="宋体" w:cs="宋体" w:eastAsia="宋体" w:hint="default"/>
          <w:sz w:val="30"/>
          <w:szCs w:val="30"/>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left="154" w:right="92" w:firstLine="480"/>
        <w:jc w:val="left"/>
      </w:pPr>
      <w:r>
        <w:rPr/>
        <w:t>某些资产、负债项目的账面价值与其计税基础之间的差额，以及未作为资产和负债确认 但按照税法规定可以确定其计税基础的项目的账面价值与计税基础之间的差额产生的可抵扣 暂时性差异，采用资产负债表债务法确认递延所得税资产。与既不是企业合并、发生时也不 影响会计利润和应纳税所得额（或可抵扣亏损）的交易中产生的资产或负债的初始确认有关 的可抵扣暂时性差异，不予确认有关的递延所得税资产。此外，对与子公司、联营企业及合 营企业投资相关的可抵扣暂时性差异，如果暂时性差异在可预见的未来不是很可能转回，或 者未来不是很可能获得用来抵扣可抵扣暂时性差异的应纳税所得额，不予确认有关的递延所 得税资产。除上述例外情况，本公司以很可能取得用来抵扣可抵扣暂时性差异的应纳税所得 额为限，确认其他可抵扣暂时性差异产生的递延所得税资产。对于能够结转以后年度的可抵 </w:t>
      </w:r>
      <w:r>
        <w:rPr>
          <w:spacing w:val="-2"/>
        </w:rPr>
        <w:t>扣亏损和税款抵减，以很可能获得用来抵扣可抵扣亏损和税款抵减的未来应纳税所得额为限，</w:t>
      </w:r>
      <w:r>
        <w:rPr/>
        <w:t> 确认相应的递延所得税资产。</w:t>
      </w:r>
    </w:p>
    <w:p>
      <w:pPr>
        <w:spacing w:line="240" w:lineRule="auto" w:before="5"/>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left="154" w:right="92" w:firstLine="480"/>
        <w:jc w:val="left"/>
      </w:pPr>
      <w:r>
        <w:rPr/>
        <w:t>某些资产、负债项目的账面价值与其计税基础之间的差额，以及未作为资产和负债确认 但按照税法规定可以确定其计税基础的项目的账面价值与计税基础之间的差额产生的应纳税 暂时性差异，采用资产负债表债务法确认递延所得税负债。与商誉的初始确认有关，以及与 既不是企业合并、发生时也不影响会计利润和应纳税所得额（或可抵扣亏损）的交易中产生 </w:t>
      </w:r>
      <w:r>
        <w:rPr>
          <w:spacing w:val="-2"/>
        </w:rPr>
        <w:t>的资产或负债的初始确认有关的应纳税暂时性差异，不予确认有关的递延所得税负债。此外，</w:t>
      </w:r>
      <w:r>
        <w:rPr/>
        <w:t> 对与子公司、联营企业及合营企业投资相关的应纳税暂时性差异，如果本公司能够控制暂时 性差异转回的时间，而且该暂时性差异在可预见的未来很可能不会转回，也不予确认有关的 递延所得税负债。除上述例外情况，本公司确认其他所有应纳税暂时性差异产生的递延所得 税负债。</w:t>
      </w:r>
    </w:p>
    <w:p>
      <w:pPr>
        <w:spacing w:after="0" w:line="357" w:lineRule="auto"/>
        <w:jc w:val="left"/>
        <w:sectPr>
          <w:pgSz w:w="11910" w:h="16840"/>
          <w:pgMar w:header="851" w:footer="982" w:top="1220" w:bottom="1180" w:left="980" w:right="900"/>
        </w:sectPr>
      </w:pPr>
    </w:p>
    <w:p>
      <w:pPr>
        <w:spacing w:line="240" w:lineRule="auto" w:before="6"/>
        <w:rPr>
          <w:rFonts w:ascii="宋体" w:hAnsi="宋体" w:cs="宋体" w:eastAsia="宋体" w:hint="default"/>
          <w:sz w:val="11"/>
          <w:szCs w:val="11"/>
        </w:rPr>
      </w:pPr>
    </w:p>
    <w:p>
      <w:pPr>
        <w:spacing w:before="35"/>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ind w:right="108" w:firstLine="420"/>
        <w:jc w:val="both"/>
      </w:pPr>
      <w:r>
        <w:rPr>
          <w:spacing w:val="2"/>
        </w:rPr>
        <w:t>①本公司作为经营租赁承租人时，将经营租赁的租金支出，在租赁期内各个期间按照直 </w:t>
      </w:r>
      <w:r>
        <w:rPr/>
        <w:t>线法或根据租赁资产的使用量计入当期损益。作为承租人发生的初始直接费用，计入管理费</w:t>
      </w:r>
      <w:r>
        <w:rPr>
          <w:spacing w:val="-83"/>
        </w:rPr>
        <w:t> </w:t>
      </w:r>
      <w:r>
        <w:rPr>
          <w:spacing w:val="-83"/>
        </w:rPr>
      </w:r>
      <w:r>
        <w:rPr/>
        <w:t>用，或有租金于发生时确认为当期费用。出租人提供免租期的，本公司将租金总额在不扣除</w:t>
      </w:r>
      <w:r>
        <w:rPr>
          <w:spacing w:val="-83"/>
        </w:rPr>
        <w:t> </w:t>
      </w:r>
      <w:r>
        <w:rPr>
          <w:spacing w:val="-83"/>
        </w:rPr>
      </w:r>
      <w:r>
        <w:rPr/>
        <w:t>免租期的整个租赁期内，按直线法或其他合理的方法进行分摊，免租期内确认租金费用及相</w:t>
      </w:r>
      <w:r>
        <w:rPr>
          <w:spacing w:val="-83"/>
        </w:rPr>
        <w:t> </w:t>
      </w:r>
      <w:r>
        <w:rPr>
          <w:spacing w:val="-83"/>
        </w:rPr>
      </w:r>
      <w:r>
        <w:rPr/>
        <w:t>应的负债。出租人承担了承租人某些费用的，本公司按该费用从租金费用总额中扣除后的租</w:t>
      </w:r>
      <w:r>
        <w:rPr>
          <w:spacing w:val="-83"/>
        </w:rPr>
        <w:t> </w:t>
      </w:r>
      <w:r>
        <w:rPr>
          <w:spacing w:val="-83"/>
        </w:rPr>
      </w:r>
      <w:r>
        <w:rPr/>
        <w:t>金费用余额在租赁期内进行分摊。</w:t>
      </w:r>
    </w:p>
    <w:p>
      <w:pPr>
        <w:pStyle w:val="BodyText"/>
        <w:spacing w:line="357" w:lineRule="auto" w:before="77"/>
        <w:ind w:right="108" w:firstLine="480"/>
        <w:jc w:val="both"/>
      </w:pPr>
      <w:r>
        <w:rPr/>
        <w:t>②本公司作为经营租赁出租人时，采用直线法将收到的租金在租赁期内确认为收益。初</w:t>
      </w:r>
      <w:r>
        <w:rPr>
          <w:spacing w:val="1"/>
        </w:rPr>
        <w:t> </w:t>
      </w:r>
      <w:r>
        <w:rPr/>
        <w:t>始直接费用，计入当期损益。金额较大的予以资本化，在整个经营租赁期内按照与确认租金</w:t>
      </w:r>
      <w:r>
        <w:rPr>
          <w:spacing w:val="-83"/>
        </w:rPr>
        <w:t> </w:t>
      </w:r>
      <w:r>
        <w:rPr>
          <w:spacing w:val="-83"/>
        </w:rPr>
      </w:r>
      <w:r>
        <w:rPr/>
        <w:t>收入相同的基础分期计入当期损益。如协议约定或有租金的在实际发生时计入当期收益。出</w:t>
      </w:r>
      <w:r>
        <w:rPr>
          <w:spacing w:val="-83"/>
        </w:rPr>
        <w:t> </w:t>
      </w:r>
      <w:r>
        <w:rPr>
          <w:spacing w:val="-83"/>
        </w:rPr>
      </w:r>
      <w:r>
        <w:rPr/>
        <w:t>租人提供免租期的，出租人将租金总额在不扣除免租期的整个租赁期内，按直线法或其他合</w:t>
      </w:r>
      <w:r>
        <w:rPr>
          <w:spacing w:val="-83"/>
        </w:rPr>
        <w:t> </w:t>
      </w:r>
      <w:r>
        <w:rPr>
          <w:spacing w:val="-83"/>
        </w:rPr>
      </w:r>
      <w:r>
        <w:rPr/>
        <w:t>理的方法进行分配，免租期内出租人也确认租金收入。承担了承租人某些费用的，本公司按</w:t>
      </w:r>
      <w:r>
        <w:rPr>
          <w:spacing w:val="-83"/>
        </w:rPr>
        <w:t> </w:t>
      </w:r>
      <w:r>
        <w:rPr>
          <w:spacing w:val="-83"/>
        </w:rPr>
      </w:r>
      <w:r>
        <w:rPr/>
        <w:t>该费用自租金收入总额中扣除后的租金收入余额在租赁期内进行分配。</w:t>
      </w:r>
    </w:p>
    <w:p>
      <w:pPr>
        <w:spacing w:line="240" w:lineRule="auto" w:before="7"/>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ind w:right="108" w:firstLine="420"/>
        <w:jc w:val="right"/>
      </w:pPr>
      <w:r>
        <w:rPr>
          <w:spacing w:val="2"/>
        </w:rPr>
        <w:t>①本公司作为融资租赁承租人时，在租赁期开始日，将租赁开始日租赁资产公允价值与 </w:t>
      </w:r>
      <w:r>
        <w:rPr/>
        <w:t>最低租赁付款额现值两者中较低者作为租入资产的入账价值，将最低租赁付款额作为长期应</w:t>
      </w:r>
      <w:r>
        <w:rPr>
          <w:spacing w:val="-94"/>
        </w:rPr>
        <w:t> </w:t>
      </w:r>
      <w:r>
        <w:rPr>
          <w:spacing w:val="-94"/>
        </w:rPr>
      </w:r>
      <w:r>
        <w:rPr/>
        <w:t>付款的入账价值，其差额作为未确认融资费用。在租赁期内各个期间采用实际利率法进行分</w:t>
      </w:r>
      <w:r>
        <w:rPr>
          <w:spacing w:val="-94"/>
        </w:rPr>
        <w:t> </w:t>
      </w:r>
      <w:r>
        <w:rPr>
          <w:spacing w:val="-94"/>
        </w:rPr>
      </w:r>
      <w:r>
        <w:rPr/>
        <w:t>摊，确认为当期融资费用，计入财务费用。发生的初始直接费用，应当计入租入资产价值。</w:t>
      </w:r>
      <w:r>
        <w:rPr/>
        <w:t> </w:t>
      </w:r>
      <w:r>
        <w:rPr>
          <w:spacing w:val="2"/>
        </w:rPr>
        <w:t>在计提融资租赁资产折旧时，本公司采用与自有应折旧资产相一致的折旧政策，折旧期</w:t>
      </w:r>
      <w:r>
        <w:rPr>
          <w:spacing w:val="2"/>
        </w:rPr>
        <w:t> </w:t>
      </w:r>
      <w:r>
        <w:rPr/>
        <w:t>间以租赁合同而定。如果能够合理确定租赁期届满时本公司将会取得租赁资产所有权，以租</w:t>
      </w:r>
      <w:r>
        <w:rPr>
          <w:spacing w:val="-94"/>
        </w:rPr>
        <w:t> </w:t>
      </w:r>
      <w:r>
        <w:rPr>
          <w:spacing w:val="-94"/>
        </w:rPr>
      </w:r>
      <w:r>
        <w:rPr/>
        <w:t>赁期开始日租赁资产的寿命作为折旧期间；如果无法合理确定租赁期届满后本公司是否能够</w:t>
      </w:r>
    </w:p>
    <w:p>
      <w:pPr>
        <w:pStyle w:val="BodyText"/>
        <w:spacing w:line="240" w:lineRule="auto" w:before="36"/>
        <w:ind w:left="154" w:right="0"/>
        <w:jc w:val="both"/>
      </w:pPr>
      <w:r>
        <w:rPr/>
        <w:t>取得租赁资产的所有权，以租赁期与租赁资产寿命两者中较短者作为折旧期间。</w:t>
      </w:r>
    </w:p>
    <w:p>
      <w:pPr>
        <w:pStyle w:val="BodyText"/>
        <w:spacing w:line="352" w:lineRule="auto" w:before="194"/>
        <w:ind w:left="154" w:right="108"/>
        <w:jc w:val="both"/>
      </w:pPr>
      <w:r>
        <w:rPr/>
        <w:t>②本公司作为融资租赁出租人时，于租赁期开始日将租赁开始日最低租赁应收款额与初始直</w:t>
      </w:r>
      <w:r>
        <w:rPr>
          <w:spacing w:val="-83"/>
        </w:rPr>
        <w:t> </w:t>
      </w:r>
      <w:r>
        <w:rPr>
          <w:spacing w:val="-83"/>
        </w:rPr>
      </w:r>
      <w:r>
        <w:rPr/>
        <w:t>接费用之和作为应收融资租赁款的入账价值，计入资产负债表的长期应收款，同时记录未担</w:t>
      </w:r>
      <w:r>
        <w:rPr>
          <w:spacing w:val="-83"/>
        </w:rPr>
        <w:t> </w:t>
      </w:r>
      <w:r>
        <w:rPr>
          <w:spacing w:val="-83"/>
        </w:rPr>
      </w:r>
      <w:r>
        <w:rPr/>
        <w:t>保余值；将最低租赁应收款额、初始直接费用及未担保余值之和与其现值之和的差额作为未</w:t>
      </w:r>
      <w:r>
        <w:rPr>
          <w:spacing w:val="-83"/>
        </w:rPr>
        <w:t> </w:t>
      </w:r>
      <w:r>
        <w:rPr>
          <w:spacing w:val="-83"/>
        </w:rPr>
      </w:r>
      <w:r>
        <w:rPr>
          <w:spacing w:val="-1"/>
        </w:rPr>
        <w:t>实现融资收益，在租赁期内各个期间采用实际利率法确认为租赁收入，计入租赁收入</w:t>
      </w:r>
      <w:r>
        <w:rPr>
          <w:rFonts w:ascii="Times New Roman" w:hAnsi="Times New Roman" w:cs="Times New Roman" w:eastAsia="Times New Roman" w:hint="default"/>
          <w:spacing w:val="-1"/>
        </w:rPr>
        <w:t>/</w:t>
      </w:r>
      <w:r>
        <w:rPr>
          <w:spacing w:val="-1"/>
        </w:rPr>
        <w:t>业务业</w:t>
      </w:r>
      <w:r>
        <w:rPr>
          <w:spacing w:val="-109"/>
        </w:rPr>
        <w:t> </w:t>
      </w:r>
      <w:r>
        <w:rPr/>
        <w:t>务收入。</w:t>
      </w:r>
    </w:p>
    <w:p>
      <w:pPr>
        <w:spacing w:after="0" w:line="352" w:lineRule="auto"/>
        <w:jc w:val="both"/>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6"/>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52"/>
        <w:ind w:left="634" w:right="610"/>
        <w:jc w:val="left"/>
      </w:pPr>
      <w:r>
        <w:rPr/>
        <w:t>本公司本年度无会计政策变更。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6"/>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357" w:lineRule="auto" w:before="130"/>
        <w:ind w:left="154" w:right="148" w:firstLine="480"/>
        <w:jc w:val="both"/>
      </w:pPr>
      <w:r>
        <w:rPr/>
        <w:t>根据本公司第二届董事会第七次会议审议通过的《关于审议郑州新开普电子股份有限公 司会计估计变更的议案》：随着公司产品种类及型号的不断增加，相同工时的产品生产所耗 用原材料的成本差异也越来越大，为了更加客观公正的反映公司财务状况和经营成果，体现 会计谨慎性原则，为广大投资者提供更可靠、更准确的会计信息，公司决定将每月的制造费 用原按耗用原材料的成本计算分摊比例在已完工产成品和半成品之间分配，变更为按产品所 耗用的定额工时计算分摊比例在已完工产成品和半成品之间分配。</w:t>
      </w:r>
    </w:p>
    <w:p>
      <w:pPr>
        <w:pStyle w:val="BodyText"/>
        <w:spacing w:line="348" w:lineRule="auto" w:before="36"/>
        <w:ind w:right="111" w:firstLine="480"/>
        <w:jc w:val="both"/>
      </w:pPr>
      <w:r>
        <w:rPr>
          <w:spacing w:val="-2"/>
        </w:rPr>
        <w:t>该变更自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月起施行，主要影响报表项目为营业成本和存货，由于该项估计的变更</w:t>
      </w:r>
      <w:r>
        <w:rPr/>
        <w:t> 涉及所有产品的具体核算，过去各期期初的存货价值很难再按产品定额工时进行制造费用分 配重新计算，因而采用未来适用法，不涉及追溯调整已披露的各年度财务报告数据。</w:t>
      </w:r>
    </w:p>
    <w:p>
      <w:pPr>
        <w:spacing w:line="240" w:lineRule="auto" w:before="3"/>
        <w:rPr>
          <w:rFonts w:ascii="宋体" w:hAnsi="宋体" w:cs="宋体" w:eastAsia="宋体" w:hint="default"/>
          <w:sz w:val="28"/>
          <w:szCs w:val="28"/>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详细说明</w:t>
      </w:r>
    </w:p>
    <w:p>
      <w:pPr>
        <w:spacing w:after="0"/>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11"/>
        <w:rPr>
          <w:rFonts w:ascii="宋体" w:hAnsi="宋体" w:cs="宋体" w:eastAsia="宋体" w:hint="default"/>
          <w:sz w:val="12"/>
          <w:szCs w:val="12"/>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14"/>
        <w:gridCol w:w="2686"/>
        <w:gridCol w:w="1466"/>
        <w:gridCol w:w="1902"/>
      </w:tblGrid>
      <w:tr>
        <w:trPr>
          <w:trHeight w:val="714" w:hRule="exact"/>
        </w:trPr>
        <w:tc>
          <w:tcPr>
            <w:tcW w:w="3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7" w:right="97"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63" w:hRule="exact"/>
        </w:trPr>
        <w:tc>
          <w:tcPr>
            <w:tcW w:w="35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月起将每月的制造费用原按</w:t>
            </w:r>
          </w:p>
        </w:tc>
        <w:tc>
          <w:tcPr>
            <w:tcW w:w="2686" w:type="dxa"/>
            <w:tcBorders>
              <w:top w:val="single" w:sz="4" w:space="0" w:color="000000"/>
              <w:left w:val="single" w:sz="4" w:space="0" w:color="000000"/>
              <w:bottom w:val="nil" w:sz="6" w:space="0" w:color="auto"/>
              <w:right w:val="single" w:sz="4" w:space="0" w:color="000000"/>
            </w:tcBorders>
          </w:tcPr>
          <w:p>
            <w:pPr/>
          </w:p>
        </w:tc>
        <w:tc>
          <w:tcPr>
            <w:tcW w:w="1466" w:type="dxa"/>
            <w:tcBorders>
              <w:top w:val="single" w:sz="4" w:space="0" w:color="000000"/>
              <w:left w:val="single" w:sz="4" w:space="0" w:color="000000"/>
              <w:bottom w:val="nil" w:sz="6" w:space="0" w:color="auto"/>
              <w:right w:val="single" w:sz="4" w:space="0" w:color="000000"/>
            </w:tcBorders>
          </w:tcPr>
          <w:p>
            <w:pPr/>
          </w:p>
        </w:tc>
        <w:tc>
          <w:tcPr>
            <w:tcW w:w="190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5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耗用原材料的成本计算分摊比例在已完工产</w:t>
            </w:r>
          </w:p>
        </w:tc>
        <w:tc>
          <w:tcPr>
            <w:tcW w:w="268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19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成品和半成品之间分配，变更为按产品所耗</w:t>
            </w:r>
          </w:p>
        </w:tc>
        <w:tc>
          <w:tcPr>
            <w:tcW w:w="268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19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用的定额工时计算分摊比例在已完工产成品</w:t>
            </w:r>
          </w:p>
        </w:tc>
        <w:tc>
          <w:tcPr>
            <w:tcW w:w="268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1902"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351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和半成品之间分配。原因为随着公司产品种 类及型号的不断增加，相同工时的产品生产</w:t>
            </w: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第二届董事会第七次会议审议通 过</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营业成本、存货</w:t>
            </w:r>
          </w:p>
        </w:tc>
        <w:tc>
          <w:tcPr>
            <w:tcW w:w="19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8" w:right="0"/>
              <w:jc w:val="left"/>
              <w:rPr>
                <w:rFonts w:ascii="Times New Roman" w:hAnsi="Times New Roman" w:cs="Times New Roman" w:eastAsia="Times New Roman" w:hint="default"/>
                <w:sz w:val="18"/>
                <w:szCs w:val="18"/>
              </w:rPr>
            </w:pPr>
            <w:r>
              <w:rPr>
                <w:rFonts w:ascii="Times New Roman"/>
                <w:sz w:val="18"/>
              </w:rPr>
              <w:t>-180,000.00</w:t>
            </w:r>
          </w:p>
        </w:tc>
      </w:tr>
      <w:tr>
        <w:trPr>
          <w:trHeight w:val="311" w:hRule="exact"/>
        </w:trPr>
        <w:tc>
          <w:tcPr>
            <w:tcW w:w="3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所耗用原材料的成本差异也越来越大，为了</w:t>
            </w:r>
          </w:p>
        </w:tc>
        <w:tc>
          <w:tcPr>
            <w:tcW w:w="268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190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更加客观公正的反映公司财务状况和经营成</w:t>
            </w:r>
          </w:p>
        </w:tc>
        <w:tc>
          <w:tcPr>
            <w:tcW w:w="268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190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果，体现会计谨慎性原则，为广大投资者提</w:t>
            </w:r>
          </w:p>
        </w:tc>
        <w:tc>
          <w:tcPr>
            <w:tcW w:w="2686" w:type="dxa"/>
            <w:tcBorders>
              <w:top w:val="nil" w:sz="6" w:space="0" w:color="auto"/>
              <w:left w:val="single" w:sz="4" w:space="0" w:color="000000"/>
              <w:bottom w:val="nil" w:sz="6" w:space="0" w:color="auto"/>
              <w:right w:val="single" w:sz="4" w:space="0" w:color="000000"/>
            </w:tcBorders>
          </w:tcPr>
          <w:p>
            <w:pPr/>
          </w:p>
        </w:tc>
        <w:tc>
          <w:tcPr>
            <w:tcW w:w="1466" w:type="dxa"/>
            <w:tcBorders>
              <w:top w:val="nil" w:sz="6" w:space="0" w:color="auto"/>
              <w:left w:val="single" w:sz="4" w:space="0" w:color="000000"/>
              <w:bottom w:val="nil" w:sz="6" w:space="0" w:color="auto"/>
              <w:right w:val="single" w:sz="4" w:space="0" w:color="000000"/>
            </w:tcBorders>
          </w:tcPr>
          <w:p>
            <w:pPr/>
          </w:p>
        </w:tc>
        <w:tc>
          <w:tcPr>
            <w:tcW w:w="190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5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供更可靠、更准确的会计信息。</w:t>
            </w:r>
          </w:p>
        </w:tc>
        <w:tc>
          <w:tcPr>
            <w:tcW w:w="2686" w:type="dxa"/>
            <w:tcBorders>
              <w:top w:val="nil" w:sz="6" w:space="0" w:color="auto"/>
              <w:left w:val="single" w:sz="4" w:space="0" w:color="000000"/>
              <w:bottom w:val="single" w:sz="4" w:space="0" w:color="000000"/>
              <w:right w:val="single" w:sz="4" w:space="0" w:color="000000"/>
            </w:tcBorders>
          </w:tcPr>
          <w:p>
            <w:pPr/>
          </w:p>
        </w:tc>
        <w:tc>
          <w:tcPr>
            <w:tcW w:w="1466" w:type="dxa"/>
            <w:tcBorders>
              <w:top w:val="nil" w:sz="6" w:space="0" w:color="auto"/>
              <w:left w:val="single" w:sz="4" w:space="0" w:color="000000"/>
              <w:bottom w:val="single" w:sz="4" w:space="0" w:color="000000"/>
              <w:right w:val="single" w:sz="4" w:space="0" w:color="000000"/>
            </w:tcBorders>
          </w:tcPr>
          <w:p>
            <w:pPr/>
          </w:p>
        </w:tc>
        <w:tc>
          <w:tcPr>
            <w:tcW w:w="1902"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6"/>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130"/>
        <w:ind w:left="634" w:right="610"/>
        <w:jc w:val="left"/>
      </w:pPr>
      <w:r>
        <w:rPr/>
        <w:t>本公司本年无重大会计差错更正。</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6"/>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528" w:lineRule="auto" w:before="0"/>
        <w:ind w:left="154" w:right="8766" w:firstLine="480"/>
        <w:jc w:val="left"/>
        <w:rPr>
          <w:rFonts w:ascii="宋体" w:hAnsi="宋体" w:cs="宋体" w:eastAsia="宋体" w:hint="default"/>
          <w:sz w:val="24"/>
          <w:szCs w:val="24"/>
        </w:rPr>
      </w:pPr>
      <w:r>
        <w:rPr>
          <w:rFonts w:ascii="宋体" w:hAnsi="宋体" w:cs="宋体" w:eastAsia="宋体" w:hint="default"/>
          <w:sz w:val="24"/>
          <w:szCs w:val="24"/>
        </w:rPr>
        <w:t>无。 </w:t>
      </w:r>
      <w:r>
        <w:rPr>
          <w:rFonts w:ascii="宋体" w:hAnsi="宋体" w:cs="宋体" w:eastAsia="宋体" w:hint="default"/>
          <w:b/>
          <w:bCs/>
          <w:sz w:val="24"/>
          <w:szCs w:val="24"/>
        </w:rPr>
        <w:t>五、税项</w:t>
      </w:r>
      <w:r>
        <w:rPr>
          <w:rFonts w:ascii="宋体" w:hAnsi="宋体" w:cs="宋体" w:eastAsia="宋体" w:hint="default"/>
          <w:sz w:val="24"/>
          <w:szCs w:val="24"/>
        </w:rPr>
      </w:r>
    </w:p>
    <w:p>
      <w:pPr>
        <w:spacing w:before="34"/>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2"/>
        <w:gridCol w:w="3038"/>
        <w:gridCol w:w="3026"/>
      </w:tblGrid>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b/>
          <w:bCs/>
          <w:sz w:val="15"/>
          <w:szCs w:val="1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（本公司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（子公司）</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11"/>
        <w:rPr>
          <w:rFonts w:ascii="宋体" w:hAnsi="宋体" w:cs="宋体" w:eastAsia="宋体" w:hint="default"/>
          <w:sz w:val="26"/>
          <w:szCs w:val="26"/>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38" w:lineRule="auto"/>
        <w:ind w:left="154" w:right="231" w:firstLine="480"/>
        <w:jc w:val="both"/>
      </w:pPr>
      <w:r>
        <w:rPr/>
        <w:t>根据《鼓励软件产业和集成电路产业发展的若干政策》（国发</w:t>
      </w:r>
      <w:r>
        <w:rPr>
          <w:rFonts w:ascii="Times New Roman" w:hAnsi="Times New Roman" w:cs="Times New Roman" w:eastAsia="Times New Roman" w:hint="default"/>
        </w:rPr>
        <w:t>[2000]18</w:t>
      </w:r>
      <w:r>
        <w:rPr>
          <w:rFonts w:ascii="Times New Roman" w:hAnsi="Times New Roman" w:cs="Times New Roman" w:eastAsia="Times New Roman" w:hint="default"/>
          <w:spacing w:val="-10"/>
        </w:rPr>
        <w:t> </w:t>
      </w:r>
      <w:r>
        <w:rPr>
          <w:spacing w:val="-5"/>
        </w:rPr>
        <w:t>号）的规定：</w:t>
      </w:r>
      <w:r>
        <w:rPr>
          <w:rFonts w:ascii="Times New Roman" w:hAnsi="Times New Roman" w:cs="Times New Roman" w:eastAsia="Times New Roman" w:hint="default"/>
          <w:spacing w:val="-5"/>
        </w:rPr>
        <w:t>“</w:t>
      </w:r>
      <w:r>
        <w:rPr>
          <w:spacing w:val="-5"/>
        </w:rPr>
        <w:t>对</w:t>
      </w:r>
      <w:r>
        <w:rPr/>
        <w:t> 增值税一般纳税人销售其自行开发生产的软件产品，</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年底前按</w:t>
      </w:r>
      <w:r>
        <w:rPr>
          <w:rFonts w:ascii="Times New Roman" w:hAnsi="Times New Roman" w:cs="Times New Roman" w:eastAsia="Times New Roman" w:hint="default"/>
        </w:rPr>
        <w:t>17%</w:t>
      </w:r>
      <w:r>
        <w:rPr/>
        <w:t>的法定税率征收增值 税，对实际税负超过</w:t>
      </w:r>
      <w:r>
        <w:rPr>
          <w:rFonts w:ascii="Times New Roman" w:hAnsi="Times New Roman" w:cs="Times New Roman" w:eastAsia="Times New Roman" w:hint="default"/>
        </w:rPr>
        <w:t>3%</w:t>
      </w:r>
      <w:r>
        <w:rPr/>
        <w:t>的部分即征即退，由企业用于研究开发软件产品和扩大再生产。</w:t>
      </w:r>
    </w:p>
    <w:p>
      <w:pPr>
        <w:pStyle w:val="BodyText"/>
        <w:spacing w:line="338" w:lineRule="auto" w:before="27"/>
        <w:ind w:left="154" w:right="228" w:firstLine="480"/>
        <w:jc w:val="both"/>
      </w:pPr>
      <w:r>
        <w:rPr/>
        <w:t>国务院办公厅</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spacing w:val="2"/>
        </w:rPr>
        <w:t>月发布的《电子信息产业调整和振兴规划》中明确规定：</w:t>
      </w:r>
      <w:r>
        <w:rPr>
          <w:rFonts w:ascii="Times New Roman" w:hAnsi="Times New Roman" w:cs="Times New Roman" w:eastAsia="Times New Roman" w:hint="default"/>
          <w:spacing w:val="2"/>
        </w:rPr>
        <w:t>“</w:t>
      </w:r>
      <w:r>
        <w:rPr>
          <w:spacing w:val="2"/>
        </w:rPr>
        <w:t>继续</w:t>
      </w:r>
      <w:r>
        <w:rPr>
          <w:spacing w:val="3"/>
        </w:rPr>
        <w:t> </w:t>
      </w:r>
      <w:r>
        <w:rPr/>
        <w:t>实施《国务院关于印发鼓励软件产业和集成电路产业发展若干政策的通知》（国发〔</w:t>
      </w:r>
      <w:r>
        <w:rPr>
          <w:rFonts w:ascii="Times New Roman" w:hAnsi="Times New Roman" w:cs="Times New Roman" w:eastAsia="Times New Roman" w:hint="default"/>
        </w:rPr>
        <w:t>2000</w:t>
      </w:r>
      <w:r>
        <w:rPr/>
        <w:t>〕</w:t>
      </w:r>
      <w:r>
        <w:rPr>
          <w:spacing w:val="-84"/>
        </w:rPr>
        <w:t> </w:t>
      </w:r>
      <w:r>
        <w:rPr>
          <w:rFonts w:ascii="Times New Roman" w:hAnsi="Times New Roman" w:cs="Times New Roman" w:eastAsia="Times New Roman" w:hint="default"/>
        </w:rPr>
        <w:t>18</w:t>
      </w:r>
      <w:r>
        <w:rPr>
          <w:rFonts w:ascii="Times New Roman" w:hAnsi="Times New Roman" w:cs="Times New Roman" w:eastAsia="Times New Roman" w:hint="default"/>
          <w:spacing w:val="40"/>
        </w:rPr>
        <w:t> </w:t>
      </w:r>
      <w:r>
        <w:rPr/>
        <w:t>号）明确的政策，抓紧研究进一步支持软件产业和集成电路产业发展的政策措施</w:t>
      </w:r>
      <w:r>
        <w:rPr>
          <w:rFonts w:ascii="Times New Roman" w:hAnsi="Times New Roman" w:cs="Times New Roman" w:eastAsia="Times New Roman" w:hint="default"/>
        </w:rPr>
        <w:t>”</w:t>
      </w:r>
      <w:r>
        <w:rPr/>
        <w:t>。国务</w:t>
      </w:r>
      <w:r>
        <w:rPr>
          <w:spacing w:val="-112"/>
        </w:rPr>
        <w:t> </w:t>
      </w:r>
      <w:r>
        <w:rPr>
          <w:spacing w:val="-2"/>
        </w:rPr>
        <w:t>院办公厅</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日又发布了《国务院关于印发进一步鼓励软件产业和集成电路产业发展</w:t>
      </w:r>
      <w:r>
        <w:rPr>
          <w:spacing w:val="-114"/>
        </w:rPr>
        <w:t> </w:t>
      </w:r>
      <w:r>
        <w:rPr>
          <w:spacing w:val="-114"/>
        </w:rPr>
      </w:r>
      <w:r>
        <w:rPr/>
        <w:t>若干政策的通知》（国发</w:t>
      </w:r>
      <w:r>
        <w:rPr>
          <w:rFonts w:ascii="Times New Roman" w:hAnsi="Times New Roman" w:cs="Times New Roman" w:eastAsia="Times New Roman" w:hint="default"/>
        </w:rPr>
        <w:t>[2011]4</w:t>
      </w:r>
      <w:r>
        <w:rPr/>
        <w:t>号），继续实施软件增值税优惠政策。</w:t>
      </w:r>
    </w:p>
    <w:p>
      <w:pPr>
        <w:pStyle w:val="BodyText"/>
        <w:spacing w:line="350" w:lineRule="auto" w:before="27"/>
        <w:ind w:left="154" w:right="226" w:firstLine="480"/>
        <w:jc w:val="both"/>
      </w:pPr>
      <w:r>
        <w:rPr>
          <w:spacing w:val="2"/>
        </w:rPr>
        <w:t>根据《关于嵌入式软件增值税政策的通知》（财税</w:t>
      </w:r>
      <w:r>
        <w:rPr>
          <w:rFonts w:ascii="Times New Roman" w:hAnsi="Times New Roman" w:cs="Times New Roman" w:eastAsia="Times New Roman" w:hint="default"/>
          <w:spacing w:val="2"/>
        </w:rPr>
        <w:t>[2008]92</w:t>
      </w:r>
      <w:r>
        <w:rPr>
          <w:spacing w:val="2"/>
        </w:rPr>
        <w:t>号）规定：增值税一般纳税</w:t>
      </w:r>
      <w:r>
        <w:rPr>
          <w:spacing w:val="3"/>
        </w:rPr>
        <w:t> </w:t>
      </w:r>
      <w:r>
        <w:rPr/>
        <w:t>人随同计算机网络、计算机硬件和机器设备等一并销售其自行开发生产的嵌入式软件，如果</w:t>
      </w:r>
      <w:r>
        <w:rPr>
          <w:spacing w:val="-83"/>
        </w:rPr>
        <w:t> </w:t>
      </w:r>
      <w:r>
        <w:rPr>
          <w:spacing w:val="-83"/>
        </w:rPr>
      </w:r>
      <w:r>
        <w:rPr/>
        <w:t>能够按照《财政部国家税务总局关于贯彻落实〈中共中央、国务院关于加强技术创新，发展</w:t>
      </w:r>
      <w:r>
        <w:rPr>
          <w:spacing w:val="-83"/>
        </w:rPr>
        <w:t> </w:t>
      </w:r>
      <w:r>
        <w:rPr>
          <w:spacing w:val="-83"/>
        </w:rPr>
      </w:r>
      <w:r>
        <w:rPr/>
        <w:t>高科技，实现产业化的决定〉有关税收问题的通知》</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[1999]273</w:t>
      </w:r>
      <w:r>
        <w:rPr/>
        <w:t>号</w:t>
      </w:r>
      <w:r>
        <w:rPr>
          <w:rFonts w:ascii="Times New Roman" w:hAnsi="Times New Roman" w:cs="Times New Roman" w:eastAsia="Times New Roman" w:hint="default"/>
        </w:rPr>
        <w:t>)</w:t>
      </w:r>
      <w:r>
        <w:rPr/>
        <w:t>第一条第三款的规</w:t>
      </w:r>
      <w:r>
        <w:rPr>
          <w:spacing w:val="-64"/>
        </w:rPr>
        <w:t> </w:t>
      </w:r>
      <w:r>
        <w:rPr/>
        <w:t>定，分别核算嵌入式软件与计算机硬件、机器设备等的销售额，可以享受软件产品增值税优</w:t>
      </w:r>
      <w:r>
        <w:rPr>
          <w:spacing w:val="-83"/>
        </w:rPr>
        <w:t> </w:t>
      </w:r>
      <w:r>
        <w:rPr>
          <w:spacing w:val="-83"/>
        </w:rPr>
      </w:r>
      <w:r>
        <w:rPr/>
        <w:t>惠政策。</w:t>
      </w:r>
    </w:p>
    <w:p>
      <w:pPr>
        <w:pStyle w:val="BodyText"/>
        <w:spacing w:line="343" w:lineRule="auto" w:before="43"/>
        <w:ind w:left="154" w:right="177" w:firstLine="480"/>
        <w:jc w:val="both"/>
      </w:pPr>
      <w:r>
        <w:rPr/>
        <w:t>根据《中华人民共和国企业所得税法》规定：国家需要重点扶持的高新技术企业，减按</w:t>
      </w:r>
      <w:r>
        <w:rPr>
          <w:spacing w:val="1"/>
        </w:rPr>
        <w:t> </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月，根据《高新技术企业认定管理办法》（国科发火</w:t>
      </w:r>
      <w:r>
        <w:rPr>
          <w:spacing w:val="-46"/>
        </w:rPr>
        <w:t> </w:t>
      </w:r>
      <w:r>
        <w:rPr>
          <w:rFonts w:ascii="Times New Roman" w:hAnsi="Times New Roman" w:cs="Times New Roman" w:eastAsia="Times New Roman" w:hint="default"/>
        </w:rPr>
        <w:t>[2008]172</w:t>
      </w:r>
      <w:r>
        <w:rPr/>
        <w:t>号）规定，河南省科学技术厅、河南省财政厅、河南省国家税务局、河南省地方税</w:t>
      </w:r>
      <w:r>
        <w:rPr>
          <w:spacing w:val="-1"/>
        </w:rPr>
        <w:t> 务局认定本公司为高新技术企业，领有编号</w:t>
      </w:r>
      <w:r>
        <w:rPr>
          <w:rFonts w:ascii="Times New Roman" w:hAnsi="Times New Roman" w:cs="Times New Roman" w:eastAsia="Times New Roman" w:hint="default"/>
          <w:spacing w:val="-1"/>
        </w:rPr>
        <w:t>GR201141000069</w:t>
      </w:r>
      <w:r>
        <w:rPr>
          <w:spacing w:val="-1"/>
        </w:rPr>
        <w:t>的《高新技术企业批准证书》。</w:t>
      </w:r>
      <w:r>
        <w:rPr>
          <w:spacing w:val="-86"/>
        </w:rPr>
        <w:t> </w:t>
      </w:r>
      <w:r>
        <w:rPr/>
        <w:t>本公司自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日起按</w:t>
      </w:r>
      <w:r>
        <w:rPr>
          <w:rFonts w:ascii="Times New Roman" w:hAnsi="Times New Roman" w:cs="Times New Roman" w:eastAsia="Times New Roman" w:hint="default"/>
        </w:rPr>
        <w:t>15%</w:t>
      </w:r>
      <w:r>
        <w:rPr/>
        <w:t>税率征收企业所得税，有效期</w:t>
      </w:r>
      <w:r>
        <w:rPr>
          <w:rFonts w:ascii="Times New Roman" w:hAnsi="Times New Roman" w:cs="Times New Roman" w:eastAsia="Times New Roman" w:hint="default"/>
        </w:rPr>
        <w:t>3</w:t>
      </w:r>
      <w:r>
        <w:rPr/>
        <w:t>年。</w:t>
      </w:r>
    </w:p>
    <w:p>
      <w:pPr>
        <w:pStyle w:val="BodyText"/>
        <w:spacing w:line="357" w:lineRule="auto" w:before="21"/>
        <w:ind w:left="154" w:right="111" w:firstLine="480"/>
        <w:jc w:val="both"/>
      </w:pPr>
      <w:r>
        <w:rPr>
          <w:spacing w:val="-3"/>
        </w:rPr>
        <w:t>本公司的全资子公司郑州正普软件科技有限公司（原名为郑州新开普软件科技有限公司）</w:t>
      </w:r>
      <w:r>
        <w:rPr/>
        <w:t> 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日被河南省信息产业厅认定为软件企业（证书编号：豫</w:t>
      </w:r>
      <w:r>
        <w:rPr>
          <w:rFonts w:ascii="Times New Roman" w:hAnsi="Times New Roman" w:cs="Times New Roman" w:eastAsia="Times New Roman" w:hint="default"/>
        </w:rPr>
        <w:t>R-2007-0010</w:t>
      </w:r>
      <w:r>
        <w:rPr/>
        <w:t>），根据</w:t>
      </w:r>
    </w:p>
    <w:p>
      <w:pPr>
        <w:pStyle w:val="BodyText"/>
        <w:spacing w:line="338" w:lineRule="auto" w:before="5"/>
        <w:ind w:left="154" w:right="95"/>
        <w:jc w:val="left"/>
      </w:pPr>
      <w:r>
        <w:rPr/>
        <w:t>《财政部国家税务总局关于企业所得税若干优惠政策的通知（财税</w:t>
      </w:r>
      <w:r>
        <w:rPr>
          <w:rFonts w:ascii="Times New Roman" w:hAnsi="Times New Roman" w:cs="Times New Roman" w:eastAsia="Times New Roman" w:hint="default"/>
        </w:rPr>
        <w:t>[2008]1</w:t>
      </w:r>
      <w:r>
        <w:rPr/>
        <w:t>号）》，企业所得</w:t>
      </w:r>
      <w:r>
        <w:rPr>
          <w:spacing w:val="-1"/>
        </w:rPr>
        <w:t> </w:t>
      </w:r>
      <w:r>
        <w:rPr>
          <w:spacing w:val="-2"/>
        </w:rPr>
        <w:t>税</w:t>
      </w:r>
      <w:r>
        <w:rPr>
          <w:rFonts w:ascii="Times New Roman" w:hAnsi="Times New Roman" w:cs="Times New Roman" w:eastAsia="Times New Roman" w:hint="default"/>
          <w:spacing w:val="-2"/>
        </w:rPr>
        <w:t>“</w:t>
      </w:r>
      <w:r>
        <w:rPr>
          <w:spacing w:val="-2"/>
        </w:rPr>
        <w:t>自获利年度起，第一年和第二年免征企业所得税，第三年至第五年减半征收企业所得税</w:t>
      </w:r>
      <w:r>
        <w:rPr>
          <w:rFonts w:ascii="Times New Roman" w:hAnsi="Times New Roman" w:cs="Times New Roman" w:eastAsia="Times New Roman" w:hint="default"/>
          <w:spacing w:val="-2"/>
        </w:rPr>
        <w:t>”</w:t>
      </w:r>
      <w:r>
        <w:rPr>
          <w:spacing w:val="-2"/>
        </w:rPr>
        <w:t>，</w:t>
      </w:r>
    </w:p>
    <w:p>
      <w:pPr>
        <w:spacing w:after="0" w:line="338" w:lineRule="auto"/>
        <w:jc w:val="left"/>
        <w:sectPr>
          <w:pgSz w:w="11910" w:h="16840"/>
          <w:pgMar w:header="851" w:footer="982" w:top="1220" w:bottom="1180" w:left="980" w:right="900"/>
        </w:sectPr>
      </w:pPr>
    </w:p>
    <w:p>
      <w:pPr>
        <w:spacing w:line="240" w:lineRule="auto" w:before="5"/>
        <w:rPr>
          <w:rFonts w:ascii="宋体" w:hAnsi="宋体" w:cs="宋体" w:eastAsia="宋体" w:hint="default"/>
          <w:sz w:val="16"/>
          <w:szCs w:val="16"/>
        </w:rPr>
      </w:pPr>
    </w:p>
    <w:p>
      <w:pPr>
        <w:pStyle w:val="BodyText"/>
        <w:spacing w:line="338" w:lineRule="auto" w:before="26"/>
        <w:ind w:left="154" w:right="94"/>
        <w:jc w:val="left"/>
      </w:pPr>
      <w:r>
        <w:rPr>
          <w:spacing w:val="2"/>
        </w:rPr>
        <w:t>子公司于</w:t>
      </w:r>
      <w:r>
        <w:rPr>
          <w:rFonts w:ascii="Times New Roman" w:hAnsi="Times New Roman" w:cs="Times New Roman" w:eastAsia="Times New Roman" w:hint="default"/>
          <w:spacing w:val="2"/>
        </w:rPr>
        <w:t>2008</w:t>
      </w:r>
      <w:r>
        <w:rPr>
          <w:spacing w:val="2"/>
        </w:rPr>
        <w:t>年进入获利年度，</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2009</w:t>
      </w:r>
      <w:r>
        <w:rPr>
          <w:spacing w:val="2"/>
        </w:rPr>
        <w:t>年免征所得税，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—2012</w:t>
      </w:r>
      <w:r>
        <w:rPr>
          <w:spacing w:val="2"/>
        </w:rPr>
        <w:t>年减半按</w:t>
      </w:r>
      <w:r>
        <w:rPr>
          <w:rFonts w:ascii="Times New Roman" w:hAnsi="Times New Roman" w:cs="Times New Roman" w:eastAsia="Times New Roman" w:hint="default"/>
          <w:spacing w:val="2"/>
        </w:rPr>
        <w:t>12.5%</w:t>
      </w:r>
      <w:r>
        <w:rPr>
          <w:rFonts w:ascii="Times New Roman" w:hAnsi="Times New Roman" w:cs="Times New Roman" w:eastAsia="Times New Roman" w:hint="default"/>
          <w:spacing w:val="-49"/>
        </w:rPr>
        <w:t> </w:t>
      </w:r>
      <w:r>
        <w:rPr/>
        <w:t>征收所得税。</w:t>
      </w:r>
    </w:p>
    <w:p>
      <w:pPr>
        <w:spacing w:line="240" w:lineRule="auto" w:before="1"/>
        <w:rPr>
          <w:rFonts w:ascii="宋体" w:hAnsi="宋体" w:cs="宋体" w:eastAsia="宋体" w:hint="default"/>
          <w:sz w:val="23"/>
          <w:szCs w:val="23"/>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38" w:lineRule="auto"/>
        <w:ind w:right="94" w:firstLine="480"/>
        <w:jc w:val="left"/>
      </w:pPr>
      <w:r>
        <w:rPr>
          <w:spacing w:val="-2"/>
        </w:rPr>
        <w:t>本公司广州分公司、成都分公司尚未申请为一般纳税人，增值税税率为</w:t>
      </w:r>
      <w:r>
        <w:rPr>
          <w:rFonts w:ascii="Times New Roman" w:hAnsi="Times New Roman" w:cs="Times New Roman" w:eastAsia="Times New Roman" w:hint="default"/>
          <w:spacing w:val="-2"/>
        </w:rPr>
        <w:t>3%</w:t>
      </w:r>
      <w:r>
        <w:rPr>
          <w:spacing w:val="-2"/>
        </w:rPr>
        <w:t>，成都分公司</w:t>
      </w:r>
      <w:r>
        <w:rPr/>
        <w:t> 按营业收入的</w:t>
      </w:r>
      <w:r>
        <w:rPr>
          <w:rFonts w:ascii="Times New Roman" w:hAnsi="Times New Roman" w:cs="Times New Roman" w:eastAsia="Times New Roman" w:hint="default"/>
        </w:rPr>
        <w:t>0.7‰</w:t>
      </w:r>
      <w:r>
        <w:rPr/>
        <w:t>缴纳价格调控基金。</w:t>
      </w:r>
    </w:p>
    <w:p>
      <w:pPr>
        <w:spacing w:line="240" w:lineRule="auto" w:before="1"/>
        <w:rPr>
          <w:rFonts w:ascii="宋体" w:hAnsi="宋体" w:cs="宋体" w:eastAsia="宋体" w:hint="default"/>
          <w:sz w:val="19"/>
          <w:szCs w:val="19"/>
        </w:rPr>
      </w:pPr>
    </w:p>
    <w:p>
      <w:pPr>
        <w:pStyle w:val="Heading2"/>
        <w:spacing w:line="240" w:lineRule="auto"/>
        <w:ind w:left="153" w:right="61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通过设立方式取得的子公司。</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4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25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郑州正 普软件 科技有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56"/>
              <w:ind w:left="22" w:right="108"/>
              <w:jc w:val="both"/>
              <w:rPr>
                <w:rFonts w:ascii="宋体" w:hAnsi="宋体" w:cs="宋体" w:eastAsia="宋体" w:hint="default"/>
                <w:sz w:val="18"/>
                <w:szCs w:val="18"/>
              </w:rPr>
            </w:pPr>
            <w:r>
              <w:rPr>
                <w:rFonts w:ascii="宋体" w:hAnsi="宋体" w:cs="宋体" w:eastAsia="宋体" w:hint="default"/>
                <w:sz w:val="18"/>
                <w:szCs w:val="18"/>
              </w:rPr>
              <w:t>一人有 限责任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系统集 成、计 算机及 相关软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件的设</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计、开 发等</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pStyle w:val="BodyText"/>
        <w:spacing w:line="240" w:lineRule="auto" w:before="145"/>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）非同一控制下企业合并取得的子公司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不适用。</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40" w:lineRule="auto" w:before="144"/>
        <w:ind w:left="634" w:right="610"/>
        <w:jc w:val="left"/>
      </w:pPr>
      <w:r>
        <w:rPr/>
        <w:t>本报告期内无合并范围发生变更的情况。</w:t>
      </w:r>
    </w:p>
    <w:p>
      <w:pPr>
        <w:spacing w:before="165"/>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、报告期内发生的同一控制下企业合并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、报告期内发生的非同一控制下企业合并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、报告期内出售丧失控制权的股权而减少子公司</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、报告期内发生的反向购买</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、本报告期发生的吸收合并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506" w:lineRule="auto" w:before="0"/>
        <w:ind w:left="154" w:right="6357" w:firstLine="480"/>
        <w:jc w:val="left"/>
        <w:rPr>
          <w:rFonts w:ascii="宋体" w:hAnsi="宋体" w:cs="宋体" w:eastAsia="宋体" w:hint="default"/>
          <w:sz w:val="21"/>
          <w:szCs w:val="21"/>
        </w:rPr>
      </w:pPr>
      <w:r>
        <w:rPr>
          <w:rFonts w:ascii="宋体" w:hAnsi="宋体" w:cs="宋体" w:eastAsia="宋体" w:hint="default"/>
          <w:sz w:val="24"/>
          <w:szCs w:val="24"/>
        </w:rPr>
        <w:t>无。 </w:t>
      </w:r>
      <w:r>
        <w:rPr>
          <w:rFonts w:ascii="宋体" w:hAnsi="宋体" w:cs="宋体" w:eastAsia="宋体" w:hint="default"/>
          <w:b/>
          <w:bCs/>
          <w:sz w:val="24"/>
          <w:szCs w:val="24"/>
        </w:rPr>
        <w:t>七、合并财务报表主要项目注释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9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0"/>
        <w:gridCol w:w="1327"/>
        <w:gridCol w:w="935"/>
        <w:gridCol w:w="1490"/>
        <w:gridCol w:w="1296"/>
        <w:gridCol w:w="934"/>
        <w:gridCol w:w="1605"/>
      </w:tblGrid>
      <w:tr>
        <w:trPr>
          <w:trHeight w:val="206" w:hRule="exact"/>
        </w:trPr>
        <w:tc>
          <w:tcPr>
            <w:tcW w:w="1970"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9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3"/>
            <w:vMerge/>
            <w:tcBorders>
              <w:left w:val="single" w:sz="4" w:space="0" w:color="000000"/>
              <w:bottom w:val="single" w:sz="4" w:space="0" w:color="000000"/>
              <w:right w:val="single" w:sz="4" w:space="0" w:color="000000"/>
            </w:tcBorders>
            <w:shd w:val="clear" w:color="auto" w:fill="D3D3D3"/>
          </w:tcPr>
          <w:p>
            <w:pPr/>
          </w:p>
        </w:tc>
        <w:tc>
          <w:tcPr>
            <w:tcW w:w="3835"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70"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90" w:type="dxa"/>
            <w:vMerge/>
            <w:tcBorders>
              <w:left w:val="single" w:sz="4" w:space="0" w:color="000000"/>
              <w:bottom w:val="single" w:sz="4" w:space="0" w:color="000000"/>
              <w:right w:val="single" w:sz="4" w:space="0" w:color="000000"/>
            </w:tcBorders>
            <w:shd w:val="clear" w:color="auto" w:fill="D3D3D3"/>
          </w:tcPr>
          <w:p>
            <w:pPr/>
          </w:p>
        </w:tc>
        <w:tc>
          <w:tcPr>
            <w:tcW w:w="1296"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58,539.32</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46,442.48</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58,539.32</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46,442.48</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277,195,401.64</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297,104,887.20</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277,195,401.64</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297,104,887.20</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277,253,940.96</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297,151,329.68</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145"/>
        <w:ind w:left="634" w:right="94"/>
        <w:jc w:val="left"/>
      </w:pPr>
      <w:r>
        <w:rPr/>
        <w:t>本公司不存在因抵押或冻结等对使用有限制、存放在境外、有潜在回收风险的款项。</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330,510.00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430,510.00</w:t>
            </w: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）期末已质押的应收票据情况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line="259" w:lineRule="auto" w:before="35"/>
        <w:ind w:left="154"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）因出票人无力履约而将票据转为应收账款的票据，以及期末公司已经背书给他方但尚未到期的票据</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情况</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3"/>
        <w:rPr>
          <w:rFonts w:ascii="宋体" w:hAnsi="宋体" w:cs="宋体" w:eastAsia="宋体" w:hint="default"/>
          <w:sz w:val="9"/>
          <w:szCs w:val="9"/>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公司已经背书给其他方但尚未到期的票据</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山钢公司莱芜钢铁新疆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杭州纵横通信股份有限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115,648.00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杭州纵横通信股份有限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杭州纵横通信股份有限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杭州纵横通信股份有限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615,648.00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2,853,231.03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5,681,864.10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6,276,246.10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2,258,849.03</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2,853,231.03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5,681,864.10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6,276,246.10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2,258,849.03</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）逾期利息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142,501,16</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1.58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12,892,643.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103,970,1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35.88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9,445,067.16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9.08%</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142,501,16</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1.58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12,892,643.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103,970,1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35.88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9,445,067.16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9.08%</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142,501,16</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1.58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12,892,643.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103,970,1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35.88</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9,445,067.16</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pStyle w:val="BodyText"/>
        <w:spacing w:line="348" w:lineRule="auto" w:before="145"/>
        <w:ind w:right="131" w:firstLine="480"/>
        <w:jc w:val="left"/>
      </w:pPr>
      <w:r>
        <w:rPr/>
        <w:t>公司对期末余额</w:t>
      </w:r>
      <w:r>
        <w:rPr>
          <w:rFonts w:ascii="Times New Roman" w:hAnsi="Times New Roman" w:cs="Times New Roman" w:eastAsia="Times New Roman" w:hint="default"/>
        </w:rPr>
        <w:t>100</w:t>
      </w:r>
      <w:r>
        <w:rPr/>
        <w:t>万以上的单项金额重大应收账款单独进行减值测试，未出现减值情 况。对于单项金额非重大的应收账款，与经单独测试未减值的应收账款一起，按账龄进行组 合，并按公司制定的坏账准备比例计提坏账准备。</w:t>
      </w:r>
    </w:p>
    <w:p>
      <w:pPr>
        <w:spacing w:after="0" w:line="348" w:lineRule="auto"/>
        <w:jc w:val="left"/>
        <w:sectPr>
          <w:pgSz w:w="11910" w:h="16840"/>
          <w:pgMar w:header="851" w:footer="982" w:top="1220" w:bottom="1180" w:left="980" w:right="1020"/>
        </w:sectPr>
      </w:pPr>
    </w:p>
    <w:p>
      <w:pPr>
        <w:spacing w:before="57"/>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220" w:bottom="1180" w:left="980" w:right="1020"/>
          <w:cols w:num="2" w:equalWidth="0">
            <w:col w:w="4115" w:space="4714"/>
            <w:col w:w="108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49"/>
        <w:gridCol w:w="1600"/>
        <w:gridCol w:w="929"/>
        <w:gridCol w:w="1733"/>
        <w:gridCol w:w="1455"/>
        <w:gridCol w:w="929"/>
        <w:gridCol w:w="1450"/>
      </w:tblGrid>
      <w:tr>
        <w:trPr>
          <w:trHeight w:val="402" w:hRule="exact"/>
        </w:trPr>
        <w:tc>
          <w:tcPr>
            <w:tcW w:w="1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1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25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449" w:type="dxa"/>
            <w:vMerge/>
            <w:tcBorders>
              <w:left w:val="single" w:sz="4" w:space="0" w:color="000000"/>
              <w:bottom w:val="nil" w:sz="6" w:space="0" w:color="auto"/>
              <w:right w:val="single" w:sz="4" w:space="0" w:color="000000"/>
            </w:tcBorders>
            <w:shd w:val="clear" w:color="auto" w:fill="D3D3D3"/>
          </w:tcPr>
          <w:p>
            <w:pPr/>
          </w:p>
        </w:tc>
        <w:tc>
          <w:tcPr>
            <w:tcW w:w="2529" w:type="dxa"/>
            <w:gridSpan w:val="2"/>
            <w:vMerge/>
            <w:tcBorders>
              <w:left w:val="single" w:sz="4" w:space="0" w:color="000000"/>
              <w:bottom w:val="single" w:sz="4" w:space="0" w:color="000000"/>
              <w:right w:val="single" w:sz="4" w:space="0" w:color="000000"/>
            </w:tcBorders>
            <w:shd w:val="clear" w:color="auto" w:fill="D3D3D3"/>
          </w:tcPr>
          <w:p>
            <w:pPr/>
          </w:p>
        </w:tc>
        <w:tc>
          <w:tcPr>
            <w:tcW w:w="17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vMerge/>
            <w:tcBorders>
              <w:left w:val="single" w:sz="4" w:space="0" w:color="000000"/>
              <w:bottom w:val="single" w:sz="4" w:space="0" w:color="000000"/>
              <w:right w:val="single" w:sz="4" w:space="0" w:color="000000"/>
            </w:tcBorders>
            <w:shd w:val="clear" w:color="auto" w:fill="D3D3D3"/>
          </w:tcPr>
          <w:p>
            <w:pPr/>
          </w:p>
        </w:tc>
        <w:tc>
          <w:tcPr>
            <w:tcW w:w="14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5" w:hRule="exact"/>
        </w:trPr>
        <w:tc>
          <w:tcPr>
            <w:tcW w:w="1449" w:type="dxa"/>
            <w:vMerge w:val="restart"/>
            <w:tcBorders>
              <w:top w:val="nil" w:sz="6" w:space="0" w:color="auto"/>
              <w:left w:val="single" w:sz="4" w:space="0" w:color="000000"/>
              <w:right w:val="single" w:sz="4" w:space="0" w:color="000000"/>
            </w:tcBorders>
            <w:shd w:val="clear" w:color="auto" w:fill="D3D3D3"/>
          </w:tcPr>
          <w:p>
            <w:pPr/>
          </w:p>
        </w:tc>
        <w:tc>
          <w:tcPr>
            <w:tcW w:w="16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3" w:type="dxa"/>
            <w:vMerge/>
            <w:tcBorders>
              <w:left w:val="single" w:sz="4" w:space="0" w:color="000000"/>
              <w:bottom w:val="nil" w:sz="6" w:space="0" w:color="auto"/>
              <w:right w:val="single" w:sz="4" w:space="0" w:color="000000"/>
            </w:tcBorders>
            <w:shd w:val="clear" w:color="auto" w:fill="D3D3D3"/>
          </w:tcPr>
          <w:p>
            <w:pPr/>
          </w:p>
        </w:tc>
        <w:tc>
          <w:tcPr>
            <w:tcW w:w="14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0"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449" w:type="dxa"/>
            <w:vMerge/>
            <w:tcBorders>
              <w:left w:val="single" w:sz="4" w:space="0" w:color="000000"/>
              <w:bottom w:val="single" w:sz="4" w:space="0" w:color="000000"/>
              <w:right w:val="single" w:sz="4" w:space="0" w:color="000000"/>
            </w:tcBorders>
            <w:shd w:val="clear" w:color="auto" w:fill="D3D3D3"/>
          </w:tcPr>
          <w:p>
            <w:pPr/>
          </w:p>
        </w:tc>
        <w:tc>
          <w:tcPr>
            <w:tcW w:w="1600"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7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5"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4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108,685,278.63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76.27%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5,434,263.93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76,830,260.21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3,841,513.01</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22,905,373.78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16.07%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2,290,537.38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19,619,195.76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1,961,919.58</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6,029,238.65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4.23%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1,808,771.59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4,012,156.93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1,203,647.08</w:t>
            </w:r>
          </w:p>
        </w:tc>
      </w:tr>
      <w:tr>
        <w:trPr>
          <w:trHeight w:val="403"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3,044,399.44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2.14%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1,522,199.72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2,141,070.98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1,070,535.49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54"/>
        <w:gridCol w:w="1606"/>
        <w:gridCol w:w="929"/>
        <w:gridCol w:w="1727"/>
        <w:gridCol w:w="1462"/>
        <w:gridCol w:w="929"/>
        <w:gridCol w:w="1462"/>
      </w:tblGrid>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1,043,314.08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1,043,314.08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1,131,682.00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1,131,682.00</w:t>
            </w:r>
          </w:p>
        </w:tc>
      </w:tr>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793,557.00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793,557.00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235,770.00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235,770.00</w:t>
            </w:r>
          </w:p>
        </w:tc>
      </w:tr>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142,501,161.58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12,892,643.70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103,970,135.88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9,445,067.16</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3"/>
        <w:ind w:left="154" w:right="5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福建开普科技有限公司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4,796,921.85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中国联合网络通信有限 公司广西壮族自治区分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4,784,450.00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中国移动通信集团内蒙 古有限公司呼和浩特分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3,046,043.00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湖北公众信息产业有限 责任公司武汉电信系统 集成分公司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2,693,947.00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安徽新开普智能技术有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2,643,916.65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17,965,278.50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）终止确认的应收款项情况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）以应收款项为标的进行证券化的，列示继续涉入形成的资产、负债的金额</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其中：账龄分析法组合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5,676,005.03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742,955.63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4,803,674.53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584,092.68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合并范围内关联方及保 证金组合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3,469,146.66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37.93%</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2,009,454.42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29.49%</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9,145,151.69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742,955.63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6,813,128.95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584,092.68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9,145,151.69</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742,955.63</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6,813,128.95</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584,092.68</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220" w:bottom="1180" w:left="980" w:right="1020"/>
          <w:cols w:num="2" w:equalWidth="0">
            <w:col w:w="4295" w:space="4534"/>
            <w:col w:w="108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220" w:bottom="1180" w:left="980" w:right="1020"/>
        </w:sectPr>
      </w:pPr>
    </w:p>
    <w:p>
      <w:pPr>
        <w:spacing w:line="240" w:lineRule="auto" w:before="4"/>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1824"/>
        <w:gridCol w:w="1852"/>
        <w:gridCol w:w="659"/>
        <w:gridCol w:w="1447"/>
        <w:gridCol w:w="1450"/>
        <w:gridCol w:w="656"/>
        <w:gridCol w:w="1668"/>
      </w:tblGrid>
      <w:tr>
        <w:trPr>
          <w:trHeight w:val="402"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3,909,147.15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195,632.36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3,892,437.50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194,621.88</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1,103,694.58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110,369.47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199,313.18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19,931.32</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124,949.71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37,484.91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277,940.20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83,382.06</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538,213.59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399,468.89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433,983.65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286,157.43</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277,489.40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138,744.70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295,652.45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147,826.23</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260,724.19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260,724.19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138,331.20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138,331.20</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5,676,005.03</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742,955.63</w:t>
            </w:r>
          </w:p>
        </w:tc>
        <w:tc>
          <w:tcPr>
            <w:tcW w:w="145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4,803,674.53</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584,092.68</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3"/>
        <w:ind w:left="154" w:right="52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2"/>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42"/>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pStyle w:val="BodyText"/>
        <w:spacing w:line="240" w:lineRule="auto" w:before="145"/>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郑州高新技术产业开发 区会计服务中心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云南中医学院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359,857.80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内蒙古业务部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驻外机构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328,047.02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上海业务部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驻外机构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258,048.09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郑州客服部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驻外机构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177,081.62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1,590,534.53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17.39%</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）终止确认的其他应收款项情况</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）以其他应收款为标的进行证券化的，列示继续涉入形成的资产、负债的金额</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0"/>
        <w:gridCol w:w="3188"/>
        <w:gridCol w:w="1063"/>
        <w:gridCol w:w="3053"/>
        <w:gridCol w:w="1051"/>
      </w:tblGrid>
      <w:tr>
        <w:trPr>
          <w:trHeight w:val="206" w:hRule="exact"/>
        </w:trPr>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190" w:type="dxa"/>
            <w:vMerge/>
            <w:tcBorders>
              <w:left w:val="single" w:sz="4" w:space="0" w:color="000000"/>
              <w:bottom w:val="nil" w:sz="6" w:space="0" w:color="auto"/>
              <w:right w:val="single" w:sz="4" w:space="0" w:color="000000"/>
            </w:tcBorders>
            <w:shd w:val="clear" w:color="auto" w:fill="D3D3D3"/>
          </w:tcPr>
          <w:p>
            <w:pPr/>
          </w:p>
        </w:tc>
        <w:tc>
          <w:tcPr>
            <w:tcW w:w="31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8"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3053"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9,372,904.99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9" w:right="0"/>
              <w:jc w:val="left"/>
              <w:rPr>
                <w:rFonts w:ascii="Times New Roman" w:hAnsi="Times New Roman" w:cs="Times New Roman" w:eastAsia="Times New Roman" w:hint="default"/>
                <w:sz w:val="18"/>
                <w:szCs w:val="18"/>
              </w:rPr>
            </w:pPr>
            <w:r>
              <w:rPr>
                <w:rFonts w:ascii="Times New Roman"/>
                <w:sz w:val="18"/>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5,745,560.28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9,372,904.99</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5,745,560.28</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河南六建建筑集团有限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郑州方正商祺科技有限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武汉宏育智能科技有限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河南光辉机电工程有限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6,191,800.00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）本报告期预付款项中持有本公司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）预付款项的说明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0"/>
        <w:jc w:val="left"/>
      </w:pPr>
      <w:r>
        <w:rPr>
          <w:rFonts w:ascii="Times New Roman" w:hAnsi="Times New Roman" w:cs="Times New Roman" w:eastAsia="Times New Roman" w:hint="default"/>
        </w:rPr>
        <w:t>1</w:t>
      </w:r>
      <w:r>
        <w:rPr/>
        <w:t>、本报告期预付款项中无预付持有公司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pStyle w:val="BodyText"/>
        <w:spacing w:line="338" w:lineRule="auto" w:before="135"/>
        <w:ind w:right="94" w:firstLine="480"/>
        <w:jc w:val="left"/>
      </w:pPr>
      <w:r>
        <w:rPr>
          <w:rFonts w:ascii="Times New Roman" w:hAnsi="Times New Roman" w:cs="Times New Roman" w:eastAsia="Times New Roman" w:hint="default"/>
          <w:spacing w:val="-3"/>
        </w:rPr>
        <w:t>2</w:t>
      </w:r>
      <w:r>
        <w:rPr>
          <w:spacing w:val="-3"/>
        </w:rPr>
        <w:t>、本公司将一年以上的预付款项转入其他应收款，同时对其计提坏账准备，一年以内的</w:t>
      </w:r>
      <w:r>
        <w:rPr/>
        <w:t> 预付款项不计提坏账准备。</w:t>
      </w:r>
    </w:p>
    <w:p>
      <w:pPr>
        <w:spacing w:line="240" w:lineRule="auto" w:before="1"/>
        <w:rPr>
          <w:rFonts w:ascii="宋体" w:hAnsi="宋体" w:cs="宋体" w:eastAsia="宋体" w:hint="default"/>
          <w:sz w:val="23"/>
          <w:szCs w:val="23"/>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6"/>
        <w:gridCol w:w="1461"/>
        <w:gridCol w:w="1194"/>
        <w:gridCol w:w="1330"/>
        <w:gridCol w:w="1327"/>
        <w:gridCol w:w="1330"/>
        <w:gridCol w:w="1328"/>
      </w:tblGrid>
      <w:tr>
        <w:trPr>
          <w:trHeight w:val="206"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11,265,650.84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11,265,650.84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10,266,825.10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10,266,825.10</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2,319,275.60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2,319,275.60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1,975,489.62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1,975,489.62</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7,251,737.94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7,251,737.94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9,759,518.32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9,759,518.32</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21,752,516.25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21,752,516.25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21,517,704.24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21,517,704.24</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9,282,730.74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9,282,730.74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10,454,204.53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10,454,204.53</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51,871,911.37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51,871,911.37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53,973,741.81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53,973,741.81</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）存货跌价准备情况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spacing w:line="547" w:lineRule="auto" w:before="0"/>
        <w:ind w:left="154" w:right="8166" w:hanging="142"/>
        <w:jc w:val="center"/>
        <w:rPr>
          <w:rFonts w:ascii="宋体" w:hAnsi="宋体" w:cs="宋体" w:eastAsia="宋体" w:hint="default"/>
          <w:sz w:val="24"/>
          <w:szCs w:val="24"/>
        </w:rPr>
      </w:pPr>
      <w:r>
        <w:rPr>
          <w:rFonts w:ascii="宋体" w:hAnsi="宋体" w:cs="宋体" w:eastAsia="宋体" w:hint="default"/>
          <w:sz w:val="24"/>
          <w:szCs w:val="24"/>
        </w:rPr>
        <w:t>无。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、其他流动资产</w:t>
      </w:r>
      <w:r>
        <w:rPr>
          <w:rFonts w:ascii="宋体" w:hAnsi="宋体" w:cs="宋体" w:eastAsia="宋体" w:hint="default"/>
          <w:b/>
          <w:bCs/>
          <w:spacing w:val="1"/>
          <w:w w:val="99"/>
          <w:sz w:val="21"/>
          <w:szCs w:val="21"/>
        </w:rPr>
        <w:t> </w:t>
      </w:r>
      <w:r>
        <w:rPr>
          <w:rFonts w:ascii="宋体" w:hAnsi="宋体" w:cs="宋体" w:eastAsia="宋体" w:hint="default"/>
          <w:sz w:val="24"/>
          <w:szCs w:val="24"/>
        </w:rPr>
        <w:t>无。</w:t>
      </w:r>
    </w:p>
    <w:p>
      <w:pPr>
        <w:spacing w:before="93"/>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17"/>
        <w:gridCol w:w="1484"/>
        <w:gridCol w:w="1316"/>
        <w:gridCol w:w="1595"/>
        <w:gridCol w:w="1582"/>
        <w:gridCol w:w="1473"/>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35,679,298.61</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5,114,485.60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508,600.14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40,285,184.07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17,636,690.46</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17,659,690.46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10,719,042.08</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861,934.21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11,580,976.29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5,394,848.83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2,393,611.00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434,753.50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7,353,706.33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1,928,717.24</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1,835,940.39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73,846.64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3,690,810.99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9,456,107.73</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3,412,543.22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419,649.16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12,449,001.79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3,363,868.21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889,335.51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4,253,203.72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3,594,826.62</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433,856.96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4,028,683.58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1,492,117.06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603,300.40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349,494.88</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1,745,922.58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1,005,295.84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1,486,050.35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70,154.28</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2,421,191.91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8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26,223,190.88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27,836,182.28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14,272,822.25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13,406,486.74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7,124,215.46</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7,552,292.71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3,902,731.77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5,607,783.75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8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923,421.40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1,269,619.08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84" w:type="dxa"/>
            <w:tcBorders>
              <w:top w:val="single" w:sz="4" w:space="0" w:color="000000"/>
              <w:left w:val="single" w:sz="4" w:space="0" w:color="000000"/>
              <w:bottom w:val="single" w:sz="4" w:space="0" w:color="000000"/>
              <w:right w:val="single" w:sz="9" w:space="0" w:color="D3D3D3"/>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8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26,223,190.88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27,836,182.28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14,272,822.25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13,406,486.74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117"/>
        <w:gridCol w:w="1473"/>
        <w:gridCol w:w="4516"/>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7,124,215.46</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7,552,292.71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3,902,731.77</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5,607,783.75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923,421.40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1,269,619.08</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3,412,543.22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926,613.48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科研大楼及生产中心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25,286,810.13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25,286,810.13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4,199,945.46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4,199,945.46</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1,380,700.00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1,380,700.00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604,306.59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604,306.59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579,605.13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579,605.13</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27,271,816.72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27,271,816.72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4,779,550.59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4,779,550.59</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科研大 楼及生 产中心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4,199,94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21,086,8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64.67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42.14%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42.14%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25,286,8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10.13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4,199,94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21,086,8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64.67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）重大在建工程的工程进度情况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科研大楼及生产中心</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工程进度以投入额占预算的比例为基础 进行估计</w:t>
            </w:r>
          </w:p>
        </w:tc>
      </w:tr>
    </w:tbl>
    <w:p>
      <w:pPr>
        <w:spacing w:after="0" w:line="319"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8"/>
        <w:rPr>
          <w:rFonts w:ascii="宋体" w:hAnsi="宋体" w:cs="宋体" w:eastAsia="宋体" w:hint="default"/>
          <w:b/>
          <w:bCs/>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7,992,404.60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3,858,891.17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11,851,295.77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2,401,323.00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165,691.17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2,567,014.17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5,591,081.60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5,591,081.60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438,005.35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591,266.17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1,029,271.52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354,139.13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479,445.07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833,584.20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83,866.22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111,821.10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195,687.32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7,554,399.25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3,267,625.00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10,822,024.25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2,047,183.87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-313,753.90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1,733,429.97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5,507,215.38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5,395,394.28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7,554,399.25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3,267,625.00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10,822,024.25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2,047,183.87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-313,753.90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1,733,429.97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5,507,215.38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5,395,394.28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3,693,200.00</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591,266.17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租入房屋改良支 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9,463.31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5,685.35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9,463.31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5,685.35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1"/>
        <w:gridCol w:w="2923"/>
        <w:gridCol w:w="2922"/>
      </w:tblGrid>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2,045,389.90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1,523,473.97</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1,273,376.25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1,126,839.25</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3,318,766.15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2,650,313.22</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10"/>
        <w:gridCol w:w="2924"/>
        <w:gridCol w:w="2922"/>
      </w:tblGrid>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549,174.83</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549,174.83</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2016</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513,627.02</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35,547.81</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549,174.83</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60"/>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61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3"/>
        <w:gridCol w:w="1615"/>
        <w:gridCol w:w="1627"/>
        <w:gridCol w:w="1627"/>
        <w:gridCol w:w="1616"/>
      </w:tblGrid>
      <w:tr>
        <w:trPr>
          <w:trHeight w:val="317" w:hRule="exact"/>
        </w:trPr>
        <w:tc>
          <w:tcPr>
            <w:tcW w:w="30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6"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 w:right="75"/>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16" w:type="dxa"/>
            <w:vMerge/>
            <w:tcBorders>
              <w:left w:val="single" w:sz="4" w:space="0" w:color="000000"/>
              <w:right w:val="single" w:sz="4" w:space="0" w:color="000000"/>
            </w:tcBorders>
            <w:shd w:val="clear" w:color="auto" w:fill="D3D3D3"/>
          </w:tcPr>
          <w:p>
            <w:pPr/>
          </w:p>
        </w:tc>
      </w:tr>
      <w:tr>
        <w:trPr>
          <w:trHeight w:val="317" w:hRule="exact"/>
        </w:trPr>
        <w:tc>
          <w:tcPr>
            <w:tcW w:w="3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30" w:right="0"/>
              <w:jc w:val="left"/>
              <w:rPr>
                <w:rFonts w:ascii="Times New Roman" w:hAnsi="Times New Roman" w:cs="Times New Roman" w:eastAsia="Times New Roman" w:hint="default"/>
                <w:sz w:val="18"/>
                <w:szCs w:val="18"/>
              </w:rPr>
            </w:pPr>
            <w:r>
              <w:rPr>
                <w:rFonts w:ascii="Times New Roman"/>
                <w:sz w:val="18"/>
              </w:rPr>
              <w:t>3,318,766.15</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2,650,313.22</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54"/>
        <w:gridCol w:w="1528"/>
        <w:gridCol w:w="1528"/>
        <w:gridCol w:w="1398"/>
        <w:gridCol w:w="1398"/>
        <w:gridCol w:w="1452"/>
      </w:tblGrid>
      <w:tr>
        <w:trPr>
          <w:trHeight w:val="207"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10,029,159.84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3,606,439.49</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13,635,599.33</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10,029,159.84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3,606,439.49</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13,635,599.33</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10"/>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应付经营货款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25,020,787.91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23,914,467.15</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应付外包劳务费</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64,099.00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76,939.40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25,084,886.91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23,991,406.55</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）本报告期应付账款中应付持有公司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74"/>
        <w:gridCol w:w="1963"/>
        <w:gridCol w:w="1702"/>
        <w:gridCol w:w="1874"/>
      </w:tblGrid>
      <w:tr>
        <w:trPr>
          <w:trHeight w:val="347" w:hRule="exact"/>
        </w:trPr>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报表日后是否归还</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云南省通信产业服务有限公司</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1,359,791.00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还未与对方结算</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8" w:hRule="exact"/>
        </w:trPr>
        <w:tc>
          <w:tcPr>
            <w:tcW w:w="3674" w:type="dxa"/>
            <w:tcBorders>
              <w:top w:val="single" w:sz="6" w:space="0" w:color="000000"/>
              <w:left w:val="single" w:sz="6" w:space="0" w:color="000000"/>
              <w:bottom w:val="single" w:sz="6" w:space="0" w:color="000000"/>
              <w:right w:val="single" w:sz="6" w:space="0" w:color="000000"/>
            </w:tcBorders>
          </w:tcPr>
          <w:p>
            <w:pPr>
              <w:pStyle w:val="TableParagraph"/>
              <w:tabs>
                <w:tab w:pos="62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1,359,791.00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1" w:footer="982" w:top="1220" w:bottom="1180" w:left="980" w:right="1020"/>
        </w:sectPr>
      </w:pPr>
    </w:p>
    <w:p>
      <w:pPr>
        <w:spacing w:line="240" w:lineRule="auto" w:before="8"/>
        <w:rPr>
          <w:rFonts w:ascii="宋体" w:hAnsi="宋体" w:cs="宋体" w:eastAsia="宋体" w:hint="default"/>
          <w:b/>
          <w:bCs/>
          <w:sz w:val="11"/>
          <w:szCs w:val="11"/>
        </w:rPr>
      </w:pPr>
    </w:p>
    <w:p>
      <w:pPr>
        <w:spacing w:before="35"/>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7,132,595.06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6,365,679.75</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7,132,595.06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6,365,679.75</w:t>
            </w:r>
          </w:p>
        </w:tc>
      </w:tr>
    </w:tbl>
    <w:p>
      <w:pPr>
        <w:spacing w:line="240" w:lineRule="auto" w:before="2"/>
        <w:rPr>
          <w:rFonts w:ascii="宋体" w:hAnsi="宋体" w:cs="宋体" w:eastAsia="宋体" w:hint="default"/>
          <w:sz w:val="19"/>
          <w:szCs w:val="19"/>
        </w:rPr>
      </w:pPr>
    </w:p>
    <w:p>
      <w:pPr>
        <w:spacing w:before="35"/>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）本报告期预收账款中预收持有公司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10"/>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5"/>
        <w:ind w:left="154"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日无账龄超过</w:t>
      </w:r>
      <w:r>
        <w:rPr>
          <w:rFonts w:ascii="Times New Roman" w:hAnsi="Times New Roman" w:cs="Times New Roman" w:eastAsia="Times New Roman" w:hint="default"/>
          <w:spacing w:val="-2"/>
        </w:rPr>
        <w:t>1</w:t>
      </w:r>
      <w:r>
        <w:rPr>
          <w:spacing w:val="-2"/>
        </w:rPr>
        <w:t>年的大额预收款项（单项金额在</w:t>
      </w:r>
      <w:r>
        <w:rPr>
          <w:rFonts w:ascii="Times New Roman" w:hAnsi="Times New Roman" w:cs="Times New Roman" w:eastAsia="Times New Roman" w:hint="default"/>
          <w:spacing w:val="-2"/>
        </w:rPr>
        <w:t>100</w:t>
      </w:r>
      <w:r>
        <w:rPr>
          <w:spacing w:val="-2"/>
        </w:rPr>
        <w:t>万元以上的项目）。</w:t>
      </w:r>
    </w:p>
    <w:p>
      <w:pPr>
        <w:spacing w:line="240" w:lineRule="auto" w:before="3"/>
        <w:rPr>
          <w:rFonts w:ascii="宋体" w:hAnsi="宋体" w:cs="宋体" w:eastAsia="宋体" w:hint="default"/>
          <w:sz w:val="29"/>
          <w:szCs w:val="29"/>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8,040.93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39,165,088.33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39,173,129.26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827,169.52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827,169.52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6,393,434.54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6,393,434.54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1,582,962.58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1,582,962.58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4,118,258.57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4,118,258.57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398,657.24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398,657.24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97,516.80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97,516.80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196,039.35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196,039.35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1,541,142.50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1,541,142.50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4,572.00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4,572.00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687,823.75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1,482,637.53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1,457,862.38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712,598.90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七、工会经费和职工</w:t>
            </w:r>
            <w:r>
              <w:rPr>
                <w:rFonts w:ascii="宋体" w:hAnsi="宋体" w:cs="宋体" w:eastAsia="宋体" w:hint="default"/>
                <w:sz w:val="18"/>
                <w:szCs w:val="18"/>
              </w:rPr>
              <w:t> 教育经费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687,823.75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1,476,940.20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1,452,165.05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712,598.90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八、非货币性福利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90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九、以现金结算的股</w:t>
            </w:r>
            <w:r>
              <w:rPr>
                <w:rFonts w:ascii="宋体" w:hAnsi="宋体" w:cs="宋体" w:eastAsia="宋体" w:hint="default"/>
                <w:sz w:val="18"/>
                <w:szCs w:val="18"/>
              </w:rPr>
              <w:t> 份支付</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十、残疾人保障金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5,697.33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5,697.33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7" w:right="0"/>
              <w:jc w:val="left"/>
              <w:rPr>
                <w:rFonts w:ascii="Times New Roman" w:hAnsi="Times New Roman" w:cs="Times New Roman" w:eastAsia="Times New Roman" w:hint="default"/>
                <w:sz w:val="18"/>
                <w:szCs w:val="18"/>
              </w:rPr>
            </w:pPr>
            <w:r>
              <w:rPr>
                <w:rFonts w:ascii="Times New Roman"/>
                <w:sz w:val="18"/>
              </w:rPr>
              <w:t>695,864.68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49,414,044.42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49,397,310.20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6" w:right="0"/>
              <w:jc w:val="left"/>
              <w:rPr>
                <w:rFonts w:ascii="Times New Roman" w:hAnsi="Times New Roman" w:cs="Times New Roman" w:eastAsia="Times New Roman" w:hint="default"/>
                <w:sz w:val="18"/>
                <w:szCs w:val="18"/>
              </w:rPr>
            </w:pPr>
            <w:r>
              <w:rPr>
                <w:rFonts w:ascii="Times New Roman"/>
                <w:sz w:val="18"/>
              </w:rPr>
              <w:t>712,598.90</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38" w:lineRule="auto" w:before="103"/>
        <w:ind w:left="154" w:right="1052"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1,476,940.20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元，非货币性福利金额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应付职工薪酬预计发放时间、金额等安排</w:t>
      </w:r>
    </w:p>
    <w:p>
      <w:pPr>
        <w:pStyle w:val="BodyText"/>
        <w:spacing w:line="240" w:lineRule="auto" w:before="71"/>
        <w:ind w:left="634" w:right="610"/>
        <w:jc w:val="left"/>
      </w:pPr>
      <w:r>
        <w:rPr/>
        <w:t>应付职工薪酬预计发放时间为每月</w:t>
      </w:r>
      <w:r>
        <w:rPr>
          <w:rFonts w:ascii="Times New Roman" w:hAnsi="Times New Roman" w:cs="Times New Roman" w:eastAsia="Times New Roman" w:hint="default"/>
        </w:rPr>
        <w:t>10</w:t>
      </w:r>
      <w:r>
        <w:rPr/>
        <w:t>号。</w:t>
      </w:r>
    </w:p>
    <w:p>
      <w:pPr>
        <w:spacing w:line="240" w:lineRule="auto" w:before="3"/>
        <w:rPr>
          <w:rFonts w:ascii="宋体" w:hAnsi="宋体" w:cs="宋体" w:eastAsia="宋体" w:hint="default"/>
          <w:sz w:val="29"/>
          <w:szCs w:val="29"/>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7,045,426.14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2,024,515.29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65,402.71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3,841.00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3,304,343.07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2,301,181.54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20,722.61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11,674.38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408,155.53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179,261.61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174,923.76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76,826.42</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116,615.83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51,217.60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37,610.30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38,637.30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1,380.90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11,211,837.25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4,649,898.74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4,241,204.00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应付代垫款项</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122,909.70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22,398.00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4,364,113.70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301,898.00</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517"/>
        <w:gridCol w:w="3376"/>
        <w:gridCol w:w="2321"/>
      </w:tblGrid>
      <w:tr>
        <w:trPr>
          <w:trHeight w:val="347"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47"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河南六建建筑集团有限公司</w:t>
            </w:r>
          </w:p>
        </w:tc>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550,000.00</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工程项目保证金</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金丰环球装饰工程（天津）有限公司</w:t>
            </w:r>
          </w:p>
        </w:tc>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工程项目保证金</w:t>
            </w:r>
          </w:p>
        </w:tc>
      </w:tr>
      <w:tr>
        <w:trPr>
          <w:trHeight w:val="347"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合肥达美建筑装饰工程有限责任公司</w:t>
            </w:r>
          </w:p>
        </w:tc>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工程项目保证金</w:t>
            </w:r>
          </w:p>
        </w:tc>
      </w:tr>
      <w:tr>
        <w:trPr>
          <w:trHeight w:val="347"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河南红革玻璃幕墙装饰工程有限公司</w:t>
            </w:r>
          </w:p>
        </w:tc>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工程项目保证金</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北京建磊国际装饰工程股份有限公司</w:t>
            </w:r>
          </w:p>
        </w:tc>
        <w:tc>
          <w:tcPr>
            <w:tcW w:w="3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工程项目保证金</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8,489,175.00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7,445,595.00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8,489,175.00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7,445,595.00</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before="90"/>
        <w:ind w:left="634" w:right="610" w:firstLine="0"/>
        <w:jc w:val="left"/>
        <w:rPr>
          <w:rFonts w:ascii="宋体" w:hAnsi="宋体" w:cs="宋体" w:eastAsia="宋体" w:hint="default"/>
          <w:sz w:val="21"/>
          <w:szCs w:val="21"/>
        </w:rPr>
      </w:pPr>
      <w:r>
        <w:rPr>
          <w:rFonts w:ascii="宋体" w:hAnsi="宋体" w:cs="宋体" w:eastAsia="宋体" w:hint="default"/>
          <w:sz w:val="21"/>
          <w:szCs w:val="21"/>
        </w:rPr>
        <w:t>其中，递延收益明细如下：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645"/>
        <w:gridCol w:w="2268"/>
        <w:gridCol w:w="2300"/>
      </w:tblGrid>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8,489,175.00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7,445,595.00</w:t>
            </w:r>
          </w:p>
        </w:tc>
      </w:tr>
      <w:tr>
        <w:trPr>
          <w:trHeight w:val="660"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22" w:right="-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高新区科技局研发经费</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重大科技专项基于电信运营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的小额支付支撑二期款</w:t>
            </w:r>
            <w:r>
              <w:rPr>
                <w:rFonts w:ascii="Times New Roman" w:hAnsi="Times New Roman" w:cs="Times New Roman" w:eastAsia="Times New Roman" w:hint="default"/>
                <w:sz w:val="18"/>
                <w:szCs w:val="18"/>
              </w:rPr>
              <w:t>”</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500,000.00</w:t>
            </w:r>
          </w:p>
        </w:tc>
      </w:tr>
      <w:tr>
        <w:trPr>
          <w:trHeight w:val="6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年郑州市第三批技术研究与开发经费项目：智能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卡</w:t>
            </w:r>
            <w:r>
              <w:rPr>
                <w:rFonts w:ascii="Times New Roman" w:hAnsi="Times New Roman" w:cs="Times New Roman" w:eastAsia="Times New Roman" w:hint="default"/>
                <w:sz w:val="18"/>
                <w:szCs w:val="18"/>
              </w:rPr>
              <w:t>RFID</w:t>
            </w:r>
            <w:r>
              <w:rPr>
                <w:rFonts w:ascii="宋体" w:hAnsi="宋体" w:cs="宋体" w:eastAsia="宋体" w:hint="default"/>
                <w:sz w:val="18"/>
                <w:szCs w:val="18"/>
              </w:rPr>
              <w:t>支付与识别产品产业化</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高新区财政局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年物联网发展专项资金款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Times New Roman" w:hAnsi="Times New Roman" w:cs="Times New Roman" w:eastAsia="Times New Roman" w:hint="default"/>
                <w:sz w:val="18"/>
                <w:szCs w:val="18"/>
              </w:rPr>
              <w:t>2009</w:t>
            </w:r>
            <w:r>
              <w:rPr>
                <w:rFonts w:ascii="宋体" w:hAnsi="宋体" w:cs="宋体" w:eastAsia="宋体" w:hint="default"/>
                <w:sz w:val="18"/>
                <w:szCs w:val="18"/>
              </w:rPr>
              <w:t>年河南省高新技术产业化项目资金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年度科技经费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350,000.00</w:t>
            </w:r>
          </w:p>
        </w:tc>
      </w:tr>
      <w:tr>
        <w:trPr>
          <w:trHeight w:val="6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年电子信息产业振兴和技术改造项目建设中央投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资地方专项资金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2,268,000.00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2,916,000.00</w:t>
            </w:r>
          </w:p>
        </w:tc>
      </w:tr>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郑州</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年度信息化发展专项资金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收到郑州市高新区重大科技专项资金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郑州市财政局产业技术创新专项资金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高新区管委会奖励车辆（豫</w:t>
            </w:r>
            <w:r>
              <w:rPr>
                <w:rFonts w:ascii="Times New Roman" w:hAnsi="Times New Roman" w:cs="Times New Roman" w:eastAsia="Times New Roman" w:hint="default"/>
                <w:sz w:val="18"/>
                <w:szCs w:val="18"/>
              </w:rPr>
              <w:t>A521GX</w:t>
            </w:r>
            <w:r>
              <w:rPr>
                <w:rFonts w:ascii="宋体" w:hAnsi="宋体" w:cs="宋体" w:eastAsia="宋体" w:hint="default"/>
                <w:sz w:val="18"/>
                <w:szCs w:val="18"/>
              </w:rPr>
              <w:t>）</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161,175.00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179,595.00</w:t>
            </w:r>
          </w:p>
        </w:tc>
      </w:tr>
      <w:tr>
        <w:trPr>
          <w:trHeight w:val="972"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22" w:right="-4"/>
              <w:jc w:val="both"/>
              <w:rPr>
                <w:rFonts w:ascii="宋体" w:hAnsi="宋体" w:cs="宋体" w:eastAsia="宋体" w:hint="default"/>
                <w:sz w:val="18"/>
                <w:szCs w:val="18"/>
              </w:rPr>
            </w:pPr>
            <w:r>
              <w:rPr>
                <w:rFonts w:ascii="宋体" w:hAnsi="宋体" w:cs="宋体" w:eastAsia="宋体" w:hint="default"/>
                <w:spacing w:val="2"/>
                <w:sz w:val="18"/>
                <w:szCs w:val="18"/>
              </w:rPr>
              <w:t>收郑州市财政局基于金融</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卡的移动支付信息化服务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平台与终端项目资金</w:t>
            </w:r>
            <w:r>
              <w:rPr>
                <w:rFonts w:ascii="Times New Roman" w:hAnsi="Times New Roman" w:cs="Times New Roman" w:eastAsia="Times New Roman" w:hint="default"/>
                <w:spacing w:val="6"/>
                <w:sz w:val="18"/>
                <w:szCs w:val="18"/>
              </w:rPr>
              <w:t>_</w:t>
            </w:r>
            <w:r>
              <w:rPr>
                <w:rFonts w:ascii="宋体" w:hAnsi="宋体" w:cs="宋体" w:eastAsia="宋体" w:hint="default"/>
                <w:spacing w:val="6"/>
                <w:sz w:val="18"/>
                <w:szCs w:val="18"/>
              </w:rPr>
              <w:t>基于金融</w:t>
            </w:r>
            <w:r>
              <w:rPr>
                <w:rFonts w:ascii="Times New Roman" w:hAnsi="Times New Roman" w:cs="Times New Roman" w:eastAsia="Times New Roman" w:hint="default"/>
                <w:spacing w:val="6"/>
                <w:sz w:val="18"/>
                <w:szCs w:val="18"/>
              </w:rPr>
              <w:t>IC</w:t>
            </w:r>
            <w:r>
              <w:rPr>
                <w:rFonts w:ascii="宋体" w:hAnsi="宋体" w:cs="宋体" w:eastAsia="宋体" w:hint="default"/>
                <w:spacing w:val="6"/>
                <w:sz w:val="18"/>
                <w:szCs w:val="18"/>
              </w:rPr>
              <w:t>卡的移动支付信息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化服务平台与</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1,610,000.00</w:t>
            </w:r>
          </w:p>
        </w:tc>
        <w:tc>
          <w:tcPr>
            <w:tcW w:w="2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4645"/>
        <w:gridCol w:w="2268"/>
        <w:gridCol w:w="2300"/>
      </w:tblGrid>
      <w:tr>
        <w:trPr>
          <w:trHeight w:val="659"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22" w:right="1"/>
              <w:jc w:val="left"/>
              <w:rPr>
                <w:rFonts w:ascii="宋体" w:hAnsi="宋体" w:cs="宋体" w:eastAsia="宋体" w:hint="default"/>
                <w:sz w:val="18"/>
                <w:szCs w:val="18"/>
              </w:rPr>
            </w:pPr>
            <w:r>
              <w:rPr>
                <w:rFonts w:ascii="宋体" w:hAnsi="宋体" w:cs="宋体" w:eastAsia="宋体" w:hint="default"/>
                <w:spacing w:val="2"/>
                <w:sz w:val="18"/>
                <w:szCs w:val="18"/>
              </w:rPr>
              <w:t>河南省财政厅、河南省科学技术厅基于电信运营的小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额支付支撑平台</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268"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5" w:right="0"/>
              <w:jc w:val="left"/>
              <w:rPr>
                <w:rFonts w:ascii="Times New Roman" w:hAnsi="Times New Roman" w:cs="Times New Roman" w:eastAsia="Times New Roman" w:hint="default"/>
                <w:sz w:val="18"/>
                <w:szCs w:val="18"/>
              </w:rPr>
            </w:pPr>
            <w:r>
              <w:rPr>
                <w:rFonts w:ascii="Times New Roman"/>
                <w:sz w:val="18"/>
              </w:rPr>
              <w:t>8,489,175.00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7,445,595.00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207"/>
        <w:gridCol w:w="1184"/>
        <w:gridCol w:w="1196"/>
        <w:gridCol w:w="1196"/>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44,600,000.00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44,600,000.00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44,600,000.00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89,200,000.00</w:t>
            </w:r>
          </w:p>
        </w:tc>
      </w:tr>
    </w:tbl>
    <w:p>
      <w:pPr>
        <w:spacing w:before="51"/>
        <w:ind w:left="154" w:right="9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before="63"/>
        <w:ind w:left="154" w:right="94"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338" w:lineRule="auto" w:before="144"/>
        <w:ind w:right="107" w:firstLine="480"/>
        <w:jc w:val="both"/>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04</w:t>
      </w:r>
      <w:r>
        <w:rPr>
          <w:spacing w:val="-2"/>
        </w:rPr>
        <w:t>月</w:t>
      </w:r>
      <w:r>
        <w:rPr>
          <w:rFonts w:ascii="Times New Roman" w:hAnsi="Times New Roman" w:cs="Times New Roman" w:eastAsia="Times New Roman" w:hint="default"/>
          <w:spacing w:val="-2"/>
        </w:rPr>
        <w:t>18</w:t>
      </w:r>
      <w:r>
        <w:rPr>
          <w:spacing w:val="-2"/>
        </w:rPr>
        <w:t>日，根据公司</w:t>
      </w:r>
      <w:r>
        <w:rPr>
          <w:rFonts w:ascii="Times New Roman" w:hAnsi="Times New Roman" w:cs="Times New Roman" w:eastAsia="Times New Roman" w:hint="default"/>
          <w:spacing w:val="-2"/>
        </w:rPr>
        <w:t>2011</w:t>
      </w:r>
      <w:r>
        <w:rPr>
          <w:spacing w:val="-2"/>
        </w:rPr>
        <w:t>年年度股东大会决议和修改后章程的规定，公司申</w:t>
      </w:r>
      <w:r>
        <w:rPr/>
        <w:t> 请增加注册资本人民币</w:t>
      </w:r>
      <w:r>
        <w:rPr>
          <w:rFonts w:ascii="Times New Roman" w:hAnsi="Times New Roman" w:cs="Times New Roman" w:eastAsia="Times New Roman" w:hint="default"/>
        </w:rPr>
        <w:t>4,460.00</w:t>
      </w:r>
      <w:r>
        <w:rPr/>
        <w:t>万元，按每</w:t>
      </w:r>
      <w:r>
        <w:rPr>
          <w:rFonts w:ascii="Times New Roman" w:hAnsi="Times New Roman" w:cs="Times New Roman" w:eastAsia="Times New Roman" w:hint="default"/>
        </w:rPr>
        <w:t>10.00</w:t>
      </w:r>
      <w:r>
        <w:rPr/>
        <w:t>股转增</w:t>
      </w:r>
      <w:r>
        <w:rPr>
          <w:rFonts w:ascii="Times New Roman" w:hAnsi="Times New Roman" w:cs="Times New Roman" w:eastAsia="Times New Roman" w:hint="default"/>
        </w:rPr>
        <w:t>10.00</w:t>
      </w:r>
      <w:r>
        <w:rPr/>
        <w:t>股的比例，以资本公积向全体股</w:t>
      </w:r>
      <w:r>
        <w:rPr>
          <w:spacing w:val="-86"/>
        </w:rPr>
        <w:t> </w:t>
      </w:r>
      <w:r>
        <w:rPr/>
        <w:t>东转增股份总额</w:t>
      </w:r>
      <w:r>
        <w:rPr>
          <w:rFonts w:ascii="Times New Roman" w:hAnsi="Times New Roman" w:cs="Times New Roman" w:eastAsia="Times New Roman" w:hint="default"/>
        </w:rPr>
        <w:t>4,460.00</w:t>
      </w:r>
      <w:r>
        <w:rPr/>
        <w:t>万股，每股面值</w:t>
      </w:r>
      <w:r>
        <w:rPr>
          <w:rFonts w:ascii="Times New Roman" w:hAnsi="Times New Roman" w:cs="Times New Roman" w:eastAsia="Times New Roman" w:hint="default"/>
        </w:rPr>
        <w:t>1.00</w:t>
      </w:r>
      <w:r>
        <w:rPr/>
        <w:t>元，计增加股本</w:t>
      </w:r>
      <w:r>
        <w:rPr>
          <w:rFonts w:ascii="Times New Roman" w:hAnsi="Times New Roman" w:cs="Times New Roman" w:eastAsia="Times New Roman" w:hint="default"/>
        </w:rPr>
        <w:t>4,460.00</w:t>
      </w:r>
      <w:r>
        <w:rPr/>
        <w:t>万元，变更后的注册资</w:t>
      </w:r>
      <w:r>
        <w:rPr>
          <w:spacing w:val="-52"/>
        </w:rPr>
        <w:t> </w:t>
      </w:r>
      <w:r>
        <w:rPr>
          <w:spacing w:val="-52"/>
        </w:rPr>
      </w:r>
      <w:r>
        <w:rPr>
          <w:spacing w:val="-1"/>
        </w:rPr>
        <w:t>本为人民币</w:t>
      </w:r>
      <w:r>
        <w:rPr>
          <w:rFonts w:ascii="Times New Roman" w:hAnsi="Times New Roman" w:cs="Times New Roman" w:eastAsia="Times New Roman" w:hint="default"/>
          <w:spacing w:val="-1"/>
        </w:rPr>
        <w:t>8,920</w:t>
      </w:r>
      <w:r>
        <w:rPr>
          <w:spacing w:val="-1"/>
        </w:rPr>
        <w:t>万元，本次增资已经利安达会计师事务所有限责任公司审验，并出具利安达</w:t>
      </w:r>
      <w:r>
        <w:rPr>
          <w:spacing w:val="-99"/>
        </w:rPr>
        <w:t> </w:t>
      </w:r>
      <w:r>
        <w:rPr>
          <w:spacing w:val="-99"/>
        </w:rPr>
      </w:r>
      <w:r>
        <w:rPr/>
        <w:t>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1023</w:t>
      </w:r>
      <w:r>
        <w:rPr/>
        <w:t>号验资报告。</w:t>
      </w:r>
    </w:p>
    <w:p>
      <w:pPr>
        <w:pStyle w:val="BodyText"/>
        <w:spacing w:line="338" w:lineRule="auto" w:before="27"/>
        <w:ind w:left="154" w:right="110" w:firstLine="480"/>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日，部分已解禁的外部个人股东、外部单位股东、员工股东出售其持</w:t>
      </w:r>
      <w:r>
        <w:rPr>
          <w:spacing w:val="1"/>
        </w:rPr>
        <w:t> </w:t>
      </w:r>
      <w:r>
        <w:rPr/>
        <w:t>有股份，该部分股份转入无限售条件股份。</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304,589,044.44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259,989,044.44</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304,589,044.44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259,989,044.44</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338" w:lineRule="auto" w:before="145"/>
        <w:ind w:right="148" w:firstLine="480"/>
        <w:jc w:val="both"/>
      </w:pPr>
      <w:r>
        <w:rPr/>
        <w:t>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18</w:t>
      </w:r>
      <w:r>
        <w:rPr/>
        <w:t>日，根据公司</w:t>
      </w:r>
      <w:r>
        <w:rPr>
          <w:rFonts w:ascii="Times New Roman" w:hAnsi="Times New Roman" w:cs="Times New Roman" w:eastAsia="Times New Roman" w:hint="default"/>
        </w:rPr>
        <w:t>2011</w:t>
      </w:r>
      <w:r>
        <w:rPr/>
        <w:t>年年度股东大会决议和修改后章程的规定，公司申 请增加注册资本人民币</w:t>
      </w:r>
      <w:r>
        <w:rPr>
          <w:rFonts w:ascii="Times New Roman" w:hAnsi="Times New Roman" w:cs="Times New Roman" w:eastAsia="Times New Roman" w:hint="default"/>
        </w:rPr>
        <w:t>4,460.00</w:t>
      </w:r>
      <w:r>
        <w:rPr/>
        <w:t>万元，按每</w:t>
      </w:r>
      <w:r>
        <w:rPr>
          <w:rFonts w:ascii="Times New Roman" w:hAnsi="Times New Roman" w:cs="Times New Roman" w:eastAsia="Times New Roman" w:hint="default"/>
        </w:rPr>
        <w:t>10.00</w:t>
      </w:r>
      <w:r>
        <w:rPr/>
        <w:t>股转增</w:t>
      </w:r>
      <w:r>
        <w:rPr>
          <w:rFonts w:ascii="Times New Roman" w:hAnsi="Times New Roman" w:cs="Times New Roman" w:eastAsia="Times New Roman" w:hint="default"/>
        </w:rPr>
        <w:t>10.00</w:t>
      </w:r>
      <w:r>
        <w:rPr/>
        <w:t>股的比例，以资本公积向全体股 东转增股份总额</w:t>
      </w:r>
      <w:r>
        <w:rPr>
          <w:rFonts w:ascii="Times New Roman" w:hAnsi="Times New Roman" w:cs="Times New Roman" w:eastAsia="Times New Roman" w:hint="default"/>
        </w:rPr>
        <w:t>4,460.00</w:t>
      </w:r>
      <w:r>
        <w:rPr/>
        <w:t>万股，每股面值</w:t>
      </w:r>
      <w:r>
        <w:rPr>
          <w:rFonts w:ascii="Times New Roman" w:hAnsi="Times New Roman" w:cs="Times New Roman" w:eastAsia="Times New Roman" w:hint="default"/>
        </w:rPr>
        <w:t>1.00</w:t>
      </w:r>
      <w:r>
        <w:rPr/>
        <w:t>元，计增加股本</w:t>
      </w:r>
      <w:r>
        <w:rPr>
          <w:rFonts w:ascii="Times New Roman" w:hAnsi="Times New Roman" w:cs="Times New Roman" w:eastAsia="Times New Roman" w:hint="default"/>
        </w:rPr>
        <w:t>4,460.00</w:t>
      </w:r>
      <w:r>
        <w:rPr/>
        <w:t>万元，变更后的注册资 本为人民币</w:t>
      </w:r>
      <w:r>
        <w:rPr>
          <w:rFonts w:ascii="Times New Roman" w:hAnsi="Times New Roman" w:cs="Times New Roman" w:eastAsia="Times New Roman" w:hint="default"/>
        </w:rPr>
        <w:t>8,920</w:t>
      </w:r>
      <w:r>
        <w:rPr/>
        <w:t>万元，资本公积减少</w:t>
      </w:r>
      <w:r>
        <w:rPr>
          <w:rFonts w:ascii="Times New Roman" w:hAnsi="Times New Roman" w:cs="Times New Roman" w:eastAsia="Times New Roman" w:hint="default"/>
        </w:rPr>
        <w:t>4,460.00</w:t>
      </w:r>
      <w:r>
        <w:rPr/>
        <w:t>万元。</w:t>
      </w:r>
    </w:p>
    <w:p>
      <w:pPr>
        <w:spacing w:after="0" w:line="338" w:lineRule="auto"/>
        <w:jc w:val="both"/>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10,481,437.48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4,037,539.51</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14,518,976.99</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10,481,437.48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4,037,539.51</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14,518,976.99</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98,574,060.40</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98,574,060.40</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42,133,555.90</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4,037,539.51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127,750,076.79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2"/>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pStyle w:val="BodyText"/>
        <w:spacing w:line="338" w:lineRule="auto" w:before="79"/>
        <w:ind w:left="154" w:right="109" w:firstLine="480"/>
        <w:jc w:val="both"/>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18</w:t>
      </w:r>
      <w:r>
        <w:rPr/>
        <w:t>日经本公司</w:t>
      </w:r>
      <w:r>
        <w:rPr>
          <w:rFonts w:ascii="Times New Roman" w:hAnsi="Times New Roman" w:cs="Times New Roman" w:eastAsia="Times New Roman" w:hint="default"/>
        </w:rPr>
        <w:t>2011</w:t>
      </w:r>
      <w:r>
        <w:rPr/>
        <w:t>年度股东大会批准的《关于审议郑州新开普电子股份</w:t>
      </w:r>
      <w:r>
        <w:rPr>
          <w:spacing w:val="1"/>
        </w:rPr>
        <w:t> </w:t>
      </w:r>
      <w:r>
        <w:rPr/>
        <w:t>有限公司</w:t>
      </w:r>
      <w:r>
        <w:rPr>
          <w:rFonts w:ascii="Times New Roman" w:hAnsi="Times New Roman" w:cs="Times New Roman" w:eastAsia="Times New Roman" w:hint="default"/>
        </w:rPr>
        <w:t>2011</w:t>
      </w:r>
      <w:r>
        <w:rPr/>
        <w:t>年度利润分配及资本公积转增股本预案的议案》，本公司向全体股东派发现金</w:t>
      </w:r>
      <w:r>
        <w:rPr>
          <w:spacing w:val="-88"/>
        </w:rPr>
        <w:t> </w:t>
      </w:r>
      <w:r>
        <w:rPr>
          <w:spacing w:val="-88"/>
        </w:rPr>
      </w:r>
      <w:r>
        <w:rPr/>
        <w:t>股利，每</w:t>
      </w:r>
      <w:r>
        <w:rPr>
          <w:rFonts w:ascii="Times New Roman" w:hAnsi="Times New Roman" w:cs="Times New Roman" w:eastAsia="Times New Roman" w:hint="default"/>
        </w:rPr>
        <w:t>10.00</w:t>
      </w:r>
      <w:r>
        <w:rPr/>
        <w:t>股人民币</w:t>
      </w:r>
      <w:r>
        <w:rPr>
          <w:rFonts w:ascii="Times New Roman" w:hAnsi="Times New Roman" w:cs="Times New Roman" w:eastAsia="Times New Roman" w:hint="default"/>
        </w:rPr>
        <w:t>2.00</w:t>
      </w:r>
      <w:r>
        <w:rPr/>
        <w:t>元，按照已发行股份数</w:t>
      </w:r>
      <w:r>
        <w:rPr>
          <w:rFonts w:ascii="Times New Roman" w:hAnsi="Times New Roman" w:cs="Times New Roman" w:eastAsia="Times New Roman" w:hint="default"/>
        </w:rPr>
        <w:t>4,460.00</w:t>
      </w:r>
      <w:r>
        <w:rPr/>
        <w:t>万股计算，共计</w:t>
      </w:r>
      <w:r>
        <w:rPr>
          <w:rFonts w:ascii="Times New Roman" w:hAnsi="Times New Roman" w:cs="Times New Roman" w:eastAsia="Times New Roman" w:hint="default"/>
        </w:rPr>
        <w:t>892.00</w:t>
      </w:r>
      <w:r>
        <w:rPr/>
        <w:t>万元。</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209,436,781.07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184,266,436.98</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310"/>
        <w:gridCol w:w="3069"/>
        <w:gridCol w:w="3190"/>
      </w:tblGrid>
      <w:tr>
        <w:trPr>
          <w:trHeight w:val="402" w:hRule="exact"/>
        </w:trPr>
        <w:tc>
          <w:tcPr>
            <w:tcW w:w="3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96,536,894.23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88,294,522.64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107,003,805.07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44,080,229.79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96,802,864.71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44,133,360.97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30,346,071.75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12,956,271.02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24,826,059.24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10,792,427.27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8,555,007.37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3,084,723.52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3,527,405.97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1,278,121.68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63,531,896.88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36,415,669.90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59,110,107.06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32,090,612.72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209,436,781.07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96,536,894.23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184,266,436.98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88,294,522.64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17,982,970.45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6,150,803.99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22,046,372.34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8,356,277.07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48,752,530.68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18,916,083.78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40,234,697.78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18,256,157.65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38,897,274.71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21,887,458.36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42,799,420.34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24,907,119.09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103,804,005.23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49,582,548.10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79,185,946.52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36,774,968.83</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209,436,781.07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96,536,894.23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184,266,436.98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88,294,522.64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78,163,703.91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35,865,965.82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61,776,736.53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28,889,252.34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42,903,838.01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20,980,113.20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40,301,699.74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20,561,270.22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26,146,588.28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11,919,566.27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29,999,589.61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13,187,114.87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27,157,337.19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10,185,653.49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20,064,550.08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8,976,297.15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15,245,844.54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9,253,771.06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17,788,384.65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10,123,515.42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15,102,239.24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6,282,178.39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9,038,097.28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3,976,197.35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4,717,229.90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2,049,646.00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5,297,379.09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2,580,875.29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209,436,781.07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96,536,894.23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184,266,436.98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88,294,522.64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河南省委党校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5,201,477.78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福建开普科技有限公司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5,114,068.46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中国农业银行股份有限公司洛阳 分行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5,059,829.06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湖北公众信息产业有限责任公司 武汉电信系统集成分公司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4,226,444.44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中国移动通信集团内蒙古有限公 司呼和浩特分公司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3,719,222.22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23,321,041.96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173,087.28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139,438.96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1,355,596.69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1,039,669.62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574,230.49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445,572.69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394,052.74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297,048.47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宋体" w:hAnsi="宋体" w:cs="宋体" w:eastAsia="宋体" w:hint="default"/>
                <w:sz w:val="18"/>
                <w:szCs w:val="18"/>
              </w:rPr>
              <w:t>（成都分公司营业收入）</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2,496,974.83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1,921,729.74</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pStyle w:val="BodyText"/>
        <w:spacing w:line="338" w:lineRule="auto" w:before="145"/>
        <w:ind w:right="111" w:firstLine="480"/>
        <w:jc w:val="both"/>
      </w:pPr>
      <w:r>
        <w:rPr/>
        <w:t>本年度较上年同期增长</w:t>
      </w:r>
      <w:r>
        <w:rPr>
          <w:rFonts w:ascii="Times New Roman" w:hAnsi="Times New Roman" w:cs="Times New Roman" w:eastAsia="Times New Roman" w:hint="default"/>
        </w:rPr>
        <w:t>29.93%</w:t>
      </w:r>
      <w:r>
        <w:rPr/>
        <w:t>，主要原因：</w:t>
      </w:r>
      <w:r>
        <w:rPr>
          <w:rFonts w:ascii="Times New Roman" w:hAnsi="Times New Roman" w:cs="Times New Roman" w:eastAsia="Times New Roman" w:hint="default"/>
        </w:rPr>
        <w:t>a:</w:t>
      </w:r>
      <w:r>
        <w:rPr/>
        <w:t>随营业收入增加而同比增加</w:t>
      </w:r>
      <w:r>
        <w:rPr>
          <w:rFonts w:ascii="Times New Roman" w:hAnsi="Times New Roman" w:cs="Times New Roman" w:eastAsia="Times New Roman" w:hint="default"/>
        </w:rPr>
        <w:t>;b:</w:t>
      </w:r>
      <w:r>
        <w:rPr/>
        <w:t>本年客户量</w:t>
      </w:r>
      <w:r>
        <w:rPr>
          <w:spacing w:val="-1"/>
        </w:rPr>
        <w:t> 增加，造成年度维护费增加，从而导致营业税增加；</w:t>
      </w:r>
      <w:r>
        <w:rPr>
          <w:rFonts w:ascii="Times New Roman" w:hAnsi="Times New Roman" w:cs="Times New Roman" w:eastAsia="Times New Roman" w:hint="default"/>
          <w:spacing w:val="-1"/>
        </w:rPr>
        <w:t>c:</w:t>
      </w:r>
      <w:r>
        <w:rPr>
          <w:spacing w:val="-1"/>
        </w:rPr>
        <w:t>本年度较上年同期增加了</w:t>
      </w:r>
      <w:r>
        <w:rPr>
          <w:rFonts w:ascii="Times New Roman" w:hAnsi="Times New Roman" w:cs="Times New Roman" w:eastAsia="Times New Roman" w:hint="default"/>
          <w:spacing w:val="-1"/>
        </w:rPr>
        <w:t>2</w:t>
      </w:r>
      <w:r>
        <w:rPr>
          <w:spacing w:val="-1"/>
        </w:rPr>
        <w:t>个月的地方</w:t>
      </w:r>
      <w:r>
        <w:rPr>
          <w:spacing w:val="-103"/>
        </w:rPr>
        <w:t> </w:t>
      </w:r>
      <w:r>
        <w:rPr/>
        <w:t>教育费附加税种（河南省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月开始起征地方教育费附加）。</w:t>
      </w:r>
    </w:p>
    <w:p>
      <w:pPr>
        <w:spacing w:line="240" w:lineRule="auto" w:before="11"/>
        <w:rPr>
          <w:rFonts w:ascii="宋体" w:hAnsi="宋体" w:cs="宋体" w:eastAsia="宋体" w:hint="default"/>
          <w:sz w:val="20"/>
          <w:szCs w:val="2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23,022,276.24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17,526,078.68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5,461,808.84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4,030,436.36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556,336.98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362,838.08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2,903,535.26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2,235,405.91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2,912,613.31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2,875,276.45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2,568,768.36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1,841,214.27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830,257.14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462,741.98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1,116,332.90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846,734.83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2,134,625.13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1,601,561.94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949,415.31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726,526.13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244,667.00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96,741.70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74,365.00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42,797,378.17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32,624,829.63</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12,487,097.28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9,343,384.83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7,319,828.91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6,192,173.16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1,605,932.56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1,613,358.26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952,409.14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1,133,149.49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373,976.39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613,395.30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530,380.86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373,001.30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489,731.61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618,050.06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270,457.78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511,514.00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215,013.00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291,550.00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230,926.20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578,438.36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201,873.08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294,045.71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817,342.31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852,514.95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25,877,839.04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22,474,675.40</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1,100,008.07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-7,381,767.45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-3,346,488.75</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34,751.01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57,557.09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-7,347,016.44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-2,188,923.59</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3,606,439.49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3,822,693.13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3,606,439.49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3,822,693.13</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0"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3,296,621.56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11,043,777.27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3,296,621.56</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3,296,623.56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11,043,777.27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3,296,623.56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6,997,799.04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年河南省高新 技术产业化项目资金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高新区财政局智能卡与射频识别 研究中心补助资金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高新区管委会财政局商标奖励</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年度科技经费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郑州高新区管理委员会财政局</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年中小企业担保补贴款</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电信运营的小额支付支撑平台项 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专利申请资助资金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年省重点科技 攻关计划项目经费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高新区财政局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年物联网发展 专项资金款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郑州市财政局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年高新技术产 业化项目二次补助资金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年度技术研究与开发经费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郑州高新区管委会民政局上市奖 励资金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郑州高新区管委会财政局经济突 出贡献奖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高新区科技局专利申请补贴</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高新区科技局研发机构资助经费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政府奖励商务车一辆</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18,420.00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4,605.00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24,601.56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4,973.23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3,296,621.56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11,043,777.27</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bl>
    <w:p>
      <w:pPr>
        <w:spacing w:after="0" w:line="319" w:lineRule="auto"/>
        <w:jc w:val="left"/>
        <w:rPr>
          <w:rFonts w:ascii="宋体" w:hAnsi="宋体" w:cs="宋体" w:eastAsia="宋体"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692"/>
        <w:gridCol w:w="2048"/>
        <w:gridCol w:w="1914"/>
        <w:gridCol w:w="1914"/>
      </w:tblGrid>
      <w:tr>
        <w:trPr>
          <w:trHeight w:val="402"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4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34,320.98</w:t>
            </w:r>
          </w:p>
        </w:tc>
      </w:tr>
      <w:tr>
        <w:trPr>
          <w:trHeight w:val="402"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4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34,320.98</w:t>
            </w:r>
          </w:p>
        </w:tc>
      </w:tr>
      <w:tr>
        <w:trPr>
          <w:trHeight w:val="402"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4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4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34,320.98</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pStyle w:val="BodyText"/>
        <w:spacing w:line="240" w:lineRule="auto" w:before="145"/>
        <w:ind w:left="634" w:right="610"/>
        <w:jc w:val="left"/>
      </w:pPr>
      <w:r>
        <w:rPr/>
        <w:t>报告期内，营业外支出主要系卖车所致。</w:t>
      </w:r>
    </w:p>
    <w:p>
      <w:pPr>
        <w:spacing w:line="240" w:lineRule="auto" w:before="8"/>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7,265,471.36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7,081,677.28</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-668,452.93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-750,393.22</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6,597,018.43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6,331,284.06</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4" w:firstLine="480"/>
        <w:jc w:val="left"/>
      </w:pPr>
      <w:r>
        <w:rPr/>
        <w:t>于报告期内，本公司不存在具有稀释性的潜在普通股，因此稀释每股收益等于基本每股</w:t>
      </w:r>
      <w:r>
        <w:rPr>
          <w:spacing w:val="1"/>
        </w:rPr>
        <w:t> </w:t>
      </w:r>
      <w:r>
        <w:rPr/>
        <w:t>收益。</w:t>
      </w:r>
    </w:p>
    <w:p>
      <w:pPr>
        <w:spacing w:before="149"/>
        <w:ind w:left="636" w:right="61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1"/>
          <w:sz w:val="21"/>
          <w:szCs w:val="21"/>
        </w:rPr>
        <w:t> </w:t>
      </w:r>
      <w:r>
        <w:rPr>
          <w:rFonts w:ascii="宋体" w:hAnsi="宋体" w:cs="宋体" w:eastAsia="宋体" w:hint="default"/>
          <w:sz w:val="21"/>
          <w:szCs w:val="21"/>
        </w:rPr>
        <w:t>计算基本每股收益时，归属于普通股股东的当期净利润为：</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422"/>
        <w:gridCol w:w="2453"/>
        <w:gridCol w:w="2339"/>
      </w:tblGrid>
      <w:tr>
        <w:trPr>
          <w:trHeight w:val="347"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67"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11"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7"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42,133,555.90</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41,859,345.94</w:t>
            </w:r>
          </w:p>
        </w:tc>
      </w:tr>
      <w:tr>
        <w:trPr>
          <w:trHeight w:val="347"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42,133,555.90</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41,859,345.94</w:t>
            </w:r>
          </w:p>
        </w:tc>
      </w:tr>
      <w:tr>
        <w:trPr>
          <w:trHeight w:val="347"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8"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53"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39,358,077.44</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38,522,313.15</w:t>
            </w:r>
          </w:p>
        </w:tc>
      </w:tr>
      <w:tr>
        <w:trPr>
          <w:trHeight w:val="347"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39,358,077.44</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38,522,313.15</w:t>
            </w:r>
          </w:p>
        </w:tc>
      </w:tr>
      <w:tr>
        <w:trPr>
          <w:trHeight w:val="347" w:hRule="exact"/>
        </w:trPr>
        <w:tc>
          <w:tcPr>
            <w:tcW w:w="4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8"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53"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8"/>
          <w:szCs w:val="8"/>
        </w:rPr>
      </w:pPr>
    </w:p>
    <w:p>
      <w:pPr>
        <w:spacing w:before="35"/>
        <w:ind w:left="636" w:right="61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1"/>
          <w:sz w:val="21"/>
          <w:szCs w:val="21"/>
        </w:rPr>
        <w:t> </w:t>
      </w:r>
      <w:r>
        <w:rPr>
          <w:rFonts w:ascii="宋体" w:hAnsi="宋体" w:cs="宋体" w:eastAsia="宋体" w:hint="default"/>
          <w:sz w:val="21"/>
          <w:szCs w:val="21"/>
        </w:rPr>
        <w:t>计算基本每股收益时，分母为发行在外普通股加权平均数，计算过程如下：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535"/>
        <w:gridCol w:w="2425"/>
        <w:gridCol w:w="2254"/>
      </w:tblGrid>
      <w:tr>
        <w:trPr>
          <w:trHeight w:val="348"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4"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9"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7"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44,600,000.00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33,400,000.00</w:t>
            </w:r>
          </w:p>
        </w:tc>
      </w:tr>
      <w:tr>
        <w:trPr>
          <w:trHeight w:val="347"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425" w:type="dxa"/>
            <w:tcBorders>
              <w:top w:val="single" w:sz="6" w:space="0" w:color="000000"/>
              <w:left w:val="single" w:sz="6" w:space="0" w:color="000000"/>
              <w:bottom w:val="single" w:sz="6" w:space="0" w:color="000000"/>
              <w:right w:val="single" w:sz="6" w:space="0" w:color="000000"/>
            </w:tcBorders>
          </w:tcPr>
          <w:p>
            <w:pP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9,333,333.33</w:t>
            </w:r>
          </w:p>
        </w:tc>
      </w:tr>
      <w:tr>
        <w:trPr>
          <w:trHeight w:val="347"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加：资本公积转增</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44,600,000.00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33,400,000.00</w:t>
            </w:r>
          </w:p>
        </w:tc>
      </w:tr>
      <w:tr>
        <w:trPr>
          <w:trHeight w:val="347"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425" w:type="dxa"/>
            <w:tcBorders>
              <w:top w:val="single" w:sz="6" w:space="0" w:color="000000"/>
              <w:left w:val="single" w:sz="6" w:space="0" w:color="000000"/>
              <w:bottom w:val="single" w:sz="6" w:space="0" w:color="000000"/>
              <w:right w:val="single" w:sz="6" w:space="0" w:color="000000"/>
            </w:tcBorders>
          </w:tcPr>
          <w:p>
            <w:pPr/>
          </w:p>
        </w:tc>
        <w:tc>
          <w:tcPr>
            <w:tcW w:w="22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89,200,000.00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76,133,333.33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5,122,918.42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4,340,201.56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其他及往来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1,099,950.89</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10,563,070.87</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pStyle w:val="BodyText"/>
        <w:spacing w:line="240" w:lineRule="auto" w:before="145"/>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3,844,874.45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3,134,461.46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2,941,769.66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5,461,808.84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2,128,249.62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1,908,463.73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1,736,103.71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其他间接费用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3,321,659.24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34,751.01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其他及往来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71,196.53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24,583,338.25</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pStyle w:val="BodyText"/>
        <w:spacing w:line="240" w:lineRule="auto" w:before="146"/>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3,230,000.00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11"/>
        <w:rPr>
          <w:rFonts w:ascii="宋体" w:hAnsi="宋体" w:cs="宋体" w:eastAsia="宋体" w:hint="default"/>
          <w:sz w:val="12"/>
          <w:szCs w:val="12"/>
        </w:rPr>
      </w:pPr>
    </w:p>
    <w:p>
      <w:pPr>
        <w:spacing w:before="44"/>
        <w:ind w:left="153" w:right="61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pStyle w:val="BodyText"/>
        <w:spacing w:line="240" w:lineRule="auto" w:before="145"/>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发行股票直接支付的手续费、宣传费、登记费等费用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52,040.06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52,040.06</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pStyle w:val="BodyText"/>
        <w:spacing w:line="240" w:lineRule="auto" w:before="146"/>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42,133,555.90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41,859,345.94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3,606,439.49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3,822,693.13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3,412,543.22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2,872,084.98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591,266.17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239,269.78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3,777.96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3,777.96</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34,320.98</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1,100,008.07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-668,452.93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-750,393.22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4361"/>
        <w:gridCol w:w="2540"/>
        <w:gridCol w:w="2656"/>
      </w:tblGrid>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2,214,457.18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-3,725,060.42</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-57,002,910.67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-32,057,400.05</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21,893,396.49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-12,632,319.48</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16,218,393.79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916,096.27</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277,253,940.96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297,151,329.68</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297,151,329.68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36,636,759.60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-19,897,388.72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260,514,570.08</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）本报告期取得或处置子公司及其他营业单位的相关信息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277,253,940.96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297,151,329.68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58,539.32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46,442.48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277,195,401.64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297,104,887.20</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277,253,940.96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297,151,329.68</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pStyle w:val="BodyText"/>
        <w:spacing w:line="240" w:lineRule="auto" w:before="145"/>
        <w:ind w:left="634" w:right="610"/>
        <w:jc w:val="left"/>
      </w:pPr>
      <w:r>
        <w:rPr/>
        <w:t>无。</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3"/>
          <w:szCs w:val="33"/>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pStyle w:val="BodyText"/>
        <w:spacing w:line="240" w:lineRule="auto" w:before="132"/>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6"/>
        <w:rPr>
          <w:rFonts w:ascii="宋体" w:hAnsi="宋体" w:cs="宋体" w:eastAsia="宋体" w:hint="default"/>
          <w:sz w:val="10"/>
          <w:szCs w:val="10"/>
        </w:rPr>
      </w:pPr>
    </w:p>
    <w:p>
      <w:pPr>
        <w:pStyle w:val="Heading2"/>
        <w:spacing w:line="240" w:lineRule="auto" w:before="26"/>
        <w:ind w:right="610"/>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计算机系统</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郑州正普软 件科技有限 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集成、计算 机及相关软 件的设计、</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02" w:right="0"/>
              <w:jc w:val="lef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02" w:right="0"/>
              <w:jc w:val="lef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79062734-1</w:t>
            </w: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无锡国联卓成创业投资有限公司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7.49%</w:t>
            </w:r>
            <w:r>
              <w:rPr>
                <w:rFonts w:ascii="宋体" w:hAnsi="宋体" w:cs="宋体" w:eastAsia="宋体" w:hint="default"/>
                <w:sz w:val="18"/>
                <w:szCs w:val="18"/>
              </w:rPr>
              <w:t>股份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69931944-4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马冬丽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实际控制人配偶</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525" w:lineRule="auto" w:before="146"/>
        <w:ind w:left="154" w:right="8284" w:firstLine="480"/>
        <w:jc w:val="left"/>
        <w:rPr>
          <w:rFonts w:ascii="宋体" w:hAnsi="宋体" w:cs="宋体" w:eastAsia="宋体" w:hint="default"/>
          <w:sz w:val="24"/>
          <w:szCs w:val="24"/>
        </w:rPr>
      </w:pPr>
      <w:r>
        <w:rPr>
          <w:rFonts w:ascii="宋体" w:hAnsi="宋体" w:cs="宋体" w:eastAsia="宋体" w:hint="default"/>
          <w:sz w:val="24"/>
          <w:szCs w:val="24"/>
        </w:rPr>
        <w:t>无。 </w:t>
      </w:r>
      <w:r>
        <w:rPr>
          <w:rFonts w:ascii="宋体" w:hAnsi="宋体" w:cs="宋体" w:eastAsia="宋体" w:hint="default"/>
          <w:b/>
          <w:bCs/>
          <w:sz w:val="24"/>
          <w:szCs w:val="24"/>
        </w:rPr>
        <w:t>九、或有事项</w:t>
      </w:r>
      <w:r>
        <w:rPr>
          <w:rFonts w:ascii="宋体" w:hAnsi="宋体" w:cs="宋体" w:eastAsia="宋体" w:hint="default"/>
          <w:sz w:val="24"/>
          <w:szCs w:val="24"/>
        </w:rPr>
      </w:r>
    </w:p>
    <w:p>
      <w:pPr>
        <w:spacing w:before="37"/>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日，本公司无需要披露的重大或有事项。</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日，本公司无需要披露的重大或有事项。</w:t>
      </w:r>
    </w:p>
    <w:p>
      <w:pPr>
        <w:spacing w:before="147"/>
        <w:ind w:left="154" w:right="61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13"/>
        <w:rPr>
          <w:rFonts w:ascii="宋体" w:hAnsi="宋体" w:cs="宋体" w:eastAsia="宋体" w:hint="default"/>
          <w:sz w:val="24"/>
          <w:szCs w:val="24"/>
        </w:rPr>
      </w:pPr>
    </w:p>
    <w:p>
      <w:pPr>
        <w:pStyle w:val="Heading2"/>
        <w:spacing w:line="240" w:lineRule="auto"/>
        <w:ind w:right="610"/>
        <w:jc w:val="left"/>
        <w:rPr>
          <w:b w:val="0"/>
          <w:bCs w:val="0"/>
        </w:rPr>
      </w:pPr>
      <w:r>
        <w:rPr/>
        <w:t>十、承诺事项</w:t>
      </w:r>
      <w:r>
        <w:rPr>
          <w:b w:val="0"/>
          <w:bCs w:val="0"/>
        </w:rPr>
      </w:r>
    </w:p>
    <w:p>
      <w:pPr>
        <w:spacing w:line="240" w:lineRule="auto" w:before="9"/>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日，本公司无需要披露的重大承诺事项。</w:t>
      </w:r>
    </w:p>
    <w:p>
      <w:pPr>
        <w:spacing w:after="0" w:line="240" w:lineRule="auto"/>
        <w:jc w:val="left"/>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spacing w:line="525" w:lineRule="auto" w:before="0"/>
        <w:ind w:left="153" w:right="6840" w:firstLine="480"/>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十一、资产负债表日后事项</w:t>
      </w:r>
      <w:r>
        <w:rPr>
          <w:rFonts w:ascii="宋体" w:hAnsi="宋体" w:cs="宋体" w:eastAsia="宋体" w:hint="default"/>
          <w:sz w:val="24"/>
          <w:szCs w:val="24"/>
        </w:rPr>
      </w:r>
    </w:p>
    <w:p>
      <w:pPr>
        <w:spacing w:before="37"/>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45" w:lineRule="auto"/>
        <w:ind w:right="111" w:firstLine="48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日，本公司与凯里市人民政府、四川泽祥电子技术有限公司签署了《凯里市</w:t>
      </w:r>
      <w:r>
        <w:rPr/>
        <w:t> 智慧城市一卡通特许经营合同书》，凯里市人民政府确定本公司及四川泽祥电子技术有限公 司为凯里市智慧城市一卡通特许经营人，由本公司及四川泽祥电子技术有限公司按照法律、 </w:t>
      </w:r>
      <w:r>
        <w:rPr>
          <w:spacing w:val="-4"/>
        </w:rPr>
        <w:t>法规和该合同规定设计、投资、建设、运营管理此项目。该合同所涉项目将在两年内完成</w:t>
      </w:r>
      <w:r>
        <w:rPr>
          <w:rFonts w:ascii="Times New Roman" w:hAnsi="Times New Roman" w:cs="Times New Roman" w:eastAsia="Times New Roman" w:hint="default"/>
          <w:spacing w:val="-4"/>
        </w:rPr>
        <w:t>1.20</w:t>
      </w:r>
      <w:r>
        <w:rPr>
          <w:rFonts w:ascii="Times New Roman" w:hAnsi="Times New Roman" w:cs="Times New Roman" w:eastAsia="Times New Roman" w:hint="default"/>
          <w:spacing w:val="-32"/>
        </w:rPr>
        <w:t> </w:t>
      </w:r>
      <w:r>
        <w:rPr/>
        <w:t>亿元投资，双方应于合同签订后</w:t>
      </w:r>
      <w:r>
        <w:rPr>
          <w:rFonts w:ascii="Times New Roman" w:hAnsi="Times New Roman" w:cs="Times New Roman" w:eastAsia="Times New Roman" w:hint="default"/>
        </w:rPr>
        <w:t>30</w:t>
      </w:r>
      <w:r>
        <w:rPr/>
        <w:t>日内共同出资在凯里市注册成立具有企业法人资格的项目 公司作为凯里市智慧城市一卡通项目运营人，注册资本不低于</w:t>
      </w:r>
      <w:r>
        <w:rPr>
          <w:rFonts w:ascii="Times New Roman" w:hAnsi="Times New Roman" w:cs="Times New Roman" w:eastAsia="Times New Roman" w:hint="default"/>
        </w:rPr>
        <w:t>1,000</w:t>
      </w:r>
      <w:r>
        <w:rPr/>
        <w:t>万元。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Heading2"/>
        <w:spacing w:line="240" w:lineRule="auto"/>
        <w:ind w:right="610"/>
        <w:jc w:val="left"/>
        <w:rPr>
          <w:b w:val="0"/>
          <w:bCs w:val="0"/>
        </w:rPr>
      </w:pPr>
      <w:r>
        <w:rPr/>
        <w:t>十二、其他重要事项</w:t>
      </w:r>
      <w:r>
        <w:rPr>
          <w:b w:val="0"/>
          <w:bCs w:val="0"/>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634" w:right="61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日，本公司无需要披露的其他重要事项说明。</w:t>
      </w:r>
    </w:p>
    <w:p>
      <w:pPr>
        <w:spacing w:line="240" w:lineRule="auto" w:before="4"/>
        <w:rPr>
          <w:rFonts w:ascii="宋体" w:hAnsi="宋体" w:cs="宋体" w:eastAsia="宋体" w:hint="default"/>
          <w:sz w:val="23"/>
          <w:szCs w:val="23"/>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日，本公司无需要披露的其他重要事项说明。</w:t>
      </w:r>
    </w:p>
    <w:p>
      <w:pPr>
        <w:spacing w:line="240" w:lineRule="auto" w:before="4"/>
        <w:rPr>
          <w:rFonts w:ascii="宋体" w:hAnsi="宋体" w:cs="宋体" w:eastAsia="宋体" w:hint="default"/>
          <w:sz w:val="23"/>
          <w:szCs w:val="23"/>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日，本公司无需要披露的其他重要事项说明。</w:t>
      </w:r>
    </w:p>
    <w:p>
      <w:pPr>
        <w:spacing w:after="0" w:line="240" w:lineRule="auto"/>
        <w:jc w:val="left"/>
        <w:sectPr>
          <w:pgSz w:w="11910" w:h="16840"/>
          <w:pgMar w:header="851" w:footer="982" w:top="1220" w:bottom="1180" w:left="980" w:right="1020"/>
        </w:sectPr>
      </w:pPr>
    </w:p>
    <w:p>
      <w:pPr>
        <w:spacing w:line="240" w:lineRule="auto" w:before="8"/>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日，本公司无需要披露的其他重要事项说明。</w:t>
      </w:r>
    </w:p>
    <w:p>
      <w:pPr>
        <w:spacing w:line="240" w:lineRule="auto" w:before="4"/>
        <w:rPr>
          <w:rFonts w:ascii="宋体" w:hAnsi="宋体" w:cs="宋体" w:eastAsia="宋体" w:hint="default"/>
          <w:sz w:val="23"/>
          <w:szCs w:val="23"/>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61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日，本公司无需要披露的其他重要事项说明。</w:t>
      </w:r>
    </w:p>
    <w:p>
      <w:pPr>
        <w:spacing w:line="240" w:lineRule="auto" w:before="4"/>
        <w:rPr>
          <w:rFonts w:ascii="宋体" w:hAnsi="宋体" w:cs="宋体" w:eastAsia="宋体" w:hint="default"/>
          <w:sz w:val="23"/>
          <w:szCs w:val="23"/>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5"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5"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、外币金融资产和外币金融负债</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51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、年金计划主要内容及重大变化</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514" w:right="610"/>
        <w:jc w:val="left"/>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日，本公司无需要披露的其他重要事项说明。</w:t>
      </w:r>
    </w:p>
    <w:p>
      <w:pPr>
        <w:spacing w:line="240" w:lineRule="auto" w:before="0"/>
        <w:rPr>
          <w:rFonts w:ascii="宋体" w:hAnsi="宋体" w:cs="宋体" w:eastAsia="宋体" w:hint="default"/>
          <w:sz w:val="29"/>
          <w:szCs w:val="29"/>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spacing w:line="496" w:lineRule="auto" w:before="0"/>
        <w:ind w:left="153" w:right="2291" w:firstLine="360"/>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日，本公司无需要披露的其他重要事项说明。 </w:t>
      </w:r>
      <w:r>
        <w:rPr>
          <w:rFonts w:ascii="宋体" w:hAnsi="宋体" w:cs="宋体" w:eastAsia="宋体" w:hint="default"/>
          <w:b/>
          <w:bCs/>
          <w:sz w:val="24"/>
          <w:szCs w:val="24"/>
        </w:rPr>
        <w:t>十三、母公司财务报表主要项目注释</w:t>
      </w:r>
      <w:r>
        <w:rPr>
          <w:rFonts w:ascii="宋体" w:hAnsi="宋体" w:cs="宋体" w:eastAsia="宋体" w:hint="default"/>
          <w:sz w:val="24"/>
          <w:szCs w:val="24"/>
        </w:rPr>
      </w:r>
    </w:p>
    <w:p>
      <w:pPr>
        <w:spacing w:before="66"/>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其中：账龄分析法组合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142,501,161.58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12,892,643.70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102,700,135.88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9,254,067.16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142,501,161.58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12,892,643.70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102,700,135.88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9,254,067.16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142,501,161.58</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12,892,643.70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102,700,135.88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9,254,067.16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357" w:lineRule="auto" w:before="51"/>
        <w:ind w:left="153" w:right="2321" w:firstLine="0"/>
        <w:jc w:val="left"/>
        <w:rPr>
          <w:rFonts w:ascii="宋体" w:hAnsi="宋体" w:cs="宋体" w:eastAsia="宋体" w:hint="default"/>
          <w:sz w:val="18"/>
          <w:szCs w:val="18"/>
        </w:rPr>
      </w:pPr>
      <w:r>
        <w:rPr>
          <w:rFonts w:ascii="宋体" w:hAnsi="宋体" w:cs="宋体" w:eastAsia="宋体" w:hint="default"/>
          <w:sz w:val="18"/>
          <w:szCs w:val="18"/>
        </w:rPr>
        <w:t>应收账款种类的说明 无。</w:t>
      </w:r>
    </w:p>
    <w:p>
      <w:pPr>
        <w:spacing w:before="29"/>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before="42"/>
        <w:ind w:left="154" w:right="23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220" w:bottom="1180" w:left="980" w:right="1020"/>
          <w:cols w:num="2" w:equalWidth="0">
            <w:col w:w="4115" w:space="4714"/>
            <w:col w:w="108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54"/>
        <w:gridCol w:w="2000"/>
        <w:gridCol w:w="653"/>
        <w:gridCol w:w="1473"/>
        <w:gridCol w:w="2126"/>
        <w:gridCol w:w="652"/>
        <w:gridCol w:w="1588"/>
      </w:tblGrid>
      <w:tr>
        <w:trPr>
          <w:trHeight w:val="402" w:hRule="exact"/>
        </w:trPr>
        <w:tc>
          <w:tcPr>
            <w:tcW w:w="1054" w:type="dxa"/>
            <w:vMerge w:val="restart"/>
            <w:tcBorders>
              <w:top w:val="single" w:sz="4" w:space="0" w:color="000000"/>
              <w:left w:val="single" w:sz="4" w:space="0" w:color="000000"/>
              <w:right w:val="single" w:sz="4" w:space="0" w:color="000000"/>
            </w:tcBorders>
            <w:shd w:val="clear" w:color="auto" w:fill="D3D3D3"/>
          </w:tcPr>
          <w:p>
            <w:pP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54" w:type="dxa"/>
            <w:vMerge/>
            <w:tcBorders>
              <w:left w:val="single" w:sz="4" w:space="0" w:color="000000"/>
              <w:bottom w:val="nil" w:sz="6" w:space="0" w:color="auto"/>
              <w:right w:val="single" w:sz="4" w:space="0" w:color="000000"/>
            </w:tcBorders>
            <w:shd w:val="clear" w:color="auto" w:fill="D3D3D3"/>
          </w:tcPr>
          <w:p>
            <w:pPr/>
          </w:p>
        </w:tc>
        <w:tc>
          <w:tcPr>
            <w:tcW w:w="265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3" w:type="dxa"/>
            <w:vMerge w:val="restart"/>
            <w:tcBorders>
              <w:top w:val="single" w:sz="4" w:space="0" w:color="000000"/>
              <w:left w:val="single" w:sz="4" w:space="0" w:color="000000"/>
              <w:right w:val="single" w:sz="4" w:space="0" w:color="000000"/>
            </w:tcBorders>
            <w:shd w:val="clear" w:color="auto" w:fill="D3D3D3"/>
          </w:tcPr>
          <w:p>
            <w:pPr/>
          </w:p>
        </w:tc>
        <w:tc>
          <w:tcPr>
            <w:tcW w:w="277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0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3" w:type="dxa"/>
            <w:gridSpan w:val="2"/>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4" w:space="0" w:color="000000"/>
              <w:bottom w:val="nil" w:sz="6" w:space="0" w:color="auto"/>
              <w:right w:val="single" w:sz="4" w:space="0" w:color="000000"/>
            </w:tcBorders>
            <w:shd w:val="clear" w:color="auto" w:fill="D3D3D3"/>
          </w:tcPr>
          <w:p>
            <w:pPr/>
          </w:p>
        </w:tc>
        <w:tc>
          <w:tcPr>
            <w:tcW w:w="2778" w:type="dxa"/>
            <w:gridSpan w:val="2"/>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54" w:type="dxa"/>
            <w:vMerge/>
            <w:tcBorders>
              <w:left w:val="single" w:sz="4" w:space="0" w:color="000000"/>
              <w:bottom w:val="nil" w:sz="6" w:space="0" w:color="auto"/>
              <w:right w:val="single" w:sz="4" w:space="0" w:color="000000"/>
            </w:tcBorders>
            <w:shd w:val="clear" w:color="auto" w:fill="D3D3D3"/>
          </w:tcPr>
          <w:p>
            <w:pPr/>
          </w:p>
        </w:tc>
        <w:tc>
          <w:tcPr>
            <w:tcW w:w="20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6" w:right="0"/>
              <w:jc w:val="left"/>
              <w:rPr>
                <w:rFonts w:ascii="Times New Roman" w:hAnsi="Times New Roman" w:cs="Times New Roman" w:eastAsia="Times New Roman" w:hint="default"/>
                <w:sz w:val="18"/>
                <w:szCs w:val="18"/>
              </w:rPr>
            </w:pPr>
            <w:r>
              <w:rPr>
                <w:rFonts w:ascii="Times New Roman"/>
                <w:sz w:val="18"/>
              </w:rPr>
              <w:t>(%)</w:t>
            </w:r>
          </w:p>
        </w:tc>
        <w:tc>
          <w:tcPr>
            <w:tcW w:w="14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6" w:right="0"/>
              <w:jc w:val="left"/>
              <w:rPr>
                <w:rFonts w:ascii="Times New Roman" w:hAnsi="Times New Roman" w:cs="Times New Roman" w:eastAsia="Times New Roman" w:hint="default"/>
                <w:sz w:val="18"/>
                <w:szCs w:val="18"/>
              </w:rPr>
            </w:pPr>
            <w:r>
              <w:rPr>
                <w:rFonts w:ascii="Times New Roman"/>
                <w:sz w:val="18"/>
              </w:rPr>
              <w:t>(%)</w:t>
            </w:r>
          </w:p>
        </w:tc>
        <w:tc>
          <w:tcPr>
            <w:tcW w:w="15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54" w:type="dxa"/>
            <w:vMerge w:val="restart"/>
            <w:tcBorders>
              <w:top w:val="nil" w:sz="6" w:space="0" w:color="auto"/>
              <w:left w:val="single" w:sz="4" w:space="0" w:color="000000"/>
              <w:right w:val="single" w:sz="4" w:space="0" w:color="000000"/>
            </w:tcBorders>
            <w:shd w:val="clear" w:color="auto" w:fill="D3D3D3"/>
          </w:tcPr>
          <w:p>
            <w:pPr/>
          </w:p>
        </w:tc>
        <w:tc>
          <w:tcPr>
            <w:tcW w:w="20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473" w:type="dxa"/>
            <w:vMerge/>
            <w:tcBorders>
              <w:left w:val="single" w:sz="4" w:space="0" w:color="000000"/>
              <w:bottom w:val="nil" w:sz="6" w:space="0" w:color="auto"/>
              <w:right w:val="single" w:sz="4" w:space="0" w:color="000000"/>
            </w:tcBorders>
            <w:shd w:val="clear" w:color="auto" w:fill="D3D3D3"/>
          </w:tcPr>
          <w:p>
            <w:pPr/>
          </w:p>
        </w:tc>
        <w:tc>
          <w:tcPr>
            <w:tcW w:w="21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054" w:type="dxa"/>
            <w:vMerge/>
            <w:tcBorders>
              <w:left w:val="single" w:sz="4" w:space="0" w:color="000000"/>
              <w:right w:val="single" w:sz="4" w:space="0" w:color="000000"/>
            </w:tcBorders>
            <w:shd w:val="clear" w:color="auto" w:fill="D3D3D3"/>
          </w:tcPr>
          <w:p>
            <w:pPr/>
          </w:p>
        </w:tc>
        <w:tc>
          <w:tcPr>
            <w:tcW w:w="2000"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473" w:type="dxa"/>
            <w:vMerge w:val="restart"/>
            <w:tcBorders>
              <w:top w:val="nil" w:sz="6" w:space="0" w:color="auto"/>
              <w:left w:val="single" w:sz="4" w:space="0" w:color="000000"/>
              <w:right w:val="single" w:sz="4" w:space="0" w:color="000000"/>
            </w:tcBorders>
            <w:shd w:val="clear" w:color="auto" w:fill="D3D3D3"/>
          </w:tcPr>
          <w:p>
            <w:pPr/>
          </w:p>
        </w:tc>
        <w:tc>
          <w:tcPr>
            <w:tcW w:w="2126" w:type="dxa"/>
            <w:vMerge/>
            <w:tcBorders>
              <w:left w:val="single" w:sz="4" w:space="0" w:color="000000"/>
              <w:bottom w:val="nil" w:sz="6" w:space="0" w:color="auto"/>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158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054" w:type="dxa"/>
            <w:vMerge/>
            <w:tcBorders>
              <w:left w:val="single" w:sz="4" w:space="0" w:color="000000"/>
              <w:bottom w:val="single" w:sz="4" w:space="0" w:color="000000"/>
              <w:right w:val="single" w:sz="4" w:space="0" w:color="000000"/>
            </w:tcBorders>
            <w:shd w:val="clear" w:color="auto" w:fill="D3D3D3"/>
          </w:tcPr>
          <w:p>
            <w:pPr/>
          </w:p>
        </w:tc>
        <w:tc>
          <w:tcPr>
            <w:tcW w:w="20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108,685,278.63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76.27%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5,434,263.93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76,830,260.21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74.81%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3,841,513.01</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22,905,373.78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16.07%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2,290,537.38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18,669,195.76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1,866,919.58</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6,029,238.65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1,808,771.60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3,692,156.93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1,107,647.08</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3,044,399.44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1,522,199.72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2,141,070.98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1,070,535.49</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1,043,314.08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0.73%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1,043,314.08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1,131,682.00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1,131,682.00</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793,557.00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0.56%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793,557.00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235,770.00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235,770.00</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142,501,161.58</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12,892,643.70</w:t>
            </w:r>
          </w:p>
        </w:tc>
        <w:tc>
          <w:tcPr>
            <w:tcW w:w="212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102,700,135.88</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9,254,067.16</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3"/>
        <w:ind w:left="154" w:right="5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15" w:right="8769"/>
        <w:jc w:val="center"/>
      </w:pPr>
      <w:r>
        <w:rPr/>
        <w:t>无。</w:t>
      </w:r>
    </w:p>
    <w:p>
      <w:pPr>
        <w:spacing w:after="0" w:line="240" w:lineRule="auto"/>
        <w:jc w:val="center"/>
        <w:sectPr>
          <w:type w:val="continuous"/>
          <w:pgSz w:w="11910" w:h="16840"/>
          <w:pgMar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）金额较大的其他的应收账款的性质或内容</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福建开普科技有限公司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4,796,921.85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中国联合网络通信有限 公司广西壮族自治区分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4,784,450.00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中国移动通信集团内蒙 古有限公司呼和浩特分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3,046,043.00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湖北公众信息产业有限 责任公司武汉电信系统 集成分公司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2,693,947.00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安徽新开普智能技术有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2,643,916.65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17,965,278.50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10"/>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）以应收款项为标的资产进行资产证券化的，需简要说明相关交易安排</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其中：账龄分析法组合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5,669,505.03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62.04</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742,455.63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4,803,674.53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left"/>
              <w:rPr>
                <w:rFonts w:ascii="Times New Roman" w:hAnsi="Times New Roman" w:cs="Times New Roman" w:eastAsia="Times New Roman" w:hint="default"/>
                <w:sz w:val="18"/>
                <w:szCs w:val="18"/>
              </w:rPr>
            </w:pPr>
            <w:r>
              <w:rPr>
                <w:rFonts w:ascii="Times New Roman"/>
                <w:sz w:val="18"/>
              </w:rPr>
              <w:t>70.51</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584,092.68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12.16</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5"/>
              <w:jc w:val="left"/>
              <w:rPr>
                <w:rFonts w:ascii="宋体" w:hAnsi="宋体" w:cs="宋体" w:eastAsia="宋体" w:hint="default"/>
                <w:sz w:val="18"/>
                <w:szCs w:val="18"/>
              </w:rPr>
            </w:pPr>
            <w:r>
              <w:rPr>
                <w:rFonts w:ascii="宋体" w:hAnsi="宋体" w:cs="宋体" w:eastAsia="宋体" w:hint="default"/>
                <w:sz w:val="18"/>
                <w:szCs w:val="18"/>
              </w:rPr>
              <w:t>合并范围内关联方及保证 金组合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3,469,146.66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37.96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2,009,454.42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left"/>
              <w:rPr>
                <w:rFonts w:ascii="Times New Roman" w:hAnsi="Times New Roman" w:cs="Times New Roman" w:eastAsia="Times New Roman" w:hint="default"/>
                <w:sz w:val="18"/>
                <w:szCs w:val="18"/>
              </w:rPr>
            </w:pPr>
            <w:r>
              <w:rPr>
                <w:rFonts w:ascii="Times New Roman"/>
                <w:sz w:val="18"/>
              </w:rPr>
              <w:t>29.49</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9,138,651.69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742,455.63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8.12%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6,813,128.95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584,092.68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8.57%</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9,138,651.69</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742,455.63</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6,813,128.95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33" w:right="0"/>
              <w:jc w:val="left"/>
              <w:rPr>
                <w:rFonts w:ascii="Times New Roman" w:hAnsi="Times New Roman" w:cs="Times New Roman" w:eastAsia="Times New Roman" w:hint="default"/>
                <w:sz w:val="18"/>
                <w:szCs w:val="18"/>
              </w:rPr>
            </w:pPr>
            <w:r>
              <w:rPr>
                <w:rFonts w:ascii="Times New Roman"/>
                <w:sz w:val="18"/>
              </w:rPr>
              <w:t>584,092.68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357" w:lineRule="auto" w:before="51"/>
        <w:ind w:left="153" w:right="2321"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无</w:t>
      </w:r>
    </w:p>
    <w:p>
      <w:pPr>
        <w:spacing w:before="29"/>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220" w:bottom="1180" w:left="980" w:right="1020"/>
          <w:cols w:num="2" w:equalWidth="0">
            <w:col w:w="4295" w:space="4534"/>
            <w:col w:w="108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55"/>
        <w:gridCol w:w="1798"/>
        <w:gridCol w:w="653"/>
        <w:gridCol w:w="1605"/>
        <w:gridCol w:w="1861"/>
        <w:gridCol w:w="653"/>
        <w:gridCol w:w="1720"/>
      </w:tblGrid>
      <w:tr>
        <w:trPr>
          <w:trHeight w:val="402" w:hRule="exact"/>
        </w:trPr>
        <w:tc>
          <w:tcPr>
            <w:tcW w:w="1255" w:type="dxa"/>
            <w:vMerge w:val="restart"/>
            <w:tcBorders>
              <w:top w:val="single" w:sz="4" w:space="0" w:color="000000"/>
              <w:left w:val="single" w:sz="4" w:space="0" w:color="000000"/>
              <w:right w:val="single" w:sz="4" w:space="0" w:color="000000"/>
            </w:tcBorders>
            <w:shd w:val="clear" w:color="auto" w:fill="D3D3D3"/>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55" w:type="dxa"/>
            <w:vMerge/>
            <w:tcBorders>
              <w:left w:val="single" w:sz="4" w:space="0" w:color="000000"/>
              <w:bottom w:val="nil" w:sz="6" w:space="0" w:color="auto"/>
              <w:right w:val="single" w:sz="4" w:space="0" w:color="000000"/>
            </w:tcBorders>
            <w:shd w:val="clear" w:color="auto" w:fill="D3D3D3"/>
          </w:tcPr>
          <w:p>
            <w:pPr/>
          </w:p>
        </w:tc>
        <w:tc>
          <w:tcPr>
            <w:tcW w:w="24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5" w:type="dxa"/>
            <w:vMerge w:val="restart"/>
            <w:tcBorders>
              <w:top w:val="single" w:sz="4" w:space="0" w:color="000000"/>
              <w:left w:val="single" w:sz="4" w:space="0" w:color="000000"/>
              <w:right w:val="single" w:sz="4" w:space="0" w:color="000000"/>
            </w:tcBorders>
            <w:shd w:val="clear" w:color="auto" w:fill="D3D3D3"/>
          </w:tcPr>
          <w:p>
            <w:pPr/>
          </w:p>
        </w:tc>
        <w:tc>
          <w:tcPr>
            <w:tcW w:w="25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0" w:type="dxa"/>
            <w:vMerge w:val="restart"/>
            <w:tcBorders>
              <w:top w:val="single" w:sz="4" w:space="0" w:color="000000"/>
              <w:left w:val="single" w:sz="4" w:space="0" w:color="000000"/>
              <w:right w:val="single" w:sz="4" w:space="0" w:color="000000"/>
            </w:tcBorders>
            <w:shd w:val="clear" w:color="auto" w:fill="D3D3D3"/>
          </w:tcPr>
          <w:p>
            <w:pPr/>
          </w:p>
        </w:tc>
      </w:tr>
      <w:tr>
        <w:trPr>
          <w:trHeight w:val="223" w:hRule="exact"/>
        </w:trPr>
        <w:tc>
          <w:tcPr>
            <w:tcW w:w="12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2" w:type="dxa"/>
            <w:gridSpan w:val="2"/>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2514" w:type="dxa"/>
            <w:gridSpan w:val="2"/>
            <w:vMerge/>
            <w:tcBorders>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nil" w:sz="6" w:space="0" w:color="auto"/>
              <w:right w:val="single" w:sz="4" w:space="0" w:color="000000"/>
            </w:tcBorders>
            <w:shd w:val="clear" w:color="auto" w:fill="D3D3D3"/>
          </w:tcPr>
          <w:p>
            <w:pPr/>
          </w:p>
        </w:tc>
      </w:tr>
      <w:tr>
        <w:trPr>
          <w:trHeight w:val="176" w:hRule="exact"/>
        </w:trPr>
        <w:tc>
          <w:tcPr>
            <w:tcW w:w="1255" w:type="dxa"/>
            <w:vMerge/>
            <w:tcBorders>
              <w:left w:val="single" w:sz="4" w:space="0" w:color="000000"/>
              <w:bottom w:val="single" w:sz="4" w:space="0" w:color="FFFFFF"/>
              <w:right w:val="single" w:sz="4" w:space="0" w:color="000000"/>
            </w:tcBorders>
            <w:shd w:val="clear" w:color="auto" w:fill="D3D3D3"/>
          </w:tcPr>
          <w:p>
            <w:pPr/>
          </w:p>
        </w:tc>
        <w:tc>
          <w:tcPr>
            <w:tcW w:w="1798"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1"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5" w:type="dxa"/>
            <w:vMerge w:val="restart"/>
            <w:tcBorders>
              <w:top w:val="single" w:sz="4" w:space="0" w:color="FFFFFF"/>
              <w:left w:val="single" w:sz="4" w:space="0" w:color="000000"/>
              <w:right w:val="single" w:sz="4" w:space="0" w:color="000000"/>
            </w:tcBorders>
            <w:shd w:val="clear" w:color="auto" w:fill="D3D3D3"/>
          </w:tcPr>
          <w:p>
            <w:pPr/>
          </w:p>
        </w:tc>
        <w:tc>
          <w:tcPr>
            <w:tcW w:w="1798"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8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720"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255" w:type="dxa"/>
            <w:vMerge/>
            <w:tcBorders>
              <w:left w:val="single" w:sz="4" w:space="0" w:color="000000"/>
              <w:right w:val="single" w:sz="4" w:space="0" w:color="000000"/>
            </w:tcBorders>
            <w:shd w:val="clear" w:color="auto" w:fill="D3D3D3"/>
          </w:tcPr>
          <w:p>
            <w:pPr/>
          </w:p>
        </w:tc>
        <w:tc>
          <w:tcPr>
            <w:tcW w:w="1798"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605" w:type="dxa"/>
            <w:vMerge w:val="restart"/>
            <w:tcBorders>
              <w:top w:val="nil" w:sz="6" w:space="0" w:color="auto"/>
              <w:left w:val="single" w:sz="4" w:space="0" w:color="000000"/>
              <w:right w:val="single" w:sz="4" w:space="0" w:color="000000"/>
            </w:tcBorders>
            <w:shd w:val="clear" w:color="auto" w:fill="D3D3D3"/>
          </w:tcPr>
          <w:p>
            <w:pPr/>
          </w:p>
        </w:tc>
        <w:tc>
          <w:tcPr>
            <w:tcW w:w="1861"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72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55" w:type="dxa"/>
            <w:vMerge/>
            <w:tcBorders>
              <w:left w:val="single" w:sz="4" w:space="0" w:color="000000"/>
              <w:bottom w:val="single" w:sz="4" w:space="0" w:color="000000"/>
              <w:right w:val="single" w:sz="4" w:space="0" w:color="000000"/>
            </w:tcBorders>
            <w:shd w:val="clear" w:color="auto" w:fill="D3D3D3"/>
          </w:tcPr>
          <w:p>
            <w:pPr/>
          </w:p>
        </w:tc>
        <w:tc>
          <w:tcPr>
            <w:tcW w:w="1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5,781,926.43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63.27%</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195,132.36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4,827,233.43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70.85%</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200,299.42</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1,618,504.80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17.71%</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110,369.47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624,253.74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9.16%</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19,931.32</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526,890.21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5.77%</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37,484.91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860,719.59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12.64%</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29,235.24</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950,606.06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10.4%</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138,744.70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332,590.99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4.88%</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166,295.50</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260,724.19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2.85%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260,724.19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168,331.20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2.47%</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168,331.20</w:t>
            </w:r>
          </w:p>
        </w:tc>
      </w:tr>
      <w:tr>
        <w:trPr>
          <w:trHeight w:val="403"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9,138,651.69</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742,455.63</w:t>
            </w:r>
          </w:p>
        </w:tc>
        <w:tc>
          <w:tcPr>
            <w:tcW w:w="1861"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6,813,128.95</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584,092.68</w:t>
            </w:r>
          </w:p>
        </w:tc>
      </w:tr>
    </w:tbl>
    <w:p>
      <w:pPr>
        <w:spacing w:before="51"/>
        <w:ind w:left="154" w:right="61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before="116"/>
        <w:ind w:left="153"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220" w:bottom="1180" w:left="980" w:right="1020"/>
        </w:sectPr>
      </w:pPr>
    </w:p>
    <w:p>
      <w:pPr>
        <w:spacing w:line="240" w:lineRule="auto" w:before="11"/>
        <w:rPr>
          <w:rFonts w:ascii="宋体" w:hAnsi="宋体" w:cs="宋体" w:eastAsia="宋体" w:hint="default"/>
          <w:sz w:val="12"/>
          <w:szCs w:val="12"/>
        </w:rPr>
      </w:pPr>
    </w:p>
    <w:p>
      <w:pPr>
        <w:spacing w:before="44"/>
        <w:ind w:left="153" w:right="61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line="340" w:lineRule="auto" w:before="116"/>
        <w:ind w:left="154" w:right="52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0"/>
        <w:ind w:left="154" w:right="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郑州高新技术产业开发 区会计服务中心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云南中医学院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359,857.80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内蒙古业务部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驻外机构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328,047.02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上海业务部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驻外机构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258,048.09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郑州客服部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驻外机构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177,081.62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1,590,534.53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after="0" w:line="240" w:lineRule="auto"/>
        <w:jc w:val="left"/>
        <w:sectPr>
          <w:pgSz w:w="11910" w:h="16840"/>
          <w:pgMar w:header="851" w:footer="982" w:top="1220" w:bottom="1180" w:left="980" w:right="1020"/>
        </w:sectPr>
      </w:pPr>
    </w:p>
    <w:p>
      <w:pPr>
        <w:spacing w:line="240" w:lineRule="auto" w:before="6"/>
        <w:rPr>
          <w:rFonts w:ascii="宋体" w:hAnsi="宋体" w:cs="宋体" w:eastAsia="宋体" w:hint="default"/>
          <w:sz w:val="11"/>
          <w:szCs w:val="11"/>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61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10"/>
        <w:rPr>
          <w:rFonts w:ascii="宋体" w:hAnsi="宋体" w:cs="宋体" w:eastAsia="宋体" w:hint="default"/>
          <w:sz w:val="26"/>
          <w:szCs w:val="26"/>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）以其他应收款项为标的资产进行资产证券化的，需简要说明相关交易安排</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pStyle w:val="BodyText"/>
        <w:spacing w:line="240" w:lineRule="auto"/>
        <w:ind w:left="615" w:right="8769"/>
        <w:jc w:val="center"/>
      </w:pPr>
      <w:r>
        <w:rPr/>
        <w:t>无。</w:t>
      </w:r>
    </w:p>
    <w:p>
      <w:pPr>
        <w:spacing w:line="240" w:lineRule="auto" w:before="5"/>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郑州正普 软件科技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184,266,436.98</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184,266,436.98</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99,979,125.73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89,058,804.33</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107,003,805.07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47,522,461.29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96,802,864.71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44,897,642.66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30,346,071.75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12,956,271.02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24,826,059.24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10,792,427.27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8,555,007.37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3,084,723.52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3,527,405.97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1,278,121.68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63,531,896.88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36,415,669.90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59,110,107.06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32,090,612.72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99,979,125.73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184,266,436.98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89,058,804.33</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17,982,970.45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6,150,803.99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22,046,372.34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8,356,277.07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48,752,530.68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18,916,083.78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40,234,697.78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18,256,157.65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38,897,274.71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21,887,458.36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42,799,420.34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24,907,119.09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103,804,005.23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53,024,779.60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79,185,946.52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37,539,250.52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99,979,125.73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184,266,436.98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89,058,804.33</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78,163,703.91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39,146,707.09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61,776,736.53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29,653,534.03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42,903,838.01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21,081,415.84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40,301,699.74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20,561,270.22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26,146,588.28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11,979,753.85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29,999,589.61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13,187,114.87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27,157,337.19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10,185,653.49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20,064,550.08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8,976,297.15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15,245,844.54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9,253,771.06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17,788,384.65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10,123,515.42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15,102,239.24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6,282,178.39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9,038,097.28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3,976,197.35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4,717,229.90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2,049,646.01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5,297,379.09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2,580,875.29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209,436,781.07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99,979,125.73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184,266,436.98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89,058,804.33</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河南省委党校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5,201,477.78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福建开普科技有限公司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5,114,068.46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中国农业银行股份有限公司洛阳分行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5,059,829.06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湖北公众信息产业有限责任公司武汉电信系统集成分公司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4,226,444.44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中国移动通信集团内蒙古有限公司呼和浩特分公司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3,719,222.22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23,321,041.96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34" w:right="610"/>
        <w:jc w:val="left"/>
      </w:pPr>
      <w:r>
        <w:rPr/>
        <w:t>无。</w:t>
      </w:r>
    </w:p>
    <w:p>
      <w:pPr>
        <w:spacing w:line="240" w:lineRule="auto" w:before="6"/>
        <w:rPr>
          <w:rFonts w:ascii="宋体" w:hAnsi="宋体" w:cs="宋体" w:eastAsia="宋体" w:hint="default"/>
          <w:sz w:val="30"/>
          <w:szCs w:val="30"/>
        </w:rPr>
      </w:pPr>
    </w:p>
    <w:p>
      <w:pPr>
        <w:spacing w:before="0"/>
        <w:ind w:left="154" w:right="6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杭州集网科技有限公司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1" w:right="0"/>
              <w:jc w:val="left"/>
              <w:rPr>
                <w:rFonts w:ascii="Times New Roman" w:hAnsi="Times New Roman" w:cs="Times New Roman" w:eastAsia="Times New Roman" w:hint="default"/>
                <w:sz w:val="18"/>
                <w:szCs w:val="18"/>
              </w:rPr>
            </w:pPr>
            <w:r>
              <w:rPr>
                <w:rFonts w:ascii="Times New Roman"/>
                <w:sz w:val="18"/>
              </w:rPr>
              <w:t>-50,000.00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被投资单位已注销</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40,375,395.06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42,305,225.89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3,796,939.49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3,711,193.13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3,412,091.06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2,871,632.82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590,982.97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239,269.78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3,777.96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3,777.96</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1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34,320.98</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1,100,008.07</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20" w:bottom="1180" w:left="980" w:right="1020"/>
        </w:sectPr>
      </w:pPr>
    </w:p>
    <w:p>
      <w:pPr>
        <w:spacing w:line="240" w:lineRule="auto" w:before="4"/>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-741,077.93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-722,518.22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2,214,457.18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-3,725,060.42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-51,088,091.06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-32,246,621.79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18,737,753.72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-12,619,086.47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17,336,549.43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967,878.05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4"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4"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276,962,283.80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295,741,516.88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295,741,516.88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35,175,165.02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-18,779,233.08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260,566,351.86</w:t>
            </w:r>
          </w:p>
        </w:tc>
      </w:tr>
    </w:tbl>
    <w:p>
      <w:pPr>
        <w:spacing w:line="240" w:lineRule="auto" w:before="2"/>
        <w:rPr>
          <w:rFonts w:ascii="宋体" w:hAnsi="宋体" w:cs="宋体" w:eastAsia="宋体" w:hint="default"/>
          <w:sz w:val="18"/>
          <w:szCs w:val="18"/>
        </w:rPr>
      </w:pPr>
    </w:p>
    <w:p>
      <w:pPr>
        <w:pStyle w:val="Heading2"/>
        <w:spacing w:line="240" w:lineRule="auto" w:before="26"/>
        <w:ind w:right="610"/>
        <w:jc w:val="left"/>
        <w:rPr>
          <w:b w:val="0"/>
          <w:bCs w:val="0"/>
        </w:rPr>
      </w:pPr>
      <w:r>
        <w:rPr/>
        <w:t>十四、补充资料</w:t>
      </w:r>
      <w:r>
        <w:rPr>
          <w:b w:val="0"/>
          <w:bCs w:val="0"/>
        </w:rPr>
      </w:r>
    </w:p>
    <w:p>
      <w:pPr>
        <w:spacing w:line="240" w:lineRule="auto" w:before="8"/>
        <w:rPr>
          <w:rFonts w:ascii="宋体" w:hAnsi="宋体" w:cs="宋体" w:eastAsia="宋体" w:hint="default"/>
          <w:b/>
          <w:bCs/>
          <w:sz w:val="24"/>
          <w:szCs w:val="24"/>
        </w:rPr>
      </w:pPr>
    </w:p>
    <w:p>
      <w:pPr>
        <w:spacing w:before="0"/>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206"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201"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22" w:space="0" w:color="D3D3D3"/>
              <w:left w:val="single" w:sz="9" w:space="0" w:color="D3D3D3"/>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r>
    </w:tbl>
    <w:p>
      <w:pPr>
        <w:spacing w:line="240" w:lineRule="auto" w:before="2"/>
        <w:rPr>
          <w:rFonts w:ascii="宋体" w:hAnsi="宋体" w:cs="宋体" w:eastAsia="宋体" w:hint="default"/>
          <w:sz w:val="19"/>
          <w:szCs w:val="19"/>
        </w:rPr>
      </w:pPr>
    </w:p>
    <w:p>
      <w:pPr>
        <w:spacing w:before="35"/>
        <w:ind w:left="154" w:right="6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ind w:left="154" w:right="610"/>
        <w:jc w:val="left"/>
      </w:pPr>
      <w:r>
        <w:rPr/>
        <w:t>资产负债表项目：</w:t>
      </w:r>
    </w:p>
    <w:p>
      <w:pPr>
        <w:pStyle w:val="BodyText"/>
        <w:spacing w:line="338" w:lineRule="auto" w:before="154"/>
        <w:ind w:left="154" w:right="94"/>
        <w:jc w:val="left"/>
      </w:pPr>
      <w:r>
        <w:rPr/>
        <w:t>（</w:t>
      </w:r>
      <w:r>
        <w:rPr>
          <w:rFonts w:ascii="Times New Roman" w:hAnsi="Times New Roman" w:cs="Times New Roman" w:eastAsia="Times New Roman" w:hint="default"/>
        </w:rPr>
        <w:t>1</w:t>
      </w:r>
      <w:r>
        <w:rPr/>
        <w:t>）应收账款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129,608,517.88</w:t>
      </w:r>
      <w:r>
        <w:rPr/>
        <w:t>元，比年初数增加</w:t>
      </w:r>
      <w:r>
        <w:rPr>
          <w:rFonts w:ascii="Times New Roman" w:hAnsi="Times New Roman" w:cs="Times New Roman" w:eastAsia="Times New Roman" w:hint="default"/>
        </w:rPr>
        <w:t>37.12%</w:t>
      </w:r>
      <w:r>
        <w:rPr/>
        <w:t>，其主要原</w:t>
      </w:r>
      <w:r>
        <w:rPr>
          <w:spacing w:val="-52"/>
        </w:rPr>
        <w:t> </w:t>
      </w:r>
      <w:r>
        <w:rPr/>
        <w:t>因是：本年度销售业务量增长，期末应收信用货款增加影响。</w:t>
      </w:r>
    </w:p>
    <w:p>
      <w:pPr>
        <w:pStyle w:val="BodyText"/>
        <w:spacing w:line="338" w:lineRule="auto" w:before="55"/>
        <w:ind w:left="154" w:right="94"/>
        <w:jc w:val="left"/>
      </w:pPr>
      <w:r>
        <w:rPr/>
        <w:t>（</w:t>
      </w:r>
      <w:r>
        <w:rPr>
          <w:rFonts w:ascii="Times New Roman" w:hAnsi="Times New Roman" w:cs="Times New Roman" w:eastAsia="Times New Roman" w:hint="default"/>
        </w:rPr>
        <w:t>2</w:t>
      </w:r>
      <w:r>
        <w:rPr/>
        <w:t>）预付款项</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9,372,904.99</w:t>
      </w:r>
      <w:r>
        <w:rPr/>
        <w:t>元，比年初数增加</w:t>
      </w:r>
      <w:r>
        <w:rPr>
          <w:rFonts w:ascii="Times New Roman" w:hAnsi="Times New Roman" w:cs="Times New Roman" w:eastAsia="Times New Roman" w:hint="default"/>
        </w:rPr>
        <w:t>63.13%</w:t>
      </w:r>
      <w:r>
        <w:rPr/>
        <w:t>，其主要原因</w:t>
      </w:r>
      <w:r>
        <w:rPr>
          <w:spacing w:val="-55"/>
        </w:rPr>
        <w:t> </w:t>
      </w:r>
      <w:r>
        <w:rPr/>
        <w:t>是：本年度预付工程款及货款增长影响。</w:t>
      </w:r>
    </w:p>
    <w:p>
      <w:pPr>
        <w:pStyle w:val="BodyText"/>
        <w:spacing w:line="338" w:lineRule="auto" w:before="55"/>
        <w:ind w:left="154" w:right="94"/>
        <w:jc w:val="left"/>
      </w:pPr>
      <w:r>
        <w:rPr/>
        <w:t>（</w:t>
      </w:r>
      <w:r>
        <w:rPr>
          <w:rFonts w:ascii="Times New Roman" w:hAnsi="Times New Roman" w:cs="Times New Roman" w:eastAsia="Times New Roman" w:hint="default"/>
        </w:rPr>
        <w:t>3</w:t>
      </w:r>
      <w:r>
        <w:rPr/>
        <w:t>）在建工程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27,271,816.72</w:t>
      </w:r>
      <w:r>
        <w:rPr/>
        <w:t>元，比年初数增加</w:t>
      </w:r>
      <w:r>
        <w:rPr>
          <w:rFonts w:ascii="Times New Roman" w:hAnsi="Times New Roman" w:cs="Times New Roman" w:eastAsia="Times New Roman" w:hint="default"/>
        </w:rPr>
        <w:t>470.59%</w:t>
      </w:r>
      <w:r>
        <w:rPr/>
        <w:t>，其主要原</w:t>
      </w:r>
      <w:r>
        <w:rPr>
          <w:spacing w:val="-52"/>
        </w:rPr>
        <w:t> </w:t>
      </w:r>
      <w:r>
        <w:rPr/>
        <w:t>因是：本年度科研大楼及生产中心项目持续投入增加影响。</w:t>
      </w:r>
    </w:p>
    <w:p>
      <w:pPr>
        <w:pStyle w:val="BodyText"/>
        <w:spacing w:line="338" w:lineRule="auto" w:before="55"/>
        <w:ind w:right="106"/>
        <w:jc w:val="left"/>
      </w:pPr>
      <w:r>
        <w:rPr>
          <w:spacing w:val="-1"/>
        </w:rPr>
        <w:t>（</w:t>
      </w:r>
      <w:r>
        <w:rPr>
          <w:rFonts w:ascii="Times New Roman" w:hAnsi="Times New Roman" w:cs="Times New Roman" w:eastAsia="Times New Roman" w:hint="default"/>
          <w:spacing w:val="-1"/>
        </w:rPr>
        <w:t>4</w:t>
      </w:r>
      <w:r>
        <w:rPr>
          <w:spacing w:val="-1"/>
        </w:rPr>
        <w:t>）无形资产</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10,822,024.25</w:t>
      </w:r>
      <w:r>
        <w:rPr>
          <w:spacing w:val="-1"/>
        </w:rPr>
        <w:t>元，比年初数增加</w:t>
      </w:r>
      <w:r>
        <w:rPr>
          <w:rFonts w:ascii="Times New Roman" w:hAnsi="Times New Roman" w:cs="Times New Roman" w:eastAsia="Times New Roman" w:hint="default"/>
          <w:spacing w:val="-1"/>
        </w:rPr>
        <w:t>43.25%</w:t>
      </w:r>
      <w:r>
        <w:rPr>
          <w:spacing w:val="-1"/>
        </w:rPr>
        <w:t>，其主要原因</w:t>
      </w:r>
      <w:r>
        <w:rPr>
          <w:spacing w:val="-110"/>
        </w:rPr>
        <w:t> </w:t>
      </w:r>
      <w:r>
        <w:rPr>
          <w:spacing w:val="-110"/>
        </w:rPr>
      </w:r>
      <w:r>
        <w:rPr/>
        <w:t>是：本年新增商标权影响。</w:t>
      </w:r>
    </w:p>
    <w:p>
      <w:pPr>
        <w:pStyle w:val="BodyText"/>
        <w:spacing w:line="338" w:lineRule="auto" w:before="55"/>
        <w:ind w:right="94"/>
        <w:jc w:val="left"/>
      </w:pPr>
      <w:r>
        <w:rPr/>
        <w:t>（</w:t>
      </w:r>
      <w:r>
        <w:rPr>
          <w:rFonts w:ascii="Times New Roman" w:hAnsi="Times New Roman" w:cs="Times New Roman" w:eastAsia="Times New Roman" w:hint="default"/>
        </w:rPr>
        <w:t>5</w:t>
      </w:r>
      <w:r>
        <w:rPr/>
        <w:t>）应交税费</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11,211,837.25</w:t>
      </w:r>
      <w:r>
        <w:rPr/>
        <w:t>元，比年初数增加</w:t>
      </w:r>
      <w:r>
        <w:rPr>
          <w:rFonts w:ascii="Times New Roman" w:hAnsi="Times New Roman" w:cs="Times New Roman" w:eastAsia="Times New Roman" w:hint="default"/>
        </w:rPr>
        <w:t>141.12%</w:t>
      </w:r>
      <w:r>
        <w:rPr/>
        <w:t>，其主要原</w:t>
      </w:r>
      <w:r>
        <w:rPr>
          <w:spacing w:val="-52"/>
        </w:rPr>
        <w:t> </w:t>
      </w:r>
      <w:r>
        <w:rPr/>
        <w:t>因是：本年度销售业务量增长，计提增值税及相应附加税，所得税增长影响。</w:t>
      </w:r>
    </w:p>
    <w:p>
      <w:pPr>
        <w:spacing w:after="0" w:line="338" w:lineRule="auto"/>
        <w:jc w:val="left"/>
        <w:sectPr>
          <w:pgSz w:w="11910" w:h="16840"/>
          <w:pgMar w:header="851" w:footer="982" w:top="1220" w:bottom="1180" w:left="980" w:right="1020"/>
        </w:sectPr>
      </w:pPr>
    </w:p>
    <w:p>
      <w:pPr>
        <w:spacing w:line="240" w:lineRule="auto" w:before="5"/>
        <w:rPr>
          <w:rFonts w:ascii="宋体" w:hAnsi="宋体" w:cs="宋体" w:eastAsia="宋体" w:hint="default"/>
          <w:sz w:val="16"/>
          <w:szCs w:val="16"/>
        </w:rPr>
      </w:pPr>
    </w:p>
    <w:p>
      <w:pPr>
        <w:pStyle w:val="BodyText"/>
        <w:spacing w:line="338" w:lineRule="auto" w:before="26"/>
        <w:ind w:right="230"/>
        <w:jc w:val="both"/>
      </w:pPr>
      <w:r>
        <w:rPr/>
        <w:t>（</w:t>
      </w:r>
      <w:r>
        <w:rPr>
          <w:rFonts w:ascii="Times New Roman" w:hAnsi="Times New Roman" w:cs="Times New Roman" w:eastAsia="Times New Roman" w:hint="default"/>
        </w:rPr>
        <w:t>6</w:t>
      </w:r>
      <w:r>
        <w:rPr/>
        <w:t>）其他应付款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4,364,113.70</w:t>
      </w:r>
      <w:r>
        <w:rPr/>
        <w:t>元，比年初数增加</w:t>
      </w:r>
      <w:r>
        <w:rPr>
          <w:rFonts w:ascii="Times New Roman" w:hAnsi="Times New Roman" w:cs="Times New Roman" w:eastAsia="Times New Roman" w:hint="default"/>
        </w:rPr>
        <w:t>1,345.56%</w:t>
      </w:r>
      <w:r>
        <w:rPr/>
        <w:t>，其主要</w:t>
      </w:r>
      <w:r>
        <w:rPr>
          <w:spacing w:val="-116"/>
        </w:rPr>
        <w:t> </w:t>
      </w:r>
      <w:r>
        <w:rPr>
          <w:spacing w:val="-116"/>
        </w:rPr>
      </w:r>
      <w:r>
        <w:rPr/>
        <w:t>原因是：本年收取工程项目投标保证金增加影响。</w:t>
      </w:r>
    </w:p>
    <w:p>
      <w:pPr>
        <w:pStyle w:val="BodyText"/>
        <w:spacing w:line="240" w:lineRule="auto" w:before="211"/>
        <w:ind w:right="0"/>
        <w:jc w:val="both"/>
      </w:pPr>
      <w:r>
        <w:rPr/>
        <w:t>利润表、现金流量表项目：</w:t>
      </w:r>
    </w:p>
    <w:p>
      <w:pPr>
        <w:pStyle w:val="BodyText"/>
        <w:spacing w:line="348" w:lineRule="auto" w:before="154"/>
        <w:ind w:right="228"/>
        <w:jc w:val="both"/>
      </w:pPr>
      <w:r>
        <w:rPr>
          <w:spacing w:val="-1"/>
        </w:rPr>
        <w:t>（</w:t>
      </w:r>
      <w:r>
        <w:rPr>
          <w:rFonts w:ascii="Times New Roman" w:hAnsi="Times New Roman" w:cs="Times New Roman" w:eastAsia="Times New Roman" w:hint="default"/>
          <w:spacing w:val="-1"/>
        </w:rPr>
        <w:t>1</w:t>
      </w:r>
      <w:r>
        <w:rPr>
          <w:spacing w:val="-1"/>
        </w:rPr>
        <w:t>）销售费用</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42,797,378.17</w:t>
      </w:r>
      <w:r>
        <w:rPr>
          <w:spacing w:val="-1"/>
        </w:rPr>
        <w:t>元，比上年数增加</w:t>
      </w:r>
      <w:r>
        <w:rPr>
          <w:rFonts w:ascii="Times New Roman" w:hAnsi="Times New Roman" w:cs="Times New Roman" w:eastAsia="Times New Roman" w:hint="default"/>
          <w:spacing w:val="-1"/>
        </w:rPr>
        <w:t>31.18%</w:t>
      </w:r>
      <w:r>
        <w:rPr>
          <w:spacing w:val="-1"/>
        </w:rPr>
        <w:t>，其主要原因是：本</w:t>
      </w:r>
      <w:r>
        <w:rPr>
          <w:spacing w:val="-111"/>
        </w:rPr>
        <w:t> </w:t>
      </w:r>
      <w:r>
        <w:rPr>
          <w:spacing w:val="-111"/>
        </w:rPr>
      </w:r>
      <w:r>
        <w:rPr/>
        <w:t>年度因销售人员、技术服务人员增加及薪金调整，使人工成本及相应的费用支出均有较大幅</w:t>
      </w:r>
      <w:r>
        <w:rPr>
          <w:spacing w:val="-83"/>
        </w:rPr>
        <w:t> </w:t>
      </w:r>
      <w:r>
        <w:rPr>
          <w:spacing w:val="-83"/>
        </w:rPr>
      </w:r>
      <w:r>
        <w:rPr/>
        <w:t>度增长。</w:t>
      </w:r>
    </w:p>
    <w:p>
      <w:pPr>
        <w:pStyle w:val="BodyText"/>
        <w:spacing w:line="338" w:lineRule="auto" w:before="46"/>
        <w:ind w:right="231"/>
        <w:jc w:val="both"/>
      </w:pPr>
      <w:r>
        <w:rPr>
          <w:spacing w:val="-2"/>
        </w:rPr>
        <w:t>（</w:t>
      </w:r>
      <w:r>
        <w:rPr>
          <w:rFonts w:ascii="Times New Roman" w:hAnsi="Times New Roman" w:cs="Times New Roman" w:eastAsia="Times New Roman" w:hint="default"/>
          <w:spacing w:val="-2"/>
        </w:rPr>
        <w:t>2</w:t>
      </w:r>
      <w:r>
        <w:rPr>
          <w:spacing w:val="-2"/>
        </w:rPr>
        <w:t>）财务费用</w:t>
      </w:r>
      <w:r>
        <w:rPr>
          <w:rFonts w:ascii="Times New Roman" w:hAnsi="Times New Roman" w:cs="Times New Roman" w:eastAsia="Times New Roman" w:hint="default"/>
          <w:spacing w:val="-2"/>
        </w:rPr>
        <w:t>2012</w:t>
      </w:r>
      <w:r>
        <w:rPr>
          <w:spacing w:val="-2"/>
        </w:rPr>
        <w:t>年度发生数为</w:t>
      </w:r>
      <w:r>
        <w:rPr>
          <w:rFonts w:ascii="Times New Roman" w:hAnsi="Times New Roman" w:cs="Times New Roman" w:eastAsia="Times New Roman" w:hint="default"/>
          <w:spacing w:val="-2"/>
        </w:rPr>
        <w:t>-7,347,016.44</w:t>
      </w:r>
      <w:r>
        <w:rPr>
          <w:spacing w:val="-2"/>
        </w:rPr>
        <w:t>元，比上年数下降</w:t>
      </w:r>
      <w:r>
        <w:rPr>
          <w:rFonts w:ascii="Times New Roman" w:hAnsi="Times New Roman" w:cs="Times New Roman" w:eastAsia="Times New Roman" w:hint="default"/>
          <w:spacing w:val="-2"/>
        </w:rPr>
        <w:t>235.65%</w:t>
      </w:r>
      <w:r>
        <w:rPr>
          <w:spacing w:val="-2"/>
        </w:rPr>
        <w:t>，原因是：</w:t>
      </w:r>
      <w:r>
        <w:rPr>
          <w:rFonts w:ascii="Times New Roman" w:hAnsi="Times New Roman" w:cs="Times New Roman" w:eastAsia="Times New Roman" w:hint="default"/>
          <w:spacing w:val="-2"/>
        </w:rPr>
        <w:t>A</w:t>
      </w:r>
      <w:r>
        <w:rPr>
          <w:spacing w:val="-2"/>
        </w:rPr>
        <w:t>、公司</w:t>
      </w:r>
      <w:r>
        <w:rPr>
          <w:spacing w:val="-71"/>
        </w:rPr>
        <w:t> </w:t>
      </w:r>
      <w:r>
        <w:rPr>
          <w:spacing w:val="-71"/>
        </w:rPr>
      </w:r>
      <w:r>
        <w:rPr/>
        <w:t>本年度无利息支出；</w:t>
      </w:r>
      <w:r>
        <w:rPr>
          <w:rFonts w:ascii="Times New Roman" w:hAnsi="Times New Roman" w:cs="Times New Roman" w:eastAsia="Times New Roman" w:hint="default"/>
        </w:rPr>
        <w:t>B</w:t>
      </w:r>
      <w:r>
        <w:rPr/>
        <w:t>、暂未使用的募集资金存款利息收入较上年增长。</w:t>
      </w:r>
    </w:p>
    <w:p>
      <w:pPr>
        <w:pStyle w:val="BodyText"/>
        <w:spacing w:line="338" w:lineRule="auto" w:before="27"/>
        <w:ind w:right="228"/>
        <w:jc w:val="both"/>
      </w:pPr>
      <w:r>
        <w:rPr/>
        <w:t>（</w:t>
      </w:r>
      <w:r>
        <w:rPr>
          <w:rFonts w:ascii="Times New Roman" w:hAnsi="Times New Roman" w:cs="Times New Roman" w:eastAsia="Times New Roman" w:hint="default"/>
        </w:rPr>
        <w:t>3</w:t>
      </w:r>
      <w:r>
        <w:rPr/>
        <w:t>）营业外收入</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3,296,623.56</w:t>
      </w:r>
      <w:r>
        <w:rPr/>
        <w:t>元，比上年数减少</w:t>
      </w:r>
      <w:r>
        <w:rPr>
          <w:rFonts w:ascii="Times New Roman" w:hAnsi="Times New Roman" w:cs="Times New Roman" w:eastAsia="Times New Roman" w:hint="default"/>
        </w:rPr>
        <w:t>70.15%</w:t>
      </w:r>
      <w:r>
        <w:rPr/>
        <w:t>，其主要原因是：</w:t>
      </w:r>
      <w:r>
        <w:rPr>
          <w:spacing w:val="-55"/>
        </w:rPr>
        <w:t> </w:t>
      </w:r>
      <w:r>
        <w:rPr/>
        <w:t>公司软件产品收入的增值税退税款本期尚未收到影响。</w:t>
      </w:r>
    </w:p>
    <w:p>
      <w:pPr>
        <w:pStyle w:val="BodyText"/>
        <w:spacing w:line="240" w:lineRule="auto" w:before="55"/>
        <w:ind w:right="0"/>
        <w:jc w:val="both"/>
      </w:pPr>
      <w:r>
        <w:rPr>
          <w:spacing w:val="9"/>
        </w:rPr>
        <w:t>（</w:t>
      </w:r>
      <w:r>
        <w:rPr>
          <w:rFonts w:ascii="Times New Roman" w:hAnsi="Times New Roman" w:cs="Times New Roman" w:eastAsia="Times New Roman" w:hint="default"/>
          <w:spacing w:val="9"/>
        </w:rPr>
        <w:t>4</w:t>
      </w:r>
      <w:r>
        <w:rPr>
          <w:spacing w:val="9"/>
        </w:rPr>
        <w:t>）收到其他与经营活动有关的现金</w:t>
      </w:r>
      <w:r>
        <w:rPr>
          <w:rFonts w:ascii="Times New Roman" w:hAnsi="Times New Roman" w:cs="Times New Roman" w:eastAsia="Times New Roman" w:hint="default"/>
          <w:spacing w:val="9"/>
        </w:rPr>
        <w:t>2012</w:t>
      </w:r>
      <w:r>
        <w:rPr>
          <w:spacing w:val="9"/>
        </w:rPr>
        <w:t>年度发生数为</w:t>
      </w:r>
      <w:r>
        <w:rPr>
          <w:rFonts w:ascii="Times New Roman" w:hAnsi="Times New Roman" w:cs="Times New Roman" w:eastAsia="Times New Roman" w:hint="default"/>
          <w:spacing w:val="9"/>
        </w:rPr>
        <w:t>10,563,070.87</w:t>
      </w:r>
      <w:r>
        <w:rPr>
          <w:spacing w:val="9"/>
        </w:rPr>
        <w:t>元，比上年数增加</w:t>
      </w:r>
      <w:r>
        <w:rPr/>
      </w:r>
    </w:p>
    <w:p>
      <w:pPr>
        <w:pStyle w:val="BodyText"/>
        <w:spacing w:line="240" w:lineRule="auto" w:before="135"/>
        <w:ind w:right="0"/>
        <w:jc w:val="both"/>
      </w:pPr>
      <w:r>
        <w:rPr>
          <w:rFonts w:ascii="Times New Roman" w:hAnsi="Times New Roman" w:cs="Times New Roman" w:eastAsia="Times New Roman" w:hint="default"/>
        </w:rPr>
        <w:t>80.28%</w:t>
      </w:r>
      <w:r>
        <w:rPr/>
        <w:t>，其主要原因是：公司暂未使用的募集资金存储产生的利息收入增长影响。</w:t>
      </w:r>
    </w:p>
    <w:p>
      <w:pPr>
        <w:pStyle w:val="BodyText"/>
        <w:spacing w:line="338" w:lineRule="auto" w:before="135"/>
        <w:ind w:right="189"/>
        <w:jc w:val="both"/>
      </w:pPr>
      <w:r>
        <w:rPr/>
        <w:t>（</w:t>
      </w:r>
      <w:r>
        <w:rPr>
          <w:rFonts w:ascii="Times New Roman" w:hAnsi="Times New Roman" w:cs="Times New Roman" w:eastAsia="Times New Roman" w:hint="default"/>
        </w:rPr>
        <w:t>5</w:t>
      </w:r>
      <w:r>
        <w:rPr/>
        <w:t>）经营活动产生的现金流量净额</w:t>
      </w:r>
      <w:r>
        <w:rPr>
          <w:rFonts w:ascii="Times New Roman" w:hAnsi="Times New Roman" w:cs="Times New Roman" w:eastAsia="Times New Roman" w:hint="default"/>
        </w:rPr>
        <w:t>2012</w:t>
      </w:r>
      <w:r>
        <w:rPr/>
        <w:t>年度金额为</w:t>
      </w:r>
      <w:r>
        <w:rPr>
          <w:rFonts w:ascii="Times New Roman" w:hAnsi="Times New Roman" w:cs="Times New Roman" w:eastAsia="Times New Roman" w:hint="default"/>
        </w:rPr>
        <w:t>16,218,393.79</w:t>
      </w:r>
      <w:r>
        <w:rPr/>
        <w:t>元，较上年增加</w:t>
      </w:r>
      <w:r>
        <w:rPr>
          <w:rFonts w:ascii="Times New Roman" w:hAnsi="Times New Roman" w:cs="Times New Roman" w:eastAsia="Times New Roman" w:hint="default"/>
        </w:rPr>
        <w:t>1630.78%</w:t>
      </w:r>
      <w:r>
        <w:rPr/>
        <w:t>， </w:t>
      </w:r>
      <w:r>
        <w:rPr>
          <w:spacing w:val="-3"/>
        </w:rPr>
        <w:t>原因为：</w:t>
      </w:r>
      <w:r>
        <w:rPr>
          <w:rFonts w:ascii="Times New Roman" w:hAnsi="Times New Roman" w:cs="Times New Roman" w:eastAsia="Times New Roman" w:hint="default"/>
          <w:spacing w:val="-3"/>
        </w:rPr>
        <w:t>A</w:t>
      </w:r>
      <w:r>
        <w:rPr>
          <w:spacing w:val="-3"/>
        </w:rPr>
        <w:t>、随主营业务收入增加，销售商品、提供劳务收到的现金同比增加</w:t>
      </w:r>
      <w:r>
        <w:rPr>
          <w:rFonts w:ascii="Times New Roman" w:hAnsi="Times New Roman" w:cs="Times New Roman" w:eastAsia="Times New Roman" w:hint="default"/>
          <w:spacing w:val="-3"/>
        </w:rPr>
        <w:t>13.18%</w:t>
      </w:r>
      <w:r>
        <w:rPr>
          <w:spacing w:val="-3"/>
        </w:rPr>
        <w:t>；</w:t>
      </w:r>
      <w:r>
        <w:rPr>
          <w:rFonts w:ascii="Times New Roman" w:hAnsi="Times New Roman" w:cs="Times New Roman" w:eastAsia="Times New Roman" w:hint="default"/>
          <w:spacing w:val="-3"/>
        </w:rPr>
        <w:t>B</w:t>
      </w:r>
      <w:r>
        <w:rPr>
          <w:spacing w:val="-3"/>
        </w:rPr>
        <w:t>、虽</w:t>
      </w:r>
      <w:r>
        <w:rPr>
          <w:spacing w:val="-99"/>
        </w:rPr>
        <w:t> </w:t>
      </w:r>
      <w:r>
        <w:rPr/>
        <w:t>然本年度支付给职工以及为职工支付的现金较上年增加</w:t>
      </w:r>
      <w:r>
        <w:rPr>
          <w:rFonts w:ascii="Times New Roman" w:hAnsi="Times New Roman" w:cs="Times New Roman" w:eastAsia="Times New Roman" w:hint="default"/>
        </w:rPr>
        <w:t>30.48%</w:t>
      </w:r>
      <w:r>
        <w:rPr/>
        <w:t>，但购买商品、提供劳务支付 的现金较上年度略有下降，总体使经营活动现金流出量较上年同比增加</w:t>
      </w:r>
      <w:r>
        <w:rPr>
          <w:rFonts w:ascii="Times New Roman" w:hAnsi="Times New Roman" w:cs="Times New Roman" w:eastAsia="Times New Roman" w:hint="default"/>
        </w:rPr>
        <w:t>5.08%</w:t>
      </w:r>
      <w:r>
        <w:rPr/>
        <w:t>。</w:t>
      </w:r>
    </w:p>
    <w:p>
      <w:pPr>
        <w:pStyle w:val="BodyText"/>
        <w:spacing w:line="338" w:lineRule="auto" w:before="27"/>
        <w:ind w:right="221"/>
        <w:jc w:val="both"/>
      </w:pPr>
      <w:r>
        <w:rPr>
          <w:spacing w:val="4"/>
        </w:rPr>
        <w:t>（</w:t>
      </w:r>
      <w:r>
        <w:rPr>
          <w:rFonts w:ascii="Times New Roman" w:hAnsi="Times New Roman" w:cs="Times New Roman" w:eastAsia="Times New Roman" w:hint="default"/>
          <w:spacing w:val="4"/>
        </w:rPr>
        <w:t>6</w:t>
      </w:r>
      <w:r>
        <w:rPr>
          <w:spacing w:val="4"/>
        </w:rPr>
        <w:t>）支付给职工以及为职工支付的现金</w:t>
      </w:r>
      <w:r>
        <w:rPr>
          <w:rFonts w:ascii="Times New Roman" w:hAnsi="Times New Roman" w:cs="Times New Roman" w:eastAsia="Times New Roman" w:hint="default"/>
          <w:spacing w:val="4"/>
        </w:rPr>
        <w:t>2012</w:t>
      </w:r>
      <w:r>
        <w:rPr>
          <w:spacing w:val="4"/>
        </w:rPr>
        <w:t>年度发生数为</w:t>
      </w:r>
      <w:r>
        <w:rPr>
          <w:rFonts w:ascii="Times New Roman" w:hAnsi="Times New Roman" w:cs="Times New Roman" w:eastAsia="Times New Roman" w:hint="default"/>
          <w:spacing w:val="4"/>
        </w:rPr>
        <w:t>49,397,310.20</w:t>
      </w:r>
      <w:r>
        <w:rPr>
          <w:spacing w:val="4"/>
        </w:rPr>
        <w:t>元，比上年数增加</w:t>
      </w:r>
      <w:r>
        <w:rPr>
          <w:spacing w:val="-116"/>
        </w:rPr>
        <w:t> </w:t>
      </w:r>
      <w:r>
        <w:rPr>
          <w:rFonts w:ascii="Times New Roman" w:hAnsi="Times New Roman" w:cs="Times New Roman" w:eastAsia="Times New Roman" w:hint="default"/>
        </w:rPr>
        <w:t>30.48%</w:t>
      </w:r>
      <w:r>
        <w:rPr/>
        <w:t>，其主要原因是：公司本年度员工增加及薪金调整，使人工成本有较大幅度的增长影 响。</w:t>
      </w:r>
    </w:p>
    <w:p>
      <w:pPr>
        <w:pStyle w:val="BodyText"/>
        <w:spacing w:line="338" w:lineRule="auto" w:before="55"/>
        <w:ind w:left="154" w:right="103"/>
        <w:jc w:val="left"/>
      </w:pPr>
      <w:r>
        <w:rPr>
          <w:spacing w:val="-3"/>
        </w:rPr>
        <w:t>（</w:t>
      </w:r>
      <w:r>
        <w:rPr>
          <w:rFonts w:ascii="Times New Roman" w:hAnsi="Times New Roman" w:cs="Times New Roman" w:eastAsia="Times New Roman" w:hint="default"/>
          <w:spacing w:val="-3"/>
        </w:rPr>
        <w:t>7</w:t>
      </w:r>
      <w:r>
        <w:rPr>
          <w:spacing w:val="-3"/>
        </w:rPr>
        <w:t>）购建固定资产、无形资产和其他长期资产支付的现金</w:t>
      </w:r>
      <w:r>
        <w:rPr>
          <w:rFonts w:ascii="Times New Roman" w:hAnsi="Times New Roman" w:cs="Times New Roman" w:eastAsia="Times New Roman" w:hint="default"/>
          <w:spacing w:val="-3"/>
        </w:rPr>
        <w:t>2012</w:t>
      </w:r>
      <w:r>
        <w:rPr>
          <w:spacing w:val="-3"/>
        </w:rPr>
        <w:t>年度发生数为</w:t>
      </w:r>
      <w:r>
        <w:rPr>
          <w:rFonts w:ascii="Times New Roman" w:hAnsi="Times New Roman" w:cs="Times New Roman" w:eastAsia="Times New Roman" w:hint="default"/>
          <w:spacing w:val="-3"/>
        </w:rPr>
        <w:t>30,428,412.45</w:t>
      </w:r>
      <w:r>
        <w:rPr>
          <w:spacing w:val="-3"/>
        </w:rPr>
        <w:t>元，</w:t>
      </w:r>
      <w:r>
        <w:rPr>
          <w:spacing w:val="-109"/>
        </w:rPr>
        <w:t> </w:t>
      </w:r>
      <w:r>
        <w:rPr/>
        <w:t>比上年数增加</w:t>
      </w:r>
      <w:r>
        <w:rPr>
          <w:rFonts w:ascii="Times New Roman" w:hAnsi="Times New Roman" w:cs="Times New Roman" w:eastAsia="Times New Roman" w:hint="default"/>
        </w:rPr>
        <w:t>57.00%</w:t>
      </w:r>
      <w:r>
        <w:rPr/>
        <w:t>，其主要原因是：公司本年度科研大楼及生产中心项目持续投入增加， 及新增商标权影响。</w:t>
      </w:r>
    </w:p>
    <w:p>
      <w:pPr>
        <w:pStyle w:val="BodyText"/>
        <w:spacing w:line="338" w:lineRule="auto" w:before="55"/>
        <w:ind w:left="154" w:right="110"/>
        <w:jc w:val="left"/>
      </w:pPr>
      <w:r>
        <w:rPr/>
        <w:t>（</w:t>
      </w:r>
      <w:r>
        <w:rPr>
          <w:rFonts w:ascii="Times New Roman" w:hAnsi="Times New Roman" w:cs="Times New Roman" w:eastAsia="Times New Roman" w:hint="default"/>
        </w:rPr>
        <w:t>8</w:t>
      </w:r>
      <w:r>
        <w:rPr/>
        <w:t>）支付其他与筹资活动有关的现金</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52,040.06</w:t>
      </w:r>
      <w:r>
        <w:rPr/>
        <w:t>元，比上年数减少</w:t>
      </w:r>
      <w:r>
        <w:rPr>
          <w:rFonts w:ascii="Times New Roman" w:hAnsi="Times New Roman" w:cs="Times New Roman" w:eastAsia="Times New Roman" w:hint="default"/>
        </w:rPr>
        <w:t>99.33%</w:t>
      </w:r>
      <w:r>
        <w:rPr/>
        <w:t>， 其主要原因是：公司上年度支付的发行股票手续费及宣传费较大影响。</w:t>
      </w:r>
    </w:p>
    <w:p>
      <w:pPr>
        <w:spacing w:after="0" w:line="338" w:lineRule="auto"/>
        <w:jc w:val="left"/>
        <w:sectPr>
          <w:pgSz w:w="11910" w:h="16840"/>
          <w:pgMar w:header="851" w:footer="982" w:top="122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3"/>
        <w:ind w:left="615" w:right="574"/>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10"/>
        <w:rPr>
          <w:rFonts w:ascii="宋体" w:hAnsi="宋体" w:cs="宋体" w:eastAsia="宋体" w:hint="default"/>
          <w:b/>
          <w:bCs/>
          <w:sz w:val="44"/>
          <w:szCs w:val="44"/>
        </w:rPr>
      </w:pPr>
    </w:p>
    <w:p>
      <w:pPr>
        <w:pStyle w:val="BodyText"/>
        <w:spacing w:line="357" w:lineRule="auto"/>
        <w:ind w:left="154" w:right="370"/>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 四、其他相关资料。</w:t>
      </w:r>
    </w:p>
    <w:p>
      <w:pPr>
        <w:pStyle w:val="BodyText"/>
        <w:spacing w:line="240" w:lineRule="auto" w:before="36"/>
        <w:ind w:left="154" w:right="610"/>
        <w:jc w:val="left"/>
      </w:pPr>
      <w:r>
        <w:rPr/>
        <w:t>以上备查文件的备置地点：公司证券事务部。</w:t>
      </w:r>
    </w:p>
    <w:sectPr>
      <w:pgSz w:w="11910" w:h="16840"/>
      <w:pgMar w:header="851" w:footer="982" w:top="1220" w:bottom="118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8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88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85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885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85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85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85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85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720001pt;margin-top:42.540001pt;width:150.244pt;height:15.06pt;mso-position-horizontal-relative:page;mso-position-vertical-relative:page;z-index:-885856" type="#_x0000_t75" stroked="false">
          <v:imagedata r:id="rId1" o:title=""/>
        </v:shape>
      </w:pict>
    </w:r>
    <w:r>
      <w:rPr/>
      <w:pict>
        <v:group style="position:absolute;margin-left:55.200001pt;margin-top:61.619984pt;width:484.95pt;height:.1pt;mso-position-horizontal-relative:page;mso-position-vertical-relative:page;z-index:-885832" coordorigin="1104,1232" coordsize="9699,2">
          <v:shape style="position:absolute;left:1104;top:1232;width:9699;height:2" coordorigin="1104,1232" coordsize="9699,0" path="m1104,1232l10802,123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63.399994pt;margin-top:48.865326pt;width:76.25pt;height:11.5pt;mso-position-horizontal-relative:page;mso-position-vertical-relative:page;z-index:-885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051003pt;margin-top:42.540001pt;width:150.522995pt;height:15.06pt;mso-position-horizontal-relative:page;mso-position-vertical-relative:page;z-index:-885760" type="#_x0000_t75" stroked="false">
          <v:imagedata r:id="rId1" o:title=""/>
        </v:shape>
      </w:pict>
    </w:r>
    <w:r>
      <w:rPr/>
      <w:pict>
        <v:shape style="position:absolute;margin-left:666.670532pt;margin-top:48.865623pt;width:76.25pt;height:11.5pt;mso-position-horizontal-relative:page;mso-position-vertical-relative:page;z-index:-885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42.540001pt;width:150.244pt;height:15.06pt;mso-position-horizontal-relative:page;mso-position-vertical-relative:page;z-index:-885688" type="#_x0000_t75" stroked="false">
          <v:imagedata r:id="rId1" o:title=""/>
        </v:shape>
      </w:pict>
    </w:r>
    <w:r>
      <w:rPr/>
      <w:pict>
        <v:group style="position:absolute;margin-left:55.200001pt;margin-top:61.619984pt;width:466.95pt;height:.1pt;mso-position-horizontal-relative:page;mso-position-vertical-relative:page;z-index:-885664" coordorigin="1104,1232" coordsize="9339,2">
          <v:shape style="position:absolute;left:1104;top:1232;width:9339;height:2" coordorigin="1104,1232" coordsize="9339,0" path="m1104,1232l10442,1232e" filled="false" stroked="true" strokeweight=".72003pt" strokecolor="#000000">
            <v:path arrowok="t"/>
          </v:shape>
          <w10:wrap type="none"/>
        </v:group>
      </w:pict>
    </w:r>
    <w:r>
      <w:rPr/>
      <w:pict>
        <v:shape style="position:absolute;margin-left:435.380005pt;margin-top:48.865326pt;width:76.25pt;height:11.5pt;mso-position-horizontal-relative:page;mso-position-vertical-relative:page;z-index:-885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1"/>
      <w:ind w:left="154"/>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35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newcapec.com.cn/" TargetMode="External"/><Relationship Id="rId9" Type="http://schemas.openxmlformats.org/officeDocument/2006/relationships/hyperlink" Target="mailto:zqswb@newcapec.net" TargetMode="External"/><Relationship Id="rId10" Type="http://schemas.openxmlformats.org/officeDocument/2006/relationships/hyperlink" Target="mailto:huamengyang@newcapec.net" TargetMode="External"/><Relationship Id="rId11" Type="http://schemas.openxmlformats.org/officeDocument/2006/relationships/hyperlink" Target="mailto:zhaoxin@newcapec.net"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hyperlink" Target="http://www.cninfo.com.cn/" TargetMode="External"/><Relationship Id="rId29" Type="http://schemas.openxmlformats.org/officeDocument/2006/relationships/hyperlink" Target="http://www.cninfo.com.cn/final" TargetMode="External"/><Relationship Id="rId30" Type="http://schemas.openxmlformats.org/officeDocument/2006/relationships/footer" Target="footer4.xml"/><Relationship Id="rId31" Type="http://schemas.openxmlformats.org/officeDocument/2006/relationships/footer" Target="footer5.xm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2020-05-04T02:07:30Z</dcterms:created>
  <dcterms:modified xsi:type="dcterms:W3CDTF">2020-05-04T02:07:30Z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2013-03-26T00:00:00Z</vt:filetime>
  </property>
  <property fmtid="{D5CDD505-2E9C-101B-9397-08002B2CF9AE}" pid="3" name="Creator">
    <vt:lpwstr>PScript5.dll Version 5.2.2</vt:lpwstr>
  </property>
  <property fmtid="{D5CDD505-2E9C-101B-9397-08002B2CF9AE}" pid="4" name="LastSaved">
    <vt:filetime>2020-05-03T00:00:00Z</vt:filetime>
  </property>
</Properties>
</file>