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620" w:lineRule="exact" w:before="0"/>
        <w:ind w:left="2081" w:right="2081" w:firstLine="0"/>
        <w:jc w:val="center"/>
        <w:rPr>
          <w:rFonts w:ascii="楷体" w:hAnsi="楷体" w:cs="楷体" w:eastAsia="楷体" w:hint="default"/>
          <w:sz w:val="52"/>
          <w:szCs w:val="52"/>
        </w:rPr>
      </w:pPr>
      <w:r>
        <w:rPr>
          <w:rFonts w:ascii="楷体" w:hAnsi="楷体" w:cs="楷体" w:eastAsia="楷体" w:hint="default"/>
          <w:b/>
          <w:bCs/>
          <w:sz w:val="52"/>
          <w:szCs w:val="52"/>
        </w:rPr>
        <w:t>新开普电子股份有限公司</w:t>
      </w:r>
      <w:r>
        <w:rPr>
          <w:rFonts w:ascii="楷体" w:hAnsi="楷体" w:cs="楷体" w:eastAsia="楷体" w:hint="default"/>
          <w:sz w:val="52"/>
          <w:szCs w:val="52"/>
        </w:rPr>
      </w:r>
    </w:p>
    <w:p>
      <w:pPr>
        <w:spacing w:line="240" w:lineRule="auto" w:before="6"/>
        <w:rPr>
          <w:rFonts w:ascii="楷体" w:hAnsi="楷体" w:cs="楷体" w:eastAsia="楷体" w:hint="default"/>
          <w:b/>
          <w:bCs/>
          <w:sz w:val="36"/>
          <w:szCs w:val="36"/>
        </w:rPr>
      </w:pPr>
    </w:p>
    <w:p>
      <w:pPr>
        <w:spacing w:before="0"/>
        <w:ind w:left="2081" w:right="2079" w:firstLine="0"/>
        <w:jc w:val="center"/>
        <w:rPr>
          <w:rFonts w:ascii="Times New Roman" w:hAnsi="Times New Roman" w:cs="Times New Roman" w:eastAsia="Times New Roman" w:hint="default"/>
          <w:sz w:val="30"/>
          <w:szCs w:val="30"/>
        </w:rPr>
      </w:pPr>
      <w:r>
        <w:rPr>
          <w:rFonts w:ascii="Times New Roman"/>
          <w:sz w:val="30"/>
        </w:rPr>
        <w:t>Newcapec Electronics Co.,</w:t>
      </w:r>
      <w:r>
        <w:rPr>
          <w:rFonts w:ascii="Times New Roman"/>
          <w:spacing w:val="-10"/>
          <w:sz w:val="30"/>
        </w:rPr>
        <w:t> </w:t>
      </w:r>
      <w:r>
        <w:rPr>
          <w:rFonts w:ascii="Times New Roman"/>
          <w:sz w:val="30"/>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line="1874" w:lineRule="exact"/>
        <w:ind w:left="36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739152" cy="11901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739152" cy="1190148"/>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spacing w:line="620" w:lineRule="exact" w:before="0"/>
        <w:ind w:left="2081" w:right="2081" w:firstLine="0"/>
        <w:jc w:val="center"/>
        <w:rPr>
          <w:rFonts w:ascii="楷体" w:hAnsi="楷体" w:cs="楷体" w:eastAsia="楷体" w:hint="default"/>
          <w:sz w:val="52"/>
          <w:szCs w:val="52"/>
        </w:rPr>
      </w:pPr>
      <w:r>
        <w:rPr>
          <w:rFonts w:ascii="楷体" w:hAnsi="楷体" w:cs="楷体" w:eastAsia="楷体" w:hint="default"/>
          <w:b/>
          <w:bCs/>
          <w:sz w:val="52"/>
          <w:szCs w:val="52"/>
        </w:rPr>
        <w:t>2014</w:t>
      </w:r>
      <w:r>
        <w:rPr>
          <w:rFonts w:ascii="楷体" w:hAnsi="楷体" w:cs="楷体" w:eastAsia="楷体" w:hint="default"/>
          <w:b/>
          <w:bCs/>
          <w:spacing w:val="-135"/>
          <w:sz w:val="52"/>
          <w:szCs w:val="52"/>
        </w:rPr>
        <w:t> </w:t>
      </w:r>
      <w:r>
        <w:rPr>
          <w:rFonts w:ascii="楷体" w:hAnsi="楷体" w:cs="楷体" w:eastAsia="楷体" w:hint="default"/>
          <w:b/>
          <w:bCs/>
          <w:sz w:val="52"/>
          <w:szCs w:val="52"/>
        </w:rPr>
        <w:t>年年度报告</w:t>
      </w:r>
      <w:r>
        <w:rPr>
          <w:rFonts w:ascii="楷体" w:hAnsi="楷体" w:cs="楷体" w:eastAsia="楷体" w:hint="default"/>
          <w:sz w:val="52"/>
          <w:szCs w:val="52"/>
        </w:rPr>
      </w:r>
    </w:p>
    <w:p>
      <w:pPr>
        <w:spacing w:line="240" w:lineRule="auto" w:before="2"/>
        <w:rPr>
          <w:rFonts w:ascii="楷体" w:hAnsi="楷体" w:cs="楷体" w:eastAsia="楷体" w:hint="default"/>
          <w:b/>
          <w:bCs/>
          <w:sz w:val="61"/>
          <w:szCs w:val="61"/>
        </w:rPr>
      </w:pPr>
    </w:p>
    <w:p>
      <w:pPr>
        <w:spacing w:line="376" w:lineRule="auto" w:before="0"/>
        <w:ind w:left="3505" w:right="3503" w:firstLine="0"/>
        <w:jc w:val="center"/>
        <w:rPr>
          <w:rFonts w:ascii="楷体" w:hAnsi="楷体" w:cs="楷体" w:eastAsia="楷体" w:hint="default"/>
          <w:sz w:val="36"/>
          <w:szCs w:val="36"/>
        </w:rPr>
      </w:pPr>
      <w:r>
        <w:rPr>
          <w:rFonts w:ascii="楷体" w:hAnsi="楷体" w:cs="楷体" w:eastAsia="楷体" w:hint="default"/>
          <w:b/>
          <w:bCs/>
          <w:sz w:val="36"/>
          <w:szCs w:val="36"/>
        </w:rPr>
        <w:t>股票代码：300248</w:t>
      </w:r>
      <w:r>
        <w:rPr>
          <w:rFonts w:ascii="楷体" w:hAnsi="楷体" w:cs="楷体" w:eastAsia="楷体" w:hint="default"/>
          <w:b/>
          <w:bCs/>
          <w:spacing w:val="1"/>
          <w:w w:val="99"/>
          <w:sz w:val="36"/>
          <w:szCs w:val="36"/>
        </w:rPr>
        <w:t> </w:t>
      </w:r>
      <w:r>
        <w:rPr>
          <w:rFonts w:ascii="楷体" w:hAnsi="楷体" w:cs="楷体" w:eastAsia="楷体" w:hint="default"/>
          <w:b/>
          <w:bCs/>
          <w:sz w:val="36"/>
          <w:szCs w:val="36"/>
        </w:rPr>
        <w:t>股票简称：新开普</w:t>
      </w:r>
      <w:r>
        <w:rPr>
          <w:rFonts w:ascii="楷体" w:hAnsi="楷体" w:cs="楷体" w:eastAsia="楷体" w:hint="default"/>
          <w:sz w:val="36"/>
          <w:szCs w:val="36"/>
        </w:rPr>
      </w:r>
    </w:p>
    <w:p>
      <w:pPr>
        <w:spacing w:line="240" w:lineRule="auto" w:before="5"/>
        <w:rPr>
          <w:rFonts w:ascii="楷体" w:hAnsi="楷体" w:cs="楷体" w:eastAsia="楷体" w:hint="default"/>
          <w:b/>
          <w:bCs/>
          <w:sz w:val="32"/>
          <w:szCs w:val="32"/>
        </w:rPr>
      </w:pPr>
    </w:p>
    <w:p>
      <w:pPr>
        <w:spacing w:before="0"/>
        <w:ind w:left="2081" w:right="2081" w:firstLine="0"/>
        <w:jc w:val="center"/>
        <w:rPr>
          <w:rFonts w:ascii="楷体" w:hAnsi="楷体" w:cs="楷体" w:eastAsia="楷体" w:hint="default"/>
          <w:sz w:val="36"/>
          <w:szCs w:val="36"/>
        </w:rPr>
      </w:pPr>
      <w:r>
        <w:rPr>
          <w:rFonts w:ascii="楷体" w:hAnsi="楷体" w:cs="楷体" w:eastAsia="楷体" w:hint="default"/>
          <w:b/>
          <w:bCs/>
          <w:sz w:val="36"/>
          <w:szCs w:val="36"/>
        </w:rPr>
        <w:t>披露日期：2015</w:t>
      </w:r>
      <w:r>
        <w:rPr>
          <w:rFonts w:ascii="楷体" w:hAnsi="楷体" w:cs="楷体" w:eastAsia="楷体" w:hint="default"/>
          <w:b/>
          <w:bCs/>
          <w:spacing w:val="-94"/>
          <w:sz w:val="36"/>
          <w:szCs w:val="36"/>
        </w:rPr>
        <w:t> </w:t>
      </w:r>
      <w:r>
        <w:rPr>
          <w:rFonts w:ascii="楷体" w:hAnsi="楷体" w:cs="楷体" w:eastAsia="楷体" w:hint="default"/>
          <w:b/>
          <w:bCs/>
          <w:sz w:val="36"/>
          <w:szCs w:val="36"/>
        </w:rPr>
        <w:t>年</w:t>
      </w:r>
      <w:r>
        <w:rPr>
          <w:rFonts w:ascii="楷体" w:hAnsi="楷体" w:cs="楷体" w:eastAsia="楷体" w:hint="default"/>
          <w:b/>
          <w:bCs/>
          <w:spacing w:val="-92"/>
          <w:sz w:val="36"/>
          <w:szCs w:val="36"/>
        </w:rPr>
        <w:t> </w:t>
      </w:r>
      <w:r>
        <w:rPr>
          <w:rFonts w:ascii="楷体" w:hAnsi="楷体" w:cs="楷体" w:eastAsia="楷体" w:hint="default"/>
          <w:b/>
          <w:bCs/>
          <w:sz w:val="36"/>
          <w:szCs w:val="36"/>
        </w:rPr>
        <w:t>2</w:t>
      </w:r>
      <w:r>
        <w:rPr>
          <w:rFonts w:ascii="楷体" w:hAnsi="楷体" w:cs="楷体" w:eastAsia="楷体" w:hint="default"/>
          <w:b/>
          <w:bCs/>
          <w:spacing w:val="-92"/>
          <w:sz w:val="36"/>
          <w:szCs w:val="36"/>
        </w:rPr>
        <w:t> </w:t>
      </w:r>
      <w:r>
        <w:rPr>
          <w:rFonts w:ascii="楷体" w:hAnsi="楷体" w:cs="楷体" w:eastAsia="楷体" w:hint="default"/>
          <w:b/>
          <w:bCs/>
          <w:sz w:val="36"/>
          <w:szCs w:val="36"/>
        </w:rPr>
        <w:t>月</w:t>
      </w:r>
      <w:r>
        <w:rPr>
          <w:rFonts w:ascii="楷体" w:hAnsi="楷体" w:cs="楷体" w:eastAsia="楷体" w:hint="default"/>
          <w:b/>
          <w:bCs/>
          <w:spacing w:val="-94"/>
          <w:sz w:val="36"/>
          <w:szCs w:val="36"/>
        </w:rPr>
        <w:t> </w:t>
      </w:r>
      <w:r>
        <w:rPr>
          <w:rFonts w:ascii="楷体" w:hAnsi="楷体" w:cs="楷体" w:eastAsia="楷体" w:hint="default"/>
          <w:b/>
          <w:bCs/>
          <w:sz w:val="36"/>
          <w:szCs w:val="36"/>
        </w:rPr>
        <w:t>14</w:t>
      </w:r>
      <w:r>
        <w:rPr>
          <w:rFonts w:ascii="楷体" w:hAnsi="楷体" w:cs="楷体" w:eastAsia="楷体" w:hint="default"/>
          <w:b/>
          <w:bCs/>
          <w:spacing w:val="-92"/>
          <w:sz w:val="36"/>
          <w:szCs w:val="36"/>
        </w:rPr>
        <w:t> </w:t>
      </w:r>
      <w:r>
        <w:rPr>
          <w:rFonts w:ascii="楷体" w:hAnsi="楷体" w:cs="楷体" w:eastAsia="楷体" w:hint="default"/>
          <w:b/>
          <w:bCs/>
          <w:sz w:val="36"/>
          <w:szCs w:val="36"/>
        </w:rPr>
        <w:t>日</w:t>
      </w:r>
      <w:r>
        <w:rPr>
          <w:rFonts w:ascii="楷体" w:hAnsi="楷体" w:cs="楷体" w:eastAsia="楷体" w:hint="default"/>
          <w:sz w:val="36"/>
          <w:szCs w:val="36"/>
        </w:rPr>
      </w:r>
    </w:p>
    <w:p>
      <w:pPr>
        <w:spacing w:after="0"/>
        <w:jc w:val="center"/>
        <w:rPr>
          <w:rFonts w:ascii="楷体" w:hAnsi="楷体" w:cs="楷体" w:eastAsia="楷体" w:hint="default"/>
          <w:sz w:val="36"/>
          <w:szCs w:val="36"/>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楷体" w:hAnsi="楷体" w:cs="楷体" w:eastAsia="楷体" w:hint="default"/>
          <w:b/>
          <w:bCs/>
          <w:sz w:val="2"/>
          <w:szCs w:val="2"/>
        </w:rPr>
      </w:pPr>
    </w:p>
    <w:p>
      <w:pPr>
        <w:spacing w:line="20" w:lineRule="exact"/>
        <w:ind w:left="116" w:right="0" w:firstLine="0"/>
        <w:rPr>
          <w:rFonts w:ascii="楷体" w:hAnsi="楷体" w:cs="楷体" w:eastAsia="楷体" w:hint="default"/>
          <w:sz w:val="2"/>
          <w:szCs w:val="2"/>
        </w:rPr>
      </w:pPr>
      <w:r>
        <w:rPr>
          <w:rFonts w:ascii="楷体" w:hAnsi="楷体" w:cs="楷体" w:eastAsia="楷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楷体" w:hAnsi="楷体" w:cs="楷体" w:eastAsia="楷体" w:hint="default"/>
          <w:sz w:val="2"/>
          <w:szCs w:val="2"/>
        </w:rPr>
      </w:r>
    </w:p>
    <w:p>
      <w:pPr>
        <w:spacing w:line="240" w:lineRule="auto" w:before="0"/>
        <w:rPr>
          <w:rFonts w:ascii="楷体" w:hAnsi="楷体" w:cs="楷体" w:eastAsia="楷体" w:hint="default"/>
          <w:b/>
          <w:bCs/>
          <w:sz w:val="20"/>
          <w:szCs w:val="20"/>
        </w:rPr>
      </w:pPr>
    </w:p>
    <w:p>
      <w:pPr>
        <w:spacing w:line="240" w:lineRule="auto" w:before="0"/>
        <w:rPr>
          <w:rFonts w:ascii="楷体" w:hAnsi="楷体" w:cs="楷体" w:eastAsia="楷体" w:hint="default"/>
          <w:b/>
          <w:bCs/>
          <w:sz w:val="20"/>
          <w:szCs w:val="20"/>
        </w:rPr>
      </w:pPr>
    </w:p>
    <w:p>
      <w:pPr>
        <w:spacing w:line="240" w:lineRule="auto" w:before="11"/>
        <w:rPr>
          <w:rFonts w:ascii="楷体" w:hAnsi="楷体" w:cs="楷体" w:eastAsia="楷体" w:hint="default"/>
          <w:b/>
          <w:bCs/>
          <w:sz w:val="18"/>
          <w:szCs w:val="18"/>
        </w:rPr>
      </w:pPr>
    </w:p>
    <w:p>
      <w:pPr>
        <w:pStyle w:val="Heading1"/>
        <w:spacing w:line="240" w:lineRule="auto"/>
        <w:ind w:left="280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公司负责人杨维国、主管会计工作负责人李玉玲及会计机构负责人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张翀声明：保证年度报告中财务报告的真实、准确、完整。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4"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本报告中如有涉及未来的计划、业绩预测等方面的内容，均不构成本公司</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81" w:right="208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TOC_250007">
            <w:r>
              <w:rPr/>
              <w:t>第三节 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1"/>
              </w:rPr>
              <w:t> </w:t>
            </w:r>
            <w:r>
              <w:rPr/>
              <w:t>董事会报告</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
              </w:rPr>
              <w:t> </w:t>
            </w:r>
            <w:r>
              <w:rPr/>
              <w:t>重要事项</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1"/>
              </w:rPr>
              <w:t> </w:t>
            </w:r>
            <w:r>
              <w:rPr/>
              <w:t>公司治理</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TOC_250001">
            <w:r>
              <w:rPr/>
              <w:t>第九节</w:t>
            </w:r>
            <w:r>
              <w:rPr>
                <w:spacing w:val="-1"/>
              </w:rPr>
              <w:t> </w:t>
            </w:r>
            <w:r>
              <w:rPr/>
              <w:t>财务报告</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 备查文件目录</w:t>
            </w:r>
            <w:r>
              <w:rPr>
                <w:rFonts w:ascii="Times New Roman" w:hAnsi="Times New Roman" w:cs="Times New Roman" w:eastAsia="Times New Roman" w:hint="default"/>
              </w:rPr>
              <w:tab/>
              <w:t>194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2081" w:right="208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本公司、公司、新开普</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新开普电子股份有限公司监事会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正普软件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郑州正普软件科技有限公司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凯里通卡公司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上海微令</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上海微令信息科技有限公司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362"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vMerge w:val="restart"/>
            <w:tcBorders>
              <w:top w:val="single" w:sz="4" w:space="0" w:color="000000"/>
              <w:left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Frequency Identification</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的缩写，即射频识别技术，是一种利用</w:t>
            </w:r>
          </w:p>
        </w:tc>
      </w:tr>
      <w:tr>
        <w:trPr>
          <w:trHeight w:val="267" w:hRule="exact"/>
        </w:trPr>
        <w:tc>
          <w:tcPr>
            <w:tcW w:w="3524" w:type="dxa"/>
            <w:tcBorders>
              <w:top w:val="nil" w:sz="6" w:space="0" w:color="auto"/>
              <w:left w:val="single" w:sz="4" w:space="0" w:color="000000"/>
              <w:bottom w:val="nil" w:sz="6" w:space="0" w:color="auto"/>
              <w:right w:val="single" w:sz="4" w:space="0" w:color="000000"/>
            </w:tcBorders>
          </w:tcPr>
          <w:p>
            <w:pPr/>
          </w:p>
        </w:tc>
        <w:tc>
          <w:tcPr>
            <w:tcW w:w="621" w:type="dxa"/>
            <w:vMerge/>
            <w:tcBorders>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射频通信实现的非接触式数据采集技术</w:t>
            </w:r>
            <w:r>
              <w:rPr>
                <w:rFonts w:ascii="Times New Roman" w:hAnsi="Times New Roman" w:cs="Times New Roman" w:eastAsia="Times New Roman" w:hint="default"/>
                <w:sz w:val="18"/>
                <w:szCs w:val="18"/>
              </w:rPr>
              <w:t>,</w:t>
            </w:r>
            <w:r>
              <w:rPr>
                <w:rFonts w:ascii="宋体" w:hAnsi="宋体" w:cs="宋体" w:eastAsia="宋体" w:hint="default"/>
                <w:sz w:val="18"/>
                <w:szCs w:val="18"/>
              </w:rPr>
              <w:t>它通过射频信号自动识别目</w:t>
            </w:r>
          </w:p>
        </w:tc>
      </w:tr>
      <w:tr>
        <w:trPr>
          <w:trHeight w:val="392" w:hRule="exact"/>
        </w:trPr>
        <w:tc>
          <w:tcPr>
            <w:tcW w:w="3524" w:type="dxa"/>
            <w:tcBorders>
              <w:top w:val="nil" w:sz="6" w:space="0" w:color="auto"/>
              <w:left w:val="single" w:sz="4" w:space="0" w:color="000000"/>
              <w:bottom w:val="nil" w:sz="6" w:space="0" w:color="auto"/>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RFID</w:t>
            </w: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9" w:space="0" w:color="D3D3D3"/>
              <w:bottom w:val="nil" w:sz="6" w:space="0" w:color="auto"/>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pacing w:val="-2"/>
                <w:sz w:val="18"/>
                <w:szCs w:val="18"/>
              </w:rPr>
              <w:t>标对象并获取相关数据。在单一芯片上结合感应式读卡器、感应式卡</w:t>
            </w:r>
          </w:p>
        </w:tc>
      </w:tr>
      <w:tr>
        <w:trPr>
          <w:trHeight w:val="272" w:hRule="exact"/>
        </w:trPr>
        <w:tc>
          <w:tcPr>
            <w:tcW w:w="3524" w:type="dxa"/>
            <w:tcBorders>
              <w:top w:val="nil" w:sz="6" w:space="0" w:color="auto"/>
              <w:left w:val="single" w:sz="4" w:space="0" w:color="000000"/>
              <w:bottom w:val="nil" w:sz="6" w:space="0" w:color="auto"/>
              <w:right w:val="single" w:sz="4" w:space="0" w:color="000000"/>
            </w:tcBorders>
          </w:tcPr>
          <w:p>
            <w:pPr/>
          </w:p>
        </w:tc>
        <w:tc>
          <w:tcPr>
            <w:tcW w:w="621" w:type="dxa"/>
            <w:vMerge w:val="restart"/>
            <w:tcBorders>
              <w:top w:val="nil" w:sz="6" w:space="0" w:color="auto"/>
              <w:left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片和点对点的功能，通过频谱中无线频率部分的电磁感应耦合方式传</w:t>
            </w:r>
          </w:p>
        </w:tc>
      </w:tr>
      <w:tr>
        <w:trPr>
          <w:trHeight w:val="357"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递信息，传输范围由于频率不同分为中低频和高频两类</w:t>
            </w:r>
          </w:p>
        </w:tc>
      </w:tr>
      <w:tr>
        <w:trPr>
          <w:trHeight w:val="362"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vMerge w:val="restart"/>
            <w:tcBorders>
              <w:top w:val="single" w:sz="4" w:space="0" w:color="000000"/>
              <w:left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 </w:t>
            </w:r>
            <w:r>
              <w:rPr>
                <w:rFonts w:ascii="Times New Roman" w:hAnsi="Times New Roman" w:cs="Times New Roman" w:eastAsia="Times New Roman" w:hint="default"/>
                <w:sz w:val="18"/>
                <w:szCs w:val="18"/>
              </w:rPr>
              <w:t>(Integrated Circuit Card</w:t>
            </w:r>
            <w:r>
              <w:rPr>
                <w:rFonts w:ascii="宋体" w:hAnsi="宋体" w:cs="宋体" w:eastAsia="宋体" w:hint="default"/>
                <w:sz w:val="18"/>
                <w:szCs w:val="18"/>
              </w:rPr>
              <w:t>，集成电路卡</w:t>
            </w:r>
            <w:r>
              <w:rPr>
                <w:rFonts w:ascii="Times New Roman" w:hAnsi="Times New Roman" w:cs="Times New Roman" w:eastAsia="Times New Roman" w:hint="default"/>
                <w:sz w:val="18"/>
                <w:szCs w:val="18"/>
              </w:rPr>
              <w:t>)</w:t>
            </w:r>
            <w:r>
              <w:rPr>
                <w:rFonts w:ascii="宋体" w:hAnsi="宋体" w:cs="宋体" w:eastAsia="宋体" w:hint="default"/>
                <w:sz w:val="18"/>
                <w:szCs w:val="18"/>
              </w:rPr>
              <w:t>也称智能卡</w:t>
            </w:r>
            <w:r>
              <w:rPr>
                <w:rFonts w:ascii="Times New Roman" w:hAnsi="Times New Roman" w:cs="Times New Roman" w:eastAsia="Times New Roman" w:hint="default"/>
                <w:sz w:val="18"/>
                <w:szCs w:val="18"/>
              </w:rPr>
              <w:t>(Smart</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card)</w:t>
            </w:r>
            <w:r>
              <w:rPr>
                <w:rFonts w:ascii="宋体" w:hAnsi="宋体" w:cs="宋体" w:eastAsia="宋体" w:hint="default"/>
                <w:sz w:val="18"/>
                <w:szCs w:val="18"/>
              </w:rPr>
              <w:t>、</w:t>
            </w:r>
          </w:p>
        </w:tc>
      </w:tr>
      <w:tr>
        <w:trPr>
          <w:trHeight w:val="111" w:hRule="exact"/>
        </w:trPr>
        <w:tc>
          <w:tcPr>
            <w:tcW w:w="3524" w:type="dxa"/>
            <w:vMerge w:val="restart"/>
            <w:tcBorders>
              <w:top w:val="nil" w:sz="6" w:space="0" w:color="auto"/>
              <w:left w:val="single" w:sz="4" w:space="0" w:color="000000"/>
              <w:right w:val="single" w:sz="13" w:space="0" w:color="D3D3D3"/>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w:t>
            </w:r>
          </w:p>
        </w:tc>
        <w:tc>
          <w:tcPr>
            <w:tcW w:w="621" w:type="dxa"/>
            <w:vMerge/>
            <w:tcBorders>
              <w:left w:val="single" w:sz="4" w:space="0" w:color="000000"/>
              <w:bottom w:val="nil" w:sz="6" w:space="0" w:color="auto"/>
              <w:right w:val="single" w:sz="4" w:space="0" w:color="000000"/>
            </w:tcBorders>
            <w:shd w:val="clear" w:color="auto" w:fill="D3D3D3"/>
          </w:tcPr>
          <w:p>
            <w:pPr/>
          </w:p>
        </w:tc>
        <w:tc>
          <w:tcPr>
            <w:tcW w:w="5424" w:type="dxa"/>
            <w:vMerge w:val="restart"/>
            <w:tcBorders>
              <w:top w:val="nil" w:sz="6" w:space="0" w:color="auto"/>
              <w:left w:val="single" w:sz="9" w:space="0" w:color="D3D3D3"/>
              <w:right w:val="single" w:sz="4" w:space="0" w:color="000000"/>
            </w:tcBorders>
          </w:tcPr>
          <w:p>
            <w:pPr>
              <w:pStyle w:val="TableParagraph"/>
              <w:spacing w:line="300" w:lineRule="auto" w:before="5"/>
              <w:ind w:left="16" w:right="20"/>
              <w:jc w:val="left"/>
              <w:rPr>
                <w:rFonts w:ascii="宋体" w:hAnsi="宋体" w:cs="宋体" w:eastAsia="宋体" w:hint="default"/>
                <w:sz w:val="18"/>
                <w:szCs w:val="18"/>
              </w:rPr>
            </w:pPr>
            <w:r>
              <w:rPr>
                <w:rFonts w:ascii="宋体" w:hAnsi="宋体" w:cs="宋体" w:eastAsia="宋体" w:hint="default"/>
                <w:sz w:val="18"/>
                <w:szCs w:val="18"/>
              </w:rPr>
              <w:t>智慧卡</w:t>
            </w:r>
            <w:r>
              <w:rPr>
                <w:rFonts w:ascii="Times New Roman" w:hAnsi="Times New Roman" w:cs="Times New Roman" w:eastAsia="Times New Roman" w:hint="default"/>
                <w:sz w:val="18"/>
                <w:szCs w:val="18"/>
              </w:rPr>
              <w:t>(Intelligent card)</w:t>
            </w:r>
            <w:r>
              <w:rPr>
                <w:rFonts w:ascii="宋体" w:hAnsi="宋体" w:cs="宋体" w:eastAsia="宋体" w:hint="default"/>
                <w:sz w:val="18"/>
                <w:szCs w:val="18"/>
              </w:rPr>
              <w:t>、微电路卡</w:t>
            </w:r>
            <w:r>
              <w:rPr>
                <w:rFonts w:ascii="Times New Roman" w:hAnsi="Times New Roman" w:cs="Times New Roman" w:eastAsia="Times New Roman" w:hint="default"/>
                <w:sz w:val="18"/>
                <w:szCs w:val="18"/>
              </w:rPr>
              <w:t>(Microcircuit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card)</w:t>
            </w:r>
            <w:r>
              <w:rPr>
                <w:rFonts w:ascii="宋体" w:hAnsi="宋体" w:cs="宋体" w:eastAsia="宋体" w:hint="default"/>
                <w:sz w:val="18"/>
                <w:szCs w:val="18"/>
              </w:rPr>
              <w:t>或微芯片卡等。 它是将一个微电子芯片嵌入符合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ISO7816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标准的卡基中，做成卡片形</w:t>
            </w:r>
          </w:p>
        </w:tc>
      </w:tr>
      <w:tr>
        <w:trPr>
          <w:trHeight w:val="392" w:hRule="exact"/>
        </w:trPr>
        <w:tc>
          <w:tcPr>
            <w:tcW w:w="3524" w:type="dxa"/>
            <w:vMerge/>
            <w:tcBorders>
              <w:left w:val="single" w:sz="4" w:space="0" w:color="000000"/>
              <w:right w:val="single" w:sz="13"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21" w:hRule="exact"/>
        </w:trPr>
        <w:tc>
          <w:tcPr>
            <w:tcW w:w="3524" w:type="dxa"/>
            <w:vMerge/>
            <w:tcBorders>
              <w:left w:val="single" w:sz="4" w:space="0" w:color="000000"/>
              <w:bottom w:val="nil" w:sz="6" w:space="0" w:color="auto"/>
              <w:right w:val="single" w:sz="13" w:space="0" w:color="D3D3D3"/>
            </w:tcBorders>
          </w:tcPr>
          <w:p>
            <w:pPr/>
          </w:p>
        </w:tc>
        <w:tc>
          <w:tcPr>
            <w:tcW w:w="621" w:type="dxa"/>
            <w:vMerge w:val="restart"/>
            <w:tcBorders>
              <w:top w:val="nil" w:sz="6" w:space="0" w:color="auto"/>
              <w:left w:val="single" w:sz="4" w:space="0" w:color="000000"/>
              <w:right w:val="single" w:sz="4" w:space="0" w:color="000000"/>
            </w:tcBorders>
            <w:shd w:val="clear" w:color="auto" w:fill="D3D3D3"/>
          </w:tcPr>
          <w:p>
            <w:pPr/>
          </w:p>
        </w:tc>
        <w:tc>
          <w:tcPr>
            <w:tcW w:w="5424" w:type="dxa"/>
            <w:vMerge/>
            <w:tcBorders>
              <w:left w:val="single" w:sz="9" w:space="0" w:color="D3D3D3"/>
              <w:bottom w:val="nil" w:sz="6" w:space="0" w:color="auto"/>
              <w:right w:val="single" w:sz="4" w:space="0" w:color="000000"/>
            </w:tcBorders>
          </w:tcPr>
          <w:p>
            <w:pPr/>
          </w:p>
        </w:tc>
      </w:tr>
      <w:tr>
        <w:trPr>
          <w:trHeight w:val="352"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式</w:t>
            </w:r>
          </w:p>
        </w:tc>
      </w:tr>
      <w:tr>
        <w:trPr>
          <w:trHeight w:val="35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vMerge w:val="restart"/>
            <w:tcBorders>
              <w:top w:val="single" w:sz="4" w:space="0" w:color="000000"/>
              <w:left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芯片内含有一个微处理器，功能相当于一台微型计算机。较之普通的</w:t>
            </w:r>
          </w:p>
        </w:tc>
      </w:tr>
      <w:tr>
        <w:trPr>
          <w:trHeight w:val="116" w:hRule="exact"/>
        </w:trPr>
        <w:tc>
          <w:tcPr>
            <w:tcW w:w="3524" w:type="dxa"/>
            <w:vMerge w:val="restart"/>
            <w:tcBorders>
              <w:top w:val="nil" w:sz="6" w:space="0" w:color="auto"/>
              <w:left w:val="single" w:sz="4" w:space="0" w:color="000000"/>
              <w:right w:val="single" w:sz="13" w:space="0" w:color="D3D3D3"/>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p>
        </w:tc>
        <w:tc>
          <w:tcPr>
            <w:tcW w:w="621" w:type="dxa"/>
            <w:vMerge/>
            <w:tcBorders>
              <w:left w:val="single" w:sz="4" w:space="0" w:color="000000"/>
              <w:bottom w:val="nil" w:sz="6" w:space="0" w:color="auto"/>
              <w:right w:val="single" w:sz="4" w:space="0" w:color="000000"/>
            </w:tcBorders>
            <w:shd w:val="clear" w:color="auto" w:fill="D3D3D3"/>
          </w:tcPr>
          <w:p>
            <w:pPr/>
          </w:p>
        </w:tc>
        <w:tc>
          <w:tcPr>
            <w:tcW w:w="5424" w:type="dxa"/>
            <w:vMerge w:val="restart"/>
            <w:tcBorders>
              <w:top w:val="nil" w:sz="6" w:space="0" w:color="auto"/>
              <w:left w:val="single" w:sz="9" w:space="0" w:color="D3D3D3"/>
              <w:right w:val="single" w:sz="4" w:space="0" w:color="000000"/>
            </w:tcBorders>
          </w:tcPr>
          <w:p>
            <w:pPr>
              <w:pStyle w:val="TableParagraph"/>
              <w:spacing w:line="300" w:lineRule="auto" w:before="10"/>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卡其性能上有巨大提升，安全性提高很多，通常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 </w:t>
            </w:r>
            <w:r>
              <w:rPr>
                <w:rFonts w:ascii="宋体" w:hAnsi="宋体" w:cs="宋体" w:eastAsia="宋体" w:hint="default"/>
                <w:sz w:val="18"/>
                <w:szCs w:val="18"/>
              </w:rPr>
              <w:t>卡内含有随 机数发生器，硬件</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DES,3DES</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加密算法等，配合片上操作系统，可达</w:t>
            </w:r>
          </w:p>
        </w:tc>
      </w:tr>
      <w:tr>
        <w:trPr>
          <w:trHeight w:val="392" w:hRule="exact"/>
        </w:trPr>
        <w:tc>
          <w:tcPr>
            <w:tcW w:w="3524" w:type="dxa"/>
            <w:vMerge/>
            <w:tcBorders>
              <w:left w:val="single" w:sz="4" w:space="0" w:color="000000"/>
              <w:right w:val="single" w:sz="13"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21" w:hRule="exact"/>
        </w:trPr>
        <w:tc>
          <w:tcPr>
            <w:tcW w:w="3524" w:type="dxa"/>
            <w:vMerge/>
            <w:tcBorders>
              <w:left w:val="single" w:sz="4" w:space="0" w:color="000000"/>
              <w:bottom w:val="nil" w:sz="6" w:space="0" w:color="auto"/>
              <w:right w:val="single" w:sz="13" w:space="0" w:color="D3D3D3"/>
            </w:tcBorders>
          </w:tcPr>
          <w:p>
            <w:pPr/>
          </w:p>
        </w:tc>
        <w:tc>
          <w:tcPr>
            <w:tcW w:w="621" w:type="dxa"/>
            <w:vMerge w:val="restart"/>
            <w:tcBorders>
              <w:top w:val="nil" w:sz="6" w:space="0" w:color="auto"/>
              <w:left w:val="single" w:sz="4" w:space="0" w:color="000000"/>
              <w:right w:val="single" w:sz="4" w:space="0" w:color="000000"/>
            </w:tcBorders>
            <w:shd w:val="clear" w:color="auto" w:fill="D3D3D3"/>
          </w:tcPr>
          <w:p>
            <w:pPr/>
          </w:p>
        </w:tc>
        <w:tc>
          <w:tcPr>
            <w:tcW w:w="5424" w:type="dxa"/>
            <w:vMerge/>
            <w:tcBorders>
              <w:left w:val="single" w:sz="9" w:space="0" w:color="D3D3D3"/>
              <w:bottom w:val="nil" w:sz="6" w:space="0" w:color="auto"/>
              <w:right w:val="single" w:sz="4" w:space="0" w:color="000000"/>
            </w:tcBorders>
          </w:tcPr>
          <w:p>
            <w:pPr/>
          </w:p>
        </w:tc>
      </w:tr>
      <w:tr>
        <w:trPr>
          <w:trHeight w:val="352"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到较高安全等级</w:t>
            </w:r>
          </w:p>
        </w:tc>
      </w:tr>
      <w:tr>
        <w:trPr>
          <w:trHeight w:val="362"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vMerge w:val="restart"/>
            <w:tcBorders>
              <w:top w:val="single" w:sz="4" w:space="0" w:color="000000"/>
              <w:left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Point Of Sale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的缩写，即销售终端，是一种多功能终端，把它安装在</w:t>
            </w:r>
          </w:p>
        </w:tc>
      </w:tr>
      <w:tr>
        <w:trPr>
          <w:trHeight w:val="111" w:hRule="exact"/>
        </w:trPr>
        <w:tc>
          <w:tcPr>
            <w:tcW w:w="3524" w:type="dxa"/>
            <w:vMerge w:val="restart"/>
            <w:tcBorders>
              <w:top w:val="nil" w:sz="6" w:space="0" w:color="auto"/>
              <w:left w:val="single" w:sz="4" w:space="0" w:color="000000"/>
              <w:right w:val="single" w:sz="13" w:space="0" w:color="D3D3D3"/>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POS</w:t>
            </w:r>
          </w:p>
        </w:tc>
        <w:tc>
          <w:tcPr>
            <w:tcW w:w="621" w:type="dxa"/>
            <w:vMerge/>
            <w:tcBorders>
              <w:left w:val="single" w:sz="4" w:space="0" w:color="000000"/>
              <w:bottom w:val="nil" w:sz="6" w:space="0" w:color="auto"/>
              <w:right w:val="single" w:sz="4" w:space="0" w:color="000000"/>
            </w:tcBorders>
            <w:shd w:val="clear" w:color="auto" w:fill="D3D3D3"/>
          </w:tcPr>
          <w:p>
            <w:pPr/>
          </w:p>
        </w:tc>
        <w:tc>
          <w:tcPr>
            <w:tcW w:w="5424" w:type="dxa"/>
            <w:vMerge w:val="restart"/>
            <w:tcBorders>
              <w:top w:val="nil" w:sz="6" w:space="0" w:color="auto"/>
              <w:left w:val="single" w:sz="9" w:space="0" w:color="D3D3D3"/>
              <w:right w:val="single" w:sz="4" w:space="0" w:color="000000"/>
            </w:tcBorders>
          </w:tcPr>
          <w:p>
            <w:pPr>
              <w:pStyle w:val="TableParagraph"/>
              <w:spacing w:line="316" w:lineRule="auto" w:before="5"/>
              <w:ind w:left="16" w:right="-9"/>
              <w:jc w:val="left"/>
              <w:rPr>
                <w:rFonts w:ascii="宋体" w:hAnsi="宋体" w:cs="宋体" w:eastAsia="宋体" w:hint="default"/>
                <w:sz w:val="18"/>
                <w:szCs w:val="18"/>
              </w:rPr>
            </w:pPr>
            <w:r>
              <w:rPr>
                <w:rFonts w:ascii="宋体" w:hAnsi="宋体" w:cs="宋体" w:eastAsia="宋体" w:hint="default"/>
                <w:sz w:val="18"/>
                <w:szCs w:val="18"/>
              </w:rPr>
              <w:t>商户和受理网点中与计算机联成网络，就能实现电子资金自动转帐， 它具有支持消费、预授权、余额查询和转帐等功能，使用起来安全、</w:t>
            </w:r>
          </w:p>
        </w:tc>
      </w:tr>
      <w:tr>
        <w:trPr>
          <w:trHeight w:val="392" w:hRule="exact"/>
        </w:trPr>
        <w:tc>
          <w:tcPr>
            <w:tcW w:w="3524" w:type="dxa"/>
            <w:vMerge/>
            <w:tcBorders>
              <w:left w:val="single" w:sz="4" w:space="0" w:color="000000"/>
              <w:right w:val="single" w:sz="13"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16" w:hRule="exact"/>
        </w:trPr>
        <w:tc>
          <w:tcPr>
            <w:tcW w:w="3524" w:type="dxa"/>
            <w:vMerge/>
            <w:tcBorders>
              <w:left w:val="single" w:sz="4" w:space="0" w:color="000000"/>
              <w:bottom w:val="nil" w:sz="6" w:space="0" w:color="auto"/>
              <w:right w:val="single" w:sz="13" w:space="0" w:color="D3D3D3"/>
            </w:tcBorders>
          </w:tcPr>
          <w:p>
            <w:pPr/>
          </w:p>
        </w:tc>
        <w:tc>
          <w:tcPr>
            <w:tcW w:w="621" w:type="dxa"/>
            <w:vMerge w:val="restart"/>
            <w:tcBorders>
              <w:top w:val="nil" w:sz="6" w:space="0" w:color="auto"/>
              <w:left w:val="single" w:sz="4" w:space="0" w:color="000000"/>
              <w:right w:val="single" w:sz="4" w:space="0" w:color="000000"/>
            </w:tcBorders>
            <w:shd w:val="clear" w:color="auto" w:fill="D3D3D3"/>
          </w:tcPr>
          <w:p>
            <w:pPr/>
          </w:p>
        </w:tc>
        <w:tc>
          <w:tcPr>
            <w:tcW w:w="5424" w:type="dxa"/>
            <w:vMerge/>
            <w:tcBorders>
              <w:left w:val="single" w:sz="9" w:space="0" w:color="D3D3D3"/>
              <w:bottom w:val="nil" w:sz="6" w:space="0" w:color="auto"/>
              <w:right w:val="single" w:sz="4" w:space="0" w:color="000000"/>
            </w:tcBorders>
          </w:tcPr>
          <w:p>
            <w:pPr/>
          </w:p>
        </w:tc>
      </w:tr>
      <w:tr>
        <w:trPr>
          <w:trHeight w:val="357"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快捷、可靠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9.2pt;height:685.1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在同一张卡上实现多种不同功能，通行多种智能设备。一卡通系统集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技术、嵌入系统开发技术、智能卡应用技术、计算机网络技术 等于一体，通过</w:t>
                        </w:r>
                        <w:r>
                          <w:rPr>
                            <w:rFonts w:ascii="Times New Roman" w:hAnsi="Times New Roman" w:cs="Times New Roman" w:eastAsia="Times New Roman" w:hint="default"/>
                            <w:sz w:val="18"/>
                            <w:szCs w:val="18"/>
                          </w:rPr>
                          <w:t>"</w:t>
                        </w:r>
                        <w:r>
                          <w:rPr>
                            <w:rFonts w:ascii="宋体" w:hAnsi="宋体" w:cs="宋体" w:eastAsia="宋体" w:hint="default"/>
                            <w:sz w:val="18"/>
                            <w:szCs w:val="18"/>
                          </w:rPr>
                          <w:t>信息共享、集中控制</w:t>
                        </w:r>
                        <w:r>
                          <w:rPr>
                            <w:rFonts w:ascii="Times New Roman" w:hAnsi="Times New Roman" w:cs="Times New Roman" w:eastAsia="Times New Roman" w:hint="default"/>
                            <w:sz w:val="18"/>
                            <w:szCs w:val="18"/>
                          </w:rPr>
                          <w:t>"</w:t>
                        </w:r>
                        <w:r>
                          <w:rPr>
                            <w:rFonts w:ascii="宋体" w:hAnsi="宋体" w:cs="宋体" w:eastAsia="宋体" w:hint="default"/>
                            <w:sz w:val="18"/>
                            <w:szCs w:val="18"/>
                          </w:rPr>
                          <w:t>实现某一区域的智能化管理。 </w:t>
                        </w:r>
                        <w:r>
                          <w:rPr>
                            <w:rFonts w:ascii="宋体" w:hAnsi="宋体" w:cs="宋体" w:eastAsia="宋体" w:hint="default"/>
                            <w:spacing w:val="-2"/>
                            <w:sz w:val="18"/>
                            <w:szCs w:val="18"/>
                          </w:rPr>
                          <w:t>广泛应用于校园，企事业，城市等领域。随着技术发展，介质卡片已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卡发展至及手机卡等多种实现形式</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校园一卡通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一卡通系统在校园内的应用形态，实现学生、教师及职工的</w:t>
                        </w:r>
                        <w:r>
                          <w:rPr>
                            <w:rFonts w:ascii="Times New Roman" w:hAnsi="Times New Roman" w:cs="Times New Roman" w:eastAsia="Times New Roman" w:hint="default"/>
                            <w:sz w:val="18"/>
                            <w:szCs w:val="18"/>
                          </w:rPr>
                          <w:t>"</w:t>
                        </w:r>
                        <w:r>
                          <w:rPr>
                            <w:rFonts w:ascii="宋体" w:hAnsi="宋体" w:cs="宋体" w:eastAsia="宋体" w:hint="default"/>
                            <w:sz w:val="18"/>
                            <w:szCs w:val="18"/>
                          </w:rPr>
                          <w:t>一卡在 手，走遍校园，一卡通用，一卡多用</w:t>
                        </w:r>
                        <w:r>
                          <w:rPr>
                            <w:rFonts w:ascii="Times New Roman" w:hAnsi="Times New Roman" w:cs="Times New Roman" w:eastAsia="Times New Roman" w:hint="default"/>
                            <w:sz w:val="18"/>
                            <w:szCs w:val="18"/>
                          </w:rPr>
                          <w:t>"</w:t>
                        </w:r>
                      </w:p>
                    </w:tc>
                  </w:tr>
                  <w:tr>
                    <w:trPr>
                      <w:trHeight w:val="25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是校园信息化建设的高级阶段，以数字化信息和网络为基础，在计算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机和网络技术上建立起来的对教学、科研、管理、技术服务、生活服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务等校园信息的收集、处理、整合、存储、传输和应用，使数字资源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得到充分优化。利用一种虚拟教育环境，通过实现从环境、资源到应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用的全部数字化，在传统校园基础上构建一个数字空间，以拓展现实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校园的时间和空间维度，提升传统校园的运行效率，扩展传统校园的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业务功能，最终实现教育过程的全面信息化，从而达到提高管理水平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和效率的目的</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The </w:t>
                        </w:r>
                        <w:r>
                          <w:rPr>
                            <w:rFonts w:ascii="Times New Roman" w:hAnsi="Times New Roman" w:cs="Times New Roman" w:eastAsia="Times New Roman" w:hint="default"/>
                            <w:spacing w:val="-1"/>
                            <w:sz w:val="18"/>
                            <w:szCs w:val="18"/>
                          </w:rPr>
                          <w:t>Internet</w:t>
                        </w:r>
                        <w:r>
                          <w:rPr>
                            <w:rFonts w:ascii="Times New Roman" w:hAnsi="Times New Roman" w:cs="Times New Roman" w:eastAsia="Times New Roman" w:hint="default"/>
                            <w:sz w:val="18"/>
                            <w:szCs w:val="18"/>
                          </w:rPr>
                          <w:t> of</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5"/>
                            <w:sz w:val="18"/>
                            <w:szCs w:val="18"/>
                          </w:rPr>
                          <w:t>things</w:t>
                        </w:r>
                        <w:r>
                          <w:rPr>
                            <w:rFonts w:ascii="宋体" w:hAnsi="宋体" w:cs="宋体" w:eastAsia="宋体" w:hint="default"/>
                            <w:spacing w:val="-5"/>
                            <w:sz w:val="18"/>
                            <w:szCs w:val="18"/>
                          </w:rPr>
                          <w:t>，即物物相连的互联网，通过射频识别（</w:t>
                        </w:r>
                        <w:r>
                          <w:rPr>
                            <w:rFonts w:ascii="Times New Roman" w:hAnsi="Times New Roman" w:cs="Times New Roman" w:eastAsia="Times New Roman" w:hint="default"/>
                            <w:spacing w:val="-5"/>
                            <w:sz w:val="18"/>
                            <w:szCs w:val="18"/>
                          </w:rPr>
                          <w:t>RFID</w:t>
                        </w:r>
                        <w:r>
                          <w:rPr>
                            <w:rFonts w:ascii="宋体" w:hAnsi="宋体" w:cs="宋体" w:eastAsia="宋体" w:hint="default"/>
                            <w:spacing w:val="-5"/>
                            <w:sz w:val="18"/>
                            <w:szCs w:val="18"/>
                          </w:rPr>
                          <w:t>）</w:t>
                        </w:r>
                        <w:r>
                          <w:rPr>
                            <w:rFonts w:ascii="宋体" w:hAnsi="宋体" w:cs="宋体" w:eastAsia="宋体" w:hint="default"/>
                            <w:spacing w:val="-79"/>
                            <w:sz w:val="18"/>
                            <w:szCs w:val="18"/>
                          </w:rPr>
                          <w:t> </w:t>
                        </w:r>
                        <w:r>
                          <w:rPr>
                            <w:rFonts w:ascii="宋体" w:hAnsi="宋体" w:cs="宋体" w:eastAsia="宋体" w:hint="default"/>
                            <w:spacing w:val="-2"/>
                            <w:sz w:val="18"/>
                            <w:szCs w:val="18"/>
                          </w:rPr>
                          <w:t>红外感应器、全球定位系统、激光扫描器等信息传感设备，按约定的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协议，把任何物体与互联网相连接，进行信息交换和通信，以实现对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物体的智能化识别、定位、跟踪、监控和管理的一种网络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数字化校园结合物联网技术所形成的高端校园信息化形态</w:t>
                        </w:r>
                      </w:p>
                    </w:tc>
                  </w:tr>
                  <w:tr>
                    <w:trPr>
                      <w:trHeight w:val="196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指充分借助物联网、传感网，运用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、信息技术等，使城市的关 </w:t>
                        </w:r>
                        <w:r>
                          <w:rPr>
                            <w:rFonts w:ascii="宋体" w:hAnsi="宋体" w:cs="宋体" w:eastAsia="宋体" w:hint="default"/>
                            <w:spacing w:val="-2"/>
                            <w:sz w:val="18"/>
                            <w:szCs w:val="18"/>
                          </w:rPr>
                          <w:t>键基础设施通过组成服务，使城市的服务更有效，为市民提供人与社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会、人与人的和谐共处，涉及到智能楼宇、智能家居、路网监控、智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能医院等数字生活等诸多领域，构建城市发展的智慧环境，形成基于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海量信息和智能过滤处理的新的生活、产业发展、社会管理等模式， 面向未来构建全新的城市形态</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手机支付</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指允许移动用户使用其移动终端（通常是手机）对所消费的商品或服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务进行账务支付的一种服务方式，可分为远端支付和近场支付，其中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近场支付指用户利用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NFC </w:t>
                        </w:r>
                        <w:r>
                          <w:rPr>
                            <w:rFonts w:ascii="宋体" w:hAnsi="宋体" w:cs="宋体" w:eastAsia="宋体" w:hint="default"/>
                            <w:spacing w:val="-3"/>
                            <w:sz w:val="18"/>
                            <w:szCs w:val="18"/>
                          </w:rPr>
                          <w:t>和蓝牙红外等技术，使手机和自动</w:t>
                        </w:r>
                        <w:r>
                          <w:rPr>
                            <w:rFonts w:ascii="宋体" w:hAnsi="宋体" w:cs="宋体" w:eastAsia="宋体" w:hint="default"/>
                            <w:sz w:val="18"/>
                            <w:szCs w:val="18"/>
                          </w:rPr>
                          <w:t> 售货机、</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终端、汽车停放收费表等终端设备之间实现本地化通 讯</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移动通信和互联网二者结合起来，成为一体，是一种通过智能移动终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端，采用移动无线通信方式获取业务和服务的新兴业态，包含终端、 软件和应用三个层面。</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NFC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Near Field Communication</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缩写，即近距离无线通讯技术。是一种短距</w:t>
                        </w:r>
                        <w:r>
                          <w:rPr>
                            <w:rFonts w:ascii="宋体" w:hAnsi="宋体" w:cs="宋体" w:eastAsia="宋体" w:hint="default"/>
                            <w:sz w:val="18"/>
                            <w:szCs w:val="18"/>
                          </w:rPr>
                          <w:t> </w:t>
                        </w:r>
                        <w:r>
                          <w:rPr>
                            <w:rFonts w:ascii="宋体" w:hAnsi="宋体" w:cs="宋体" w:eastAsia="宋体" w:hint="default"/>
                            <w:spacing w:val="-2"/>
                            <w:sz w:val="18"/>
                            <w:szCs w:val="18"/>
                          </w:rPr>
                          <w:t>离的高频无线通信技术，允许电子设备之间进行非接触式点对点数据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传输</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B2B</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Business</w:t>
                        </w:r>
                        <w:r>
                          <w:rPr>
                            <w:rFonts w:ascii="宋体" w:hAnsi="宋体" w:cs="宋体" w:eastAsia="宋体" w:hint="default"/>
                            <w:sz w:val="18"/>
                            <w:szCs w:val="18"/>
                          </w:rPr>
                          <w:t>（商家对商家）的缩写，是指一个互联网市场领 域的一种，是企业对企业之间的营销关系。它将企业内部网，通过 </w:t>
                        </w:r>
                        <w:r>
                          <w:rPr>
                            <w:rFonts w:ascii="Times New Roman" w:hAnsi="Times New Roman" w:cs="Times New Roman" w:eastAsia="Times New Roman" w:hint="default"/>
                            <w:spacing w:val="-1"/>
                            <w:sz w:val="18"/>
                            <w:szCs w:val="18"/>
                          </w:rPr>
                          <w:t>B2B</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网站与客户紧密结合起来，通过网络的快速反应，为客户提供更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好的服务，从而促进企业的业务发展</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9"/>
          <w:szCs w:val="29"/>
        </w:rPr>
      </w:pPr>
    </w:p>
    <w:p>
      <w:pPr>
        <w:spacing w:before="44"/>
        <w:ind w:left="0" w:right="158" w:firstLine="0"/>
        <w:jc w:val="right"/>
        <w:rPr>
          <w:rFonts w:ascii="宋体" w:hAnsi="宋体" w:cs="宋体" w:eastAsia="宋体" w:hint="default"/>
          <w:sz w:val="18"/>
          <w:szCs w:val="18"/>
        </w:rPr>
      </w:pPr>
      <w:r>
        <w:rPr/>
        <w:pict>
          <v:shape style="position:absolute;margin-left:56.459999pt;margin-top:-.848014pt;width:479.2pt;height:19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B2C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5"/>
                            <w:sz w:val="18"/>
                            <w:szCs w:val="18"/>
                          </w:rPr>
                          <w:t>Customer</w:t>
                        </w:r>
                        <w:r>
                          <w:rPr>
                            <w:rFonts w:ascii="宋体" w:hAnsi="宋体" w:cs="宋体" w:eastAsia="宋体" w:hint="default"/>
                            <w:spacing w:val="-5"/>
                            <w:sz w:val="18"/>
                            <w:szCs w:val="18"/>
                          </w:rPr>
                          <w:t>（商家对顾客）的缩写，是电子商务的一种模式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也就是通常说的商业零售，直接面向消费者销售产品和服务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O2O</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Offline</w:t>
                        </w:r>
                        <w:r>
                          <w:rPr>
                            <w:rFonts w:ascii="宋体" w:hAnsi="宋体" w:cs="宋体" w:eastAsia="宋体" w:hint="default"/>
                            <w:sz w:val="18"/>
                            <w:szCs w:val="18"/>
                          </w:rPr>
                          <w:t>（在线离线</w:t>
                        </w:r>
                        <w:r>
                          <w:rPr>
                            <w:rFonts w:ascii="Times New Roman" w:hAnsi="Times New Roman" w:cs="Times New Roman" w:eastAsia="Times New Roman" w:hint="default"/>
                            <w:sz w:val="18"/>
                            <w:szCs w:val="18"/>
                          </w:rPr>
                          <w:t>/</w:t>
                        </w:r>
                        <w:r>
                          <w:rPr>
                            <w:rFonts w:ascii="宋体" w:hAnsi="宋体" w:cs="宋体" w:eastAsia="宋体" w:hint="default"/>
                            <w:sz w:val="18"/>
                            <w:szCs w:val="18"/>
                          </w:rPr>
                          <w:t>线上到线下）的缩写，是指线下的商务 机构与互联网结合，让互联网成为线下交易的前台</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02"/>
        <w:gridCol w:w="2334"/>
        <w:gridCol w:w="2156"/>
        <w:gridCol w:w="2177"/>
      </w:tblGrid>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300248</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新开普</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Newcapec Electronics Co.,</w:t>
            </w:r>
            <w:r>
              <w:rPr>
                <w:rFonts w:ascii="Times New Roman"/>
                <w:spacing w:val="-7"/>
                <w:sz w:val="18"/>
              </w:rPr>
              <w:t> </w:t>
            </w:r>
            <w:r>
              <w:rPr>
                <w:rFonts w:ascii="Times New Roman"/>
                <w:sz w:val="18"/>
              </w:rPr>
              <w:t>Ltd.</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Newcapec</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杨维国</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hyperlink r:id="rId9">
              <w:r>
                <w:rPr>
                  <w:rFonts w:ascii="Times New Roman"/>
                  <w:sz w:val="18"/>
                </w:rPr>
                <w:t>http://www.newcapec.com.cn/</w:t>
              </w:r>
            </w:hyperlink>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hyperlink r:id="rId10">
              <w:r>
                <w:rPr>
                  <w:rFonts w:ascii="Times New Roman"/>
                  <w:sz w:val="18"/>
                </w:rPr>
                <w:t>zqswb@newcapec.net</w:t>
              </w:r>
            </w:hyperlink>
          </w:p>
        </w:tc>
      </w:tr>
      <w:tr>
        <w:trPr>
          <w:trHeight w:val="40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6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0371-56599758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0371-56599716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huamengyang@newcapec.net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zhaoxin@newcapec.net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19"/>
      </w:tblGrid>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410102721832659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首次公开发行股票 注册变更登记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修改经营范围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增加注册资本、修改</w:t>
            </w:r>
            <w:r>
              <w:rPr>
                <w:rFonts w:ascii="宋体" w:hAnsi="宋体" w:cs="宋体" w:eastAsia="宋体" w:hint="default"/>
                <w:sz w:val="18"/>
                <w:szCs w:val="18"/>
              </w:rPr>
              <w:t> 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修改经营范围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修改经营范围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公司名称变更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89.779999pt;margin-top:350.829987pt;width:87.7pt;height:28pt;mso-position-horizontal-relative:page;mso-position-vertical-relative:page;z-index:-999088" coordorigin="3796,7017" coordsize="1754,560">
            <v:group style="position:absolute;left:3796;top:7420;width:1754;height:156" coordorigin="3796,7420" coordsize="1754,156">
              <v:shape style="position:absolute;left:3796;top:7420;width:1754;height:156" coordorigin="3796,7420" coordsize="1754,156" path="m3796,7576l5549,7576,5549,7420,3796,7420,3796,7576xe" filled="true" fillcolor="#ffffff" stroked="false">
                <v:path arrowok="t"/>
                <v:fill type="solid"/>
              </v:shape>
            </v:group>
            <v:group style="position:absolute;left:3807;top:7028;width:2;height:392" coordorigin="3807,7028" coordsize="2,392">
              <v:shape style="position:absolute;left:3807;top:7028;width:2;height:392" coordorigin="3807,7028" coordsize="0,392" path="m3807,7028l3807,7420e" filled="false" stroked="true" strokeweight="1.140pt" strokecolor="#ffffff">
                <v:path arrowok="t"/>
              </v:shape>
            </v:group>
            <v:group style="position:absolute;left:3818;top:7028;width:1708;height:393" coordorigin="3818,7028" coordsize="1708,393">
              <v:shape style="position:absolute;left:3818;top:7028;width:1708;height:393" coordorigin="3818,7028" coordsize="1708,393" path="m3818,7421l5526,7421,5526,7028,3818,7028,3818,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1774"/>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315,360,861.85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221,169,469.97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209,436,781.07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149,135,520.14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109,286,406.39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96,536,894.23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31,733,595.95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6,932,003.12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45,468,271.75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43,163,571.03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25,973,417.31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48,730,574.33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37,756,702.33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24,696,036.39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42,133,555.90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695" w:right="0"/>
              <w:jc w:val="left"/>
              <w:rPr>
                <w:rFonts w:ascii="Times New Roman" w:hAnsi="Times New Roman" w:cs="Times New Roman" w:eastAsia="Times New Roman" w:hint="default"/>
                <w:sz w:val="18"/>
                <w:szCs w:val="18"/>
              </w:rPr>
            </w:pPr>
            <w:r>
              <w:rPr>
                <w:rFonts w:ascii="Times New Roman"/>
                <w:sz w:val="18"/>
              </w:rPr>
              <w:t>36,722,143.93</w:t>
            </w:r>
          </w:p>
          <w:p>
            <w:pPr>
              <w:pStyle w:val="TableParagraph"/>
              <w:spacing w:line="19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23,850,632.09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39,358,077.44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3,621,744.87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27,813,108.05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16,218,393.79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0.0254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0.3118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0.1818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142,720,000.00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646,688,096.54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583,071,821.25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548,453,305.04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95,843,170.21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71,637,906.78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56,995,206.82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536,070,836.94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507,234,134.61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491,458,098.22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3.7561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5.6865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5.5096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532"/>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3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53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17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532"/>
        <w:jc w:val="left"/>
        <w:rPr>
          <w:b w:val="0"/>
          <w:bCs w:val="0"/>
        </w:rPr>
      </w:pPr>
      <w:r>
        <w:rPr/>
        <w:t>三、非经常性损益的项目及金额</w:t>
      </w:r>
      <w:r>
        <w:rPr>
          <w:b w:val="0"/>
          <w:bCs w:val="0"/>
        </w:rPr>
      </w:r>
    </w:p>
    <w:p>
      <w:pPr>
        <w:spacing w:line="240" w:lineRule="auto" w:before="3"/>
        <w:rPr>
          <w:rFonts w:ascii="宋体" w:hAnsi="宋体" w:cs="宋体" w:eastAsia="宋体" w:hint="default"/>
          <w:b/>
          <w:bCs/>
          <w:sz w:val="23"/>
          <w:szCs w:val="23"/>
        </w:rPr>
      </w:pPr>
    </w:p>
    <w:p>
      <w:pPr>
        <w:spacing w:before="44"/>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4,747.50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-8,436.70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-34,320.98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1,209,753.33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996,026.93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3,296,621.56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除增值税软件退税外 的政府补助</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6,970.79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180,875.73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149,156.72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486,824.12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1,034,558.40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845,404.30</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2,775,478.46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211" w:firstLine="0"/>
        <w:jc w:val="both"/>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211" w:firstLine="0"/>
        <w:jc w:val="both"/>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r>
        <w:rPr/>
        <w:t>四、重大风险提示</w:t>
      </w:r>
      <w:r>
        <w:rPr>
          <w:b w:val="0"/>
          <w:bCs w:val="0"/>
        </w:rPr>
      </w:r>
    </w:p>
    <w:p>
      <w:pPr>
        <w:spacing w:line="240" w:lineRule="auto" w:before="9"/>
        <w:rPr>
          <w:rFonts w:ascii="宋体" w:hAnsi="宋体" w:cs="宋体" w:eastAsia="宋体" w:hint="default"/>
          <w:b/>
          <w:bCs/>
          <w:sz w:val="30"/>
          <w:szCs w:val="30"/>
        </w:rPr>
      </w:pPr>
    </w:p>
    <w:p>
      <w:pPr>
        <w:pStyle w:val="BodyText"/>
        <w:spacing w:line="417" w:lineRule="auto" w:before="0"/>
        <w:ind w:left="574" w:right="95" w:hanging="1"/>
        <w:jc w:val="left"/>
      </w:pPr>
      <w:r>
        <w:rPr>
          <w:rFonts w:ascii="Times New Roman" w:hAnsi="Times New Roman" w:cs="Times New Roman" w:eastAsia="Times New Roman" w:hint="default"/>
        </w:rPr>
        <w:t>1</w:t>
      </w:r>
      <w:r>
        <w:rPr/>
        <w:t>、下游应用领域信息化进程风险 </w:t>
      </w:r>
      <w:r>
        <w:rPr>
          <w:spacing w:val="-3"/>
        </w:rPr>
        <w:t>公司所处智能一卡通行业主要应用领域为学校、企事业和城市。随着下游应用领域信息化进展的加快，</w:t>
      </w:r>
    </w:p>
    <w:p>
      <w:pPr>
        <w:pStyle w:val="BodyText"/>
        <w:spacing w:line="398" w:lineRule="auto" w:before="38"/>
        <w:ind w:left="153" w:right="211"/>
        <w:jc w:val="both"/>
      </w:pPr>
      <w:r>
        <w:rPr>
          <w:spacing w:val="-2"/>
        </w:rPr>
        <w:t>上游芯片制造、电子元器件等行业的不断成熟，以及智能卡技术、</w:t>
      </w:r>
      <w:r>
        <w:rPr>
          <w:rFonts w:ascii="Times New Roman" w:hAnsi="Times New Roman" w:cs="Times New Roman" w:eastAsia="Times New Roman" w:hint="default"/>
          <w:spacing w:val="-2"/>
        </w:rPr>
        <w:t>RFID</w:t>
      </w:r>
      <w:r>
        <w:rPr>
          <w:spacing w:val="-2"/>
        </w:rPr>
        <w:t>技术、</w:t>
      </w:r>
      <w:r>
        <w:rPr>
          <w:rFonts w:ascii="Times New Roman" w:hAnsi="Times New Roman" w:cs="Times New Roman" w:eastAsia="Times New Roman" w:hint="default"/>
          <w:spacing w:val="-2"/>
        </w:rPr>
        <w:t>NFC</w:t>
      </w:r>
      <w:r>
        <w:rPr>
          <w:spacing w:val="-2"/>
        </w:rPr>
        <w:t>近场通信技术、系统集</w:t>
      </w:r>
      <w:r>
        <w:rPr>
          <w:spacing w:val="-86"/>
        </w:rPr>
        <w:t> </w:t>
      </w:r>
      <w:r>
        <w:rPr>
          <w:spacing w:val="-86"/>
        </w:rPr>
      </w:r>
      <w:r>
        <w:rPr>
          <w:spacing w:val="-1"/>
        </w:rPr>
        <w:t>成及功能实现技术的不断完善，在最近几年取得了快速发展，并将在“智慧校园”和“智慧城市”建设浪</w:t>
      </w:r>
      <w:r>
        <w:rPr>
          <w:spacing w:val="-81"/>
        </w:rPr>
        <w:t> </w:t>
      </w:r>
      <w:r>
        <w:rPr>
          <w:spacing w:val="-81"/>
        </w:rPr>
      </w:r>
      <w:r>
        <w:rPr/>
        <w:t>潮及物联网和手机一卡通兴起的推动下，得到更蓬勃的发展。</w:t>
      </w:r>
    </w:p>
    <w:p>
      <w:pPr>
        <w:spacing w:after="0" w:line="39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88" w:firstLine="420"/>
        <w:jc w:val="both"/>
      </w:pPr>
      <w:r>
        <w:rPr>
          <w:spacing w:val="-1"/>
        </w:rPr>
        <w:t>下游应用领域的发展已对智能一卡通企业整体解决方案提供能力提出更高要求，为行业内的优势企业</w:t>
      </w:r>
      <w:r>
        <w:rPr/>
        <w:t> 提供了巨大发展机遇。但是，下游应用领域的信息化进程，还受制于投资体制、具体用户消费习惯提升、 </w:t>
      </w:r>
      <w:r>
        <w:rPr>
          <w:spacing w:val="-1"/>
        </w:rPr>
        <w:t>上游配套产业的完善程度以及相关技术的发展及成熟度等诸多因素影响，从而对智能一卡通行业的发展速</w:t>
      </w:r>
      <w:r>
        <w:rPr>
          <w:spacing w:val="-81"/>
        </w:rPr>
        <w:t> </w:t>
      </w:r>
      <w:r>
        <w:rPr>
          <w:spacing w:val="-81"/>
        </w:rPr>
      </w:r>
      <w:r>
        <w:rPr/>
        <w:t>度及方向产生影响。</w:t>
      </w:r>
    </w:p>
    <w:p>
      <w:pPr>
        <w:pStyle w:val="BodyText"/>
        <w:spacing w:line="408" w:lineRule="auto"/>
        <w:ind w:left="153" w:right="209" w:firstLine="420"/>
        <w:jc w:val="both"/>
      </w:pPr>
      <w:r>
        <w:rPr>
          <w:spacing w:val="-1"/>
        </w:rPr>
        <w:t>应对措施：公司将密切关注用户行业变革动态，强化与直接用户的沟通与联系，更加贴近市场，贴近</w:t>
      </w:r>
      <w:r>
        <w:rPr/>
        <w:t> </w:t>
      </w:r>
      <w:r>
        <w:rPr>
          <w:spacing w:val="-1"/>
        </w:rPr>
        <w:t>实际应用现场，根据市场和需求变化完善配套解决方案，跟踪新的需求增长点，升级产品和开发跟多定制</w:t>
      </w:r>
      <w:r>
        <w:rPr>
          <w:spacing w:val="-83"/>
        </w:rPr>
        <w:t> </w:t>
      </w:r>
      <w:r>
        <w:rPr>
          <w:spacing w:val="-83"/>
        </w:rPr>
      </w:r>
      <w:r>
        <w:rPr>
          <w:spacing w:val="-1"/>
        </w:rPr>
        <w:t>化方案。同时，强化与运营商、银行、银联等客户的技术与渠道合作，保持对市场的敏感度，缩短获取需</w:t>
      </w:r>
      <w:r>
        <w:rPr>
          <w:spacing w:val="-83"/>
        </w:rPr>
        <w:t> </w:t>
      </w:r>
      <w:r>
        <w:rPr>
          <w:spacing w:val="-83"/>
        </w:rPr>
      </w:r>
      <w:r>
        <w:rPr/>
        <w:t>求</w:t>
      </w:r>
      <w:r>
        <w:rPr>
          <w:rFonts w:ascii="Times New Roman" w:hAnsi="Times New Roman" w:cs="Times New Roman" w:eastAsia="Times New Roman" w:hint="default"/>
        </w:rPr>
        <w:t>-</w:t>
      </w:r>
      <w:r>
        <w:rPr/>
        <w:t>产品开发</w:t>
      </w:r>
      <w:r>
        <w:rPr>
          <w:rFonts w:ascii="Times New Roman" w:hAnsi="Times New Roman" w:cs="Times New Roman" w:eastAsia="Times New Roman" w:hint="default"/>
        </w:rPr>
        <w:t>-</w:t>
      </w:r>
      <w:r>
        <w:rPr/>
        <w:t>方案提供</w:t>
      </w:r>
      <w:r>
        <w:rPr>
          <w:rFonts w:ascii="Times New Roman" w:hAnsi="Times New Roman" w:cs="Times New Roman" w:eastAsia="Times New Roman" w:hint="default"/>
        </w:rPr>
        <w:t>-</w:t>
      </w:r>
      <w:r>
        <w:rPr/>
        <w:t>用户实施的过程，实现及时获取、及时响应、及时跟进和及时更新。</w:t>
      </w:r>
    </w:p>
    <w:p>
      <w:pPr>
        <w:pStyle w:val="BodyText"/>
        <w:spacing w:line="420" w:lineRule="auto" w:before="54"/>
        <w:ind w:left="573" w:right="95" w:hanging="1"/>
        <w:jc w:val="left"/>
      </w:pPr>
      <w:r>
        <w:rPr>
          <w:rFonts w:ascii="Times New Roman" w:hAnsi="Times New Roman" w:cs="Times New Roman" w:eastAsia="Times New Roman" w:hint="default"/>
        </w:rPr>
        <w:t>2</w:t>
      </w:r>
      <w:r>
        <w:rPr/>
        <w:t>、行业扩张、市场拓展以及模式创新风险 </w:t>
      </w:r>
      <w:r>
        <w:rPr>
          <w:spacing w:val="-1"/>
        </w:rPr>
        <w:t>公司所处智能一卡通行业的市场化程度较高，其竞争力主要体现在适应行业特点、贴近客户需求的整</w:t>
      </w:r>
    </w:p>
    <w:p>
      <w:pPr>
        <w:pStyle w:val="BodyText"/>
        <w:spacing w:line="408" w:lineRule="auto" w:before="35"/>
        <w:ind w:left="153" w:right="209"/>
        <w:jc w:val="both"/>
      </w:pPr>
      <w:r>
        <w:rPr>
          <w:spacing w:val="-1"/>
        </w:rPr>
        <w:t>体解决方案提供能力上。从市场竞争格局来看，在门禁、考勤、餐卡、公交卡等传统一卡通业务中，从事</w:t>
      </w:r>
      <w:r>
        <w:rPr>
          <w:spacing w:val="-83"/>
        </w:rPr>
        <w:t> </w:t>
      </w:r>
      <w:r>
        <w:rPr>
          <w:spacing w:val="-83"/>
        </w:rPr>
      </w:r>
      <w:r>
        <w:rPr>
          <w:spacing w:val="-1"/>
        </w:rPr>
        <w:t>企业数量较多，市场竞争较为激烈。公司在拓展企事业及城市领域时，将面临原有市场进入者较激烈的竞</w:t>
      </w:r>
      <w:r>
        <w:rPr>
          <w:spacing w:val="-83"/>
        </w:rPr>
        <w:t> </w:t>
      </w:r>
      <w:r>
        <w:rPr>
          <w:spacing w:val="-83"/>
        </w:rPr>
      </w:r>
      <w:r>
        <w:rPr>
          <w:spacing w:val="-1"/>
        </w:rPr>
        <w:t>争；同时，智能一卡通市场快速增长所带来的盈利空间，也可能吸引更多的有实力企业的加入，使公司面</w:t>
      </w:r>
      <w:r>
        <w:rPr>
          <w:spacing w:val="-82"/>
        </w:rPr>
        <w:t> </w:t>
      </w:r>
      <w:r>
        <w:rPr>
          <w:spacing w:val="-82"/>
        </w:rPr>
      </w:r>
      <w:r>
        <w:rPr>
          <w:spacing w:val="-1"/>
        </w:rPr>
        <w:t>临市场竞争加剧的风险。此外，公司如更多进行合作模式的创新，也将面临一定的不确定性。同时，公司</w:t>
      </w:r>
      <w:r>
        <w:rPr>
          <w:spacing w:val="-82"/>
        </w:rPr>
        <w:t> </w:t>
      </w:r>
      <w:r>
        <w:rPr>
          <w:spacing w:val="-82"/>
        </w:rPr>
      </w:r>
      <w:r>
        <w:rPr/>
        <w:t>如进行行业扩张，则也面临规模扩大后的管理、资金等众多考验。</w:t>
      </w:r>
    </w:p>
    <w:p>
      <w:pPr>
        <w:pStyle w:val="BodyText"/>
        <w:spacing w:line="408" w:lineRule="auto" w:before="84"/>
        <w:ind w:left="153" w:right="102" w:firstLine="420"/>
        <w:jc w:val="left"/>
      </w:pPr>
      <w:r>
        <w:rPr/>
        <w:t>应对措施：公司现已在对智能一卡通个性化需求最多、功能要求最全的学校领域，建立了较高的市场 </w:t>
      </w:r>
      <w:r>
        <w:rPr>
          <w:spacing w:val="-3"/>
        </w:rPr>
        <w:t>竞争地位，并正紧随智能一卡通在下游领域应用的发展趋势，积极开拓企事业和城市领域。虽然随企事业、</w:t>
      </w:r>
      <w:r>
        <w:rPr>
          <w:spacing w:val="-90"/>
        </w:rPr>
        <w:t> </w:t>
      </w:r>
      <w:r>
        <w:rPr>
          <w:spacing w:val="-90"/>
        </w:rPr>
      </w:r>
      <w:r>
        <w:rPr/>
        <w:t>城市信息化进程的加快、功能需求的增加，公司凭借对智能一卡通行业应用深入的理解和一站式的整体解</w:t>
      </w:r>
      <w:r>
        <w:rPr/>
        <w:t> 决方案提供能力，其竞争优势将逐渐凸显。同时，公司业务模式的创新主要集中于多功能实现、智能化程 </w:t>
      </w:r>
      <w:r>
        <w:rPr>
          <w:spacing w:val="-3"/>
        </w:rPr>
        <w:t>度高、技术含量高的智能一卡通整体解决方案或新兴一卡通业务中，该领域进入门槛较高，竞争相对缓和，</w:t>
      </w:r>
      <w:r>
        <w:rPr>
          <w:spacing w:val="-90"/>
        </w:rPr>
        <w:t> </w:t>
      </w:r>
      <w:r>
        <w:rPr>
          <w:spacing w:val="-90"/>
        </w:rPr>
      </w:r>
      <w:r>
        <w:rPr/>
        <w:t>公司独特的竞争优势以及近年来与运营商、银行、银联等进行的技术创新以及新合作模式的探讨均已形成</w:t>
      </w:r>
      <w:r>
        <w:rPr/>
        <w:t> 了较好的效果，且已迈向成熟。</w:t>
      </w:r>
    </w:p>
    <w:p>
      <w:pPr>
        <w:pStyle w:val="BodyText"/>
        <w:spacing w:line="408" w:lineRule="auto" w:before="84"/>
        <w:ind w:left="153" w:right="188" w:firstLine="420"/>
        <w:jc w:val="both"/>
      </w:pPr>
      <w:r>
        <w:rPr>
          <w:spacing w:val="-1"/>
        </w:rPr>
        <w:t>面临未来公司经营规模和新业务模式的增加，及带来的资产、业务及人员的扩张，公司已经相应开始</w:t>
      </w:r>
      <w:r>
        <w:rPr/>
        <w:t> </w:t>
      </w:r>
      <w:r>
        <w:rPr>
          <w:spacing w:val="-1"/>
        </w:rPr>
        <w:t>调整组织架构和管理体系，对资源整合、科研开发、生产管理、市场开拓、资本运作等方面均设置了相应</w:t>
      </w:r>
      <w:r>
        <w:rPr>
          <w:spacing w:val="-83"/>
        </w:rPr>
        <w:t> </w:t>
      </w:r>
      <w:r>
        <w:rPr>
          <w:spacing w:val="-83"/>
        </w:rPr>
      </w:r>
      <w:r>
        <w:rPr>
          <w:spacing w:val="-1"/>
        </w:rPr>
        <w:t>部门和明确任务的产品研发中心，以保证公司生产经营是继续保持高效运转。同时，公司将采取以下措施</w:t>
      </w:r>
      <w:r>
        <w:rPr>
          <w:spacing w:val="-83"/>
        </w:rPr>
        <w:t> </w:t>
      </w:r>
      <w:r>
        <w:rPr>
          <w:spacing w:val="-83"/>
        </w:rPr>
      </w:r>
      <w:r>
        <w:rPr>
          <w:spacing w:val="-1"/>
        </w:rPr>
        <w:t>保证资金和融资渠道的畅通，具体包括：①加强应收账款管理，提高经营活动产生的净现金流量，增强公</w:t>
      </w:r>
      <w:r>
        <w:rPr>
          <w:spacing w:val="-82"/>
        </w:rPr>
        <w:t> </w:t>
      </w:r>
      <w:r>
        <w:rPr>
          <w:spacing w:val="-82"/>
        </w:rPr>
      </w:r>
      <w:r>
        <w:rPr/>
        <w:t>司营运能力；②继续与银行等金融机构保持良好的合作关系，稳定银行融资渠道；③积极拓宽融资渠道， 利用资本市场平台和政策支持的机会，通过更多金融工具和资本运作方式募集资金。</w:t>
      </w:r>
    </w:p>
    <w:p>
      <w:pPr>
        <w:pStyle w:val="BodyText"/>
        <w:spacing w:line="240" w:lineRule="auto" w:before="87"/>
        <w:ind w:left="573" w:right="532"/>
        <w:jc w:val="left"/>
      </w:pPr>
      <w:r>
        <w:rPr>
          <w:rFonts w:ascii="Times New Roman" w:hAnsi="Times New Roman" w:cs="Times New Roman" w:eastAsia="Times New Roman" w:hint="default"/>
        </w:rPr>
        <w:t>3</w:t>
      </w:r>
      <w:r>
        <w:rPr/>
        <w:t>、技术升级和产品开发风险</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51" w:firstLine="420"/>
        <w:jc w:val="both"/>
      </w:pPr>
      <w:r>
        <w:rPr>
          <w:spacing w:val="-1"/>
        </w:rPr>
        <w:t>及时响应客户的个性化需求，进行持续的技术及产品开发是公司不断发展壮大的基础。由于智能一卡</w:t>
      </w:r>
      <w:r>
        <w:rPr/>
        <w:t> </w:t>
      </w:r>
      <w:r>
        <w:rPr>
          <w:spacing w:val="-1"/>
        </w:rPr>
        <w:t>通行业具有技术更新快、产品生命周期短的特点，客户对软件系统和硬件系统及相关产品的功能要求不断</w:t>
      </w:r>
      <w:r>
        <w:rPr>
          <w:spacing w:val="-81"/>
        </w:rPr>
        <w:t> </w:t>
      </w:r>
      <w:r>
        <w:rPr>
          <w:spacing w:val="-81"/>
        </w:rPr>
      </w:r>
      <w:r>
        <w:rPr>
          <w:spacing w:val="-1"/>
        </w:rPr>
        <w:t>提高，因此，公司需要不断进行新技术、新产品的研发和升级。虽然自主研发和技术创新能力是本公司的</w:t>
      </w:r>
      <w:r>
        <w:rPr>
          <w:spacing w:val="-82"/>
        </w:rPr>
        <w:t> </w:t>
      </w:r>
      <w:r>
        <w:rPr>
          <w:spacing w:val="-82"/>
        </w:rPr>
      </w:r>
      <w:r>
        <w:rPr>
          <w:spacing w:val="-1"/>
        </w:rPr>
        <w:t>核心竞争优势之一，但如果公司未来不能准确把握技术、产品及市场的发展趋势，持续研发出符合市场需</w:t>
      </w:r>
      <w:r>
        <w:rPr>
          <w:spacing w:val="-83"/>
        </w:rPr>
        <w:t> </w:t>
      </w:r>
      <w:r>
        <w:rPr>
          <w:spacing w:val="-83"/>
        </w:rPr>
      </w:r>
      <w:r>
        <w:rPr/>
        <w:t>求的新产品，将会削弱公司的技术优势和市场优势，从而影响公司未来发展。</w:t>
      </w:r>
    </w:p>
    <w:p>
      <w:pPr>
        <w:pStyle w:val="BodyText"/>
        <w:spacing w:line="408" w:lineRule="auto" w:before="84"/>
        <w:ind w:left="153" w:right="128" w:firstLine="420"/>
        <w:jc w:val="both"/>
      </w:pPr>
      <w:r>
        <w:rPr>
          <w:spacing w:val="-1"/>
        </w:rPr>
        <w:t>应对措施：公司在产品研发中心为主的研发体系下，将积极推进面向营销中心提供所负责产品线的产</w:t>
      </w:r>
      <w:r>
        <w:rPr/>
        <w:t> 品解决方案及产品销售支持和培训的功能整合，通过产品事业部，保障产品竞争力、可靠性及经济效益， </w:t>
      </w:r>
      <w:r>
        <w:rPr>
          <w:spacing w:val="-1"/>
        </w:rPr>
        <w:t>并向其他产品事业部提供产品、开发支持与保障。同时，将加大研发管理体系的投入，提高研发创新体系</w:t>
      </w:r>
      <w:r>
        <w:rPr>
          <w:spacing w:val="-82"/>
        </w:rPr>
        <w:t> </w:t>
      </w:r>
      <w:r>
        <w:rPr>
          <w:spacing w:val="-82"/>
        </w:rPr>
      </w:r>
      <w:r>
        <w:rPr>
          <w:spacing w:val="-1"/>
        </w:rPr>
        <w:t>管理水平。通过产品研发流程体系再造，深化研发体系，建立和固化相关的制度和流程，进一步完善和规</w:t>
      </w:r>
      <w:r>
        <w:rPr>
          <w:spacing w:val="-82"/>
        </w:rPr>
        <w:t> </w:t>
      </w:r>
      <w:r>
        <w:rPr>
          <w:spacing w:val="-82"/>
        </w:rPr>
      </w:r>
      <w:r>
        <w:rPr>
          <w:spacing w:val="-1"/>
        </w:rPr>
        <w:t>范化研发过程管理。同时对于电子硬件产品，进行质量体系再造，在产品研发流程中规范和加强质量可靠</w:t>
      </w:r>
      <w:r>
        <w:rPr>
          <w:spacing w:val="-83"/>
        </w:rPr>
        <w:t> </w:t>
      </w:r>
      <w:r>
        <w:rPr>
          <w:spacing w:val="-83"/>
        </w:rPr>
      </w:r>
      <w:r>
        <w:rPr/>
        <w:t>性的设计和管理，通过这两项研发体系的改造和提升，实现提高产品研发效率、提高产品的质量可靠性。</w:t>
      </w:r>
    </w:p>
    <w:p>
      <w:pPr>
        <w:pStyle w:val="BodyText"/>
        <w:spacing w:line="417" w:lineRule="auto" w:before="87"/>
        <w:ind w:left="574" w:right="0" w:hanging="1"/>
        <w:jc w:val="left"/>
      </w:pPr>
      <w:r>
        <w:rPr>
          <w:rFonts w:ascii="Times New Roman" w:hAnsi="Times New Roman" w:cs="Times New Roman" w:eastAsia="Times New Roman" w:hint="default"/>
        </w:rPr>
        <w:t>4</w:t>
      </w:r>
      <w:r>
        <w:rPr/>
        <w:t>、核心技术人员流失风险 </w:t>
      </w:r>
      <w:r>
        <w:rPr>
          <w:spacing w:val="-1"/>
        </w:rPr>
        <w:t>伴随着行业技术的不断更新和市场竞争的不断加剧，相关技术人才的竞争也日趋激烈，如果公司不能</w:t>
      </w:r>
    </w:p>
    <w:p>
      <w:pPr>
        <w:pStyle w:val="BodyText"/>
        <w:spacing w:line="410" w:lineRule="auto" w:before="38"/>
        <w:ind w:right="0"/>
        <w:jc w:val="left"/>
      </w:pPr>
      <w:r>
        <w:rPr>
          <w:spacing w:val="-1"/>
        </w:rPr>
        <w:t>有效保持和完善核心技术人员的激励机制，将会影响到核心技术人员积极性、创造性的发挥，也会影响到</w:t>
      </w:r>
      <w:r>
        <w:rPr>
          <w:spacing w:val="-83"/>
        </w:rPr>
        <w:t> </w:t>
      </w:r>
      <w:r>
        <w:rPr>
          <w:spacing w:val="-83"/>
        </w:rPr>
      </w:r>
      <w:r>
        <w:rPr/>
        <w:t>核心技术团队后备力量的建设，造成人才流失，从而给公司的生产经营造成不利影响。</w:t>
      </w:r>
    </w:p>
    <w:p>
      <w:pPr>
        <w:pStyle w:val="BodyText"/>
        <w:spacing w:line="408" w:lineRule="auto" w:before="82"/>
        <w:ind w:right="149" w:firstLine="420"/>
        <w:jc w:val="both"/>
      </w:pPr>
      <w:r>
        <w:rPr>
          <w:spacing w:val="-1"/>
        </w:rPr>
        <w:t>应对措施：人才资源是公司核心竞争力，公司把对外部高端人才的引进和对内部骨干及后备人才的培</w:t>
      </w:r>
      <w:r>
        <w:rPr/>
        <w:t> </w:t>
      </w:r>
      <w:r>
        <w:rPr>
          <w:spacing w:val="-1"/>
        </w:rPr>
        <w:t>养提到了战略高度。公司通过外部引进、内部培养等多种手段，不断强化技术力量，形成了强有力的技术</w:t>
      </w:r>
      <w:r>
        <w:rPr>
          <w:spacing w:val="-82"/>
        </w:rPr>
        <w:t> </w:t>
      </w:r>
      <w:r>
        <w:rPr>
          <w:spacing w:val="-82"/>
        </w:rPr>
      </w:r>
      <w:r>
        <w:rPr>
          <w:spacing w:val="-1"/>
        </w:rPr>
        <w:t>团队。同时，公司建立了一套完整的激励机制和科技人才发展规划，通过提供优厚的薪酬福利待遇为科技</w:t>
      </w:r>
      <w:r>
        <w:rPr>
          <w:spacing w:val="-83"/>
        </w:rPr>
        <w:t> </w:t>
      </w:r>
      <w:r>
        <w:rPr>
          <w:spacing w:val="-83"/>
        </w:rPr>
      </w:r>
      <w:r>
        <w:rPr>
          <w:spacing w:val="-1"/>
        </w:rPr>
        <w:t>人员创造优越的研发环境，充分调动了研发人员的积极性。同时公司引入竞争机制，设定科技人才发展平</w:t>
      </w:r>
      <w:r>
        <w:rPr>
          <w:spacing w:val="-83"/>
        </w:rPr>
        <w:t> </w:t>
      </w:r>
      <w:r>
        <w:rPr>
          <w:spacing w:val="-83"/>
        </w:rPr>
      </w:r>
      <w:r>
        <w:rPr/>
        <w:t>台，使其在明确的发展路径下通过竞争和努力实现员工与企业的共赢。</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4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30"/>
          <w:szCs w:val="30"/>
        </w:rPr>
      </w:pPr>
    </w:p>
    <w:p>
      <w:pPr>
        <w:pStyle w:val="BodyText"/>
        <w:spacing w:line="400" w:lineRule="auto" w:before="0"/>
        <w:ind w:left="153" w:right="210" w:firstLine="420"/>
        <w:jc w:val="both"/>
      </w:pPr>
      <w:r>
        <w:rPr>
          <w:rFonts w:ascii="Times New Roman" w:hAnsi="Times New Roman" w:cs="Times New Roman" w:eastAsia="Times New Roman" w:hint="default"/>
          <w:spacing w:val="-1"/>
        </w:rPr>
        <w:t>2014</w:t>
      </w:r>
      <w:r>
        <w:rPr>
          <w:spacing w:val="-1"/>
        </w:rPr>
        <w:t>年度，公司积极贯彻执行年初制定的年度经营目标，以完善行业应用平台建设为支撑，形成综合</w:t>
      </w:r>
      <w:r>
        <w:rPr/>
        <w:t> </w:t>
      </w:r>
      <w:r>
        <w:rPr>
          <w:spacing w:val="-1"/>
        </w:rPr>
        <w:t>的多行业应用服务能力，以智能终端创新为基础，提高智能终端核心技术开发及产业化能力，以移动互联</w:t>
      </w:r>
      <w:r>
        <w:rPr>
          <w:spacing w:val="-83"/>
        </w:rPr>
        <w:t> </w:t>
      </w:r>
      <w:r>
        <w:rPr>
          <w:spacing w:val="-83"/>
        </w:rPr>
      </w:r>
      <w:r>
        <w:rPr>
          <w:spacing w:val="-1"/>
        </w:rPr>
        <w:t>网关键技术的研发及应用为着力点，形成综合的移动互联网产业服务能力，为用户提供基于线上、线下业</w:t>
      </w:r>
      <w:r>
        <w:rPr>
          <w:spacing w:val="-83"/>
        </w:rPr>
        <w:t> </w:t>
      </w:r>
      <w:r>
        <w:rPr>
          <w:spacing w:val="-83"/>
        </w:rPr>
      </w:r>
      <w:r>
        <w:rPr/>
        <w:t>务相融合的一卡通整体解决方案。</w:t>
      </w:r>
    </w:p>
    <w:p>
      <w:pPr>
        <w:pStyle w:val="BodyText"/>
        <w:spacing w:line="393" w:lineRule="auto" w:before="52"/>
        <w:ind w:right="101" w:firstLine="420"/>
        <w:jc w:val="left"/>
      </w:pPr>
      <w:r>
        <w:rPr/>
        <w:t>报告期内，公司实现主营业务收入</w:t>
      </w:r>
      <w:r>
        <w:rPr>
          <w:rFonts w:ascii="Times New Roman" w:hAnsi="Times New Roman" w:cs="Times New Roman" w:eastAsia="Times New Roman" w:hint="default"/>
        </w:rPr>
        <w:t>31,496.09</w:t>
      </w:r>
      <w:r>
        <w:rPr/>
        <w:t>万元，归属于母公司所有者的净利润</w:t>
      </w:r>
      <w:r>
        <w:rPr>
          <w:rFonts w:ascii="Times New Roman" w:hAnsi="Times New Roman" w:cs="Times New Roman" w:eastAsia="Times New Roman" w:hint="default"/>
        </w:rPr>
        <w:t>3,775.67</w:t>
      </w:r>
      <w:r>
        <w:rPr/>
        <w:t>万元，分别 </w:t>
      </w:r>
      <w:r>
        <w:rPr>
          <w:spacing w:val="-4"/>
        </w:rPr>
        <w:t>较上年增长</w:t>
      </w:r>
      <w:r>
        <w:rPr>
          <w:rFonts w:ascii="Times New Roman" w:hAnsi="Times New Roman" w:cs="Times New Roman" w:eastAsia="Times New Roman" w:hint="default"/>
          <w:spacing w:val="-4"/>
        </w:rPr>
        <w:t>42.41%</w:t>
      </w:r>
      <w:r>
        <w:rPr>
          <w:spacing w:val="-4"/>
        </w:rPr>
        <w:t>和</w:t>
      </w:r>
      <w:r>
        <w:rPr>
          <w:rFonts w:ascii="Times New Roman" w:hAnsi="Times New Roman" w:cs="Times New Roman" w:eastAsia="Times New Roman" w:hint="default"/>
          <w:spacing w:val="-4"/>
        </w:rPr>
        <w:t>52.89%</w:t>
      </w:r>
      <w:r>
        <w:rPr>
          <w:spacing w:val="-4"/>
        </w:rPr>
        <w:t>。</w:t>
      </w:r>
      <w:r>
        <w:rPr>
          <w:rFonts w:ascii="Times New Roman" w:hAnsi="Times New Roman" w:cs="Times New Roman" w:eastAsia="Times New Roman" w:hint="default"/>
          <w:spacing w:val="-4"/>
        </w:rPr>
        <w:t>2014</w:t>
      </w:r>
      <w:r>
        <w:rPr>
          <w:spacing w:val="-4"/>
        </w:rPr>
        <w:t>年度，公司紧抓行业发展机遇，不断加强产品创新，稳步扩大市场份额。</w:t>
      </w:r>
      <w:r>
        <w:rPr>
          <w:spacing w:val="-58"/>
        </w:rPr>
        <w:t> </w:t>
      </w:r>
      <w:r>
        <w:rPr>
          <w:spacing w:val="-58"/>
        </w:rPr>
      </w:r>
      <w:r>
        <w:rPr>
          <w:spacing w:val="-3"/>
        </w:rPr>
        <w:t>一方面，坚持巩固老客户，提供技术升级、系统改造、功能扩建等后续服务，另一方面，积极拓展新市场，</w:t>
      </w:r>
      <w:r>
        <w:rPr>
          <w:spacing w:val="-94"/>
        </w:rPr>
        <w:t> </w:t>
      </w:r>
      <w:r>
        <w:rPr>
          <w:spacing w:val="-94"/>
        </w:rPr>
      </w:r>
      <w:r>
        <w:rPr/>
        <w:t>凭借不断提高的产品性能和完善的售后服务等竞争优势，扩大新开普的市场占有率。另外，公司在报告期</w:t>
      </w:r>
      <w:r>
        <w:rPr/>
        <w:t> 内积极拓展基于</w:t>
      </w:r>
      <w:r>
        <w:rPr>
          <w:rFonts w:ascii="Times New Roman" w:hAnsi="Times New Roman" w:cs="Times New Roman" w:eastAsia="Times New Roman" w:hint="default"/>
        </w:rPr>
        <w:t>NFC</w:t>
      </w:r>
      <w:r>
        <w:rPr/>
        <w:t>技术的手机一卡通业务及基于校园的移动互联网业务，并推出了整合校园一卡通应用 及学生学习、生活、交友、娱乐、消费、求职等功能于一体的校园</w:t>
      </w:r>
      <w:r>
        <w:rPr>
          <w:rFonts w:ascii="Times New Roman" w:hAnsi="Times New Roman" w:cs="Times New Roman" w:eastAsia="Times New Roman" w:hint="default"/>
        </w:rPr>
        <w:t>APP</w:t>
      </w:r>
      <w:r>
        <w:rPr/>
        <w:t>“玩校”，奠定了业务转型的坚实</w:t>
      </w:r>
      <w:r>
        <w:rPr>
          <w:spacing w:val="-99"/>
        </w:rPr>
        <w:t> </w:t>
      </w:r>
      <w:r>
        <w:rPr>
          <w:spacing w:val="-99"/>
        </w:rPr>
      </w:r>
      <w:r>
        <w:rPr>
          <w:spacing w:val="-1"/>
        </w:rPr>
        <w:t>基础,同时公司已在部分试点院校实现了通过“玩校”进行充值、转账、支付等互联网金融业务，</w:t>
      </w:r>
      <w:r>
        <w:rPr>
          <w:rFonts w:ascii="Times New Roman" w:hAnsi="Times New Roman" w:cs="Times New Roman" w:eastAsia="Times New Roman" w:hint="default"/>
          <w:spacing w:val="-1"/>
        </w:rPr>
        <w:t>2015</w:t>
      </w:r>
      <w:r>
        <w:rPr>
          <w:spacing w:val="-1"/>
        </w:rPr>
        <w:t>年，</w:t>
      </w:r>
      <w:r>
        <w:rPr>
          <w:spacing w:val="-82"/>
        </w:rPr>
        <w:t> </w:t>
      </w:r>
      <w:r>
        <w:rPr/>
        <w:t>公司将成立移动互联网金融事业部，继续拓展、丰富移动互联网金融等相关业务。综上，公司在校园、城</w:t>
      </w:r>
      <w:r>
        <w:rPr/>
        <w:t> 市、企事业等领域基于</w:t>
      </w:r>
      <w:r>
        <w:rPr>
          <w:rFonts w:ascii="Times New Roman" w:hAnsi="Times New Roman" w:cs="Times New Roman" w:eastAsia="Times New Roman" w:hint="default"/>
        </w:rPr>
        <w:t>NFC</w:t>
      </w:r>
      <w:r>
        <w:rPr/>
        <w:t>的一卡通方案在业界已取得全面领先优势，在校园移动互联网应用服务领域也 已凭借自身资源及技术优势，赢得良好开局。</w:t>
      </w:r>
    </w:p>
    <w:p>
      <w:pPr>
        <w:pStyle w:val="BodyText"/>
        <w:spacing w:line="240" w:lineRule="auto" w:before="59"/>
        <w:ind w:left="574" w:right="532"/>
        <w:jc w:val="left"/>
      </w:pPr>
      <w:r>
        <w:rPr/>
        <w:t>（</w:t>
      </w:r>
      <w:r>
        <w:rPr>
          <w:rFonts w:ascii="Times New Roman" w:hAnsi="Times New Roman" w:cs="Times New Roman" w:eastAsia="Times New Roman" w:hint="default"/>
        </w:rPr>
        <w:t>1</w:t>
      </w:r>
      <w:r>
        <w:rPr/>
        <w:t>）报告期内，公司的主营业务情况概述如下：</w:t>
      </w:r>
    </w:p>
    <w:p>
      <w:pPr>
        <w:pStyle w:val="BodyText"/>
        <w:spacing w:line="386" w:lineRule="auto" w:before="177"/>
        <w:ind w:left="574" w:right="95" w:firstLine="84"/>
        <w:jc w:val="left"/>
      </w:pPr>
      <w:r>
        <w:rPr/>
        <w:t>①加速基于校园一卡通的大数据分析、</w:t>
      </w:r>
      <w:r>
        <w:rPr>
          <w:rFonts w:ascii="Times New Roman" w:hAnsi="Times New Roman" w:cs="Times New Roman" w:eastAsia="Times New Roman" w:hint="default"/>
        </w:rPr>
        <w:t>NFC</w:t>
      </w:r>
      <w:r>
        <w:rPr/>
        <w:t>近场支付及校园移动互联网服务的产业升级与转型 </w:t>
      </w:r>
      <w:r>
        <w:rPr>
          <w:spacing w:val="-1"/>
        </w:rPr>
        <w:t>在校园一卡通领域，校园信息化建设的不断完善，校园一卡通大数据分析、</w:t>
      </w:r>
      <w:r>
        <w:rPr>
          <w:rFonts w:ascii="Times New Roman" w:hAnsi="Times New Roman" w:cs="Times New Roman" w:eastAsia="Times New Roman" w:hint="default"/>
          <w:spacing w:val="-1"/>
        </w:rPr>
        <w:t>NFC</w:t>
      </w:r>
      <w:r>
        <w:rPr>
          <w:spacing w:val="-1"/>
        </w:rPr>
        <w:t>移动支付及校园移动</w:t>
      </w:r>
    </w:p>
    <w:p>
      <w:pPr>
        <w:pStyle w:val="BodyText"/>
        <w:spacing w:line="386" w:lineRule="auto" w:before="35"/>
        <w:ind w:right="209"/>
        <w:jc w:val="both"/>
      </w:pPr>
      <w:r>
        <w:rPr>
          <w:spacing w:val="-5"/>
        </w:rPr>
        <w:t>互联网服务兴起，为校园一卡通行业带来了新的增长动力。报告期内，公司校园领域实现营业收入</w:t>
      </w:r>
      <w:r>
        <w:rPr>
          <w:rFonts w:ascii="Times New Roman" w:hAnsi="Times New Roman" w:cs="Times New Roman" w:eastAsia="Times New Roman" w:hint="default"/>
          <w:spacing w:val="-5"/>
        </w:rPr>
        <w:t>15,503.57</w:t>
      </w:r>
      <w:r>
        <w:rPr>
          <w:rFonts w:ascii="Times New Roman" w:hAnsi="Times New Roman" w:cs="Times New Roman" w:eastAsia="Times New Roman" w:hint="default"/>
          <w:spacing w:val="-33"/>
        </w:rPr>
        <w:t> </w:t>
      </w:r>
      <w:r>
        <w:rPr>
          <w:spacing w:val="-1"/>
        </w:rPr>
        <w:t>万元，较上年增长</w:t>
      </w:r>
      <w:r>
        <w:rPr>
          <w:rFonts w:ascii="Times New Roman" w:hAnsi="Times New Roman" w:cs="Times New Roman" w:eastAsia="Times New Roman" w:hint="default"/>
          <w:spacing w:val="-1"/>
        </w:rPr>
        <w:t>42.19%</w:t>
      </w:r>
      <w:r>
        <w:rPr>
          <w:spacing w:val="-1"/>
        </w:rPr>
        <w:t>，新增了包括东北大学、成都理工大学、河北工程大学、首都体育学院、南阳师</w:t>
      </w:r>
      <w:r>
        <w:rPr>
          <w:spacing w:val="-102"/>
        </w:rPr>
        <w:t> </w:t>
      </w:r>
      <w:r>
        <w:rPr>
          <w:spacing w:val="-102"/>
        </w:rPr>
      </w:r>
      <w:r>
        <w:rPr>
          <w:spacing w:val="-1"/>
        </w:rPr>
        <w:t>范学院、赤峰学院、包头钢铁职业技术学院在内的共</w:t>
      </w:r>
      <w:r>
        <w:rPr>
          <w:rFonts w:ascii="Times New Roman" w:hAnsi="Times New Roman" w:cs="Times New Roman" w:eastAsia="Times New Roman" w:hint="default"/>
          <w:spacing w:val="-1"/>
        </w:rPr>
        <w:t>32</w:t>
      </w:r>
      <w:r>
        <w:rPr>
          <w:spacing w:val="-1"/>
        </w:rPr>
        <w:t>所本科院校及</w:t>
      </w:r>
      <w:r>
        <w:rPr>
          <w:rFonts w:ascii="Times New Roman" w:hAnsi="Times New Roman" w:cs="Times New Roman" w:eastAsia="Times New Roman" w:hint="default"/>
          <w:spacing w:val="-1"/>
        </w:rPr>
        <w:t>54</w:t>
      </w:r>
      <w:r>
        <w:rPr>
          <w:spacing w:val="-1"/>
        </w:rPr>
        <w:t>所专科院校，新增持卡人用户</w:t>
      </w:r>
      <w:r>
        <w:rPr>
          <w:rFonts w:ascii="Times New Roman" w:hAnsi="Times New Roman" w:cs="Times New Roman" w:eastAsia="Times New Roman" w:hint="default"/>
          <w:spacing w:val="-1"/>
        </w:rPr>
        <w:t>80</w:t>
      </w:r>
      <w:r>
        <w:rPr>
          <w:spacing w:val="-1"/>
        </w:rPr>
        <w:t>余</w:t>
      </w:r>
      <w:r>
        <w:rPr>
          <w:spacing w:val="-85"/>
        </w:rPr>
        <w:t> </w:t>
      </w:r>
      <w:r>
        <w:rPr>
          <w:spacing w:val="-2"/>
        </w:rPr>
        <w:t>万人。截至目前，公司已经为全国</w:t>
      </w:r>
      <w:r>
        <w:rPr>
          <w:rFonts w:ascii="Times New Roman" w:hAnsi="Times New Roman" w:cs="Times New Roman" w:eastAsia="Times New Roman" w:hint="default"/>
          <w:spacing w:val="-2"/>
        </w:rPr>
        <w:t>650</w:t>
      </w:r>
      <w:r>
        <w:rPr>
          <w:spacing w:val="-2"/>
        </w:rPr>
        <w:t>余所本专科院校及</w:t>
      </w:r>
      <w:r>
        <w:rPr>
          <w:rFonts w:ascii="Times New Roman" w:hAnsi="Times New Roman" w:cs="Times New Roman" w:eastAsia="Times New Roman" w:hint="default"/>
          <w:spacing w:val="-2"/>
        </w:rPr>
        <w:t>850</w:t>
      </w:r>
      <w:r>
        <w:rPr>
          <w:spacing w:val="-2"/>
        </w:rPr>
        <w:t>余所中职院校的近</w:t>
      </w:r>
      <w:r>
        <w:rPr>
          <w:rFonts w:ascii="Times New Roman" w:hAnsi="Times New Roman" w:cs="Times New Roman" w:eastAsia="Times New Roman" w:hint="default"/>
          <w:spacing w:val="-2"/>
        </w:rPr>
        <w:t>1,000</w:t>
      </w:r>
      <w:r>
        <w:rPr>
          <w:spacing w:val="-2"/>
        </w:rPr>
        <w:t>余万持卡人用户提供了</w:t>
      </w:r>
      <w:r>
        <w:rPr>
          <w:spacing w:val="-87"/>
        </w:rPr>
        <w:t> </w:t>
      </w:r>
      <w:r>
        <w:rPr>
          <w:spacing w:val="-87"/>
        </w:rPr>
      </w:r>
      <w:r>
        <w:rPr/>
        <w:t>个性化、可持续的集小额支付、身份识别、能源管控和信息集成为一体的校园信息化服务。</w:t>
      </w:r>
    </w:p>
    <w:p>
      <w:pPr>
        <w:pStyle w:val="BodyText"/>
        <w:spacing w:line="408" w:lineRule="auto" w:before="65"/>
        <w:ind w:right="95" w:firstLine="420"/>
        <w:jc w:val="left"/>
      </w:pPr>
      <w:r>
        <w:rPr>
          <w:spacing w:val="-1"/>
        </w:rPr>
        <w:t>随着校园信息化进程的加快，“智慧校园”已成为“数字化校园”发展的必然趋势。报告期内，公司</w:t>
      </w:r>
      <w:r>
        <w:rPr/>
        <w:t> </w:t>
      </w:r>
      <w:r>
        <w:rPr>
          <w:spacing w:val="-1"/>
        </w:rPr>
        <w:t>数字化校园业务呈现出喜人的增长态势。</w:t>
      </w:r>
      <w:r>
        <w:rPr>
          <w:rFonts w:ascii="Times New Roman" w:hAnsi="Times New Roman" w:cs="Times New Roman" w:eastAsia="Times New Roman" w:hint="default"/>
          <w:spacing w:val="-1"/>
        </w:rPr>
        <w:t>2013</w:t>
      </w:r>
      <w:r>
        <w:rPr>
          <w:spacing w:val="-1"/>
        </w:rPr>
        <w:t>年销售额较</w:t>
      </w:r>
      <w:r>
        <w:rPr>
          <w:rFonts w:ascii="Times New Roman" w:hAnsi="Times New Roman" w:cs="Times New Roman" w:eastAsia="Times New Roman" w:hint="default"/>
          <w:spacing w:val="-1"/>
        </w:rPr>
        <w:t>2014</w:t>
      </w:r>
      <w:r>
        <w:rPr>
          <w:spacing w:val="-1"/>
        </w:rPr>
        <w:t>年增长</w:t>
      </w:r>
      <w:r>
        <w:rPr>
          <w:rFonts w:ascii="Times New Roman" w:hAnsi="Times New Roman" w:cs="Times New Roman" w:eastAsia="Times New Roman" w:hint="default"/>
          <w:spacing w:val="-1"/>
        </w:rPr>
        <w:t>33.34%</w:t>
      </w:r>
      <w:r>
        <w:rPr>
          <w:spacing w:val="-1"/>
        </w:rPr>
        <w:t>；</w:t>
      </w:r>
      <w:r>
        <w:rPr>
          <w:rFonts w:ascii="Times New Roman" w:hAnsi="Times New Roman" w:cs="Times New Roman" w:eastAsia="Times New Roman" w:hint="default"/>
          <w:spacing w:val="-1"/>
        </w:rPr>
        <w:t>2013</w:t>
      </w:r>
      <w:r>
        <w:rPr>
          <w:spacing w:val="-1"/>
        </w:rPr>
        <w:t>年出货额较</w:t>
      </w:r>
      <w:r>
        <w:rPr>
          <w:rFonts w:ascii="Times New Roman" w:hAnsi="Times New Roman" w:cs="Times New Roman" w:eastAsia="Times New Roman" w:hint="default"/>
          <w:spacing w:val="-1"/>
        </w:rPr>
        <w:t>2014</w:t>
      </w:r>
      <w:r>
        <w:rPr>
          <w:spacing w:val="-1"/>
        </w:rPr>
        <w:t>年增长</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0" w:lineRule="auto" w:before="174"/>
        <w:ind w:left="153" w:right="211"/>
        <w:jc w:val="both"/>
      </w:pPr>
      <w:r>
        <w:rPr>
          <w:rFonts w:ascii="Times New Roman" w:hAnsi="Times New Roman" w:cs="Times New Roman" w:eastAsia="Times New Roman" w:hint="default"/>
        </w:rPr>
        <w:t>121.05%</w:t>
      </w:r>
      <w:r>
        <w:rPr/>
        <w:t>。在市场拓展及项目投标方面，连续中标了多个数字化校园项目，合同额总计达</w:t>
      </w:r>
      <w:r>
        <w:rPr>
          <w:rFonts w:ascii="Times New Roman" w:hAnsi="Times New Roman" w:cs="Times New Roman" w:eastAsia="Times New Roman" w:hint="default"/>
        </w:rPr>
        <w:t>2739.64</w:t>
      </w:r>
      <w:r>
        <w:rPr/>
        <w:t>万元，这</w:t>
      </w:r>
      <w:r>
        <w:rPr>
          <w:spacing w:val="-102"/>
        </w:rPr>
        <w:t> </w:t>
      </w:r>
      <w:r>
        <w:rPr>
          <w:spacing w:val="-102"/>
        </w:rPr>
      </w:r>
      <w:r>
        <w:rPr>
          <w:spacing w:val="-1"/>
        </w:rPr>
        <w:t>些项目的成功中标进一步提高了公司数字化校园产品的市场占有率，提升了公司的品牌影响力。结合目前</w:t>
      </w:r>
      <w:r>
        <w:rPr>
          <w:spacing w:val="-81"/>
        </w:rPr>
        <w:t> </w:t>
      </w:r>
      <w:r>
        <w:rPr>
          <w:spacing w:val="-81"/>
        </w:rPr>
      </w:r>
      <w:r>
        <w:rPr>
          <w:spacing w:val="-1"/>
        </w:rPr>
        <w:t>校园一卡通建设的深入及数字化校园建设的快速推进，公司同时具备了较强的校园一卡通建设经验以及数</w:t>
      </w:r>
      <w:r>
        <w:rPr>
          <w:spacing w:val="-81"/>
        </w:rPr>
        <w:t> </w:t>
      </w:r>
      <w:r>
        <w:rPr>
          <w:spacing w:val="-81"/>
        </w:rPr>
      </w:r>
      <w:r>
        <w:rPr/>
        <w:t>字化校园整体解决方案的开发能力，因此在未来校园整体信息化升级建设中将具备较强优势。</w:t>
      </w:r>
    </w:p>
    <w:p>
      <w:pPr>
        <w:pStyle w:val="BodyText"/>
        <w:spacing w:line="396" w:lineRule="auto" w:before="52"/>
        <w:ind w:left="153" w:right="106" w:firstLine="420"/>
        <w:jc w:val="left"/>
      </w:pPr>
      <w:r>
        <w:rPr/>
        <w:t>同时，拥有相当规模的高素质群体、新技术接受能力强、手机普及率和使用频率较高的校园是运营商 </w:t>
      </w:r>
      <w:r>
        <w:rPr>
          <w:rFonts w:ascii="Times New Roman" w:hAnsi="Times New Roman" w:cs="Times New Roman" w:eastAsia="Times New Roman" w:hint="default"/>
        </w:rPr>
        <w:t>NFC</w:t>
      </w:r>
      <w:r>
        <w:rPr/>
        <w:t>手机一卡通业务争相推广的重点客户，</w:t>
      </w:r>
      <w:r>
        <w:rPr>
          <w:rFonts w:ascii="Times New Roman" w:hAnsi="Times New Roman" w:cs="Times New Roman" w:eastAsia="Times New Roman" w:hint="default"/>
        </w:rPr>
        <w:t>NFC</w:t>
      </w:r>
      <w:r>
        <w:rPr/>
        <w:t>近场通信成为校园一卡通的重要补充和升级，学生可以使 用</w:t>
      </w:r>
      <w:r>
        <w:rPr>
          <w:rFonts w:ascii="Times New Roman" w:hAnsi="Times New Roman" w:cs="Times New Roman" w:eastAsia="Times New Roman" w:hint="default"/>
        </w:rPr>
        <w:t>NFC</w:t>
      </w:r>
      <w:r>
        <w:rPr/>
        <w:t>手机进行刷手机消费、刷手机开门、刷手机打开水、刷手机出入图书馆、刷手机乘坐校园巴士等， 还可以通过手机一卡通的“空中圈存”功能，实时将资金充入电子消费钱包中，实现校园一卡通的主要功 能。公司凭借客户资源、产品终端及行业整体解决方案等优势，已经快速响应基于</w:t>
      </w:r>
      <w:r>
        <w:rPr>
          <w:rFonts w:ascii="Times New Roman" w:hAnsi="Times New Roman" w:cs="Times New Roman" w:eastAsia="Times New Roman" w:hint="default"/>
        </w:rPr>
        <w:t>NFC</w:t>
      </w:r>
      <w:r>
        <w:rPr/>
        <w:t>技术的手机近场支 付市场需求，且具备了在移动支付四个关键环节上提供相应解决方案的能力和技术储备，在移动支付关键 </w:t>
      </w:r>
      <w:r>
        <w:rPr>
          <w:spacing w:val="8"/>
        </w:rPr>
        <w:t>业务方面取得突破，并与三大电信运营商建立了良好的合作基础。继公司在包钢职院建成了全国首个</w:t>
      </w:r>
      <w:r>
        <w:rPr>
          <w:spacing w:val="-81"/>
        </w:rPr>
        <w:t> </w:t>
      </w:r>
      <w:r>
        <w:rPr>
          <w:spacing w:val="-81"/>
        </w:rPr>
      </w:r>
      <w:r>
        <w:rPr/>
        <w:t>“</w:t>
      </w:r>
      <w:r>
        <w:rPr>
          <w:rFonts w:ascii="Times New Roman" w:hAnsi="Times New Roman" w:cs="Times New Roman" w:eastAsia="Times New Roman" w:hint="default"/>
        </w:rPr>
        <w:t>NFC</w:t>
      </w:r>
      <w:r>
        <w:rPr/>
        <w:t>手机校园一卡通”之后，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月，由公司承建的北京邮电大学</w:t>
      </w:r>
      <w:r>
        <w:rPr>
          <w:rFonts w:ascii="Times New Roman" w:hAnsi="Times New Roman" w:cs="Times New Roman" w:eastAsia="Times New Roman" w:hint="default"/>
        </w:rPr>
        <w:t>NFC</w:t>
      </w:r>
      <w:r>
        <w:rPr/>
        <w:t>手机一卡通项目也投入使用。 报告期内，公司成功中标中移电商全网平台、及中国电信全国翼机通平台，目前，公司是基于</w:t>
      </w:r>
      <w:r>
        <w:rPr>
          <w:rFonts w:ascii="Times New Roman" w:hAnsi="Times New Roman" w:cs="Times New Roman" w:eastAsia="Times New Roman" w:hint="default"/>
        </w:rPr>
        <w:t>NFC</w:t>
      </w:r>
      <w:r>
        <w:rPr/>
        <w:t>行业应 用唯一与中国移动集团层面合作的校企厂商，拥有国内第一个</w:t>
      </w:r>
      <w:r>
        <w:rPr>
          <w:rFonts w:ascii="Times New Roman" w:hAnsi="Times New Roman" w:cs="Times New Roman" w:eastAsia="Times New Roman" w:hint="default"/>
        </w:rPr>
        <w:t>NFC</w:t>
      </w:r>
      <w:r>
        <w:rPr/>
        <w:t>行业</w:t>
      </w:r>
      <w:r>
        <w:rPr>
          <w:rFonts w:ascii="Times New Roman" w:hAnsi="Times New Roman" w:cs="Times New Roman" w:eastAsia="Times New Roman" w:hint="default"/>
        </w:rPr>
        <w:t>SP-TSM</w:t>
      </w:r>
      <w:r>
        <w:rPr/>
        <w:t>平台，是国内第一个支持</w:t>
      </w:r>
      <w:r>
        <w:rPr>
          <w:spacing w:val="-31"/>
        </w:rPr>
        <w:t> </w:t>
      </w:r>
      <w:r>
        <w:rPr>
          <w:spacing w:val="-31"/>
        </w:rPr>
      </w:r>
      <w:r>
        <w:rPr>
          <w:rFonts w:ascii="Times New Roman" w:hAnsi="Times New Roman" w:cs="Times New Roman" w:eastAsia="Times New Roman" w:hint="default"/>
        </w:rPr>
        <w:t>NFC</w:t>
      </w:r>
      <w:r>
        <w:rPr/>
        <w:t>空中业务行业应用的厂商。</w:t>
      </w:r>
    </w:p>
    <w:p>
      <w:pPr>
        <w:pStyle w:val="BodyText"/>
        <w:spacing w:line="403" w:lineRule="auto" w:before="26"/>
        <w:ind w:right="206" w:firstLine="420"/>
        <w:jc w:val="both"/>
      </w:pPr>
      <w:r>
        <w:rPr>
          <w:spacing w:val="2"/>
        </w:rPr>
        <w:t>随着互联网用户从</w:t>
      </w:r>
      <w:r>
        <w:rPr>
          <w:rFonts w:ascii="Times New Roman" w:hAnsi="Times New Roman" w:cs="Times New Roman" w:eastAsia="Times New Roman" w:hint="default"/>
          <w:spacing w:val="2"/>
        </w:rPr>
        <w:t>PC</w:t>
      </w:r>
      <w:r>
        <w:rPr>
          <w:spacing w:val="2"/>
        </w:rPr>
        <w:t>端逐渐向移动端转移，作为用户接入移动互联网并借以获取内容和服务的第一</w:t>
      </w:r>
      <w:r>
        <w:rPr>
          <w:spacing w:val="3"/>
        </w:rPr>
        <w:t> </w:t>
      </w:r>
      <w:r>
        <w:rPr>
          <w:spacing w:val="-1"/>
        </w:rPr>
        <w:t>站，移动互联网入口成为行业竞争的焦点，在垂直细分领域，所谓“得入口者得天下”，掌握了移动互联</w:t>
      </w:r>
      <w:r>
        <w:rPr>
          <w:spacing w:val="-82"/>
        </w:rPr>
        <w:t> </w:t>
      </w:r>
      <w:r>
        <w:rPr>
          <w:spacing w:val="-82"/>
        </w:rPr>
      </w:r>
      <w:r>
        <w:rPr>
          <w:spacing w:val="-1"/>
        </w:rPr>
        <w:t>网入口就意味着可能通过高黏度的内容和服务将产品优势转化为用户规模优势和流量优势，并带来源源不</w:t>
      </w:r>
      <w:r>
        <w:rPr>
          <w:spacing w:val="-81"/>
        </w:rPr>
        <w:t> </w:t>
      </w:r>
      <w:r>
        <w:rPr>
          <w:spacing w:val="-81"/>
        </w:rPr>
      </w:r>
      <w:r>
        <w:rPr>
          <w:spacing w:val="-1"/>
        </w:rPr>
        <w:t>断的数据、信息、业务和收入。凭借与大量高校客户良好的合作关系、庞大的校园卡持卡人用户群体以及</w:t>
      </w:r>
      <w:r>
        <w:rPr>
          <w:spacing w:val="-82"/>
        </w:rPr>
        <w:t> </w:t>
      </w:r>
      <w:r>
        <w:rPr>
          <w:spacing w:val="-82"/>
        </w:rPr>
      </w:r>
      <w:r>
        <w:rPr>
          <w:spacing w:val="-1"/>
        </w:rPr>
        <w:t>对学校及学生群体的个性化需求和校园线下应用场景的精确理解，报告期内，公司积极探索布局校园移动</w:t>
      </w:r>
      <w:r>
        <w:rPr>
          <w:spacing w:val="-81"/>
        </w:rPr>
        <w:t> </w:t>
      </w:r>
      <w:r>
        <w:rPr>
          <w:spacing w:val="-81"/>
        </w:rPr>
      </w:r>
      <w:r>
        <w:rPr/>
        <w:t>互联网业务，由</w:t>
      </w:r>
      <w:r>
        <w:rPr>
          <w:rFonts w:ascii="Times New Roman" w:hAnsi="Times New Roman" w:cs="Times New Roman" w:eastAsia="Times New Roman" w:hint="default"/>
        </w:rPr>
        <w:t>B2B</w:t>
      </w:r>
      <w:r>
        <w:rPr/>
        <w:t>向</w:t>
      </w:r>
      <w:r>
        <w:rPr>
          <w:rFonts w:ascii="Times New Roman" w:hAnsi="Times New Roman" w:cs="Times New Roman" w:eastAsia="Times New Roman" w:hint="default"/>
        </w:rPr>
        <w:t>B2C</w:t>
      </w:r>
      <w:r>
        <w:rPr/>
        <w:t>转型，将线下优质资源向线上转移，以服务校园一卡通应用为切入点，推出了</w:t>
      </w:r>
      <w:r>
        <w:rPr>
          <w:spacing w:val="-67"/>
        </w:rPr>
        <w:t> </w:t>
      </w:r>
      <w:r>
        <w:rPr>
          <w:spacing w:val="-67"/>
        </w:rPr>
      </w:r>
      <w:r>
        <w:rPr>
          <w:spacing w:val="-2"/>
        </w:rPr>
        <w:t>整合校园一卡通应用及学生学习、生活、交友、娱乐、消费、求职等功能于一体的校园</w:t>
      </w:r>
      <w:r>
        <w:rPr>
          <w:rFonts w:ascii="Times New Roman" w:hAnsi="Times New Roman" w:cs="Times New Roman" w:eastAsia="Times New Roman" w:hint="default"/>
          <w:spacing w:val="-2"/>
        </w:rPr>
        <w:t>APP</w:t>
      </w:r>
      <w:r>
        <w:rPr>
          <w:spacing w:val="-2"/>
        </w:rPr>
        <w:t>“玩校”，</w:t>
      </w:r>
      <w:r>
        <w:rPr>
          <w:spacing w:val="-10"/>
        </w:rPr>
        <w:t> </w:t>
      </w:r>
      <w:r>
        <w:rPr/>
        <w:t>其</w:t>
      </w:r>
      <w:r>
        <w:rPr>
          <w:spacing w:val="-100"/>
        </w:rPr>
        <w:t> </w:t>
      </w:r>
      <w:r>
        <w:rPr>
          <w:spacing w:val="-100"/>
        </w:rPr>
      </w:r>
      <w:r>
        <w:rPr>
          <w:spacing w:val="-1"/>
        </w:rPr>
        <w:t>可以与学校现有的校园一卡通系统进行无缝对接，实现学生校园门禁、食堂、超市消费等应用场景，还能</w:t>
      </w:r>
      <w:r>
        <w:rPr>
          <w:spacing w:val="-82"/>
        </w:rPr>
        <w:t> </w:t>
      </w:r>
      <w:r>
        <w:rPr>
          <w:spacing w:val="-82"/>
        </w:rPr>
      </w:r>
      <w:r>
        <w:rPr>
          <w:spacing w:val="-1"/>
        </w:rPr>
        <w:t>进行水电费缴纳、消费记录查询、自助挂失等操作，目前已在北京交通大学、北京邮电大学、华东师范大</w:t>
      </w:r>
      <w:r>
        <w:rPr>
          <w:spacing w:val="-83"/>
        </w:rPr>
        <w:t> </w:t>
      </w:r>
      <w:r>
        <w:rPr>
          <w:spacing w:val="-83"/>
        </w:rPr>
      </w:r>
      <w:r>
        <w:rPr>
          <w:spacing w:val="-1"/>
        </w:rPr>
        <w:t>学、郑州大学、长春工业大学、上海中医药大学、东北林业大学、四川师范大学、成都理工大学、西南石</w:t>
      </w:r>
      <w:r>
        <w:rPr>
          <w:spacing w:val="-85"/>
        </w:rPr>
        <w:t> </w:t>
      </w:r>
      <w:r>
        <w:rPr>
          <w:spacing w:val="-85"/>
        </w:rPr>
      </w:r>
      <w:r>
        <w:rPr>
          <w:spacing w:val="-9"/>
        </w:rPr>
        <w:t>油大学、河南工业大学、河南师范大学、江西农业大学等近</w:t>
      </w:r>
      <w:r>
        <w:rPr>
          <w:rFonts w:ascii="Times New Roman" w:hAnsi="Times New Roman" w:cs="Times New Roman" w:eastAsia="Times New Roman" w:hint="default"/>
          <w:spacing w:val="-9"/>
        </w:rPr>
        <w:t>30</w:t>
      </w:r>
      <w:r>
        <w:rPr>
          <w:spacing w:val="-9"/>
        </w:rPr>
        <w:t>所高校上线推广。公司将不断加强“玩校”</w:t>
      </w:r>
      <w:r>
        <w:rPr>
          <w:rFonts w:ascii="Times New Roman" w:hAnsi="Times New Roman" w:cs="Times New Roman" w:eastAsia="Times New Roman" w:hint="default"/>
          <w:spacing w:val="-9"/>
        </w:rPr>
        <w:t>APP</w:t>
      </w:r>
      <w:r>
        <w:rPr>
          <w:rFonts w:ascii="Times New Roman" w:hAnsi="Times New Roman" w:cs="Times New Roman" w:eastAsia="Times New Roman" w:hint="default"/>
          <w:spacing w:val="-16"/>
        </w:rPr>
        <w:t> </w:t>
      </w:r>
      <w:r>
        <w:rPr>
          <w:spacing w:val="-1"/>
        </w:rPr>
        <w:t>的研发投入和推广力度，不断增加贴近学生的应用服务，提升用户体验，为学生提供全面优质的校园掌上</w:t>
      </w:r>
      <w:r>
        <w:rPr>
          <w:spacing w:val="-83"/>
        </w:rPr>
        <w:t> </w:t>
      </w:r>
      <w:r>
        <w:rPr>
          <w:spacing w:val="-83"/>
        </w:rPr>
      </w:r>
      <w:r>
        <w:rPr>
          <w:spacing w:val="-1"/>
        </w:rPr>
        <w:t>应用服务，同时为学生生活学习相关数据进行挖掘、分析、运营提供了精准通道，将“玩校”打造成校园</w:t>
      </w:r>
      <w:r>
        <w:rPr>
          <w:spacing w:val="-83"/>
        </w:rPr>
        <w:t> </w:t>
      </w:r>
      <w:r>
        <w:rPr>
          <w:spacing w:val="-83"/>
        </w:rPr>
      </w:r>
      <w:r>
        <w:rPr>
          <w:spacing w:val="-1"/>
        </w:rPr>
        <w:t>生活助手，校园信息化运营平台，并通过自主经营或与运营商、互联网企业等拥有企业资源和服务渠道的</w:t>
      </w:r>
      <w:r>
        <w:rPr>
          <w:spacing w:val="-83"/>
        </w:rPr>
        <w:t> </w:t>
      </w:r>
      <w:r>
        <w:rPr>
          <w:spacing w:val="-83"/>
        </w:rPr>
      </w:r>
      <w:r>
        <w:rPr>
          <w:spacing w:val="-1"/>
        </w:rPr>
        <w:t>企业合作，实现线上与线下的良性互动和有机结合，进而成为面向校园垂直人群的移动互联精准入口，逐</w:t>
      </w:r>
    </w:p>
    <w:p>
      <w:pPr>
        <w:spacing w:after="0" w:line="403" w:lineRule="auto"/>
        <w:jc w:val="both"/>
        <w:sectPr>
          <w:footerReference w:type="default" r:id="rId13"/>
          <w:pgSz w:w="11910" w:h="16840"/>
          <w:pgMar w:footer="982" w:header="747" w:top="1060" w:bottom="1180" w:left="980" w:right="920"/>
          <w:pgNumType w:start="14"/>
        </w:sectPr>
      </w:pPr>
    </w:p>
    <w:p>
      <w:pPr>
        <w:spacing w:line="240" w:lineRule="auto" w:before="0"/>
        <w:rPr>
          <w:rFonts w:ascii="宋体" w:hAnsi="宋体" w:cs="宋体" w:eastAsia="宋体" w:hint="default"/>
          <w:sz w:val="20"/>
          <w:szCs w:val="20"/>
        </w:rPr>
      </w:pPr>
    </w:p>
    <w:p>
      <w:pPr>
        <w:pStyle w:val="BodyText"/>
        <w:spacing w:line="386" w:lineRule="auto" w:before="174"/>
        <w:ind w:right="211" w:hanging="1"/>
        <w:jc w:val="both"/>
      </w:pPr>
      <w:r>
        <w:rPr>
          <w:spacing w:val="-1"/>
        </w:rPr>
        <w:t>步推动公司由智能一卡通系统解决方案供应商向移动互联网服务运营商转型，加速公司校园</w:t>
      </w:r>
      <w:r>
        <w:rPr>
          <w:rFonts w:ascii="Times New Roman" w:hAnsi="Times New Roman" w:cs="Times New Roman" w:eastAsia="Times New Roman" w:hint="default"/>
          <w:spacing w:val="-1"/>
        </w:rPr>
        <w:t>O2O</w:t>
      </w:r>
      <w:r>
        <w:rPr>
          <w:spacing w:val="-1"/>
        </w:rPr>
        <w:t>等商业模</w:t>
      </w:r>
      <w:r>
        <w:rPr>
          <w:spacing w:val="-71"/>
        </w:rPr>
        <w:t> </w:t>
      </w:r>
      <w:r>
        <w:rPr/>
        <w:t>式闭环的形成。</w:t>
      </w:r>
    </w:p>
    <w:p>
      <w:pPr>
        <w:pStyle w:val="BodyText"/>
        <w:spacing w:line="386" w:lineRule="auto" w:before="65"/>
        <w:ind w:right="210" w:firstLine="420"/>
        <w:jc w:val="both"/>
      </w:pPr>
      <w:r>
        <w:rPr/>
        <w:t>此外，公司还投资参股了拥有“校园司令”</w:t>
      </w:r>
      <w:r>
        <w:rPr>
          <w:rFonts w:ascii="Times New Roman" w:hAnsi="Times New Roman" w:cs="Times New Roman" w:eastAsia="Times New Roman" w:hint="default"/>
        </w:rPr>
        <w:t>APP</w:t>
      </w:r>
      <w:r>
        <w:rPr/>
        <w:t>的上海微令信息科技有限公司，其主要从事校园资讯 整合推送、校园活动的线上线下互动以及校园社区论坛等业务。</w:t>
      </w:r>
    </w:p>
    <w:p>
      <w:pPr>
        <w:pStyle w:val="BodyText"/>
        <w:spacing w:line="240" w:lineRule="auto" w:before="65"/>
        <w:ind w:left="574" w:right="532"/>
        <w:jc w:val="left"/>
      </w:pPr>
      <w:r>
        <w:rPr/>
        <w:t>②紧跟企业园区建设步伐，发力部署智慧园区信息化</w:t>
      </w:r>
    </w:p>
    <w:p>
      <w:pPr>
        <w:spacing w:line="240" w:lineRule="auto" w:before="10"/>
        <w:rPr>
          <w:rFonts w:ascii="宋体" w:hAnsi="宋体" w:cs="宋体" w:eastAsia="宋体" w:hint="default"/>
          <w:sz w:val="14"/>
          <w:szCs w:val="14"/>
        </w:rPr>
      </w:pPr>
    </w:p>
    <w:p>
      <w:pPr>
        <w:pStyle w:val="BodyText"/>
        <w:spacing w:line="400" w:lineRule="auto" w:before="0"/>
        <w:ind w:left="153" w:right="211" w:firstLine="420"/>
        <w:jc w:val="both"/>
      </w:pPr>
      <w:r>
        <w:rPr>
          <w:rFonts w:ascii="Times New Roman" w:hAnsi="Times New Roman" w:cs="Times New Roman" w:eastAsia="Times New Roman" w:hint="default"/>
        </w:rPr>
        <w:t>2014</w:t>
      </w:r>
      <w:r>
        <w:rPr/>
        <w:t>年，公司企事业一卡通实现营业收入</w:t>
      </w:r>
      <w:r>
        <w:rPr>
          <w:rFonts w:ascii="Times New Roman" w:hAnsi="Times New Roman" w:cs="Times New Roman" w:eastAsia="Times New Roman" w:hint="default"/>
        </w:rPr>
        <w:t>5,912.22</w:t>
      </w:r>
      <w:r>
        <w:rPr/>
        <w:t>万元，较上年增长</w:t>
      </w:r>
      <w:r>
        <w:rPr>
          <w:rFonts w:ascii="Times New Roman" w:hAnsi="Times New Roman" w:cs="Times New Roman" w:eastAsia="Times New Roman" w:hint="default"/>
        </w:rPr>
        <w:t>63.32%</w:t>
      </w:r>
      <w:r>
        <w:rPr/>
        <w:t>。报告期内，公司承建了 </w:t>
      </w:r>
      <w:r>
        <w:rPr>
          <w:spacing w:val="-1"/>
        </w:rPr>
        <w:t>许继集团企业一卡通，北京经开产业园园区一卡通、北京未来科技城园区一卡通、郑州高新区加速器产业</w:t>
      </w:r>
      <w:r>
        <w:rPr>
          <w:spacing w:val="-83"/>
        </w:rPr>
        <w:t> </w:t>
      </w:r>
      <w:r>
        <w:rPr>
          <w:spacing w:val="-83"/>
        </w:rPr>
      </w:r>
      <w:r>
        <w:rPr>
          <w:spacing w:val="-1"/>
        </w:rPr>
        <w:t>园园区一卡通、新乡金龙精密铜管集团企业一卡通等一大批智慧园区一卡通项目，为园区职工提供了优质</w:t>
      </w:r>
      <w:r>
        <w:rPr>
          <w:spacing w:val="-81"/>
        </w:rPr>
        <w:t> </w:t>
      </w:r>
      <w:r>
        <w:rPr>
          <w:spacing w:val="-81"/>
        </w:rPr>
      </w:r>
      <w:r>
        <w:rPr/>
        <w:t>的一卡通信息化服务。</w:t>
      </w:r>
    </w:p>
    <w:p>
      <w:pPr>
        <w:pStyle w:val="BodyText"/>
        <w:spacing w:line="386" w:lineRule="auto" w:before="52"/>
        <w:ind w:left="573" w:right="95"/>
        <w:jc w:val="left"/>
      </w:pPr>
      <w:r>
        <w:rPr/>
        <w:t>③紧抓金融</w:t>
      </w:r>
      <w:r>
        <w:rPr>
          <w:rFonts w:ascii="Times New Roman" w:hAnsi="Times New Roman" w:cs="Times New Roman" w:eastAsia="Times New Roman" w:hint="default"/>
        </w:rPr>
        <w:t>IC</w:t>
      </w:r>
      <w:r>
        <w:rPr/>
        <w:t>卡大规模推广趋势，积极推进城市一卡通业务 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月人民银行启动金融</w:t>
      </w:r>
      <w:r>
        <w:rPr>
          <w:rFonts w:ascii="Times New Roman" w:hAnsi="Times New Roman" w:cs="Times New Roman" w:eastAsia="Times New Roman" w:hint="default"/>
        </w:rPr>
        <w:t>IC</w:t>
      </w:r>
      <w:r>
        <w:rPr/>
        <w:t>卡应用推广以来，我国金融</w:t>
      </w:r>
      <w:r>
        <w:rPr>
          <w:rFonts w:ascii="Times New Roman" w:hAnsi="Times New Roman" w:cs="Times New Roman" w:eastAsia="Times New Roman" w:hint="default"/>
        </w:rPr>
        <w:t>IC</w:t>
      </w:r>
      <w:r>
        <w:rPr/>
        <w:t>卡的推广取得了显著成绩，根据中国</w:t>
      </w:r>
    </w:p>
    <w:p>
      <w:pPr>
        <w:pStyle w:val="BodyText"/>
        <w:spacing w:line="386" w:lineRule="auto" w:before="35"/>
        <w:ind w:left="153" w:right="95"/>
        <w:jc w:val="left"/>
      </w:pPr>
      <w:r>
        <w:rPr>
          <w:spacing w:val="-3"/>
        </w:rPr>
        <w:t>银联</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月的数据，银联</w:t>
      </w:r>
      <w:r>
        <w:rPr>
          <w:rFonts w:ascii="Times New Roman" w:hAnsi="Times New Roman" w:cs="Times New Roman" w:eastAsia="Times New Roman" w:hint="default"/>
          <w:spacing w:val="-3"/>
        </w:rPr>
        <w:t>IC</w:t>
      </w:r>
      <w:r>
        <w:rPr>
          <w:spacing w:val="-3"/>
        </w:rPr>
        <w:t>卡的发卡量已突破</w:t>
      </w:r>
      <w:r>
        <w:rPr>
          <w:rFonts w:ascii="Times New Roman" w:hAnsi="Times New Roman" w:cs="Times New Roman" w:eastAsia="Times New Roman" w:hint="default"/>
          <w:spacing w:val="-3"/>
        </w:rPr>
        <w:t>10</w:t>
      </w:r>
      <w:r>
        <w:rPr>
          <w:spacing w:val="-3"/>
        </w:rPr>
        <w:t>亿张，在公共交通、社会保障、医疗卫生、文化教育、</w:t>
      </w:r>
      <w:r>
        <w:rPr>
          <w:spacing w:val="-86"/>
        </w:rPr>
        <w:t> </w:t>
      </w:r>
      <w:r>
        <w:rPr>
          <w:spacing w:val="-86"/>
        </w:rPr>
      </w:r>
      <w:r>
        <w:rPr/>
        <w:t>城市管理、生活服务、企业服务等领域的应用也已经实现突破。</w:t>
      </w:r>
      <w:r>
        <w:rPr>
          <w:rFonts w:ascii="Times New Roman" w:hAnsi="Times New Roman" w:cs="Times New Roman" w:eastAsia="Times New Roman" w:hint="default"/>
        </w:rPr>
        <w:t>2014</w:t>
      </w:r>
      <w:r>
        <w:rPr/>
        <w:t>年度，由于城市一卡通及金融</w:t>
      </w:r>
      <w:r>
        <w:rPr>
          <w:rFonts w:ascii="Times New Roman" w:hAnsi="Times New Roman" w:cs="Times New Roman" w:eastAsia="Times New Roman" w:hint="default"/>
        </w:rPr>
        <w:t>IC</w:t>
      </w:r>
      <w:r>
        <w:rPr/>
        <w:t>卡项</w:t>
      </w:r>
      <w:r>
        <w:rPr>
          <w:spacing w:val="1"/>
        </w:rPr>
        <w:t> </w:t>
      </w:r>
      <w:r>
        <w:rPr/>
        <w:t>目验收周期较长，公司城市一卡通领域实现销售收入</w:t>
      </w:r>
      <w:r>
        <w:rPr>
          <w:rFonts w:ascii="Times New Roman" w:hAnsi="Times New Roman" w:cs="Times New Roman" w:eastAsia="Times New Roman" w:hint="default"/>
        </w:rPr>
        <w:t>1,303.78</w:t>
      </w:r>
      <w:r>
        <w:rPr/>
        <w:t>万元，较上年微增</w:t>
      </w:r>
      <w:r>
        <w:rPr>
          <w:rFonts w:ascii="Times New Roman" w:hAnsi="Times New Roman" w:cs="Times New Roman" w:eastAsia="Times New Roman" w:hint="default"/>
        </w:rPr>
        <w:t>1.45%</w:t>
      </w:r>
      <w:r>
        <w:rPr/>
        <w:t>。</w:t>
      </w:r>
      <w:r>
        <w:rPr>
          <w:rFonts w:ascii="Times New Roman" w:hAnsi="Times New Roman" w:cs="Times New Roman" w:eastAsia="Times New Roman" w:hint="default"/>
        </w:rPr>
        <w:t>2014</w:t>
      </w:r>
      <w:r>
        <w:rPr/>
        <w:t>年，公司中标 基于</w:t>
      </w:r>
      <w:r>
        <w:rPr>
          <w:rFonts w:ascii="Times New Roman" w:hAnsi="Times New Roman" w:cs="Times New Roman" w:eastAsia="Times New Roman" w:hint="default"/>
        </w:rPr>
        <w:t>NFC</w:t>
      </w:r>
      <w:r>
        <w:rPr/>
        <w:t>的西安城市通平台（长安通），同时公司城市公交项目增加</w:t>
      </w:r>
      <w:r>
        <w:rPr>
          <w:rFonts w:ascii="Times New Roman" w:hAnsi="Times New Roman" w:cs="Times New Roman" w:eastAsia="Times New Roman" w:hint="default"/>
        </w:rPr>
        <w:t>28</w:t>
      </w:r>
      <w:r>
        <w:rPr/>
        <w:t>个，其中地级市公交增加了梅州、 柳州、阜阳、梅河口、西双版纳、吴中、吕梁等</w:t>
      </w:r>
      <w:r>
        <w:rPr>
          <w:rFonts w:ascii="Times New Roman" w:hAnsi="Times New Roman" w:cs="Times New Roman" w:eastAsia="Times New Roman" w:hint="default"/>
        </w:rPr>
        <w:t>7</w:t>
      </w:r>
      <w:r>
        <w:rPr/>
        <w:t>个。截至报告期末，公司已经拓展了全国包括湖南、湖</w:t>
      </w:r>
      <w:r>
        <w:rPr>
          <w:spacing w:val="-35"/>
        </w:rPr>
        <w:t> </w:t>
      </w:r>
      <w:r>
        <w:rPr>
          <w:spacing w:val="-35"/>
        </w:rPr>
      </w:r>
      <w:r>
        <w:rPr/>
        <w:t>北、河北、宁夏、云南、新疆等</w:t>
      </w:r>
      <w:r>
        <w:rPr>
          <w:rFonts w:ascii="Times New Roman" w:hAnsi="Times New Roman" w:cs="Times New Roman" w:eastAsia="Times New Roman" w:hint="default"/>
        </w:rPr>
        <w:t>6</w:t>
      </w:r>
      <w:r>
        <w:rPr/>
        <w:t>个省级金融</w:t>
      </w:r>
      <w:r>
        <w:rPr>
          <w:rFonts w:ascii="Times New Roman" w:hAnsi="Times New Roman" w:cs="Times New Roman" w:eastAsia="Times New Roman" w:hint="default"/>
        </w:rPr>
        <w:t>IC</w:t>
      </w:r>
      <w:r>
        <w:rPr/>
        <w:t>卡多行业应用平台</w:t>
      </w:r>
      <w:r>
        <w:rPr>
          <w:spacing w:val="-23"/>
        </w:rPr>
        <w:t> </w:t>
      </w:r>
      <w:r>
        <w:rPr/>
        <w:t>，以及河南邮政储蓄银行、南宁农村信</w:t>
      </w:r>
      <w:r>
        <w:rPr/>
        <w:t> 用社、长春邮政储蓄银行等</w:t>
      </w:r>
      <w:r>
        <w:rPr>
          <w:rFonts w:ascii="Times New Roman" w:hAnsi="Times New Roman" w:cs="Times New Roman" w:eastAsia="Times New Roman" w:hint="default"/>
        </w:rPr>
        <w:t>4</w:t>
      </w:r>
      <w:r>
        <w:rPr/>
        <w:t>个单银行全行业省级应用平台。目前，未来公司在金融</w:t>
      </w:r>
      <w:r>
        <w:rPr>
          <w:rFonts w:ascii="Times New Roman" w:hAnsi="Times New Roman" w:cs="Times New Roman" w:eastAsia="Times New Roman" w:hint="default"/>
        </w:rPr>
        <w:t>IC</w:t>
      </w:r>
      <w:r>
        <w:rPr/>
        <w:t>卡行业应用领域将</w:t>
      </w:r>
      <w:r>
        <w:rPr>
          <w:spacing w:val="-34"/>
        </w:rPr>
        <w:t> </w:t>
      </w:r>
      <w:r>
        <w:rPr>
          <w:spacing w:val="-34"/>
        </w:rPr>
      </w:r>
      <w:r>
        <w:rPr/>
        <w:t>通过做实平台建设逐渐转变为系统集成商角色，为公司城市智能化建设开辟一条全新的发展道路。</w:t>
      </w:r>
    </w:p>
    <w:p>
      <w:pPr>
        <w:pStyle w:val="BodyText"/>
        <w:spacing w:line="386" w:lineRule="auto" w:before="65"/>
        <w:ind w:left="574" w:right="170" w:hanging="1"/>
        <w:jc w:val="left"/>
      </w:pPr>
      <w:r>
        <w:rPr/>
        <w:t>（</w:t>
      </w:r>
      <w:r>
        <w:rPr>
          <w:rFonts w:ascii="Times New Roman" w:hAnsi="Times New Roman" w:cs="Times New Roman" w:eastAsia="Times New Roman" w:hint="default"/>
        </w:rPr>
        <w:t>2</w:t>
      </w:r>
      <w:r>
        <w:rPr/>
        <w:t>）加强经营管理，优化费用管控 报告期内，公司一方面积极地推进企业生产供应链的科学管控，对工艺流程、生产进度、过程质量、</w:t>
      </w:r>
    </w:p>
    <w:p>
      <w:pPr>
        <w:pStyle w:val="BodyText"/>
        <w:spacing w:line="408" w:lineRule="auto" w:before="65"/>
        <w:ind w:right="209"/>
        <w:jc w:val="both"/>
      </w:pPr>
      <w:r>
        <w:rPr>
          <w:spacing w:val="-1"/>
        </w:rPr>
        <w:t>库存管理等进行全面控制，有效地提高了生产效率和产品品质。另一方面，公司根据发展战略及年度经营</w:t>
      </w:r>
      <w:r>
        <w:rPr>
          <w:spacing w:val="-83"/>
        </w:rPr>
        <w:t> </w:t>
      </w:r>
      <w:r>
        <w:rPr>
          <w:spacing w:val="-83"/>
        </w:rPr>
      </w:r>
      <w:r>
        <w:rPr>
          <w:spacing w:val="-1"/>
        </w:rPr>
        <w:t>目标，在做好日常经营的同时，不断制定和完善各项管理规章制度，进一步完善成本费用管理制度和管理</w:t>
      </w:r>
      <w:r>
        <w:rPr>
          <w:spacing w:val="-83"/>
        </w:rPr>
        <w:t> </w:t>
      </w:r>
      <w:r>
        <w:rPr>
          <w:spacing w:val="-83"/>
        </w:rPr>
      </w:r>
      <w:r>
        <w:rPr/>
        <w:t>流程，并取得了积极效果。</w:t>
      </w:r>
    </w:p>
    <w:p>
      <w:pPr>
        <w:pStyle w:val="BodyText"/>
        <w:spacing w:line="386" w:lineRule="auto"/>
        <w:ind w:left="574" w:right="95" w:hanging="1"/>
        <w:jc w:val="left"/>
      </w:pPr>
      <w:r>
        <w:rPr/>
        <w:t>（</w:t>
      </w:r>
      <w:r>
        <w:rPr>
          <w:rFonts w:ascii="Times New Roman" w:hAnsi="Times New Roman" w:cs="Times New Roman" w:eastAsia="Times New Roman" w:hint="default"/>
        </w:rPr>
        <w:t>3</w:t>
      </w:r>
      <w:r>
        <w:rPr/>
        <w:t>）引入高端人才，优化人力资源结构，帮助员工成长 </w:t>
      </w:r>
      <w:r>
        <w:rPr>
          <w:spacing w:val="-1"/>
        </w:rPr>
        <w:t>报告期内，在人力资源建设方面，公司通过更加细化的绩效指标，提升员工薪酬水平，为员工创造良</w:t>
      </w:r>
    </w:p>
    <w:p>
      <w:pPr>
        <w:pStyle w:val="BodyText"/>
        <w:spacing w:line="400" w:lineRule="auto" w:before="65"/>
        <w:ind w:right="211"/>
        <w:jc w:val="both"/>
      </w:pPr>
      <w:r>
        <w:rPr>
          <w:spacing w:val="-1"/>
        </w:rPr>
        <w:t>好的职业发展环境，使员工与企业共同成长。公司属于知识密集型、智力密集型行业，高端人才储备不足</w:t>
      </w:r>
      <w:r>
        <w:rPr>
          <w:spacing w:val="-82"/>
        </w:rPr>
        <w:t> </w:t>
      </w:r>
      <w:r>
        <w:rPr>
          <w:spacing w:val="-82"/>
        </w:rPr>
      </w:r>
      <w:r>
        <w:rPr>
          <w:spacing w:val="-1"/>
        </w:rPr>
        <w:t>将制约企业的进一步发展，随着公司业务规模不断扩大，以及互联网、电子信息技术、软件技术等领域的</w:t>
      </w:r>
      <w:r>
        <w:rPr>
          <w:spacing w:val="-82"/>
        </w:rPr>
        <w:t> </w:t>
      </w:r>
      <w:r>
        <w:rPr>
          <w:spacing w:val="-82"/>
        </w:rPr>
      </w:r>
      <w:r>
        <w:rPr>
          <w:spacing w:val="-1"/>
        </w:rPr>
        <w:t>不断进步，对软、硬件高级技术人员、营销人员和管理人员具有较大的需求，</w:t>
      </w:r>
      <w:r>
        <w:rPr>
          <w:rFonts w:ascii="Times New Roman" w:hAnsi="Times New Roman" w:cs="Times New Roman" w:eastAsia="Times New Roman" w:hint="default"/>
          <w:spacing w:val="-1"/>
        </w:rPr>
        <w:t>2014</w:t>
      </w:r>
      <w:r>
        <w:rPr>
          <w:spacing w:val="-1"/>
        </w:rPr>
        <w:t>年，公司持续引入高端</w:t>
      </w:r>
      <w:r>
        <w:rPr>
          <w:spacing w:val="-83"/>
        </w:rPr>
        <w:t> </w:t>
      </w:r>
      <w:r>
        <w:rPr>
          <w:spacing w:val="-83"/>
        </w:rPr>
      </w:r>
      <w:r>
        <w:rPr/>
        <w:t>人员，从整体上优化公司人力资源结构。</w:t>
      </w:r>
    </w:p>
    <w:p>
      <w:pPr>
        <w:spacing w:after="0" w:line="400" w:lineRule="auto"/>
        <w:jc w:val="both"/>
        <w:sectPr>
          <w:footerReference w:type="default" r:id="rId14"/>
          <w:pgSz w:w="11910" w:h="16840"/>
          <w:pgMar w:footer="982" w:header="747" w:top="1060" w:bottom="1180" w:left="980" w:right="920"/>
          <w:pgNumType w:start="15"/>
        </w:sectPr>
      </w:pPr>
    </w:p>
    <w:p>
      <w:pPr>
        <w:spacing w:line="240" w:lineRule="auto" w:before="0"/>
        <w:rPr>
          <w:rFonts w:ascii="宋体" w:hAnsi="宋体" w:cs="宋体" w:eastAsia="宋体" w:hint="default"/>
          <w:sz w:val="20"/>
          <w:szCs w:val="20"/>
        </w:rPr>
      </w:pPr>
    </w:p>
    <w:p>
      <w:pPr>
        <w:pStyle w:val="BodyText"/>
        <w:spacing w:line="386" w:lineRule="auto" w:before="174"/>
        <w:ind w:left="574" w:right="95" w:hanging="1"/>
        <w:jc w:val="left"/>
      </w:pPr>
      <w:r>
        <w:rPr/>
        <w:t>（</w:t>
      </w:r>
      <w:r>
        <w:rPr>
          <w:rFonts w:ascii="Times New Roman" w:hAnsi="Times New Roman" w:cs="Times New Roman" w:eastAsia="Times New Roman" w:hint="default"/>
        </w:rPr>
        <w:t>4</w:t>
      </w:r>
      <w:r>
        <w:rPr/>
        <w:t>）完善公司治理结构，加强内部控制，保证规范运作 </w:t>
      </w:r>
      <w:r>
        <w:rPr>
          <w:spacing w:val="-3"/>
        </w:rPr>
        <w:t>报告期内，公司更加明确的界定了各部门的目标、职责和权限，建立了相应的授权、检查和问责制度，</w:t>
      </w:r>
    </w:p>
    <w:p>
      <w:pPr>
        <w:pStyle w:val="BodyText"/>
        <w:spacing w:line="398" w:lineRule="auto" w:before="65"/>
        <w:ind w:right="209"/>
        <w:jc w:val="both"/>
      </w:pPr>
      <w:r>
        <w:rPr>
          <w:spacing w:val="-1"/>
        </w:rPr>
        <w:t>确保其在授权范围内履行职责；公司上述内部组织机构能够按照公司制订的管理制度，在各经营管理层的</w:t>
      </w:r>
      <w:r>
        <w:rPr>
          <w:spacing w:val="-81"/>
        </w:rPr>
        <w:t> </w:t>
      </w:r>
      <w:r>
        <w:rPr>
          <w:spacing w:val="-81"/>
        </w:rPr>
      </w:r>
      <w:r>
        <w:rPr/>
        <w:t>领导下有效执行和运作，公司倡导的</w:t>
      </w:r>
      <w:r>
        <w:rPr>
          <w:rFonts w:ascii="Times New Roman" w:hAnsi="Times New Roman" w:cs="Times New Roman" w:eastAsia="Times New Roman" w:hint="default"/>
        </w:rPr>
        <w:t>“</w:t>
      </w:r>
      <w:r>
        <w:rPr/>
        <w:t>精细化的管理模式</w:t>
      </w:r>
      <w:r>
        <w:rPr>
          <w:rFonts w:ascii="Times New Roman" w:hAnsi="Times New Roman" w:cs="Times New Roman" w:eastAsia="Times New Roman" w:hint="default"/>
        </w:rPr>
        <w:t>”</w:t>
      </w:r>
      <w:r>
        <w:rPr/>
        <w:t>也持续提升了内控体系的健全性、合理性和遵循 性。</w:t>
      </w:r>
    </w:p>
    <w:p>
      <w:pPr>
        <w:pStyle w:val="BodyText"/>
        <w:spacing w:line="393" w:lineRule="auto" w:before="54"/>
        <w:ind w:right="209" w:firstLine="419"/>
        <w:jc w:val="both"/>
      </w:pPr>
      <w:r>
        <w:rPr>
          <w:spacing w:val="-3"/>
        </w:rPr>
        <w:t>（</w:t>
      </w:r>
      <w:r>
        <w:rPr>
          <w:rFonts w:ascii="Times New Roman" w:hAnsi="Times New Roman" w:cs="Times New Roman" w:eastAsia="Times New Roman" w:hint="default"/>
          <w:spacing w:val="-3"/>
        </w:rPr>
        <w:t>5</w:t>
      </w:r>
      <w:r>
        <w:rPr>
          <w:spacing w:val="-3"/>
        </w:rPr>
        <w:t>）加强投资者关系管理，维护市值增长，打造公司良好的资本市场形象</w:t>
      </w:r>
      <w:r>
        <w:rPr>
          <w:spacing w:val="73"/>
        </w:rPr>
        <w:t> </w:t>
      </w:r>
      <w:r>
        <w:rPr/>
        <w:t>公司一直非常重视三会的</w:t>
      </w:r>
      <w:r>
        <w:rPr/>
        <w:t> </w:t>
      </w:r>
      <w:r>
        <w:rPr>
          <w:spacing w:val="-1"/>
        </w:rPr>
        <w:t>规范运作，加强信息披露的合规。</w:t>
      </w:r>
      <w:r>
        <w:rPr>
          <w:rFonts w:ascii="Times New Roman" w:hAnsi="Times New Roman" w:cs="Times New Roman" w:eastAsia="Times New Roman" w:hint="default"/>
          <w:spacing w:val="-1"/>
        </w:rPr>
        <w:t>2014</w:t>
      </w:r>
      <w:r>
        <w:rPr>
          <w:spacing w:val="-1"/>
        </w:rPr>
        <w:t>年公司更加注重投资者关系管理、机构调研计划管理工作，认真对</w:t>
      </w:r>
      <w:r>
        <w:rPr>
          <w:spacing w:val="-83"/>
        </w:rPr>
        <w:t> </w:t>
      </w:r>
      <w:r>
        <w:rPr>
          <w:spacing w:val="-83"/>
        </w:rPr>
      </w:r>
      <w:r>
        <w:rPr>
          <w:spacing w:val="-1"/>
        </w:rPr>
        <w:t>待投资者提问，与投资者保持密切的联系。为与投资者保持良好的沟通，使得投资者对公司未来的发展有</w:t>
      </w:r>
      <w:r>
        <w:rPr>
          <w:spacing w:val="-83"/>
        </w:rPr>
        <w:t> </w:t>
      </w:r>
      <w:r>
        <w:rPr>
          <w:spacing w:val="-83"/>
        </w:rPr>
      </w:r>
      <w:r>
        <w:rPr/>
        <w:t>更进一步的了解。</w:t>
      </w:r>
    </w:p>
    <w:p>
      <w:pPr>
        <w:pStyle w:val="BodyText"/>
        <w:spacing w:line="408" w:lineRule="auto" w:before="59"/>
        <w:ind w:right="188" w:firstLine="420"/>
        <w:jc w:val="both"/>
      </w:pPr>
      <w:r>
        <w:rPr/>
        <w:t>总体来说，报告期内公司围绕年初制定发展规划开展各项经营活动，并对创新性业务进行大量投入， 在向移动互联网业务转型的战略上，迈出了坚实的步伐。</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pStyle w:val="BodyText"/>
        <w:spacing w:line="400" w:lineRule="auto" w:before="153"/>
        <w:ind w:left="153" w:right="209" w:firstLine="420"/>
        <w:jc w:val="both"/>
      </w:pPr>
      <w:r>
        <w:rPr>
          <w:spacing w:val="-1"/>
        </w:rPr>
        <w:t>报告期内，公司紧抓行业发展的机遇，不断加强产品创新，稳步扩大市场份额。一方面，坚持巩固老</w:t>
      </w:r>
      <w:r>
        <w:rPr/>
        <w:t> </w:t>
      </w:r>
      <w:r>
        <w:rPr>
          <w:spacing w:val="-1"/>
        </w:rPr>
        <w:t>客户，提供技术升级、系统改造、功能扩建等后续服务，另一方面，积极拓展新市场，凭借不断提高的产</w:t>
      </w:r>
      <w:r>
        <w:rPr>
          <w:spacing w:val="-83"/>
        </w:rPr>
        <w:t> </w:t>
      </w:r>
      <w:r>
        <w:rPr>
          <w:spacing w:val="-83"/>
        </w:rPr>
      </w:r>
      <w:r>
        <w:rPr>
          <w:spacing w:val="-1"/>
        </w:rPr>
        <w:t>品性能和完善的售后服务等竞争优势，扩大市场占有率。</w:t>
      </w:r>
      <w:r>
        <w:rPr>
          <w:rFonts w:ascii="Times New Roman" w:hAnsi="Times New Roman" w:cs="Times New Roman" w:eastAsia="Times New Roman" w:hint="default"/>
          <w:spacing w:val="-1"/>
        </w:rPr>
        <w:t>2014</w:t>
      </w:r>
      <w:r>
        <w:rPr>
          <w:spacing w:val="-1"/>
        </w:rPr>
        <w:t>年度，公司实现营业收入</w:t>
      </w:r>
      <w:r>
        <w:rPr>
          <w:rFonts w:ascii="Times New Roman" w:hAnsi="Times New Roman" w:cs="Times New Roman" w:eastAsia="Times New Roman" w:hint="default"/>
          <w:spacing w:val="-1"/>
        </w:rPr>
        <w:t>31,536.09</w:t>
      </w:r>
      <w:r>
        <w:rPr>
          <w:spacing w:val="-1"/>
        </w:rPr>
        <w:t>万元，较</w:t>
      </w:r>
      <w:r>
        <w:rPr>
          <w:spacing w:val="-81"/>
        </w:rPr>
        <w:t> </w:t>
      </w:r>
      <w:r>
        <w:rPr>
          <w:spacing w:val="-81"/>
        </w:rPr>
      </w:r>
      <w:r>
        <w:rPr/>
        <w:t>上年增长</w:t>
      </w:r>
      <w:r>
        <w:rPr>
          <w:rFonts w:ascii="Times New Roman" w:hAnsi="Times New Roman" w:cs="Times New Roman" w:eastAsia="Times New Roman" w:hint="default"/>
        </w:rPr>
        <w:t>42.59%</w:t>
      </w:r>
      <w:r>
        <w:rPr/>
        <w:t>。</w:t>
      </w:r>
    </w:p>
    <w:p>
      <w:pPr>
        <w:spacing w:before="9"/>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315,360,861.85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221,169,469.97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42.59%</w:t>
            </w:r>
          </w:p>
        </w:tc>
      </w:tr>
    </w:tbl>
    <w:p>
      <w:pPr>
        <w:spacing w:before="51"/>
        <w:ind w:left="154" w:right="532" w:firstLine="0"/>
        <w:jc w:val="left"/>
        <w:rPr>
          <w:rFonts w:ascii="宋体" w:hAnsi="宋体" w:cs="宋体" w:eastAsia="宋体" w:hint="default"/>
          <w:sz w:val="18"/>
          <w:szCs w:val="18"/>
        </w:rPr>
      </w:pPr>
      <w:r>
        <w:rPr>
          <w:rFonts w:ascii="宋体" w:hAnsi="宋体" w:cs="宋体" w:eastAsia="宋体" w:hint="default"/>
          <w:sz w:val="18"/>
          <w:szCs w:val="18"/>
        </w:rPr>
        <w:t>驱动收入变化的因素</w:t>
      </w:r>
    </w:p>
    <w:p>
      <w:pPr>
        <w:pStyle w:val="BodyText"/>
        <w:spacing w:line="386" w:lineRule="auto" w:before="145"/>
        <w:ind w:right="92" w:firstLine="420"/>
        <w:jc w:val="left"/>
      </w:pPr>
      <w:r>
        <w:rPr/>
        <w:t>报告期内，</w:t>
      </w:r>
      <w:r>
        <w:rPr>
          <w:sz w:val="24"/>
          <w:szCs w:val="24"/>
        </w:rPr>
        <w:t>公司</w:t>
      </w:r>
      <w:r>
        <w:rPr/>
        <w:t>实现营业收入</w:t>
      </w:r>
      <w:r>
        <w:rPr>
          <w:rFonts w:ascii="Times New Roman" w:hAnsi="Times New Roman" w:cs="Times New Roman" w:eastAsia="Times New Roman" w:hint="default"/>
        </w:rPr>
        <w:t>31,536.09</w:t>
      </w:r>
      <w:r>
        <w:rPr/>
        <w:t>万元，较上年增长</w:t>
      </w:r>
      <w:r>
        <w:rPr>
          <w:rFonts w:ascii="Times New Roman" w:hAnsi="Times New Roman" w:cs="Times New Roman" w:eastAsia="Times New Roman" w:hint="default"/>
        </w:rPr>
        <w:t>42.59%</w:t>
      </w:r>
      <w:r>
        <w:rPr/>
        <w:t>。收入的持续增长源于公司在校园、 企事业、城市一卡通业务领域，借助自身产品及经营模式优势持续发展新客户、增加持卡人用户，同时为 既有客户拓展新的智能应用，增强客户黏性。</w:t>
      </w:r>
    </w:p>
    <w:p>
      <w:pPr>
        <w:spacing w:before="53"/>
        <w:ind w:left="154" w:right="532"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6"/>
        <w:ind w:left="153"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智能一卡通行业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108.27%</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150.77%</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49" w:firstLine="420"/>
        <w:jc w:val="both"/>
      </w:pPr>
      <w:r>
        <w:rPr>
          <w:spacing w:val="-1"/>
        </w:rPr>
        <w:t>报告期内，随市场销售规模扩大及新增智能终端产品销售（如：智能燃气表、电力载波模块），公司</w:t>
      </w:r>
      <w:r>
        <w:rPr/>
        <w:t> </w:t>
      </w:r>
      <w:r>
        <w:rPr>
          <w:spacing w:val="-1"/>
        </w:rPr>
        <w:t>自产硬件产品的生产量及销售量均较上年度大幅度增加，又因产品交付后需要一定的周期进行安装、调试</w:t>
      </w:r>
      <w:r>
        <w:rPr>
          <w:spacing w:val="-81"/>
        </w:rPr>
        <w:t> </w:t>
      </w:r>
      <w:r>
        <w:rPr>
          <w:spacing w:val="-81"/>
        </w:rPr>
      </w:r>
      <w:r>
        <w:rPr>
          <w:spacing w:val="-1"/>
        </w:rPr>
        <w:t>及验收，期末未进行结算的发出商品也有大幅增加，故本报告期公司自产硬件产品的产、销、存均较上年</w:t>
      </w:r>
      <w:r>
        <w:rPr>
          <w:spacing w:val="-82"/>
        </w:rPr>
        <w:t> </w:t>
      </w:r>
      <w:r>
        <w:rPr>
          <w:spacing w:val="-82"/>
        </w:rPr>
      </w:r>
      <w:r>
        <w:rPr/>
        <w:t>度大幅增长。</w:t>
      </w:r>
    </w:p>
    <w:p>
      <w:pPr>
        <w:spacing w:after="0" w:line="408" w:lineRule="auto"/>
        <w:jc w:val="both"/>
        <w:sectPr>
          <w:pgSz w:w="11910" w:h="16840"/>
          <w:pgMar w:header="747" w:footer="982" w:top="1060" w:bottom="1180" w:left="980" w:right="980"/>
        </w:sectPr>
      </w:pPr>
    </w:p>
    <w:p>
      <w:pPr>
        <w:spacing w:before="34"/>
        <w:ind w:left="154" w:right="-2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38" w:lineRule="auto" w:before="117"/>
        <w:ind w:left="154" w:right="2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数量分散的订单情况</w:t>
      </w:r>
    </w:p>
    <w:p>
      <w:pPr>
        <w:spacing w:line="338" w:lineRule="auto"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3"/>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44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132,817,819.81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97,732,449.31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4,483,915.66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3,013,921.78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11,833,784.67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8,540,035.30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149,135,520.14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109,286,406.39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36.46%</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7"/>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83,117,790.64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69,634,627.60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19.36%</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主要系随公司业务增长而相应增加 </w:t>
            </w:r>
            <w:r>
              <w:rPr>
                <w:rFonts w:ascii="宋体" w:hAnsi="宋体" w:cs="宋体" w:eastAsia="宋体" w:hint="default"/>
                <w:spacing w:val="-2"/>
                <w:sz w:val="18"/>
                <w:szCs w:val="18"/>
              </w:rPr>
              <w:t>的人工、招待、办公、差旅、交通等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费用；</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vMerge/>
            <w:tcBorders>
              <w:left w:val="single" w:sz="10"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40,993,554.37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33,687,693.49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21.69%</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主要系公司报告期内研发投入的增 加和随固定资产投入使用带来的折 旧费用、相关税费的增加；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vMerge/>
            <w:tcBorders>
              <w:left w:val="single" w:sz="10"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-2,878,156.45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-5,778,695.33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-50.19%</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主要系报告期内银行存款利息收入 减少所致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vMerge/>
            <w:tcBorders>
              <w:left w:val="single" w:sz="10"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5,099,259.17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1,510,901.06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237.50%</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报告期内公司营业利润较上年度大 幅增加，使所得税费用也大幅增长</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10"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vMerge/>
            <w:tcBorders>
              <w:left w:val="single" w:sz="10"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12"/>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20"/>
        <w:ind w:left="259" w:right="4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spacing w:before="102"/>
        <w:ind w:left="259" w:right="4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left="259" w:right="401" w:firstLine="420"/>
        <w:jc w:val="left"/>
      </w:pPr>
      <w:r>
        <w:rPr/>
        <w:t>公司是国家重点支持的高新技术企业、火炬计划重点高新技术企业，持续的研发与创新是公司保持核心竞争力的重要保证，长期以来公司一直非常 重视研发投入，报告期内，公司仍保持了较大的技术开发与研究投入力度，研发投入金额占营业收入比例为</w:t>
      </w:r>
      <w:r>
        <w:rPr>
          <w:rFonts w:ascii="Times New Roman" w:hAnsi="Times New Roman" w:cs="Times New Roman" w:eastAsia="Times New Roman" w:hint="default"/>
        </w:rPr>
        <w:t>9.06%</w:t>
      </w:r>
      <w:r>
        <w:rPr/>
        <w:t>。</w:t>
      </w:r>
    </w:p>
    <w:p>
      <w:pPr>
        <w:pStyle w:val="BodyText"/>
        <w:spacing w:line="211" w:lineRule="exact" w:before="0"/>
        <w:ind w:left="679" w:right="401"/>
        <w:jc w:val="left"/>
      </w:pPr>
      <w:r>
        <w:rPr/>
        <w:t>报告期内，公司进行的研发项目进展情况如下：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53"/>
        <w:ind w:left="0" w:right="133" w:firstLine="0"/>
        <w:jc w:val="right"/>
        <w:rPr>
          <w:rFonts w:ascii="宋体" w:hAnsi="宋体" w:cs="宋体" w:eastAsia="宋体" w:hint="default"/>
          <w:sz w:val="15"/>
          <w:szCs w:val="15"/>
        </w:rPr>
      </w:pPr>
      <w:r>
        <w:rPr/>
        <w:pict>
          <v:shape style="position:absolute;margin-left:64.791pt;margin-top:-80.030235pt;width:712.7pt;height:368.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5"/>
                    <w:gridCol w:w="1988"/>
                    <w:gridCol w:w="1061"/>
                    <w:gridCol w:w="1730"/>
                    <w:gridCol w:w="1153"/>
                    <w:gridCol w:w="7574"/>
                  </w:tblGrid>
                  <w:tr>
                    <w:trPr>
                      <w:trHeight w:val="658" w:hRule="exact"/>
                    </w:trPr>
                    <w:tc>
                      <w:tcPr>
                        <w:tcW w:w="72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6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b/>
                            <w:bCs/>
                            <w:sz w:val="18"/>
                            <w:szCs w:val="18"/>
                          </w:rPr>
                          <w:t>对应功能</w:t>
                        </w:r>
                        <w:r>
                          <w:rPr>
                            <w:rFonts w:ascii="宋体" w:hAnsi="宋体" w:cs="宋体" w:eastAsia="宋体" w:hint="default"/>
                            <w:sz w:val="18"/>
                            <w:szCs w:val="18"/>
                          </w:rPr>
                        </w:r>
                      </w:p>
                    </w:tc>
                    <w:tc>
                      <w:tcPr>
                        <w:tcW w:w="17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所处阶段</w:t>
                        </w:r>
                        <w:r>
                          <w:rPr>
                            <w:rFonts w:ascii="宋体" w:hAnsi="宋体" w:cs="宋体" w:eastAsia="宋体" w:hint="default"/>
                            <w:sz w:val="18"/>
                            <w:szCs w:val="18"/>
                          </w:rPr>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（截止到</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15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b/>
                            <w:bCs/>
                            <w:sz w:val="18"/>
                            <w:szCs w:val="18"/>
                          </w:rPr>
                          <w:t>计划起止时间</w:t>
                        </w:r>
                        <w:r>
                          <w:rPr>
                            <w:rFonts w:ascii="宋体" w:hAnsi="宋体" w:cs="宋体" w:eastAsia="宋体" w:hint="default"/>
                            <w:sz w:val="18"/>
                            <w:szCs w:val="18"/>
                          </w:rPr>
                        </w:r>
                      </w:p>
                    </w:tc>
                    <w:tc>
                      <w:tcPr>
                        <w:tcW w:w="75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开发功能及技术创新</w:t>
                        </w:r>
                        <w:r>
                          <w:rPr>
                            <w:rFonts w:ascii="宋体" w:hAnsi="宋体" w:cs="宋体" w:eastAsia="宋体" w:hint="default"/>
                            <w:sz w:val="18"/>
                            <w:szCs w:val="18"/>
                          </w:rPr>
                        </w:r>
                      </w:p>
                    </w:tc>
                  </w:tr>
                  <w:tr>
                    <w:trPr>
                      <w:trHeight w:val="329"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3" w:right="0"/>
                          <w:jc w:val="left"/>
                          <w:rPr>
                            <w:rFonts w:ascii="宋体" w:hAnsi="宋体" w:cs="宋体" w:eastAsia="宋体" w:hint="default"/>
                            <w:sz w:val="15"/>
                            <w:szCs w:val="15"/>
                          </w:rPr>
                        </w:pPr>
                        <w:r>
                          <w:rPr>
                            <w:rFonts w:ascii="宋体" w:hAnsi="宋体" w:cs="宋体" w:eastAsia="宋体" w:hint="default"/>
                            <w:sz w:val="15"/>
                            <w:szCs w:val="15"/>
                          </w:rPr>
                          <w:t>随着城市现代化的进程的不断加速，数字城市、智慧城市等为城市增添了许多靓丽色彩。基于城市数字化的推进，</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城市公交系统的建设和改造也成了城市建设的一个主要内容。基于城市公交系统的智能车载机旨在提高公司的产品</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竞争力，满足用户的需求，提升产品的稳定性和可靠性，为公司今后在城市一卡通行业的发展奠定基础。</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新智能车载机</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2013/7/31-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新款智能车载终端基于新的产品外观设计，大气靓丽、坚固可靠，采用最新的</w:t>
                        </w:r>
                        <w:r>
                          <w:rPr>
                            <w:rFonts w:ascii="Times New Roman" w:hAnsi="Times New Roman" w:cs="Times New Roman" w:eastAsia="Times New Roman" w:hint="default"/>
                            <w:sz w:val="15"/>
                            <w:szCs w:val="15"/>
                          </w:rPr>
                          <w:t>Comtex</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M3</w:t>
                        </w:r>
                        <w:r>
                          <w:rPr>
                            <w:rFonts w:ascii="宋体" w:hAnsi="宋体" w:cs="宋体" w:eastAsia="宋体" w:hint="default"/>
                            <w:sz w:val="15"/>
                            <w:szCs w:val="15"/>
                          </w:rPr>
                          <w:t>的内核架构，支持</w:t>
                        </w:r>
                        <w:r>
                          <w:rPr>
                            <w:rFonts w:ascii="Times New Roman" w:hAnsi="Times New Roman" w:cs="Times New Roman" w:eastAsia="Times New Roman" w:hint="default"/>
                            <w:sz w:val="15"/>
                            <w:szCs w:val="15"/>
                          </w:rPr>
                          <w:t>CPU</w:t>
                        </w:r>
                        <w:r>
                          <w:rPr>
                            <w:rFonts w:ascii="宋体" w:hAnsi="宋体" w:cs="宋体" w:eastAsia="宋体" w:hint="default"/>
                            <w:sz w:val="15"/>
                            <w:szCs w:val="15"/>
                          </w:rPr>
                          <w:t>卡</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5"/>
                            <w:szCs w:val="15"/>
                          </w:rPr>
                        </w:pPr>
                        <w:r>
                          <w:rPr>
                            <w:rFonts w:ascii="Times New Roman"/>
                            <w:sz w:val="15"/>
                          </w:rPr>
                          <w:t>2014/3/31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Mifare1</w:t>
                        </w:r>
                        <w:r>
                          <w:rPr>
                            <w:rFonts w:ascii="宋体" w:hAnsi="宋体" w:cs="宋体" w:eastAsia="宋体" w:hint="default"/>
                            <w:spacing w:val="-3"/>
                            <w:sz w:val="15"/>
                            <w:szCs w:val="15"/>
                          </w:rPr>
                          <w:t>卡，遵循</w:t>
                        </w:r>
                        <w:r>
                          <w:rPr>
                            <w:rFonts w:ascii="Times New Roman" w:hAnsi="Times New Roman" w:cs="Times New Roman" w:eastAsia="Times New Roman" w:hint="default"/>
                            <w:spacing w:val="-3"/>
                            <w:sz w:val="15"/>
                            <w:szCs w:val="15"/>
                          </w:rPr>
                          <w:t>ISO14443</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ISO7816</w:t>
                        </w:r>
                        <w:r>
                          <w:rPr>
                            <w:rFonts w:ascii="宋体" w:hAnsi="宋体" w:cs="宋体" w:eastAsia="宋体" w:hint="default"/>
                            <w:spacing w:val="-3"/>
                            <w:sz w:val="15"/>
                            <w:szCs w:val="15"/>
                          </w:rPr>
                          <w:t>协议，支持</w:t>
                        </w:r>
                        <w:r>
                          <w:rPr>
                            <w:rFonts w:ascii="Times New Roman" w:hAnsi="Times New Roman" w:cs="Times New Roman" w:eastAsia="Times New Roman" w:hint="default"/>
                            <w:spacing w:val="-3"/>
                            <w:sz w:val="15"/>
                            <w:szCs w:val="15"/>
                          </w:rPr>
                          <w:t>GPS</w:t>
                        </w:r>
                        <w:r>
                          <w:rPr>
                            <w:rFonts w:ascii="宋体" w:hAnsi="宋体" w:cs="宋体" w:eastAsia="宋体" w:hint="default"/>
                            <w:spacing w:val="-3"/>
                            <w:sz w:val="15"/>
                            <w:szCs w:val="15"/>
                          </w:rPr>
                          <w:t>定位（选配），符合车载终端标准，完全满足城市公交车的需求</w:t>
                        </w:r>
                      </w:p>
                    </w:tc>
                  </w:tr>
                  <w:tr>
                    <w:trPr>
                      <w:trHeight w:val="308"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新款智能车载终端可以实现定位、车辆调度、分段计费、分时计费、无线数据采集等多种功能，可以完全满足城市</w:t>
                        </w:r>
                      </w:p>
                    </w:tc>
                  </w:tr>
                  <w:tr>
                    <w:trPr>
                      <w:trHeight w:val="330"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公交系统的需求。</w:t>
                        </w:r>
                      </w:p>
                    </w:tc>
                  </w:tr>
                  <w:tr>
                    <w:trPr>
                      <w:trHeight w:val="329"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z w:val="15"/>
                            <w:szCs w:val="15"/>
                          </w:rPr>
                          <w:t>为广大师生提供一个服务教学、科研活动全过程的虚拟网络交互环境，突破传统模式的时间、空间限制。该产品定</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2</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高校协同社区平台</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信息集成</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2013/8/1-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位在以教科研活动中的人未中心，以教科研活动过程为主线，面向人际交互与协同的基础性业务支撑服务平台，是</w:t>
                        </w:r>
                      </w:p>
                    </w:tc>
                  </w:tr>
                  <w:tr>
                    <w:trPr>
                      <w:trHeight w:val="326"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5"/>
                            <w:szCs w:val="15"/>
                          </w:rPr>
                        </w:pPr>
                        <w:r>
                          <w:rPr>
                            <w:rFonts w:ascii="Times New Roman"/>
                            <w:sz w:val="15"/>
                          </w:rPr>
                          <w:t>2014/7/1</w:t>
                        </w: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宋体" w:hAnsi="宋体" w:cs="宋体" w:eastAsia="宋体" w:hint="default"/>
                            <w:sz w:val="15"/>
                            <w:szCs w:val="15"/>
                          </w:rPr>
                          <w:t>信息技术、网络技术最直接的为高校教学、科研两大核心业务服务的典型应用。</w:t>
                        </w:r>
                      </w:p>
                    </w:tc>
                  </w:tr>
                  <w:tr>
                    <w:trPr>
                      <w:trHeight w:val="333"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z w:val="15"/>
                            <w:szCs w:val="15"/>
                          </w:rPr>
                          <w:t>信息时代的学习与以多媒体和网络技术为核心的信息技术的发展密切相关。信息技术是以数字化为支柱</w:t>
                        </w:r>
                        <w:r>
                          <w:rPr>
                            <w:rFonts w:ascii="Times New Roman" w:hAnsi="Times New Roman" w:cs="Times New Roman" w:eastAsia="Times New Roman" w:hint="default"/>
                            <w:sz w:val="15"/>
                            <w:szCs w:val="15"/>
                          </w:rPr>
                          <w:t>,</w:t>
                        </w:r>
                        <w:r>
                          <w:rPr>
                            <w:rFonts w:ascii="宋体" w:hAnsi="宋体" w:cs="宋体" w:eastAsia="宋体" w:hint="default"/>
                            <w:sz w:val="15"/>
                            <w:szCs w:val="15"/>
                          </w:rPr>
                          <w:t>信息技术应</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pacing w:val="-1"/>
                            <w:sz w:val="15"/>
                            <w:szCs w:val="15"/>
                          </w:rPr>
                          <w:t>用到教育教学过程后</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引起了学习环境、学习资源、学习方式都向数字化方向发展</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形成数字化的学习环境、数字化的</w:t>
                        </w:r>
                      </w:p>
                    </w:tc>
                  </w:tr>
                  <w:tr>
                    <w:trPr>
                      <w:trHeight w:val="311"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3</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高校学生学习平台</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信息集成</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5"/>
                            <w:szCs w:val="15"/>
                          </w:rPr>
                        </w:pPr>
                        <w:r>
                          <w:rPr>
                            <w:rFonts w:ascii="Times New Roman"/>
                            <w:sz w:val="15"/>
                          </w:rPr>
                          <w:t>2013/4/30-</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学习资源和数字化的学习方式。学生学习平台是针对高校学生开发的一套自主学习、评教、查询学习资源等功能，</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5"/>
                            <w:szCs w:val="15"/>
                          </w:rPr>
                        </w:pPr>
                        <w:r>
                          <w:rPr>
                            <w:rFonts w:ascii="Times New Roman"/>
                            <w:sz w:val="15"/>
                          </w:rPr>
                          <w:t>2014/4/30</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宋体" w:hAnsi="宋体" w:cs="宋体" w:eastAsia="宋体" w:hint="default"/>
                            <w:sz w:val="15"/>
                            <w:szCs w:val="15"/>
                          </w:rPr>
                          <w:t>主要目的是不但让学生方便了解校内的学习课程、教学资源、对教学评价以外，还能学到不同专业实用的知识。提</w:t>
                        </w:r>
                      </w:p>
                    </w:tc>
                  </w:tr>
                  <w:tr>
                    <w:trPr>
                      <w:trHeight w:val="326"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宋体" w:hAnsi="宋体" w:cs="宋体" w:eastAsia="宋体" w:hint="default"/>
                            <w:sz w:val="15"/>
                            <w:szCs w:val="15"/>
                          </w:rPr>
                          <w:t>升学生综合能力。</w:t>
                        </w:r>
                      </w:p>
                    </w:tc>
                  </w:tr>
                  <w:tr>
                    <w:trPr>
                      <w:trHeight w:val="329"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z w:val="15"/>
                            <w:szCs w:val="15"/>
                          </w:rPr>
                          <w:t>新开普综合教务管理系统以减轻教学管理工作量、提高教学管理工作效率为目标，系统版本根据学校类型来定，初</w:t>
                        </w:r>
                      </w:p>
                    </w:tc>
                  </w:tr>
                  <w:tr>
                    <w:trPr>
                      <w:trHeight w:val="234"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次开发版本定位为技工学校版本，实现学分制教学管理。</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3" w:right="0"/>
                          <w:jc w:val="left"/>
                          <w:rPr>
                            <w:rFonts w:ascii="宋体" w:hAnsi="宋体" w:cs="宋体" w:eastAsia="宋体" w:hint="default"/>
                            <w:sz w:val="15"/>
                            <w:szCs w:val="15"/>
                          </w:rPr>
                        </w:pPr>
                        <w:r>
                          <w:rPr>
                            <w:rFonts w:ascii="宋体" w:hAnsi="宋体" w:cs="宋体" w:eastAsia="宋体" w:hint="default"/>
                            <w:spacing w:val="-3"/>
                            <w:sz w:val="15"/>
                            <w:szCs w:val="15"/>
                          </w:rPr>
                          <w:t>系统是基于</w:t>
                        </w:r>
                        <w:r>
                          <w:rPr>
                            <w:rFonts w:ascii="Times New Roman" w:hAnsi="Times New Roman" w:cs="Times New Roman" w:eastAsia="Times New Roman" w:hint="default"/>
                            <w:spacing w:val="-3"/>
                            <w:sz w:val="15"/>
                            <w:szCs w:val="15"/>
                          </w:rPr>
                          <w:t>J2EE</w:t>
                        </w:r>
                        <w:r>
                          <w:rPr>
                            <w:rFonts w:ascii="宋体" w:hAnsi="宋体" w:cs="宋体" w:eastAsia="宋体" w:hint="default"/>
                            <w:spacing w:val="-3"/>
                            <w:sz w:val="15"/>
                            <w:szCs w:val="15"/>
                          </w:rPr>
                          <w:t>架构开发的</w:t>
                        </w:r>
                        <w:r>
                          <w:rPr>
                            <w:rFonts w:ascii="Times New Roman" w:hAnsi="Times New Roman" w:cs="Times New Roman" w:eastAsia="Times New Roman" w:hint="default"/>
                            <w:spacing w:val="-3"/>
                            <w:sz w:val="15"/>
                            <w:szCs w:val="15"/>
                          </w:rPr>
                          <w:t>B/S</w:t>
                        </w:r>
                        <w:r>
                          <w:rPr>
                            <w:rFonts w:ascii="宋体" w:hAnsi="宋体" w:cs="宋体" w:eastAsia="宋体" w:hint="default"/>
                            <w:spacing w:val="-3"/>
                            <w:sz w:val="15"/>
                            <w:szCs w:val="15"/>
                          </w:rPr>
                          <w:t>结构管理系统。功能贯穿学籍管理、教学计划制定、开课管理、排课管理、选课管理</w:t>
                        </w:r>
                      </w:p>
                    </w:tc>
                  </w:tr>
                  <w:tr>
                    <w:trPr>
                      <w:trHeight w:val="155"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4</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高校版本教务管理系统</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信息集成</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2" w:right="0"/>
                          <w:jc w:val="left"/>
                          <w:rPr>
                            <w:rFonts w:ascii="Times New Roman" w:hAnsi="Times New Roman" w:cs="Times New Roman" w:eastAsia="Times New Roman" w:hint="default"/>
                            <w:sz w:val="15"/>
                            <w:szCs w:val="15"/>
                          </w:rPr>
                        </w:pPr>
                        <w:r>
                          <w:rPr>
                            <w:rFonts w:ascii="Times New Roman"/>
                            <w:sz w:val="15"/>
                          </w:rPr>
                          <w:t>2013/5/16-2014.4.</w:t>
                        </w:r>
                      </w:p>
                    </w:tc>
                    <w:tc>
                      <w:tcPr>
                        <w:tcW w:w="7574"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教学活动管理、考务管理、辅修管理、成绩管理、教学考评、毕业生管理等全部教务管理活动。系统提供了智能排</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Times New Roman" w:hAnsi="Times New Roman" w:cs="Times New Roman" w:eastAsia="Times New Roman" w:hint="default"/>
                            <w:sz w:val="15"/>
                            <w:szCs w:val="15"/>
                          </w:rPr>
                        </w:pPr>
                        <w:r>
                          <w:rPr>
                            <w:rFonts w:ascii="Times New Roman"/>
                            <w:sz w:val="15"/>
                          </w:rPr>
                          <w:t>20</w:t>
                        </w:r>
                      </w:p>
                    </w:tc>
                    <w:tc>
                      <w:tcPr>
                        <w:tcW w:w="7574" w:type="dxa"/>
                        <w:tcBorders>
                          <w:top w:val="nil" w:sz="6" w:space="0" w:color="auto"/>
                          <w:left w:val="single" w:sz="6" w:space="0" w:color="000000"/>
                          <w:bottom w:val="nil" w:sz="6" w:space="0" w:color="auto"/>
                          <w:right w:val="single" w:sz="6" w:space="0" w:color="000000"/>
                        </w:tcBorders>
                      </w:tcPr>
                      <w:p>
                        <w:pPr/>
                      </w:p>
                    </w:tc>
                  </w:tr>
                  <w:tr>
                    <w:trPr>
                      <w:trHeight w:val="230"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课、排考，可以辅助相关教务管理人员智能科学地处理繁杂的排课、排考业务。</w:t>
                        </w:r>
                      </w:p>
                    </w:tc>
                  </w:tr>
                  <w:tr>
                    <w:trPr>
                      <w:trHeight w:val="331"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系统信息标准符合有关国家标准、教育部标准、行业标准，快捷方便向教育部、教育厅申报数据，也方便与其它系</w:t>
                        </w:r>
                      </w:p>
                    </w:tc>
                  </w:tr>
                </w:tbl>
                <w:p>
                  <w:pPr/>
                </w:p>
              </w:txbxContent>
            </v:textbox>
            <w10:wrap type="none"/>
          </v:shape>
        </w:pict>
      </w:r>
      <w:r>
        <w:rPr>
          <w:rFonts w:ascii="宋体" w:hAnsi="宋体" w:cs="宋体" w:eastAsia="宋体" w:hint="default"/>
          <w:sz w:val="15"/>
          <w:szCs w:val="15"/>
        </w:rPr>
        <w:t>、</w:t>
      </w:r>
    </w:p>
    <w:p>
      <w:pPr>
        <w:spacing w:before="115"/>
        <w:ind w:left="0" w:right="118" w:firstLine="0"/>
        <w:jc w:val="right"/>
        <w:rPr>
          <w:rFonts w:ascii="宋体" w:hAnsi="宋体" w:cs="宋体" w:eastAsia="宋体" w:hint="default"/>
          <w:sz w:val="15"/>
          <w:szCs w:val="15"/>
        </w:rPr>
      </w:pP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53"/>
        <w:ind w:left="0" w:right="118" w:firstLine="0"/>
        <w:jc w:val="right"/>
        <w:rPr>
          <w:rFonts w:ascii="宋体" w:hAnsi="宋体" w:cs="宋体" w:eastAsia="宋体" w:hint="default"/>
          <w:sz w:val="15"/>
          <w:szCs w:val="15"/>
        </w:rPr>
      </w:pPr>
      <w:r>
        <w:rPr>
          <w:rFonts w:ascii="宋体" w:hAnsi="宋体" w:cs="宋体" w:eastAsia="宋体" w:hint="default"/>
          <w:sz w:val="15"/>
          <w:szCs w:val="15"/>
        </w:rPr>
        <w:t>、</w:t>
      </w:r>
    </w:p>
    <w:p>
      <w:pPr>
        <w:spacing w:after="0"/>
        <w:jc w:val="right"/>
        <w:rPr>
          <w:rFonts w:ascii="宋体" w:hAnsi="宋体" w:cs="宋体" w:eastAsia="宋体" w:hint="default"/>
          <w:sz w:val="15"/>
          <w:szCs w:val="15"/>
        </w:rPr>
        <w:sectPr>
          <w:headerReference w:type="default" r:id="rId15"/>
          <w:footerReference w:type="default" r:id="rId16"/>
          <w:pgSz w:w="16840" w:h="11910" w:orient="landscape"/>
          <w:pgMar w:header="867" w:footer="978" w:top="1060" w:bottom="1160" w:left="1180" w:right="1120"/>
          <w:pgNumType w:start="18"/>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725"/>
        <w:gridCol w:w="1988"/>
        <w:gridCol w:w="1061"/>
        <w:gridCol w:w="1730"/>
        <w:gridCol w:w="1153"/>
        <w:gridCol w:w="7574"/>
      </w:tblGrid>
      <w:tr>
        <w:trPr>
          <w:trHeight w:val="361" w:hRule="exact"/>
        </w:trPr>
        <w:tc>
          <w:tcPr>
            <w:tcW w:w="725" w:type="dxa"/>
            <w:tcBorders>
              <w:top w:val="single" w:sz="17" w:space="0" w:color="000000"/>
              <w:left w:val="single" w:sz="6" w:space="0" w:color="000000"/>
              <w:bottom w:val="single" w:sz="6" w:space="0" w:color="000000"/>
              <w:right w:val="single" w:sz="6" w:space="0" w:color="000000"/>
            </w:tcBorders>
          </w:tcPr>
          <w:p>
            <w:pPr/>
          </w:p>
        </w:tc>
        <w:tc>
          <w:tcPr>
            <w:tcW w:w="1988" w:type="dxa"/>
            <w:tcBorders>
              <w:top w:val="single" w:sz="17" w:space="0" w:color="000000"/>
              <w:left w:val="single" w:sz="6" w:space="0" w:color="000000"/>
              <w:bottom w:val="single" w:sz="6" w:space="0" w:color="000000"/>
              <w:right w:val="single" w:sz="6" w:space="0" w:color="000000"/>
            </w:tcBorders>
          </w:tcPr>
          <w:p>
            <w:pPr/>
          </w:p>
        </w:tc>
        <w:tc>
          <w:tcPr>
            <w:tcW w:w="1061" w:type="dxa"/>
            <w:tcBorders>
              <w:top w:val="single" w:sz="17" w:space="0" w:color="000000"/>
              <w:left w:val="single" w:sz="6" w:space="0" w:color="000000"/>
              <w:bottom w:val="single" w:sz="6" w:space="0" w:color="000000"/>
              <w:right w:val="single" w:sz="6" w:space="0" w:color="000000"/>
            </w:tcBorders>
          </w:tcPr>
          <w:p>
            <w:pPr/>
          </w:p>
        </w:tc>
        <w:tc>
          <w:tcPr>
            <w:tcW w:w="1730" w:type="dxa"/>
            <w:tcBorders>
              <w:top w:val="single" w:sz="17" w:space="0" w:color="000000"/>
              <w:left w:val="single" w:sz="6" w:space="0" w:color="000000"/>
              <w:bottom w:val="single" w:sz="6" w:space="0" w:color="000000"/>
              <w:right w:val="single" w:sz="6" w:space="0" w:color="000000"/>
            </w:tcBorders>
          </w:tcPr>
          <w:p>
            <w:pPr/>
          </w:p>
        </w:tc>
        <w:tc>
          <w:tcPr>
            <w:tcW w:w="1153" w:type="dxa"/>
            <w:tcBorders>
              <w:top w:val="single" w:sz="17" w:space="0" w:color="000000"/>
              <w:left w:val="single" w:sz="6" w:space="0" w:color="000000"/>
              <w:bottom w:val="single" w:sz="6" w:space="0" w:color="000000"/>
              <w:right w:val="single" w:sz="6" w:space="0" w:color="000000"/>
            </w:tcBorders>
          </w:tcPr>
          <w:p>
            <w:pPr/>
          </w:p>
        </w:tc>
        <w:tc>
          <w:tcPr>
            <w:tcW w:w="757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z w:val="15"/>
                <w:szCs w:val="15"/>
              </w:rPr>
              <w:t>统进行数据对接。</w:t>
            </w:r>
          </w:p>
        </w:tc>
      </w:tr>
      <w:tr>
        <w:trPr>
          <w:trHeight w:val="1283"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新开普智能卡</w:t>
            </w:r>
            <w:r>
              <w:rPr>
                <w:rFonts w:ascii="Times New Roman" w:hAnsi="Times New Roman" w:cs="Times New Roman" w:eastAsia="Times New Roman" w:hint="default"/>
                <w:sz w:val="15"/>
                <w:szCs w:val="15"/>
              </w:rPr>
              <w:t>COS</w:t>
            </w:r>
            <w:r>
              <w:rPr>
                <w:rFonts w:ascii="宋体" w:hAnsi="宋体" w:cs="宋体" w:eastAsia="宋体" w:hint="default"/>
                <w:sz w:val="15"/>
                <w:szCs w:val="15"/>
              </w:rPr>
              <w:t>系统</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开发阶段</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2014/3/1-2015/5/2</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5</w:t>
            </w:r>
          </w:p>
        </w:tc>
        <w:tc>
          <w:tcPr>
            <w:tcW w:w="757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4"/>
              <w:ind w:left="3" w:right="0"/>
              <w:jc w:val="both"/>
              <w:rPr>
                <w:rFonts w:ascii="宋体" w:hAnsi="宋体" w:cs="宋体" w:eastAsia="宋体" w:hint="default"/>
                <w:sz w:val="15"/>
                <w:szCs w:val="15"/>
              </w:rPr>
            </w:pPr>
            <w:r>
              <w:rPr>
                <w:rFonts w:ascii="宋体" w:hAnsi="宋体" w:cs="宋体" w:eastAsia="宋体" w:hint="default"/>
                <w:spacing w:val="-1"/>
                <w:sz w:val="15"/>
                <w:szCs w:val="15"/>
              </w:rPr>
              <w:t>新开普</w:t>
            </w:r>
            <w:r>
              <w:rPr>
                <w:rFonts w:ascii="Times New Roman" w:hAnsi="Times New Roman" w:cs="Times New Roman" w:eastAsia="Times New Roman" w:hint="default"/>
                <w:spacing w:val="-1"/>
                <w:sz w:val="15"/>
                <w:szCs w:val="15"/>
              </w:rPr>
              <w:t>CPU</w:t>
            </w:r>
            <w:r>
              <w:rPr>
                <w:rFonts w:ascii="宋体" w:hAnsi="宋体" w:cs="宋体" w:eastAsia="宋体" w:hint="default"/>
                <w:spacing w:val="-1"/>
                <w:sz w:val="15"/>
                <w:szCs w:val="15"/>
              </w:rPr>
              <w:t>卡片</w:t>
            </w:r>
            <w:r>
              <w:rPr>
                <w:rFonts w:ascii="Times New Roman" w:hAnsi="Times New Roman" w:cs="Times New Roman" w:eastAsia="Times New Roman" w:hint="default"/>
                <w:spacing w:val="-1"/>
                <w:sz w:val="15"/>
                <w:szCs w:val="15"/>
              </w:rPr>
              <w:t>COS</w:t>
            </w:r>
            <w:r>
              <w:rPr>
                <w:rFonts w:ascii="宋体" w:hAnsi="宋体" w:cs="宋体" w:eastAsia="宋体" w:hint="default"/>
                <w:spacing w:val="-1"/>
                <w:sz w:val="15"/>
                <w:szCs w:val="15"/>
              </w:rPr>
              <w:t>系统，开发一套自主版权的</w:t>
            </w:r>
            <w:r>
              <w:rPr>
                <w:rFonts w:ascii="Times New Roman" w:hAnsi="Times New Roman" w:cs="Times New Roman" w:eastAsia="Times New Roman" w:hint="default"/>
                <w:spacing w:val="-1"/>
                <w:sz w:val="15"/>
                <w:szCs w:val="15"/>
              </w:rPr>
              <w:t>CPU</w:t>
            </w:r>
            <w:r>
              <w:rPr>
                <w:rFonts w:ascii="宋体" w:hAnsi="宋体" w:cs="宋体" w:eastAsia="宋体" w:hint="default"/>
                <w:spacing w:val="-1"/>
                <w:sz w:val="15"/>
                <w:szCs w:val="15"/>
              </w:rPr>
              <w:t>卡操作系统，该操作系统符合</w:t>
            </w:r>
            <w:r>
              <w:rPr>
                <w:rFonts w:ascii="Times New Roman" w:hAnsi="Times New Roman" w:cs="Times New Roman" w:eastAsia="Times New Roman" w:hint="default"/>
                <w:spacing w:val="-1"/>
                <w:sz w:val="15"/>
                <w:szCs w:val="15"/>
              </w:rPr>
              <w:t>ISO</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
                <w:sz w:val="15"/>
                <w:szCs w:val="15"/>
              </w:rPr>
              <w:t>7816</w:t>
            </w:r>
            <w:r>
              <w:rPr>
                <w:rFonts w:ascii="宋体" w:hAnsi="宋体" w:cs="宋体" w:eastAsia="宋体" w:hint="default"/>
                <w:spacing w:val="-2"/>
                <w:sz w:val="15"/>
                <w:szCs w:val="15"/>
              </w:rPr>
              <w:t>系列标准及《中国金融集</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成电路（</w:t>
            </w:r>
            <w:r>
              <w:rPr>
                <w:rFonts w:ascii="Times New Roman" w:hAnsi="Times New Roman" w:cs="Times New Roman" w:eastAsia="Times New Roman" w:hint="default"/>
                <w:sz w:val="15"/>
                <w:szCs w:val="15"/>
              </w:rPr>
              <w:t>IC</w:t>
            </w:r>
            <w:r>
              <w:rPr>
                <w:rFonts w:ascii="宋体" w:hAnsi="宋体" w:cs="宋体" w:eastAsia="宋体" w:hint="default"/>
                <w:sz w:val="15"/>
                <w:szCs w:val="15"/>
              </w:rPr>
              <w:t>）卡规范》，适用于校园、企业、城市公交、小额支付等诸多应用领域，支持</w:t>
            </w:r>
            <w:r>
              <w:rPr>
                <w:rFonts w:ascii="Times New Roman" w:hAnsi="Times New Roman" w:cs="Times New Roman" w:eastAsia="Times New Roman" w:hint="default"/>
                <w:sz w:val="15"/>
                <w:szCs w:val="15"/>
              </w:rPr>
              <w:t>Single DES</w:t>
            </w:r>
            <w:r>
              <w:rPr>
                <w:rFonts w:ascii="宋体" w:hAnsi="宋体" w:cs="宋体" w:eastAsia="宋体" w:hint="default"/>
                <w:sz w:val="15"/>
                <w:szCs w:val="15"/>
              </w:rPr>
              <w:t>、</w:t>
            </w:r>
            <w:r>
              <w:rPr>
                <w:rFonts w:ascii="Times New Roman" w:hAnsi="Times New Roman" w:cs="Times New Roman" w:eastAsia="Times New Roman" w:hint="default"/>
                <w:sz w:val="15"/>
                <w:szCs w:val="15"/>
              </w:rPr>
              <w:t>Triple</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DES</w:t>
            </w:r>
            <w:r>
              <w:rPr>
                <w:rFonts w:ascii="宋体" w:hAnsi="宋体" w:cs="宋体" w:eastAsia="宋体" w:hint="default"/>
                <w:sz w:val="15"/>
                <w:szCs w:val="15"/>
              </w:rPr>
              <w:t>算 法和国密算法：可自动根据密钥的长度选择</w:t>
            </w:r>
            <w:r>
              <w:rPr>
                <w:rFonts w:ascii="Times New Roman" w:hAnsi="Times New Roman" w:cs="Times New Roman" w:eastAsia="Times New Roman" w:hint="default"/>
                <w:sz w:val="15"/>
                <w:szCs w:val="15"/>
              </w:rPr>
              <w:t>Single DES</w:t>
            </w:r>
            <w:r>
              <w:rPr>
                <w:rFonts w:ascii="宋体" w:hAnsi="宋体" w:cs="宋体" w:eastAsia="宋体" w:hint="default"/>
                <w:sz w:val="15"/>
                <w:szCs w:val="15"/>
              </w:rPr>
              <w:t>、</w:t>
            </w:r>
            <w:r>
              <w:rPr>
                <w:rFonts w:ascii="Times New Roman" w:hAnsi="Times New Roman" w:cs="Times New Roman" w:eastAsia="Times New Roman" w:hint="default"/>
                <w:sz w:val="15"/>
                <w:szCs w:val="15"/>
              </w:rPr>
              <w:t>Triple</w:t>
            </w:r>
            <w:r>
              <w:rPr>
                <w:rFonts w:ascii="Times New Roman" w:hAnsi="Times New Roman" w:cs="Times New Roman" w:eastAsia="Times New Roman" w:hint="default"/>
                <w:spacing w:val="11"/>
                <w:sz w:val="15"/>
                <w:szCs w:val="15"/>
              </w:rPr>
              <w:t> </w:t>
            </w:r>
            <w:r>
              <w:rPr>
                <w:rFonts w:ascii="Times New Roman" w:hAnsi="Times New Roman" w:cs="Times New Roman" w:eastAsia="Times New Roman" w:hint="default"/>
                <w:sz w:val="15"/>
                <w:szCs w:val="15"/>
              </w:rPr>
              <w:t>DES</w:t>
            </w:r>
            <w:r>
              <w:rPr>
                <w:rFonts w:ascii="宋体" w:hAnsi="宋体" w:cs="宋体" w:eastAsia="宋体" w:hint="default"/>
                <w:sz w:val="15"/>
                <w:szCs w:val="15"/>
              </w:rPr>
              <w:t>算法，可以提升</w:t>
            </w:r>
            <w:r>
              <w:rPr>
                <w:rFonts w:ascii="Times New Roman" w:hAnsi="Times New Roman" w:cs="Times New Roman" w:eastAsia="Times New Roman" w:hint="default"/>
                <w:sz w:val="15"/>
                <w:szCs w:val="15"/>
              </w:rPr>
              <w:t>CPU</w:t>
            </w:r>
            <w:r>
              <w:rPr>
                <w:rFonts w:ascii="宋体" w:hAnsi="宋体" w:cs="宋体" w:eastAsia="宋体" w:hint="default"/>
                <w:sz w:val="15"/>
                <w:szCs w:val="15"/>
              </w:rPr>
              <w:t>卡交易速度，提升产品核心 竞争力，以及通过住建部认证，实现独立产品销售。</w:t>
            </w:r>
          </w:p>
        </w:tc>
      </w:tr>
      <w:tr>
        <w:trPr>
          <w:trHeight w:val="971"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知识共享与协作平台</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信息集成</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2014/3/1-</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2014/10/31</w:t>
            </w:r>
          </w:p>
        </w:tc>
        <w:tc>
          <w:tcPr>
            <w:tcW w:w="757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3" w:right="1"/>
              <w:jc w:val="both"/>
              <w:rPr>
                <w:rFonts w:ascii="宋体" w:hAnsi="宋体" w:cs="宋体" w:eastAsia="宋体" w:hint="default"/>
                <w:sz w:val="15"/>
                <w:szCs w:val="15"/>
              </w:rPr>
            </w:pPr>
            <w:r>
              <w:rPr>
                <w:rFonts w:ascii="宋体" w:hAnsi="宋体" w:cs="宋体" w:eastAsia="宋体" w:hint="default"/>
                <w:sz w:val="15"/>
                <w:szCs w:val="15"/>
              </w:rPr>
              <w:t>知识共享与协作平台通过整合高校各类知识资源，建立学校、部门、个人的知识中心，构建一体化知识资源服务和</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协作体系，提升高校知识资源共享水平；借助知识共享与协作系统，可以减少教职员工及广大学生群体之间知识共</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享的交换成本，促进知识共享的积极性，便于形成知识共享的良好氛围。</w:t>
            </w:r>
          </w:p>
        </w:tc>
      </w:tr>
      <w:tr>
        <w:trPr>
          <w:trHeight w:val="333"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pacing w:val="-1"/>
                <w:sz w:val="15"/>
                <w:szCs w:val="15"/>
              </w:rPr>
              <w:t>个人数据服务中心是建立在学校</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共享数据中心</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基础上的主要针对</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跨主题</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跨系统</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跨部门</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数据服务需求提供</w:t>
            </w:r>
          </w:p>
        </w:tc>
      </w:tr>
      <w:tr>
        <w:trPr>
          <w:trHeight w:val="308"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相关的数据提取、展现、填报、审核、同步等服务的系统。</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7</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个人数据服务中心</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信息集成</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2014/3/1-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个人数据服务中心的建设促进了信息的流通和共享，解决了教职员工及广大学生群体填写校内相关表格时需进入多</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5"/>
                <w:szCs w:val="15"/>
              </w:rPr>
            </w:pPr>
            <w:r>
              <w:rPr>
                <w:rFonts w:ascii="Times New Roman"/>
                <w:sz w:val="15"/>
              </w:rPr>
              <w:t>2014/10/31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宋体" w:hAnsi="宋体" w:cs="宋体" w:eastAsia="宋体" w:hint="default"/>
                <w:sz w:val="15"/>
                <w:szCs w:val="15"/>
              </w:rPr>
              <w:t>个系统填写、重复填写、甚至填写不一致的问题，同时也解决了重要信息的跨系统审批问题，有效梳理了数据流，</w:t>
            </w:r>
          </w:p>
        </w:tc>
      </w:tr>
      <w:tr>
        <w:trPr>
          <w:trHeight w:val="328"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宋体" w:hAnsi="宋体" w:cs="宋体" w:eastAsia="宋体" w:hint="default"/>
                <w:sz w:val="15"/>
                <w:szCs w:val="15"/>
              </w:rPr>
              <w:t>为学校进一步深入搭建数字校园及推广校级应用系统奠定了良好的基础。</w:t>
            </w:r>
          </w:p>
        </w:tc>
      </w:tr>
      <w:tr>
        <w:trPr>
          <w:trHeight w:val="332"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3"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城市一卡通平台</w:t>
            </w:r>
            <w:r>
              <w:rPr>
                <w:rFonts w:ascii="Times New Roman" w:hAnsi="Times New Roman" w:cs="Times New Roman" w:eastAsia="Times New Roman" w:hint="default"/>
                <w:spacing w:val="-2"/>
                <w:sz w:val="15"/>
                <w:szCs w:val="15"/>
              </w:rPr>
              <w:t>V2.0”</w:t>
            </w:r>
            <w:r>
              <w:rPr>
                <w:rFonts w:ascii="宋体" w:hAnsi="宋体" w:cs="宋体" w:eastAsia="宋体" w:hint="default"/>
                <w:spacing w:val="-2"/>
                <w:sz w:val="15"/>
                <w:szCs w:val="15"/>
              </w:rPr>
              <w:t>是在</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城市一卡通统一产品平台</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框架下实现的，能够灵活应对市场业务需求、投建方提供的环</w:t>
            </w:r>
          </w:p>
        </w:tc>
      </w:tr>
      <w:tr>
        <w:trPr>
          <w:trHeight w:val="308"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境条件限制、行业对接和扩展。配套提供开放的对接标准、传输接口、文件规范、相关接入流程等，在数据处理能</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力上满足单点数据处理、分布式数据处理业务要求。</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产品基于公司统一软件开发平台进行开发，以下是平台功能特点：</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多客户：设计和业务开发以单例业务实现，对业务开发人员要求难度较低，生成注册应用包导入平台后，自动支持</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多接入数的客户系统开通，复用资源利用率大且收费模式灵活机动，应用部署方面满足多种技术综合使用、应用环</w:t>
            </w:r>
          </w:p>
        </w:tc>
      </w:tr>
      <w:tr>
        <w:trPr>
          <w:trHeight w:val="234"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境综合或独立服务器支持；</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3" w:right="0"/>
              <w:jc w:val="left"/>
              <w:rPr>
                <w:rFonts w:ascii="宋体" w:hAnsi="宋体" w:cs="宋体" w:eastAsia="宋体" w:hint="default"/>
                <w:sz w:val="15"/>
                <w:szCs w:val="15"/>
              </w:rPr>
            </w:pPr>
            <w:r>
              <w:rPr>
                <w:rFonts w:ascii="宋体" w:hAnsi="宋体" w:cs="宋体" w:eastAsia="宋体" w:hint="default"/>
                <w:sz w:val="15"/>
                <w:szCs w:val="15"/>
              </w:rPr>
              <w:t>统一权限：业务设计人员设计实现业务时，只专注于业务本身的实现，</w:t>
            </w:r>
            <w:r>
              <w:rPr>
                <w:rFonts w:ascii="Times New Roman" w:hAnsi="Times New Roman" w:cs="Times New Roman" w:eastAsia="Times New Roman" w:hint="default"/>
                <w:sz w:val="15"/>
                <w:szCs w:val="15"/>
              </w:rPr>
              <w:t>“</w:t>
            </w:r>
            <w:r>
              <w:rPr>
                <w:rFonts w:ascii="宋体" w:hAnsi="宋体" w:cs="宋体" w:eastAsia="宋体" w:hint="default"/>
                <w:sz w:val="15"/>
                <w:szCs w:val="15"/>
              </w:rPr>
              <w:t>去系统化、去平台化</w:t>
            </w:r>
            <w:r>
              <w:rPr>
                <w:rFonts w:ascii="Times New Roman" w:hAnsi="Times New Roman" w:cs="Times New Roman" w:eastAsia="Times New Roman" w:hint="default"/>
                <w:sz w:val="15"/>
                <w:szCs w:val="15"/>
              </w:rPr>
              <w:t>”</w:t>
            </w:r>
            <w:r>
              <w:rPr>
                <w:rFonts w:ascii="宋体" w:hAnsi="宋体" w:cs="宋体" w:eastAsia="宋体" w:hint="default"/>
                <w:sz w:val="15"/>
                <w:szCs w:val="15"/>
              </w:rPr>
              <w:t>设计无需考虑权限机</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8</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城市一卡通平台</w:t>
            </w:r>
            <w:r>
              <w:rPr>
                <w:rFonts w:ascii="Times New Roman" w:hAnsi="Times New Roman" w:cs="Times New Roman" w:eastAsia="Times New Roman" w:hint="default"/>
                <w:sz w:val="15"/>
                <w:szCs w:val="15"/>
              </w:rPr>
              <w:t>V2.0</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城市一卡通</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2" w:right="0"/>
              <w:jc w:val="left"/>
              <w:rPr>
                <w:rFonts w:ascii="Times New Roman" w:hAnsi="Times New Roman" w:cs="Times New Roman" w:eastAsia="Times New Roman" w:hint="default"/>
                <w:sz w:val="15"/>
                <w:szCs w:val="15"/>
              </w:rPr>
            </w:pPr>
            <w:r>
              <w:rPr>
                <w:rFonts w:ascii="Times New Roman"/>
                <w:sz w:val="15"/>
              </w:rPr>
              <w:t>2014/4/1-2014.11.</w:t>
            </w:r>
          </w:p>
        </w:tc>
        <w:tc>
          <w:tcPr>
            <w:tcW w:w="7574" w:type="dxa"/>
            <w:tcBorders>
              <w:top w:val="nil" w:sz="6" w:space="0" w:color="auto"/>
              <w:left w:val="single" w:sz="6" w:space="0" w:color="000000"/>
              <w:bottom w:val="nil" w:sz="6" w:space="0" w:color="auto"/>
              <w:right w:val="single" w:sz="6" w:space="0" w:color="000000"/>
            </w:tcBorders>
          </w:tcPr>
          <w:p>
            <w:pPr/>
          </w:p>
        </w:tc>
      </w:tr>
      <w:tr>
        <w:trPr>
          <w:trHeight w:val="155"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制，仅按照框架要求接入认证即可，权限统一实现降低了安全和认证风险；</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Times New Roman" w:hAnsi="Times New Roman" w:cs="Times New Roman" w:eastAsia="Times New Roman" w:hint="default"/>
                <w:sz w:val="15"/>
                <w:szCs w:val="15"/>
              </w:rPr>
            </w:pPr>
            <w:r>
              <w:rPr>
                <w:rFonts w:ascii="Times New Roman"/>
                <w:sz w:val="15"/>
              </w:rPr>
              <w:t>30</w:t>
            </w:r>
          </w:p>
        </w:tc>
        <w:tc>
          <w:tcPr>
            <w:tcW w:w="7574" w:type="dxa"/>
            <w:tcBorders>
              <w:top w:val="nil" w:sz="6" w:space="0" w:color="auto"/>
              <w:left w:val="single" w:sz="6" w:space="0" w:color="000000"/>
              <w:bottom w:val="nil" w:sz="6" w:space="0" w:color="auto"/>
              <w:right w:val="single" w:sz="6" w:space="0" w:color="000000"/>
            </w:tcBorders>
          </w:tcPr>
          <w:p>
            <w:pPr/>
          </w:p>
        </w:tc>
      </w:tr>
      <w:tr>
        <w:trPr>
          <w:trHeight w:val="230"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数据处理：数据满足单点数据库、分布式数据处理，从部署和运算能力上提供多样性选择和扩容设计，符合软件平</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台自身发展过程的市场环境变化，对设备和网络的投建可逐步规划；</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JAVA</w:t>
            </w:r>
            <w:r>
              <w:rPr>
                <w:rFonts w:ascii="宋体" w:hAnsi="宋体" w:cs="宋体" w:eastAsia="宋体" w:hint="default"/>
                <w:spacing w:val="-1"/>
                <w:sz w:val="15"/>
                <w:szCs w:val="15"/>
              </w:rPr>
              <w:t>事务转译数据库逻辑：将数据库多数逻辑放到代码层进行事务管控，使数据库的规模降低，为数据的移植以及</w:t>
            </w:r>
          </w:p>
        </w:tc>
      </w:tr>
      <w:tr>
        <w:trPr>
          <w:trHeight w:val="308"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合理运算分配使用提供了前提；</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统一门户：界面和操作完成性更容易接受，通过应用包的导入使系统功能生长；</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SSO</w:t>
            </w:r>
            <w:r>
              <w:rPr>
                <w:rFonts w:ascii="宋体" w:hAnsi="宋体" w:cs="宋体" w:eastAsia="宋体" w:hint="default"/>
                <w:sz w:val="15"/>
                <w:szCs w:val="15"/>
              </w:rPr>
              <w:t>：单点系统对接业务</w:t>
            </w:r>
            <w:r>
              <w:rPr>
                <w:rFonts w:ascii="Times New Roman" w:hAnsi="Times New Roman" w:cs="Times New Roman" w:eastAsia="Times New Roman" w:hint="default"/>
                <w:sz w:val="15"/>
                <w:szCs w:val="15"/>
              </w:rPr>
              <w:t>,</w:t>
            </w:r>
            <w:r>
              <w:rPr>
                <w:rFonts w:ascii="宋体" w:hAnsi="宋体" w:cs="宋体" w:eastAsia="宋体" w:hint="default"/>
                <w:sz w:val="15"/>
                <w:szCs w:val="15"/>
              </w:rPr>
              <w:t>使平台能够涵盖已建系统，并能够在已建系统的外围实现统一门户控制、延伸系统业务能</w:t>
            </w:r>
          </w:p>
        </w:tc>
      </w:tr>
      <w:tr>
        <w:trPr>
          <w:trHeight w:val="327"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力；</w:t>
            </w:r>
          </w:p>
        </w:tc>
      </w:tr>
    </w:tbl>
    <w:p>
      <w:pPr>
        <w:spacing w:after="0" w:line="240" w:lineRule="auto"/>
        <w:jc w:val="left"/>
        <w:rPr>
          <w:rFonts w:ascii="宋体" w:hAnsi="宋体" w:cs="宋体" w:eastAsia="宋体" w:hint="default"/>
          <w:sz w:val="15"/>
          <w:szCs w:val="15"/>
        </w:rPr>
        <w:sectPr>
          <w:pgSz w:w="16840" w:h="11910" w:orient="landscape"/>
          <w:pgMar w:header="867" w:footer="978" w:top="1060" w:bottom="1160" w:left="1180" w:right="1180"/>
        </w:sectPr>
      </w:pPr>
    </w:p>
    <w:p>
      <w:pPr>
        <w:spacing w:line="240" w:lineRule="auto" w:before="0"/>
        <w:rPr>
          <w:rFonts w:ascii="Times New Roman" w:hAnsi="Times New Roman" w:cs="Times New Roman" w:eastAsia="Times New Roman" w:hint="default"/>
          <w:sz w:val="20"/>
          <w:szCs w:val="20"/>
        </w:rPr>
      </w:pPr>
      <w:r>
        <w:rPr/>
        <w:pict>
          <v:shape style="position:absolute;margin-left:64.791pt;margin-top:55.259998pt;width:712.7pt;height:465.1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5"/>
                    <w:gridCol w:w="1988"/>
                    <w:gridCol w:w="1061"/>
                    <w:gridCol w:w="1730"/>
                    <w:gridCol w:w="1153"/>
                    <w:gridCol w:w="7574"/>
                  </w:tblGrid>
                  <w:tr>
                    <w:trPr>
                      <w:trHeight w:val="985" w:hRule="exact"/>
                    </w:trPr>
                    <w:tc>
                      <w:tcPr>
                        <w:tcW w:w="72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w:t>
                        </w:r>
                      </w:p>
                    </w:tc>
                    <w:tc>
                      <w:tcPr>
                        <w:tcW w:w="198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一卡通系统综合门户平台</w:t>
                        </w:r>
                      </w:p>
                    </w:tc>
                    <w:tc>
                      <w:tcPr>
                        <w:tcW w:w="106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校园一卡通</w:t>
                        </w:r>
                      </w:p>
                    </w:tc>
                    <w:tc>
                      <w:tcPr>
                        <w:tcW w:w="17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测试阶段</w:t>
                        </w:r>
                      </w:p>
                    </w:tc>
                    <w:tc>
                      <w:tcPr>
                        <w:tcW w:w="115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4"/>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2014/7/1-2014.12.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31</w:t>
                        </w:r>
                      </w:p>
                    </w:tc>
                    <w:tc>
                      <w:tcPr>
                        <w:tcW w:w="7574" w:type="dxa"/>
                        <w:tcBorders>
                          <w:top w:val="single" w:sz="17" w:space="0" w:color="000000"/>
                          <w:left w:val="single" w:sz="6" w:space="0" w:color="000000"/>
                          <w:bottom w:val="single" w:sz="6" w:space="0" w:color="000000"/>
                          <w:right w:val="single" w:sz="6" w:space="0" w:color="000000"/>
                        </w:tcBorders>
                      </w:tcPr>
                      <w:p>
                        <w:pPr>
                          <w:pStyle w:val="TableParagraph"/>
                          <w:spacing w:line="381" w:lineRule="auto" w:before="44"/>
                          <w:ind w:left="3" w:right="1"/>
                          <w:jc w:val="both"/>
                          <w:rPr>
                            <w:rFonts w:ascii="宋体" w:hAnsi="宋体" w:cs="宋体" w:eastAsia="宋体" w:hint="default"/>
                            <w:sz w:val="15"/>
                            <w:szCs w:val="15"/>
                          </w:rPr>
                        </w:pPr>
                        <w:r>
                          <w:rPr>
                            <w:rFonts w:ascii="宋体" w:hAnsi="宋体" w:cs="宋体" w:eastAsia="宋体" w:hint="default"/>
                            <w:sz w:val="15"/>
                            <w:szCs w:val="15"/>
                          </w:rPr>
                          <w:t>实现以一卡通为主的，全自助的为用户及商户服务的门户平台。包括公告及信息管理，个人交易信息查询，个人身</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份识别查询以及商户查询等。提供开放的接口标准，方便已有系统及第三方用户系统对接。能有效提升一卡通自助</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服务系统的产品竞争力。</w:t>
                        </w:r>
                      </w:p>
                    </w:tc>
                  </w:tr>
                  <w:tr>
                    <w:trPr>
                      <w:trHeight w:val="971"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A302</w:t>
                        </w:r>
                        <w:r>
                          <w:rPr>
                            <w:rFonts w:ascii="宋体" w:hAnsi="宋体" w:cs="宋体" w:eastAsia="宋体" w:hint="default"/>
                            <w:sz w:val="15"/>
                            <w:szCs w:val="15"/>
                          </w:rPr>
                          <w:t>多媒体金融</w:t>
                        </w:r>
                        <w:r>
                          <w:rPr>
                            <w:rFonts w:ascii="Times New Roman" w:hAnsi="Times New Roman" w:cs="Times New Roman" w:eastAsia="Times New Roman" w:hint="default"/>
                            <w:sz w:val="15"/>
                            <w:szCs w:val="15"/>
                          </w:rPr>
                          <w:t>POS</w:t>
                        </w:r>
                        <w:r>
                          <w:rPr>
                            <w:rFonts w:ascii="宋体" w:hAnsi="宋体" w:cs="宋体" w:eastAsia="宋体" w:hint="default"/>
                            <w:sz w:val="15"/>
                            <w:szCs w:val="15"/>
                          </w:rPr>
                          <w:t>终端</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2014/3/1-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2014/12/31</w:t>
                        </w:r>
                      </w:p>
                    </w:tc>
                    <w:tc>
                      <w:tcPr>
                        <w:tcW w:w="757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4"/>
                          <w:ind w:left="3" w:right="1"/>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A302</w:t>
                        </w:r>
                        <w:r>
                          <w:rPr>
                            <w:rFonts w:ascii="宋体" w:hAnsi="宋体" w:cs="宋体" w:eastAsia="宋体" w:hint="default"/>
                            <w:spacing w:val="-3"/>
                            <w:sz w:val="15"/>
                            <w:szCs w:val="15"/>
                          </w:rPr>
                          <w:t>是一款多媒体</w:t>
                        </w:r>
                        <w:r>
                          <w:rPr>
                            <w:rFonts w:ascii="Times New Roman" w:hAnsi="Times New Roman" w:cs="Times New Roman" w:eastAsia="Times New Roman" w:hint="default"/>
                            <w:spacing w:val="-3"/>
                            <w:sz w:val="15"/>
                            <w:szCs w:val="15"/>
                          </w:rPr>
                          <w:t>POS</w:t>
                        </w:r>
                        <w:r>
                          <w:rPr>
                            <w:rFonts w:ascii="宋体" w:hAnsi="宋体" w:cs="宋体" w:eastAsia="宋体" w:hint="default"/>
                            <w:spacing w:val="-3"/>
                            <w:sz w:val="15"/>
                            <w:szCs w:val="15"/>
                          </w:rPr>
                          <w:t>终端，将搭载</w:t>
                        </w:r>
                        <w:r>
                          <w:rPr>
                            <w:rFonts w:ascii="Times New Roman" w:hAnsi="Times New Roman" w:cs="Times New Roman" w:eastAsia="Times New Roman" w:hint="default"/>
                            <w:spacing w:val="-3"/>
                            <w:sz w:val="15"/>
                            <w:szCs w:val="15"/>
                          </w:rPr>
                          <w:t>Android</w:t>
                        </w:r>
                        <w:r>
                          <w:rPr>
                            <w:rFonts w:ascii="宋体" w:hAnsi="宋体" w:cs="宋体" w:eastAsia="宋体" w:hint="default"/>
                            <w:spacing w:val="-3"/>
                            <w:sz w:val="15"/>
                            <w:szCs w:val="15"/>
                          </w:rPr>
                          <w:t>系统，</w:t>
                        </w:r>
                        <w:r>
                          <w:rPr>
                            <w:rFonts w:ascii="Times New Roman" w:hAnsi="Times New Roman" w:cs="Times New Roman" w:eastAsia="Times New Roman" w:hint="default"/>
                            <w:spacing w:val="-3"/>
                            <w:sz w:val="15"/>
                            <w:szCs w:val="15"/>
                          </w:rPr>
                          <w:t>8</w:t>
                        </w:r>
                        <w:r>
                          <w:rPr>
                            <w:rFonts w:ascii="宋体" w:hAnsi="宋体" w:cs="宋体" w:eastAsia="宋体" w:hint="default"/>
                            <w:spacing w:val="-3"/>
                            <w:sz w:val="15"/>
                            <w:szCs w:val="15"/>
                          </w:rPr>
                          <w:t>寸多点触摸电容屏，支持高清视频、</w:t>
                        </w:r>
                        <w:r>
                          <w:rPr>
                            <w:rFonts w:ascii="Times New Roman" w:hAnsi="Times New Roman" w:cs="Times New Roman" w:eastAsia="Times New Roman" w:hint="default"/>
                            <w:spacing w:val="-3"/>
                            <w:sz w:val="15"/>
                            <w:szCs w:val="15"/>
                          </w:rPr>
                          <w:t>HDMI</w:t>
                        </w:r>
                        <w:r>
                          <w:rPr>
                            <w:rFonts w:ascii="宋体" w:hAnsi="宋体" w:cs="宋体" w:eastAsia="宋体" w:hint="default"/>
                            <w:spacing w:val="-3"/>
                            <w:sz w:val="15"/>
                            <w:szCs w:val="15"/>
                          </w:rPr>
                          <w:t>播放，丰富的</w:t>
                        </w:r>
                        <w:r>
                          <w:rPr>
                            <w:rFonts w:ascii="Times New Roman" w:hAnsi="Times New Roman" w:cs="Times New Roman" w:eastAsia="Times New Roman" w:hint="default"/>
                            <w:spacing w:val="-3"/>
                            <w:sz w:val="15"/>
                            <w:szCs w:val="15"/>
                          </w:rPr>
                          <w:t>UI</w:t>
                        </w:r>
                        <w:r>
                          <w:rPr>
                            <w:rFonts w:ascii="宋体" w:hAnsi="宋体" w:cs="宋体" w:eastAsia="宋体" w:hint="default"/>
                            <w:spacing w:val="-3"/>
                            <w:sz w:val="15"/>
                            <w:szCs w:val="15"/>
                          </w:rPr>
                          <w:t>效果</w:t>
                        </w:r>
                        <w:r>
                          <w:rPr>
                            <w:rFonts w:ascii="宋体" w:hAnsi="宋体" w:cs="宋体" w:eastAsia="宋体" w:hint="default"/>
                            <w:spacing w:val="-24"/>
                            <w:sz w:val="15"/>
                            <w:szCs w:val="15"/>
                          </w:rPr>
                          <w:t> </w:t>
                        </w:r>
                        <w:r>
                          <w:rPr>
                            <w:rFonts w:ascii="宋体" w:hAnsi="宋体" w:cs="宋体" w:eastAsia="宋体" w:hint="default"/>
                            <w:sz w:val="15"/>
                            <w:szCs w:val="15"/>
                          </w:rPr>
                          <w:t>可实现自助银行、银行卡收单业务、便民金融服务、信息传播等功能。支持接触式</w:t>
                        </w:r>
                        <w:r>
                          <w:rPr>
                            <w:rFonts w:ascii="Times New Roman" w:hAnsi="Times New Roman" w:cs="Times New Roman" w:eastAsia="Times New Roman" w:hint="default"/>
                            <w:sz w:val="15"/>
                            <w:szCs w:val="15"/>
                          </w:rPr>
                          <w:t>IC</w:t>
                        </w:r>
                        <w:r>
                          <w:rPr>
                            <w:rFonts w:ascii="宋体" w:hAnsi="宋体" w:cs="宋体" w:eastAsia="宋体" w:hint="default"/>
                            <w:sz w:val="15"/>
                            <w:szCs w:val="15"/>
                          </w:rPr>
                          <w:t>卡、非接触式</w:t>
                        </w:r>
                        <w:r>
                          <w:rPr>
                            <w:rFonts w:ascii="Times New Roman" w:hAnsi="Times New Roman" w:cs="Times New Roman" w:eastAsia="Times New Roman" w:hint="default"/>
                            <w:sz w:val="15"/>
                            <w:szCs w:val="15"/>
                          </w:rPr>
                          <w:t>IC</w:t>
                        </w:r>
                        <w:r>
                          <w:rPr>
                            <w:rFonts w:ascii="宋体" w:hAnsi="宋体" w:cs="宋体" w:eastAsia="宋体" w:hint="default"/>
                            <w:sz w:val="15"/>
                            <w:szCs w:val="15"/>
                          </w:rPr>
                          <w:t>卡、磁条卡等</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z w:val="15"/>
                            <w:szCs w:val="15"/>
                          </w:rPr>
                          <w:t>多种支付方式</w:t>
                        </w:r>
                      </w:p>
                    </w:tc>
                  </w:tr>
                  <w:tr>
                    <w:trPr>
                      <w:trHeight w:val="1283"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11</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智能三相多功能电力仪表</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能源管控</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2014/3/1-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2014/12/31</w:t>
                        </w:r>
                      </w:p>
                    </w:tc>
                    <w:tc>
                      <w:tcPr>
                        <w:tcW w:w="7574" w:type="dxa"/>
                        <w:tcBorders>
                          <w:top w:val="single" w:sz="6" w:space="0" w:color="000000"/>
                          <w:left w:val="single" w:sz="6" w:space="0" w:color="000000"/>
                          <w:bottom w:val="single" w:sz="6" w:space="0" w:color="000000"/>
                          <w:right w:val="single" w:sz="6" w:space="0" w:color="000000"/>
                        </w:tcBorders>
                      </w:tcPr>
                      <w:p>
                        <w:pPr>
                          <w:pStyle w:val="TableParagraph"/>
                          <w:spacing w:line="374" w:lineRule="auto" w:before="44"/>
                          <w:ind w:left="3" w:right="0"/>
                          <w:jc w:val="both"/>
                          <w:rPr>
                            <w:rFonts w:ascii="宋体" w:hAnsi="宋体" w:cs="宋体" w:eastAsia="宋体" w:hint="default"/>
                            <w:sz w:val="15"/>
                            <w:szCs w:val="15"/>
                          </w:rPr>
                        </w:pPr>
                        <w:r>
                          <w:rPr>
                            <w:rFonts w:ascii="宋体" w:hAnsi="宋体" w:cs="宋体" w:eastAsia="宋体" w:hint="default"/>
                            <w:sz w:val="15"/>
                            <w:szCs w:val="15"/>
                          </w:rPr>
                          <w:t>智能三相多功能电力仪表实现对电压、电流、功率、等用电参数的实时测量并对电力品质进行分析，能计量正反向</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pacing w:val="-1"/>
                            <w:sz w:val="15"/>
                            <w:szCs w:val="15"/>
                          </w:rPr>
                          <w:t>有功和四象限无功电能，能对需量进行测量，支持复费率。保存三个周期的极值记录和</w:t>
                        </w:r>
                        <w:r>
                          <w:rPr>
                            <w:rFonts w:ascii="Times New Roman" w:hAnsi="Times New Roman" w:cs="Times New Roman" w:eastAsia="Times New Roman" w:hint="default"/>
                            <w:spacing w:val="-1"/>
                            <w:sz w:val="15"/>
                            <w:szCs w:val="15"/>
                          </w:rPr>
                          <w:t>12</w:t>
                        </w:r>
                        <w:r>
                          <w:rPr>
                            <w:rFonts w:ascii="宋体" w:hAnsi="宋体" w:cs="宋体" w:eastAsia="宋体" w:hint="default"/>
                            <w:spacing w:val="-1"/>
                            <w:sz w:val="15"/>
                            <w:szCs w:val="15"/>
                          </w:rPr>
                          <w:t>个周期的电量需量记录。</w:t>
                        </w:r>
                        <w:r>
                          <w:rPr>
                            <w:rFonts w:ascii="Times New Roman" w:hAnsi="Times New Roman" w:cs="Times New Roman" w:eastAsia="Times New Roman" w:hint="default"/>
                            <w:spacing w:val="-1"/>
                            <w:sz w:val="15"/>
                            <w:szCs w:val="15"/>
                          </w:rPr>
                          <w:t>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路开关量输入和两路开关量输出可实现本地或远程的开关信号监测和控制输出功能，可通过按键编程设置参数，自</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带</w:t>
                        </w:r>
                        <w:r>
                          <w:rPr>
                            <w:rFonts w:ascii="Times New Roman" w:hAnsi="Times New Roman" w:cs="Times New Roman" w:eastAsia="Times New Roman" w:hint="default"/>
                            <w:sz w:val="15"/>
                            <w:szCs w:val="15"/>
                          </w:rPr>
                          <w:t>RS485</w:t>
                        </w:r>
                        <w:r>
                          <w:rPr>
                            <w:rFonts w:ascii="宋体" w:hAnsi="宋体" w:cs="宋体" w:eastAsia="宋体" w:hint="default"/>
                            <w:sz w:val="15"/>
                            <w:szCs w:val="15"/>
                          </w:rPr>
                          <w:t>接口，支持</w:t>
                        </w:r>
                        <w:r>
                          <w:rPr>
                            <w:rFonts w:ascii="Times New Roman" w:hAnsi="Times New Roman" w:cs="Times New Roman" w:eastAsia="Times New Roman" w:hint="default"/>
                            <w:sz w:val="15"/>
                            <w:szCs w:val="15"/>
                          </w:rPr>
                          <w:t>/DL/T645-2007</w:t>
                        </w:r>
                        <w:r>
                          <w:rPr>
                            <w:rFonts w:ascii="宋体" w:hAnsi="宋体" w:cs="宋体" w:eastAsia="宋体" w:hint="default"/>
                            <w:sz w:val="15"/>
                            <w:szCs w:val="15"/>
                          </w:rPr>
                          <w:t>协议。</w:t>
                        </w:r>
                      </w:p>
                    </w:tc>
                  </w:tr>
                  <w:tr>
                    <w:trPr>
                      <w:trHeight w:val="333"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z w:val="15"/>
                            <w:szCs w:val="15"/>
                          </w:rPr>
                          <w:t>针对</w:t>
                        </w:r>
                        <w:r>
                          <w:rPr>
                            <w:rFonts w:ascii="Times New Roman" w:hAnsi="Times New Roman" w:cs="Times New Roman" w:eastAsia="Times New Roman" w:hint="default"/>
                            <w:sz w:val="15"/>
                            <w:szCs w:val="15"/>
                          </w:rPr>
                          <w:t>2.4G</w:t>
                        </w:r>
                        <w:r>
                          <w:rPr>
                            <w:rFonts w:ascii="宋体" w:hAnsi="宋体" w:cs="宋体" w:eastAsia="宋体" w:hint="default"/>
                            <w:sz w:val="15"/>
                            <w:szCs w:val="15"/>
                          </w:rPr>
                          <w:t>有源电子标签，在目前产品的基础上，进行差异化开发，新开发产品与当前产品形成系列化，分别应用于</w:t>
                        </w:r>
                      </w:p>
                    </w:tc>
                  </w:tr>
                  <w:tr>
                    <w:trPr>
                      <w:trHeight w:val="308"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不同的应用场景及项目。计划开发新产品如下：</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r>
                          <w:rPr>
                            <w:rFonts w:ascii="Times New Roman" w:hAnsi="Times New Roman" w:cs="Times New Roman" w:eastAsia="Times New Roman" w:hint="default"/>
                            <w:sz w:val="15"/>
                            <w:szCs w:val="15"/>
                          </w:rPr>
                          <w:t>2.4G</w:t>
                        </w:r>
                        <w:r>
                          <w:rPr>
                            <w:rFonts w:ascii="宋体" w:hAnsi="宋体" w:cs="宋体" w:eastAsia="宋体" w:hint="default"/>
                            <w:sz w:val="15"/>
                            <w:szCs w:val="15"/>
                          </w:rPr>
                          <w:t>有源电子标签（与现有产品性能一致，重在改进双频卡生产工艺及外观）；</w:t>
                        </w:r>
                      </w:p>
                    </w:tc>
                  </w:tr>
                  <w:tr>
                    <w:trPr>
                      <w:trHeight w:val="234"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2.4G</w:t>
                        </w:r>
                        <w:r>
                          <w:rPr>
                            <w:rFonts w:ascii="宋体" w:hAnsi="宋体" w:cs="宋体" w:eastAsia="宋体" w:hint="default"/>
                            <w:spacing w:val="-1"/>
                            <w:sz w:val="15"/>
                            <w:szCs w:val="15"/>
                          </w:rPr>
                          <w:t>有源震动标签（特点：静止状态下不发射信号；运动或晃动时发射信号，绿色环保、省电、健康，可应用</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2.4G</w:t>
                        </w:r>
                        <w:r>
                          <w:rPr>
                            <w:rFonts w:ascii="宋体" w:hAnsi="宋体" w:cs="宋体" w:eastAsia="宋体" w:hint="default"/>
                            <w:sz w:val="15"/>
                            <w:szCs w:val="15"/>
                          </w:rPr>
                          <w:t>有源标签产品线系列化开</w:t>
                        </w: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
                    </w:tc>
                  </w:tr>
                  <w:tr>
                    <w:trPr>
                      <w:trHeight w:val="155"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12</w:t>
                        </w: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身份识别</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2" w:right="0"/>
                          <w:jc w:val="left"/>
                          <w:rPr>
                            <w:rFonts w:ascii="Times New Roman" w:hAnsi="Times New Roman" w:cs="Times New Roman" w:eastAsia="Times New Roman" w:hint="default"/>
                            <w:sz w:val="15"/>
                            <w:szCs w:val="15"/>
                          </w:rPr>
                        </w:pPr>
                        <w:r>
                          <w:rPr>
                            <w:rFonts w:ascii="Times New Roman"/>
                            <w:sz w:val="15"/>
                          </w:rPr>
                          <w:t>2014/3/1-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于家校通、资产管理等领域）；</w:t>
                        </w:r>
                      </w:p>
                    </w:tc>
                  </w:tr>
                  <w:tr>
                    <w:trPr>
                      <w:trHeight w:val="15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发</w:t>
                        </w: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
                    </w:tc>
                  </w:tr>
                  <w:tr>
                    <w:trPr>
                      <w:trHeight w:val="238"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2" w:right="0"/>
                          <w:jc w:val="left"/>
                          <w:rPr>
                            <w:rFonts w:ascii="Times New Roman" w:hAnsi="Times New Roman" w:cs="Times New Roman" w:eastAsia="Times New Roman" w:hint="default"/>
                            <w:sz w:val="15"/>
                            <w:szCs w:val="15"/>
                          </w:rPr>
                        </w:pPr>
                        <w:r>
                          <w:rPr>
                            <w:rFonts w:ascii="Times New Roman"/>
                            <w:sz w:val="15"/>
                          </w:rPr>
                          <w:t>2014/10/31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3" w:right="-36"/>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r>
                          <w:rPr>
                            <w:rFonts w:ascii="Times New Roman" w:hAnsi="Times New Roman" w:cs="Times New Roman" w:eastAsia="Times New Roman" w:hint="default"/>
                            <w:sz w:val="15"/>
                            <w:szCs w:val="15"/>
                          </w:rPr>
                          <w:t>2.4G</w:t>
                        </w:r>
                        <w:r>
                          <w:rPr>
                            <w:rFonts w:ascii="宋体" w:hAnsi="宋体" w:cs="宋体" w:eastAsia="宋体" w:hint="default"/>
                            <w:sz w:val="15"/>
                            <w:szCs w:val="15"/>
                          </w:rPr>
                          <w:t>低频唤醒有源电子标签（</w:t>
                        </w:r>
                        <w:r>
                          <w:rPr>
                            <w:rFonts w:ascii="Times New Roman" w:hAnsi="Times New Roman" w:cs="Times New Roman" w:eastAsia="Times New Roman" w:hint="default"/>
                            <w:sz w:val="15"/>
                            <w:szCs w:val="15"/>
                          </w:rPr>
                          <w:t>2.4G+125K</w:t>
                        </w:r>
                        <w:r>
                          <w:rPr>
                            <w:rFonts w:ascii="宋体" w:hAnsi="宋体" w:cs="宋体" w:eastAsia="宋体" w:hint="default"/>
                            <w:sz w:val="15"/>
                            <w:szCs w:val="15"/>
                          </w:rPr>
                          <w:t>组合频段，</w:t>
                        </w:r>
                        <w:r>
                          <w:rPr>
                            <w:rFonts w:ascii="Times New Roman" w:hAnsi="Times New Roman" w:cs="Times New Roman" w:eastAsia="Times New Roman" w:hint="default"/>
                            <w:sz w:val="15"/>
                            <w:szCs w:val="15"/>
                          </w:rPr>
                          <w:t>125KHz</w:t>
                        </w:r>
                        <w:r>
                          <w:rPr>
                            <w:rFonts w:ascii="宋体" w:hAnsi="宋体" w:cs="宋体" w:eastAsia="宋体" w:hint="default"/>
                            <w:sz w:val="15"/>
                            <w:szCs w:val="15"/>
                          </w:rPr>
                          <w:t>低频触发唤醒标签后发射，可实现精确人员定位、</w:t>
                        </w:r>
                      </w:p>
                    </w:tc>
                  </w:tr>
                  <w:tr>
                    <w:trPr>
                      <w:trHeight w:val="308"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资产管理、智能停车场等）。</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4</w:t>
                        </w:r>
                        <w:r>
                          <w:rPr>
                            <w:rFonts w:ascii="宋体" w:hAnsi="宋体" w:cs="宋体" w:eastAsia="宋体" w:hint="default"/>
                            <w:sz w:val="15"/>
                            <w:szCs w:val="15"/>
                          </w:rPr>
                          <w:t>）地标定位器（采用</w:t>
                        </w:r>
                        <w:r>
                          <w:rPr>
                            <w:rFonts w:ascii="Times New Roman" w:hAnsi="Times New Roman" w:cs="Times New Roman" w:eastAsia="Times New Roman" w:hint="default"/>
                            <w:sz w:val="15"/>
                            <w:szCs w:val="15"/>
                          </w:rPr>
                          <w:t>125KHz</w:t>
                        </w:r>
                        <w:r>
                          <w:rPr>
                            <w:rFonts w:ascii="宋体" w:hAnsi="宋体" w:cs="宋体" w:eastAsia="宋体" w:hint="default"/>
                            <w:sz w:val="15"/>
                            <w:szCs w:val="15"/>
                          </w:rPr>
                          <w:t>频率，与</w:t>
                        </w:r>
                        <w:r>
                          <w:rPr>
                            <w:rFonts w:ascii="Times New Roman" w:hAnsi="Times New Roman" w:cs="Times New Roman" w:eastAsia="Times New Roman" w:hint="default"/>
                            <w:sz w:val="15"/>
                            <w:szCs w:val="15"/>
                          </w:rPr>
                          <w:t>2.4G</w:t>
                        </w:r>
                        <w:r>
                          <w:rPr>
                            <w:rFonts w:ascii="宋体" w:hAnsi="宋体" w:cs="宋体" w:eastAsia="宋体" w:hint="default"/>
                            <w:sz w:val="15"/>
                            <w:szCs w:val="15"/>
                          </w:rPr>
                          <w:t>低频唤醒有源电子标签配合，可实现精确人员定位、智能停车场管理</w:t>
                        </w:r>
                      </w:p>
                    </w:tc>
                  </w:tr>
                  <w:tr>
                    <w:trPr>
                      <w:trHeight w:val="327"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等）。</w:t>
                        </w:r>
                      </w:p>
                    </w:tc>
                  </w:tr>
                  <w:tr>
                    <w:trPr>
                      <w:trHeight w:val="328"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3" w:right="0"/>
                          <w:jc w:val="left"/>
                          <w:rPr>
                            <w:rFonts w:ascii="宋体" w:hAnsi="宋体" w:cs="宋体" w:eastAsia="宋体" w:hint="default"/>
                            <w:sz w:val="15"/>
                            <w:szCs w:val="15"/>
                          </w:rPr>
                        </w:pPr>
                        <w:r>
                          <w:rPr>
                            <w:rFonts w:ascii="宋体" w:hAnsi="宋体" w:cs="宋体" w:eastAsia="宋体" w:hint="default"/>
                            <w:sz w:val="15"/>
                            <w:szCs w:val="15"/>
                          </w:rPr>
                          <w:t>以人脸识别技术为核心，实现跨平台多识别应用的融合，包括证件照自动识别抓拍，互联网证件照自动比对审核，</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13</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人脸识别技术应用</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身份识别</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测试阶段</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2014/4/1-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考试监管人员身份自动比对，人脸关键视频帧提取，通道人员出入管理等应用，并封装易集成可独立授权的跨平台</w:t>
                        </w:r>
                      </w:p>
                    </w:tc>
                  </w:tr>
                  <w:tr>
                    <w:trPr>
                      <w:trHeight w:val="328"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5"/>
                            <w:szCs w:val="15"/>
                          </w:rPr>
                        </w:pPr>
                        <w:r>
                          <w:rPr>
                            <w:rFonts w:ascii="Times New Roman"/>
                            <w:sz w:val="15"/>
                          </w:rPr>
                          <w:t>2014/10/30</w:t>
                        </w: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宋体" w:hAnsi="宋体" w:cs="宋体" w:eastAsia="宋体" w:hint="default"/>
                            <w:sz w:val="15"/>
                            <w:szCs w:val="15"/>
                          </w:rPr>
                          <w:t>识别算法库，为第三方基于</w:t>
                        </w:r>
                        <w:r>
                          <w:rPr>
                            <w:rFonts w:ascii="Times New Roman" w:hAnsi="Times New Roman" w:cs="Times New Roman" w:eastAsia="Times New Roman" w:hint="default"/>
                            <w:sz w:val="15"/>
                            <w:szCs w:val="15"/>
                          </w:rPr>
                          <w:t>Windows/ios/linux/android</w:t>
                        </w:r>
                        <w:r>
                          <w:rPr>
                            <w:rFonts w:ascii="宋体" w:hAnsi="宋体" w:cs="宋体" w:eastAsia="宋体" w:hint="default"/>
                            <w:sz w:val="15"/>
                            <w:szCs w:val="15"/>
                          </w:rPr>
                          <w:t>平台的各类应用提供算法支撑。</w:t>
                        </w:r>
                      </w:p>
                    </w:tc>
                  </w:tr>
                  <w:tr>
                    <w:trPr>
                      <w:trHeight w:val="333"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ISO18092FeliCa</w:t>
                        </w:r>
                        <w:r>
                          <w:rPr>
                            <w:rFonts w:ascii="宋体" w:hAnsi="宋体" w:cs="宋体" w:eastAsia="宋体" w:hint="default"/>
                            <w:sz w:val="15"/>
                            <w:szCs w:val="15"/>
                          </w:rPr>
                          <w:t>被动通讯模式标准类型，在</w:t>
                        </w:r>
                        <w:r>
                          <w:rPr>
                            <w:rFonts w:ascii="Times New Roman" w:hAnsi="Times New Roman" w:cs="Times New Roman" w:eastAsia="Times New Roman" w:hint="default"/>
                            <w:sz w:val="15"/>
                            <w:szCs w:val="15"/>
                          </w:rPr>
                          <w:t>Touch</w:t>
                        </w:r>
                        <w:r>
                          <w:rPr>
                            <w:rFonts w:ascii="Times New Roman" w:hAnsi="Times New Roman" w:cs="Times New Roman" w:eastAsia="Times New Roman" w:hint="default"/>
                            <w:spacing w:val="-27"/>
                            <w:sz w:val="15"/>
                            <w:szCs w:val="15"/>
                          </w:rPr>
                          <w:t> </w:t>
                        </w:r>
                        <w:r>
                          <w:rPr>
                            <w:rFonts w:ascii="Times New Roman" w:hAnsi="Times New Roman" w:cs="Times New Roman" w:eastAsia="Times New Roman" w:hint="default"/>
                            <w:sz w:val="15"/>
                            <w:szCs w:val="15"/>
                          </w:rPr>
                          <w:t>and</w:t>
                        </w:r>
                        <w:r>
                          <w:rPr>
                            <w:rFonts w:ascii="Times New Roman" w:hAnsi="Times New Roman" w:cs="Times New Roman" w:eastAsia="Times New Roman" w:hint="default"/>
                            <w:spacing w:val="-27"/>
                            <w:sz w:val="15"/>
                            <w:szCs w:val="15"/>
                          </w:rPr>
                          <w:t> </w:t>
                        </w:r>
                        <w:r>
                          <w:rPr>
                            <w:rFonts w:ascii="Times New Roman" w:hAnsi="Times New Roman" w:cs="Times New Roman" w:eastAsia="Times New Roman" w:hint="default"/>
                            <w:sz w:val="15"/>
                            <w:szCs w:val="15"/>
                          </w:rPr>
                          <w:t>Go</w:t>
                        </w:r>
                        <w:r>
                          <w:rPr>
                            <w:rFonts w:ascii="宋体" w:hAnsi="宋体" w:cs="宋体" w:eastAsia="宋体" w:hint="default"/>
                            <w:sz w:val="15"/>
                            <w:szCs w:val="15"/>
                          </w:rPr>
                          <w:t>，</w:t>
                        </w:r>
                        <w:r>
                          <w:rPr>
                            <w:rFonts w:ascii="Times New Roman" w:hAnsi="Times New Roman" w:cs="Times New Roman" w:eastAsia="Times New Roman" w:hint="default"/>
                            <w:sz w:val="15"/>
                            <w:szCs w:val="15"/>
                          </w:rPr>
                          <w:t>Pay</w:t>
                        </w:r>
                        <w:r>
                          <w:rPr>
                            <w:rFonts w:ascii="宋体" w:hAnsi="宋体" w:cs="宋体" w:eastAsia="宋体" w:hint="default"/>
                            <w:sz w:val="15"/>
                            <w:szCs w:val="15"/>
                          </w:rPr>
                          <w:t>，</w:t>
                        </w:r>
                        <w:r>
                          <w:rPr>
                            <w:rFonts w:ascii="Times New Roman" w:hAnsi="Times New Roman" w:cs="Times New Roman" w:eastAsia="Times New Roman" w:hint="default"/>
                            <w:sz w:val="15"/>
                            <w:szCs w:val="15"/>
                          </w:rPr>
                          <w:t>Connect</w:t>
                        </w:r>
                        <w:r>
                          <w:rPr>
                            <w:rFonts w:ascii="宋体" w:hAnsi="宋体" w:cs="宋体" w:eastAsia="宋体" w:hint="default"/>
                            <w:sz w:val="15"/>
                            <w:szCs w:val="15"/>
                          </w:rPr>
                          <w:t>，</w:t>
                        </w:r>
                        <w:r>
                          <w:rPr>
                            <w:rFonts w:ascii="Times New Roman" w:hAnsi="Times New Roman" w:cs="Times New Roman" w:eastAsia="Times New Roman" w:hint="default"/>
                            <w:sz w:val="15"/>
                            <w:szCs w:val="15"/>
                          </w:rPr>
                          <w:t>Explore</w:t>
                        </w:r>
                        <w:r>
                          <w:rPr>
                            <w:rFonts w:ascii="宋体" w:hAnsi="宋体" w:cs="宋体" w:eastAsia="宋体" w:hint="default"/>
                            <w:sz w:val="15"/>
                            <w:szCs w:val="15"/>
                          </w:rPr>
                          <w:t>，</w:t>
                        </w:r>
                        <w:r>
                          <w:rPr>
                            <w:rFonts w:ascii="Times New Roman" w:hAnsi="Times New Roman" w:cs="Times New Roman" w:eastAsia="Times New Roman" w:hint="default"/>
                            <w:sz w:val="15"/>
                            <w:szCs w:val="15"/>
                          </w:rPr>
                          <w:t>Load</w:t>
                        </w:r>
                        <w:r>
                          <w:rPr>
                            <w:rFonts w:ascii="宋体" w:hAnsi="宋体" w:cs="宋体" w:eastAsia="宋体" w:hint="default"/>
                            <w:sz w:val="15"/>
                            <w:szCs w:val="15"/>
                          </w:rPr>
                          <w:t>的常用应用领域有成熟的案</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例。支持</w:t>
                        </w:r>
                        <w:r>
                          <w:rPr>
                            <w:rFonts w:ascii="Times New Roman" w:hAnsi="Times New Roman" w:cs="Times New Roman" w:eastAsia="Times New Roman" w:hint="default"/>
                            <w:sz w:val="15"/>
                            <w:szCs w:val="15"/>
                          </w:rPr>
                          <w:t>NFC</w:t>
                        </w:r>
                        <w:r>
                          <w:rPr>
                            <w:rFonts w:ascii="宋体" w:hAnsi="宋体" w:cs="宋体" w:eastAsia="宋体" w:hint="default"/>
                            <w:sz w:val="15"/>
                            <w:szCs w:val="15"/>
                          </w:rPr>
                          <w:t>手机以卡模拟、阅读器、点对点方式应用于产品中。</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、将中国移动</w:t>
                        </w:r>
                        <w:r>
                          <w:rPr>
                            <w:rFonts w:ascii="Times New Roman" w:hAnsi="Times New Roman" w:cs="Times New Roman" w:eastAsia="Times New Roman" w:hint="default"/>
                            <w:spacing w:val="-3"/>
                            <w:sz w:val="15"/>
                            <w:szCs w:val="15"/>
                          </w:rPr>
                          <w:t>NFC</w:t>
                        </w:r>
                        <w:r>
                          <w:rPr>
                            <w:rFonts w:ascii="宋体" w:hAnsi="宋体" w:cs="宋体" w:eastAsia="宋体" w:hint="default"/>
                            <w:spacing w:val="-3"/>
                            <w:sz w:val="15"/>
                            <w:szCs w:val="15"/>
                          </w:rPr>
                          <w:t>业务推广到校园、企业、公交行业中，将</w:t>
                        </w:r>
                        <w:r>
                          <w:rPr>
                            <w:rFonts w:ascii="Times New Roman" w:hAnsi="Times New Roman" w:cs="Times New Roman" w:eastAsia="Times New Roman" w:hint="default"/>
                            <w:spacing w:val="-3"/>
                            <w:sz w:val="15"/>
                            <w:szCs w:val="15"/>
                          </w:rPr>
                          <w:t>NFC</w:t>
                        </w:r>
                        <w:r>
                          <w:rPr>
                            <w:rFonts w:ascii="宋体" w:hAnsi="宋体" w:cs="宋体" w:eastAsia="宋体" w:hint="default"/>
                            <w:spacing w:val="-3"/>
                            <w:sz w:val="15"/>
                            <w:szCs w:val="15"/>
                          </w:rPr>
                          <w:t>手机终端模拟成一张普通非接触卡，应用装载在</w:t>
                        </w:r>
                        <w:r>
                          <w:rPr>
                            <w:rFonts w:ascii="Times New Roman" w:hAnsi="Times New Roman" w:cs="Times New Roman" w:eastAsia="Times New Roman" w:hint="default"/>
                            <w:spacing w:val="-3"/>
                            <w:sz w:val="15"/>
                            <w:szCs w:val="15"/>
                          </w:rPr>
                          <w:t>NFC</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14</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NFC</w:t>
                        </w:r>
                        <w:r>
                          <w:rPr>
                            <w:rFonts w:ascii="宋体" w:hAnsi="宋体" w:cs="宋体" w:eastAsia="宋体" w:hint="default"/>
                            <w:sz w:val="15"/>
                            <w:szCs w:val="15"/>
                          </w:rPr>
                          <w:t>移动支付运营平台</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移动互联</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测试阶段</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5"/>
                            <w:szCs w:val="15"/>
                          </w:rPr>
                        </w:pPr>
                        <w:r>
                          <w:rPr>
                            <w:rFonts w:ascii="Times New Roman"/>
                            <w:sz w:val="15"/>
                          </w:rPr>
                          <w:t>2014/3/1-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安全模块中，在支付、门禁、考勤等场景中应用。</w:t>
                        </w:r>
                      </w:p>
                    </w:tc>
                  </w:tr>
                  <w:tr>
                    <w:trPr>
                      <w:trHeight w:val="31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5"/>
                            <w:szCs w:val="15"/>
                          </w:rPr>
                        </w:pPr>
                        <w:r>
                          <w:rPr>
                            <w:rFonts w:ascii="Times New Roman"/>
                            <w:sz w:val="15"/>
                          </w:rPr>
                          <w:t>2015/2/28</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、校园卡、企业卡、公交卡与手机卡整合在一张手机卡片上，实现校园、企业、公交等，避免用户携带多张卡片带</w:t>
                        </w:r>
                      </w:p>
                    </w:tc>
                  </w:tr>
                  <w:tr>
                    <w:trPr>
                      <w:trHeight w:val="308"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来的不便，也减少卡片的重复投资。</w:t>
                        </w:r>
                      </w:p>
                    </w:tc>
                  </w:tr>
                  <w:tr>
                    <w:trPr>
                      <w:trHeight w:val="330"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、为用户提供便捷的空中业务服务，实现空中开卡、空中充值等空中业务办理服务，增强用户体验，增加用户粘性</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5"/>
          <w:szCs w:val="15"/>
        </w:rPr>
      </w:pPr>
    </w:p>
    <w:p>
      <w:pPr>
        <w:spacing w:before="0"/>
        <w:ind w:left="0" w:right="98" w:firstLine="0"/>
        <w:jc w:val="right"/>
        <w:rPr>
          <w:rFonts w:ascii="宋体" w:hAnsi="宋体" w:cs="宋体" w:eastAsia="宋体" w:hint="default"/>
          <w:sz w:val="15"/>
          <w:szCs w:val="15"/>
        </w:rPr>
      </w:pP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53"/>
        <w:ind w:left="0" w:right="98" w:firstLine="0"/>
        <w:jc w:val="right"/>
        <w:rPr>
          <w:rFonts w:ascii="宋体" w:hAnsi="宋体" w:cs="宋体" w:eastAsia="宋体" w:hint="default"/>
          <w:sz w:val="15"/>
          <w:szCs w:val="15"/>
        </w:rPr>
      </w:pPr>
      <w:r>
        <w:rPr>
          <w:rFonts w:ascii="宋体" w:hAnsi="宋体" w:cs="宋体" w:eastAsia="宋体" w:hint="default"/>
          <w:sz w:val="15"/>
          <w:szCs w:val="15"/>
        </w:rPr>
        <w:t>。</w:t>
      </w:r>
    </w:p>
    <w:p>
      <w:pPr>
        <w:spacing w:after="0"/>
        <w:jc w:val="right"/>
        <w:rPr>
          <w:rFonts w:ascii="宋体" w:hAnsi="宋体" w:cs="宋体" w:eastAsia="宋体" w:hint="default"/>
          <w:sz w:val="15"/>
          <w:szCs w:val="15"/>
        </w:rPr>
        <w:sectPr>
          <w:pgSz w:w="16840" w:h="11910" w:orient="landscape"/>
          <w:pgMar w:header="867" w:footer="978" w:top="1060" w:bottom="1160" w:left="11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53"/>
        <w:ind w:left="0" w:right="98" w:firstLine="0"/>
        <w:jc w:val="right"/>
        <w:rPr>
          <w:rFonts w:ascii="宋体" w:hAnsi="宋体" w:cs="宋体" w:eastAsia="宋体" w:hint="default"/>
          <w:sz w:val="15"/>
          <w:szCs w:val="15"/>
        </w:rPr>
      </w:pPr>
      <w:r>
        <w:rPr/>
        <w:pict>
          <v:shape style="position:absolute;margin-left:64.791pt;margin-top:-122.210236pt;width:712.7pt;height:260.5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5"/>
                    <w:gridCol w:w="1988"/>
                    <w:gridCol w:w="1061"/>
                    <w:gridCol w:w="1730"/>
                    <w:gridCol w:w="1153"/>
                    <w:gridCol w:w="7574"/>
                  </w:tblGrid>
                  <w:tr>
                    <w:trPr>
                      <w:trHeight w:val="347" w:hRule="exact"/>
                    </w:trPr>
                    <w:tc>
                      <w:tcPr>
                        <w:tcW w:w="725" w:type="dxa"/>
                        <w:vMerge w:val="restart"/>
                        <w:tcBorders>
                          <w:top w:val="single" w:sz="17" w:space="0" w:color="000000"/>
                          <w:left w:val="single" w:sz="6" w:space="0" w:color="000000"/>
                          <w:right w:val="single" w:sz="6" w:space="0" w:color="000000"/>
                        </w:tcBorders>
                      </w:tcPr>
                      <w:p>
                        <w:pPr/>
                      </w:p>
                    </w:tc>
                    <w:tc>
                      <w:tcPr>
                        <w:tcW w:w="1988" w:type="dxa"/>
                        <w:vMerge w:val="restart"/>
                        <w:tcBorders>
                          <w:top w:val="single" w:sz="17" w:space="0" w:color="000000"/>
                          <w:left w:val="single" w:sz="6" w:space="0" w:color="000000"/>
                          <w:right w:val="single" w:sz="6" w:space="0" w:color="000000"/>
                        </w:tcBorders>
                      </w:tcPr>
                      <w:p>
                        <w:pPr/>
                      </w:p>
                    </w:tc>
                    <w:tc>
                      <w:tcPr>
                        <w:tcW w:w="1061" w:type="dxa"/>
                        <w:vMerge w:val="restart"/>
                        <w:tcBorders>
                          <w:top w:val="single" w:sz="17" w:space="0" w:color="000000"/>
                          <w:left w:val="single" w:sz="6" w:space="0" w:color="000000"/>
                          <w:right w:val="single" w:sz="6" w:space="0" w:color="000000"/>
                        </w:tcBorders>
                      </w:tcPr>
                      <w:p>
                        <w:pPr/>
                      </w:p>
                    </w:tc>
                    <w:tc>
                      <w:tcPr>
                        <w:tcW w:w="1730" w:type="dxa"/>
                        <w:vMerge w:val="restart"/>
                        <w:tcBorders>
                          <w:top w:val="single" w:sz="17" w:space="0" w:color="000000"/>
                          <w:left w:val="single" w:sz="6" w:space="0" w:color="000000"/>
                          <w:right w:val="single" w:sz="6" w:space="0" w:color="000000"/>
                        </w:tcBorders>
                      </w:tcPr>
                      <w:p>
                        <w:pPr/>
                      </w:p>
                    </w:tc>
                    <w:tc>
                      <w:tcPr>
                        <w:tcW w:w="1153" w:type="dxa"/>
                        <w:vMerge w:val="restart"/>
                        <w:tcBorders>
                          <w:top w:val="single" w:sz="17" w:space="0" w:color="000000"/>
                          <w:left w:val="single" w:sz="6" w:space="0" w:color="000000"/>
                          <w:right w:val="single" w:sz="6" w:space="0" w:color="000000"/>
                        </w:tcBorders>
                      </w:tcPr>
                      <w:p>
                        <w:pPr/>
                      </w:p>
                    </w:tc>
                    <w:tc>
                      <w:tcPr>
                        <w:tcW w:w="7574"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、新开普的行业</w:t>
                        </w:r>
                        <w:r>
                          <w:rPr>
                            <w:rFonts w:ascii="Times New Roman" w:hAnsi="Times New Roman" w:cs="Times New Roman" w:eastAsia="Times New Roman" w:hint="default"/>
                            <w:sz w:val="15"/>
                            <w:szCs w:val="15"/>
                          </w:rPr>
                          <w:t>SP </w:t>
                        </w:r>
                        <w:r>
                          <w:rPr>
                            <w:rFonts w:ascii="Times New Roman" w:hAnsi="Times New Roman" w:cs="Times New Roman" w:eastAsia="Times New Roman" w:hint="default"/>
                            <w:spacing w:val="19"/>
                            <w:sz w:val="15"/>
                            <w:szCs w:val="15"/>
                          </w:rPr>
                          <w:t> </w:t>
                        </w:r>
                        <w:r>
                          <w:rPr>
                            <w:rFonts w:ascii="Times New Roman" w:hAnsi="Times New Roman" w:cs="Times New Roman" w:eastAsia="Times New Roman" w:hint="default"/>
                            <w:sz w:val="15"/>
                            <w:szCs w:val="15"/>
                          </w:rPr>
                          <w:t>TSM</w:t>
                        </w:r>
                        <w:r>
                          <w:rPr>
                            <w:rFonts w:ascii="宋体" w:hAnsi="宋体" w:cs="宋体" w:eastAsia="宋体" w:hint="default"/>
                            <w:sz w:val="15"/>
                            <w:szCs w:val="15"/>
                          </w:rPr>
                          <w:t>平台建设，为新开普建设了一个对校园、企业、公交等行业集中管理的平台，为其他厂商</w:t>
                        </w:r>
                      </w:p>
                    </w:tc>
                  </w:tr>
                  <w:tr>
                    <w:trPr>
                      <w:trHeight w:val="308" w:hRule="exact"/>
                    </w:trPr>
                    <w:tc>
                      <w:tcPr>
                        <w:tcW w:w="725" w:type="dxa"/>
                        <w:vMerge/>
                        <w:tcBorders>
                          <w:left w:val="single" w:sz="6" w:space="0" w:color="000000"/>
                          <w:right w:val="single" w:sz="6" w:space="0" w:color="000000"/>
                        </w:tcBorders>
                      </w:tcPr>
                      <w:p>
                        <w:pPr/>
                      </w:p>
                    </w:tc>
                    <w:tc>
                      <w:tcPr>
                        <w:tcW w:w="1988" w:type="dxa"/>
                        <w:vMerge/>
                        <w:tcBorders>
                          <w:left w:val="single" w:sz="6" w:space="0" w:color="000000"/>
                          <w:right w:val="single" w:sz="6" w:space="0" w:color="000000"/>
                        </w:tcBorders>
                      </w:tcPr>
                      <w:p>
                        <w:pPr/>
                      </w:p>
                    </w:tc>
                    <w:tc>
                      <w:tcPr>
                        <w:tcW w:w="1061" w:type="dxa"/>
                        <w:vMerge/>
                        <w:tcBorders>
                          <w:left w:val="single" w:sz="6" w:space="0" w:color="000000"/>
                          <w:right w:val="single" w:sz="6" w:space="0" w:color="000000"/>
                        </w:tcBorders>
                      </w:tcPr>
                      <w:p>
                        <w:pPr/>
                      </w:p>
                    </w:tc>
                    <w:tc>
                      <w:tcPr>
                        <w:tcW w:w="1730" w:type="dxa"/>
                        <w:vMerge/>
                        <w:tcBorders>
                          <w:left w:val="single" w:sz="6" w:space="0" w:color="000000"/>
                          <w:right w:val="single" w:sz="6" w:space="0" w:color="000000"/>
                        </w:tcBorders>
                      </w:tcPr>
                      <w:p>
                        <w:pPr/>
                      </w:p>
                    </w:tc>
                    <w:tc>
                      <w:tcPr>
                        <w:tcW w:w="1153" w:type="dxa"/>
                        <w:vMerge/>
                        <w:tcBorders>
                          <w:left w:val="single" w:sz="6" w:space="0" w:color="000000"/>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提供了一个开放的可信管理服务平台，为新开普挖掘和拓展移动互联增值业务提供了便利。</w:t>
                        </w:r>
                      </w:p>
                    </w:tc>
                  </w:tr>
                  <w:tr>
                    <w:trPr>
                      <w:trHeight w:val="330" w:hRule="exact"/>
                    </w:trPr>
                    <w:tc>
                      <w:tcPr>
                        <w:tcW w:w="725" w:type="dxa"/>
                        <w:vMerge/>
                        <w:tcBorders>
                          <w:left w:val="single" w:sz="6" w:space="0" w:color="000000"/>
                          <w:bottom w:val="single" w:sz="6" w:space="0" w:color="000000"/>
                          <w:right w:val="single" w:sz="6" w:space="0" w:color="000000"/>
                        </w:tcBorders>
                      </w:tcPr>
                      <w:p>
                        <w:pPr/>
                      </w:p>
                    </w:tc>
                    <w:tc>
                      <w:tcPr>
                        <w:tcW w:w="1988" w:type="dxa"/>
                        <w:vMerge/>
                        <w:tcBorders>
                          <w:left w:val="single" w:sz="6" w:space="0" w:color="000000"/>
                          <w:bottom w:val="single" w:sz="6" w:space="0" w:color="000000"/>
                          <w:right w:val="single" w:sz="6" w:space="0" w:color="000000"/>
                        </w:tcBorders>
                      </w:tcPr>
                      <w:p>
                        <w:pPr/>
                      </w:p>
                    </w:tc>
                    <w:tc>
                      <w:tcPr>
                        <w:tcW w:w="1061" w:type="dxa"/>
                        <w:vMerge/>
                        <w:tcBorders>
                          <w:left w:val="single" w:sz="6" w:space="0" w:color="000000"/>
                          <w:bottom w:val="single" w:sz="6" w:space="0" w:color="000000"/>
                          <w:right w:val="single" w:sz="6" w:space="0" w:color="000000"/>
                        </w:tcBorders>
                      </w:tcPr>
                      <w:p>
                        <w:pPr/>
                      </w:p>
                    </w:tc>
                    <w:tc>
                      <w:tcPr>
                        <w:tcW w:w="1730" w:type="dxa"/>
                        <w:vMerge/>
                        <w:tcBorders>
                          <w:left w:val="single" w:sz="6" w:space="0" w:color="000000"/>
                          <w:bottom w:val="single" w:sz="6" w:space="0" w:color="000000"/>
                          <w:right w:val="single" w:sz="6" w:space="0" w:color="000000"/>
                        </w:tcBorders>
                      </w:tcPr>
                      <w:p>
                        <w:pPr/>
                      </w:p>
                    </w:tc>
                    <w:tc>
                      <w:tcPr>
                        <w:tcW w:w="1153" w:type="dxa"/>
                        <w:vMerge/>
                        <w:tcBorders>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、新开普的掌上</w:t>
                        </w:r>
                        <w:r>
                          <w:rPr>
                            <w:rFonts w:ascii="Times New Roman" w:hAnsi="Times New Roman" w:cs="Times New Roman" w:eastAsia="Times New Roman" w:hint="default"/>
                            <w:sz w:val="15"/>
                            <w:szCs w:val="15"/>
                          </w:rPr>
                          <w:t>APP</w:t>
                        </w:r>
                        <w:r>
                          <w:rPr>
                            <w:rFonts w:ascii="宋体" w:hAnsi="宋体" w:cs="宋体" w:eastAsia="宋体" w:hint="default"/>
                            <w:sz w:val="15"/>
                            <w:szCs w:val="15"/>
                          </w:rPr>
                          <w:t>应用更加丰富、完善，为用户提供了更多更丰富的体验内容和手段。</w:t>
                        </w:r>
                      </w:p>
                    </w:tc>
                  </w:tr>
                  <w:tr>
                    <w:trPr>
                      <w:trHeight w:val="333"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pacing w:val="-1"/>
                            <w:sz w:val="15"/>
                            <w:szCs w:val="15"/>
                          </w:rPr>
                          <w:t>新开普电子温补燃气表，开发电子式温度补偿燃气表，该燃气表符合</w:t>
                        </w:r>
                        <w:r>
                          <w:rPr>
                            <w:rFonts w:ascii="Times New Roman" w:hAnsi="Times New Roman" w:cs="Times New Roman" w:eastAsia="Times New Roman" w:hint="default"/>
                            <w:spacing w:val="-1"/>
                            <w:sz w:val="15"/>
                            <w:szCs w:val="15"/>
                          </w:rPr>
                          <w:t>GB/T6968-2011</w:t>
                        </w:r>
                        <w:r>
                          <w:rPr>
                            <w:rFonts w:ascii="宋体" w:hAnsi="宋体" w:cs="宋体" w:eastAsia="宋体" w:hint="default"/>
                            <w:spacing w:val="-1"/>
                            <w:sz w:val="15"/>
                            <w:szCs w:val="15"/>
                          </w:rPr>
                          <w:t>《膜式燃气表》国家标准，适用</w:t>
                        </w:r>
                      </w:p>
                    </w:tc>
                  </w:tr>
                  <w:tr>
                    <w:trPr>
                      <w:trHeight w:val="311"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277"/>
                          <w:jc w:val="right"/>
                          <w:rPr>
                            <w:rFonts w:ascii="Times New Roman" w:hAnsi="Times New Roman" w:cs="Times New Roman" w:eastAsia="Times New Roman" w:hint="default"/>
                            <w:sz w:val="15"/>
                            <w:szCs w:val="15"/>
                          </w:rPr>
                        </w:pPr>
                        <w:r>
                          <w:rPr>
                            <w:rFonts w:ascii="Times New Roman"/>
                            <w:sz w:val="15"/>
                          </w:rPr>
                          <w:t>15</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电子温补燃气表</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燃气集成</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测试阶段</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5"/>
                            <w:szCs w:val="15"/>
                          </w:rPr>
                        </w:pPr>
                        <w:r>
                          <w:rPr>
                            <w:rFonts w:ascii="Times New Roman"/>
                            <w:sz w:val="15"/>
                          </w:rPr>
                          <w:t>2014/3/1-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于民用燃气用户的计量，解决了燃气公司由于年平均气温低于标况情况引起的气损，从用户实际利益出发，提升产</w:t>
                        </w:r>
                      </w:p>
                    </w:tc>
                  </w:tr>
                  <w:tr>
                    <w:trPr>
                      <w:trHeight w:val="326"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5"/>
                            <w:szCs w:val="15"/>
                          </w:rPr>
                        </w:pPr>
                        <w:r>
                          <w:rPr>
                            <w:rFonts w:ascii="Times New Roman"/>
                            <w:sz w:val="15"/>
                          </w:rPr>
                          <w:t>2014/12/31</w:t>
                        </w: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宋体" w:hAnsi="宋体" w:cs="宋体" w:eastAsia="宋体" w:hint="default"/>
                            <w:sz w:val="15"/>
                            <w:szCs w:val="15"/>
                          </w:rPr>
                          <w:t>品竞争力，实现产品独立销售。</w:t>
                        </w:r>
                      </w:p>
                    </w:tc>
                  </w:tr>
                  <w:tr>
                    <w:trPr>
                      <w:trHeight w:val="251"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single" w:sz="6" w:space="0" w:color="000000"/>
                          <w:left w:val="single" w:sz="6" w:space="0" w:color="000000"/>
                          <w:bottom w:val="nil" w:sz="6" w:space="0" w:color="auto"/>
                          <w:right w:val="single" w:sz="6" w:space="0" w:color="000000"/>
                        </w:tcBorders>
                      </w:tcPr>
                      <w:p>
                        <w:pPr/>
                      </w:p>
                    </w:tc>
                  </w:tr>
                  <w:tr>
                    <w:trPr>
                      <w:trHeight w:val="160"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3" w:right="0"/>
                          <w:jc w:val="left"/>
                          <w:rPr>
                            <w:rFonts w:ascii="宋体" w:hAnsi="宋体" w:cs="宋体" w:eastAsia="宋体" w:hint="default"/>
                            <w:sz w:val="15"/>
                            <w:szCs w:val="15"/>
                          </w:rPr>
                        </w:pPr>
                        <w:r>
                          <w:rPr>
                            <w:rFonts w:ascii="宋体" w:hAnsi="宋体" w:cs="宋体" w:eastAsia="宋体" w:hint="default"/>
                            <w:sz w:val="15"/>
                            <w:szCs w:val="15"/>
                          </w:rPr>
                          <w:t>新开普</w:t>
                        </w:r>
                        <w:r>
                          <w:rPr>
                            <w:rFonts w:ascii="Times New Roman" w:hAnsi="Times New Roman" w:cs="Times New Roman" w:eastAsia="Times New Roman" w:hint="default"/>
                            <w:sz w:val="15"/>
                            <w:szCs w:val="15"/>
                          </w:rPr>
                          <w:t>470MHz</w:t>
                        </w:r>
                        <w:r>
                          <w:rPr>
                            <w:rFonts w:ascii="宋体" w:hAnsi="宋体" w:cs="宋体" w:eastAsia="宋体" w:hint="default"/>
                            <w:sz w:val="15"/>
                            <w:szCs w:val="15"/>
                          </w:rPr>
                          <w:t>无线远传燃气表，该燃气表符合</w:t>
                        </w:r>
                        <w:r>
                          <w:rPr>
                            <w:rFonts w:ascii="Times New Roman" w:hAnsi="Times New Roman" w:cs="Times New Roman" w:eastAsia="Times New Roman" w:hint="default"/>
                            <w:sz w:val="15"/>
                            <w:szCs w:val="15"/>
                          </w:rPr>
                          <w:t>GB/T6968-2011</w:t>
                        </w:r>
                        <w:r>
                          <w:rPr>
                            <w:rFonts w:ascii="宋体" w:hAnsi="宋体" w:cs="宋体" w:eastAsia="宋体" w:hint="default"/>
                            <w:sz w:val="15"/>
                            <w:szCs w:val="15"/>
                          </w:rPr>
                          <w:t>《膜式燃气表》国家标准，适用于民用燃气用户的计</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277"/>
                          <w:jc w:val="right"/>
                          <w:rPr>
                            <w:rFonts w:ascii="Times New Roman" w:hAnsi="Times New Roman" w:cs="Times New Roman" w:eastAsia="Times New Roman" w:hint="default"/>
                            <w:sz w:val="15"/>
                            <w:szCs w:val="15"/>
                          </w:rPr>
                        </w:pPr>
                        <w:r>
                          <w:rPr>
                            <w:rFonts w:ascii="Times New Roman"/>
                            <w:sz w:val="15"/>
                          </w:rPr>
                          <w:t>16</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470MHz</w:t>
                        </w:r>
                        <w:r>
                          <w:rPr>
                            <w:rFonts w:ascii="宋体" w:hAnsi="宋体" w:cs="宋体" w:eastAsia="宋体" w:hint="default"/>
                            <w:sz w:val="15"/>
                            <w:szCs w:val="15"/>
                          </w:rPr>
                          <w:t>无线远传燃气表</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燃气集成</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2" w:right="0"/>
                          <w:jc w:val="left"/>
                          <w:rPr>
                            <w:rFonts w:ascii="Times New Roman" w:hAnsi="Times New Roman" w:cs="Times New Roman" w:eastAsia="Times New Roman" w:hint="default"/>
                            <w:sz w:val="15"/>
                            <w:szCs w:val="15"/>
                          </w:rPr>
                        </w:pPr>
                        <w:r>
                          <w:rPr>
                            <w:rFonts w:ascii="Times New Roman"/>
                            <w:sz w:val="15"/>
                          </w:rPr>
                          <w:t>2014/3/1-</w:t>
                        </w:r>
                      </w:p>
                    </w:tc>
                    <w:tc>
                      <w:tcPr>
                        <w:tcW w:w="7574"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3" w:right="0"/>
                          <w:jc w:val="left"/>
                          <w:rPr>
                            <w:rFonts w:ascii="宋体" w:hAnsi="宋体" w:cs="宋体" w:eastAsia="宋体" w:hint="default"/>
                            <w:sz w:val="15"/>
                            <w:szCs w:val="15"/>
                          </w:rPr>
                        </w:pPr>
                        <w:r>
                          <w:rPr>
                            <w:rFonts w:ascii="宋体" w:hAnsi="宋体" w:cs="宋体" w:eastAsia="宋体" w:hint="default"/>
                            <w:sz w:val="15"/>
                            <w:szCs w:val="15"/>
                          </w:rPr>
                          <w:t>量，该产品符合无委会要求抄表频段，采用</w:t>
                        </w:r>
                        <w:r>
                          <w:rPr>
                            <w:rFonts w:ascii="Times New Roman" w:hAnsi="Times New Roman" w:cs="Times New Roman" w:eastAsia="Times New Roman" w:hint="default"/>
                            <w:sz w:val="15"/>
                            <w:szCs w:val="15"/>
                          </w:rPr>
                          <w:t>50mW</w:t>
                        </w:r>
                        <w:r>
                          <w:rPr>
                            <w:rFonts w:ascii="宋体" w:hAnsi="宋体" w:cs="宋体" w:eastAsia="宋体" w:hint="default"/>
                            <w:sz w:val="15"/>
                            <w:szCs w:val="15"/>
                          </w:rPr>
                          <w:t>发射功率，与现有产品相比，可提高传输距离，提升产品竞争力</w:t>
                        </w:r>
                      </w:p>
                    </w:tc>
                  </w:tr>
                  <w:tr>
                    <w:trPr>
                      <w:trHeight w:val="244"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Style w:val="TableParagraph"/>
                          <w:spacing w:line="156" w:lineRule="exact"/>
                          <w:ind w:left="2" w:right="0"/>
                          <w:jc w:val="left"/>
                          <w:rPr>
                            <w:rFonts w:ascii="Times New Roman" w:hAnsi="Times New Roman" w:cs="Times New Roman" w:eastAsia="Times New Roman" w:hint="default"/>
                            <w:sz w:val="15"/>
                            <w:szCs w:val="15"/>
                          </w:rPr>
                        </w:pPr>
                        <w:r>
                          <w:rPr>
                            <w:rFonts w:ascii="Times New Roman"/>
                            <w:sz w:val="15"/>
                          </w:rPr>
                          <w:t>2014/12/31</w:t>
                        </w:r>
                      </w:p>
                    </w:tc>
                    <w:tc>
                      <w:tcPr>
                        <w:tcW w:w="7574" w:type="dxa"/>
                        <w:tcBorders>
                          <w:top w:val="nil" w:sz="6" w:space="0" w:color="auto"/>
                          <w:left w:val="single" w:sz="6" w:space="0" w:color="000000"/>
                          <w:bottom w:val="single" w:sz="6" w:space="0" w:color="000000"/>
                          <w:right w:val="single" w:sz="6" w:space="0" w:color="000000"/>
                        </w:tcBorders>
                      </w:tcPr>
                      <w:p>
                        <w:pPr/>
                      </w:p>
                    </w:tc>
                  </w:tr>
                  <w:tr>
                    <w:trPr>
                      <w:trHeight w:val="255"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pacing w:val="-2"/>
                            <w:sz w:val="15"/>
                            <w:szCs w:val="15"/>
                          </w:rPr>
                          <w:t>新开普电力线载波</w:t>
                        </w:r>
                        <w:r>
                          <w:rPr>
                            <w:rFonts w:ascii="Times New Roman" w:hAnsi="Times New Roman" w:cs="Times New Roman" w:eastAsia="Times New Roman" w:hint="default"/>
                            <w:spacing w:val="-2"/>
                            <w:sz w:val="15"/>
                            <w:szCs w:val="15"/>
                          </w:rPr>
                          <w:t>SOC</w:t>
                        </w:r>
                        <w:r>
                          <w:rPr>
                            <w:rFonts w:ascii="宋体" w:hAnsi="宋体" w:cs="宋体" w:eastAsia="宋体" w:hint="default"/>
                            <w:spacing w:val="-2"/>
                            <w:sz w:val="15"/>
                            <w:szCs w:val="15"/>
                          </w:rPr>
                          <w:t>系统，开发一套自主知识产权的电力线载波</w:t>
                        </w:r>
                        <w:r>
                          <w:rPr>
                            <w:rFonts w:ascii="Times New Roman" w:hAnsi="Times New Roman" w:cs="Times New Roman" w:eastAsia="Times New Roman" w:hint="default"/>
                            <w:spacing w:val="-2"/>
                            <w:sz w:val="15"/>
                            <w:szCs w:val="15"/>
                          </w:rPr>
                          <w:t>SOC</w:t>
                        </w:r>
                        <w:r>
                          <w:rPr>
                            <w:rFonts w:ascii="宋体" w:hAnsi="宋体" w:cs="宋体" w:eastAsia="宋体" w:hint="default"/>
                            <w:spacing w:val="-2"/>
                            <w:sz w:val="15"/>
                            <w:szCs w:val="15"/>
                          </w:rPr>
                          <w:t>系统，包括高集成度的载波</w:t>
                        </w:r>
                        <w:r>
                          <w:rPr>
                            <w:rFonts w:ascii="Times New Roman" w:hAnsi="Times New Roman" w:cs="Times New Roman" w:eastAsia="Times New Roman" w:hint="default"/>
                            <w:spacing w:val="-2"/>
                            <w:sz w:val="15"/>
                            <w:szCs w:val="15"/>
                          </w:rPr>
                          <w:t>SOC</w:t>
                        </w:r>
                        <w:r>
                          <w:rPr>
                            <w:rFonts w:ascii="宋体" w:hAnsi="宋体" w:cs="宋体" w:eastAsia="宋体" w:hint="default"/>
                            <w:spacing w:val="-2"/>
                            <w:sz w:val="15"/>
                            <w:szCs w:val="15"/>
                          </w:rPr>
                          <w:t>芯片和片上固</w:t>
                        </w:r>
                      </w:p>
                    </w:tc>
                  </w:tr>
                  <w:tr>
                    <w:trPr>
                      <w:trHeight w:val="152"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3" w:right="0"/>
                          <w:jc w:val="left"/>
                          <w:rPr>
                            <w:rFonts w:ascii="宋体" w:hAnsi="宋体" w:cs="宋体" w:eastAsia="宋体" w:hint="default"/>
                            <w:sz w:val="15"/>
                            <w:szCs w:val="15"/>
                          </w:rPr>
                        </w:pPr>
                        <w:r>
                          <w:rPr>
                            <w:rFonts w:ascii="宋体" w:hAnsi="宋体" w:cs="宋体" w:eastAsia="宋体" w:hint="default"/>
                            <w:sz w:val="15"/>
                            <w:szCs w:val="15"/>
                          </w:rPr>
                          <w:t>件系统，内部整合了收发器、调制解调、编码解码等载波通信的完整功能单元。基于该</w:t>
                        </w:r>
                        <w:r>
                          <w:rPr>
                            <w:rFonts w:ascii="Times New Roman" w:hAnsi="Times New Roman" w:cs="Times New Roman" w:eastAsia="Times New Roman" w:hint="default"/>
                            <w:sz w:val="15"/>
                            <w:szCs w:val="15"/>
                          </w:rPr>
                          <w:t>SOC</w:t>
                        </w:r>
                        <w:r>
                          <w:rPr>
                            <w:rFonts w:ascii="宋体" w:hAnsi="宋体" w:cs="宋体" w:eastAsia="宋体" w:hint="default"/>
                            <w:sz w:val="15"/>
                            <w:szCs w:val="15"/>
                          </w:rPr>
                          <w:t>构建的设备或系统，无</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277"/>
                          <w:jc w:val="right"/>
                          <w:rPr>
                            <w:rFonts w:ascii="Times New Roman" w:hAnsi="Times New Roman" w:cs="Times New Roman" w:eastAsia="Times New Roman" w:hint="default"/>
                            <w:sz w:val="15"/>
                            <w:szCs w:val="15"/>
                          </w:rPr>
                        </w:pPr>
                        <w:r>
                          <w:rPr>
                            <w:rFonts w:ascii="Times New Roman"/>
                            <w:sz w:val="15"/>
                          </w:rPr>
                          <w:t>17</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宋体" w:hAnsi="宋体" w:cs="宋体" w:eastAsia="宋体" w:hint="default"/>
                            <w:sz w:val="15"/>
                            <w:szCs w:val="15"/>
                          </w:rPr>
                        </w:pPr>
                        <w:r>
                          <w:rPr>
                            <w:rFonts w:ascii="宋体" w:hAnsi="宋体" w:cs="宋体" w:eastAsia="宋体" w:hint="default"/>
                            <w:sz w:val="15"/>
                            <w:szCs w:val="15"/>
                          </w:rPr>
                          <w:t>电力线载波</w:t>
                        </w:r>
                        <w:r>
                          <w:rPr>
                            <w:rFonts w:ascii="Times New Roman" w:hAnsi="Times New Roman" w:cs="Times New Roman" w:eastAsia="Times New Roman" w:hint="default"/>
                            <w:sz w:val="15"/>
                            <w:szCs w:val="15"/>
                          </w:rPr>
                          <w:t>SOC</w:t>
                        </w:r>
                        <w:r>
                          <w:rPr>
                            <w:rFonts w:ascii="宋体" w:hAnsi="宋体" w:cs="宋体" w:eastAsia="宋体" w:hint="default"/>
                            <w:sz w:val="15"/>
                            <w:szCs w:val="15"/>
                          </w:rPr>
                          <w:t>系统</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电力集成</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开发阶段</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2" w:right="0"/>
                          <w:jc w:val="left"/>
                          <w:rPr>
                            <w:rFonts w:ascii="Times New Roman" w:hAnsi="Times New Roman" w:cs="Times New Roman" w:eastAsia="Times New Roman" w:hint="default"/>
                            <w:sz w:val="15"/>
                            <w:szCs w:val="15"/>
                          </w:rPr>
                        </w:pPr>
                        <w:r>
                          <w:rPr>
                            <w:rFonts w:ascii="Times New Roman"/>
                            <w:sz w:val="15"/>
                          </w:rPr>
                          <w:t>2014/3/1-2015/6/1</w:t>
                        </w:r>
                      </w:p>
                    </w:tc>
                    <w:tc>
                      <w:tcPr>
                        <w:tcW w:w="7574" w:type="dxa"/>
                        <w:tcBorders>
                          <w:top w:val="nil" w:sz="6" w:space="0" w:color="auto"/>
                          <w:left w:val="single" w:sz="6" w:space="0" w:color="000000"/>
                          <w:bottom w:val="nil" w:sz="6" w:space="0" w:color="auto"/>
                          <w:right w:val="single" w:sz="6" w:space="0" w:color="000000"/>
                        </w:tcBorders>
                      </w:tcPr>
                      <w:p>
                        <w:pPr/>
                      </w:p>
                    </w:tc>
                  </w:tr>
                  <w:tr>
                    <w:trPr>
                      <w:trHeight w:val="155"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需重新布线或额外架设通信网络，借助现有照明或动力电力线即可实现数据传输，并在传输过程中自动组网，实现</w:t>
                        </w:r>
                      </w:p>
                    </w:tc>
                  </w:tr>
                  <w:tr>
                    <w:trPr>
                      <w:trHeight w:val="156" w:hRule="exact"/>
                    </w:trPr>
                    <w:tc>
                      <w:tcPr>
                        <w:tcW w:w="72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single" w:sz="6" w:space="0" w:color="000000"/>
                        </w:tcBorders>
                      </w:tcPr>
                      <w:p>
                        <w:pPr/>
                      </w:p>
                    </w:tc>
                    <w:tc>
                      <w:tcPr>
                        <w:tcW w:w="1061" w:type="dxa"/>
                        <w:tcBorders>
                          <w:top w:val="nil" w:sz="6" w:space="0" w:color="auto"/>
                          <w:left w:val="single" w:sz="6" w:space="0" w:color="000000"/>
                          <w:bottom w:val="nil" w:sz="6" w:space="0" w:color="auto"/>
                          <w:right w:val="single" w:sz="6" w:space="0" w:color="000000"/>
                        </w:tcBorders>
                      </w:tcPr>
                      <w:p>
                        <w:pPr/>
                      </w:p>
                    </w:tc>
                    <w:tc>
                      <w:tcPr>
                        <w:tcW w:w="1730" w:type="dxa"/>
                        <w:tcBorders>
                          <w:top w:val="nil" w:sz="6" w:space="0" w:color="auto"/>
                          <w:left w:val="single" w:sz="6" w:space="0" w:color="000000"/>
                          <w:bottom w:val="nil" w:sz="6" w:space="0" w:color="auto"/>
                          <w:right w:val="single" w:sz="6" w:space="0" w:color="000000"/>
                        </w:tcBorders>
                      </w:tcPr>
                      <w:p>
                        <w:pP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Times New Roman" w:hAnsi="Times New Roman" w:cs="Times New Roman" w:eastAsia="Times New Roman" w:hint="default"/>
                            <w:sz w:val="15"/>
                            <w:szCs w:val="15"/>
                          </w:rPr>
                        </w:pPr>
                        <w:r>
                          <w:rPr>
                            <w:rFonts w:ascii="Times New Roman"/>
                            <w:sz w:val="15"/>
                          </w:rPr>
                          <w:t>5</w:t>
                        </w:r>
                      </w:p>
                    </w:tc>
                    <w:tc>
                      <w:tcPr>
                        <w:tcW w:w="7574" w:type="dxa"/>
                        <w:tcBorders>
                          <w:top w:val="nil" w:sz="6" w:space="0" w:color="auto"/>
                          <w:left w:val="single" w:sz="6" w:space="0" w:color="000000"/>
                          <w:bottom w:val="nil" w:sz="6" w:space="0" w:color="auto"/>
                          <w:right w:val="single" w:sz="6" w:space="0" w:color="000000"/>
                        </w:tcBorders>
                      </w:tcPr>
                      <w:p>
                        <w:pPr/>
                      </w:p>
                    </w:tc>
                  </w:tr>
                  <w:tr>
                    <w:trPr>
                      <w:trHeight w:val="250"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完备可靠的通信功能，广泛适用于电网数传，用电信息采集，智能家居，楼宇自动化，路灯远程控制等领域。</w:t>
                        </w:r>
                      </w:p>
                    </w:tc>
                  </w:tr>
                  <w:tr>
                    <w:trPr>
                      <w:trHeight w:val="328" w:hRule="exact"/>
                    </w:trPr>
                    <w:tc>
                      <w:tcPr>
                        <w:tcW w:w="725" w:type="dxa"/>
                        <w:tcBorders>
                          <w:top w:val="single" w:sz="6" w:space="0" w:color="000000"/>
                          <w:left w:val="single" w:sz="6" w:space="0" w:color="000000"/>
                          <w:bottom w:val="nil" w:sz="6" w:space="0" w:color="auto"/>
                          <w:right w:val="single" w:sz="6" w:space="0" w:color="000000"/>
                        </w:tcBorders>
                      </w:tcPr>
                      <w:p>
                        <w:pPr/>
                      </w:p>
                    </w:tc>
                    <w:tc>
                      <w:tcPr>
                        <w:tcW w:w="1988" w:type="dxa"/>
                        <w:tcBorders>
                          <w:top w:val="single" w:sz="6" w:space="0" w:color="000000"/>
                          <w:left w:val="single" w:sz="6" w:space="0" w:color="000000"/>
                          <w:bottom w:val="nil" w:sz="6" w:space="0" w:color="auto"/>
                          <w:right w:val="single" w:sz="6" w:space="0" w:color="000000"/>
                        </w:tcBorders>
                      </w:tcPr>
                      <w:p>
                        <w:pPr/>
                      </w:p>
                    </w:tc>
                    <w:tc>
                      <w:tcPr>
                        <w:tcW w:w="1061" w:type="dxa"/>
                        <w:tcBorders>
                          <w:top w:val="single" w:sz="6" w:space="0" w:color="000000"/>
                          <w:left w:val="single" w:sz="6" w:space="0" w:color="000000"/>
                          <w:bottom w:val="nil" w:sz="6" w:space="0" w:color="auto"/>
                          <w:right w:val="single" w:sz="6" w:space="0" w:color="000000"/>
                        </w:tcBorders>
                      </w:tcPr>
                      <w:p>
                        <w:pPr/>
                      </w:p>
                    </w:tc>
                    <w:tc>
                      <w:tcPr>
                        <w:tcW w:w="1730" w:type="dxa"/>
                        <w:tcBorders>
                          <w:top w:val="single" w:sz="6" w:space="0" w:color="000000"/>
                          <w:left w:val="single" w:sz="6" w:space="0" w:color="000000"/>
                          <w:bottom w:val="nil" w:sz="6" w:space="0" w:color="auto"/>
                          <w:right w:val="single" w:sz="6" w:space="0" w:color="000000"/>
                        </w:tcBorders>
                      </w:tcPr>
                      <w:p>
                        <w:pPr/>
                      </w:p>
                    </w:tc>
                    <w:tc>
                      <w:tcPr>
                        <w:tcW w:w="115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2" w:right="-14"/>
                          <w:jc w:val="left"/>
                          <w:rPr>
                            <w:rFonts w:ascii="宋体" w:hAnsi="宋体" w:cs="宋体" w:eastAsia="宋体" w:hint="default"/>
                            <w:sz w:val="15"/>
                            <w:szCs w:val="15"/>
                          </w:rPr>
                        </w:pPr>
                        <w:r>
                          <w:rPr>
                            <w:rFonts w:ascii="宋体" w:hAnsi="宋体" w:cs="宋体" w:eastAsia="宋体" w:hint="default"/>
                            <w:spacing w:val="11"/>
                            <w:sz w:val="15"/>
                            <w:szCs w:val="15"/>
                          </w:rPr>
                          <w:t>计划起止日期：</w:t>
                        </w:r>
                        <w:r>
                          <w:rPr>
                            <w:rFonts w:ascii="宋体" w:hAnsi="宋体" w:cs="宋体" w:eastAsia="宋体" w:hint="default"/>
                            <w:spacing w:val="-61"/>
                            <w:sz w:val="15"/>
                            <w:szCs w:val="15"/>
                          </w:rPr>
                          <w:t> </w:t>
                        </w:r>
                        <w:r>
                          <w:rPr>
                            <w:rFonts w:ascii="宋体" w:hAnsi="宋体" w:cs="宋体" w:eastAsia="宋体" w:hint="default"/>
                            <w:sz w:val="15"/>
                            <w:szCs w:val="15"/>
                          </w:rPr>
                        </w: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3" w:right="0"/>
                          <w:jc w:val="left"/>
                          <w:rPr>
                            <w:rFonts w:ascii="宋体" w:hAnsi="宋体" w:cs="宋体" w:eastAsia="宋体" w:hint="default"/>
                            <w:sz w:val="15"/>
                            <w:szCs w:val="15"/>
                          </w:rPr>
                        </w:pPr>
                        <w:r>
                          <w:rPr>
                            <w:rFonts w:ascii="宋体" w:hAnsi="宋体" w:cs="宋体" w:eastAsia="宋体" w:hint="default"/>
                            <w:sz w:val="15"/>
                            <w:szCs w:val="15"/>
                          </w:rPr>
                          <w:t>新开普国网集中器，自主研发一种基于计算机应用技术、现代通信技术、电力控制技术的新一代电能信息采集管理</w:t>
                        </w:r>
                      </w:p>
                    </w:tc>
                  </w:tr>
                  <w:tr>
                    <w:trPr>
                      <w:trHeight w:val="316" w:hRule="exact"/>
                    </w:trPr>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277"/>
                          <w:jc w:val="right"/>
                          <w:rPr>
                            <w:rFonts w:ascii="Times New Roman" w:hAnsi="Times New Roman" w:cs="Times New Roman" w:eastAsia="Times New Roman" w:hint="default"/>
                            <w:sz w:val="15"/>
                            <w:szCs w:val="15"/>
                          </w:rPr>
                        </w:pPr>
                        <w:r>
                          <w:rPr>
                            <w:rFonts w:ascii="Times New Roman"/>
                            <w:sz w:val="15"/>
                          </w:rPr>
                          <w:t>18</w:t>
                        </w:r>
                      </w:p>
                    </w:tc>
                    <w:tc>
                      <w:tcPr>
                        <w:tcW w:w="19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国网集中器</w:t>
                        </w:r>
                      </w:p>
                    </w:tc>
                    <w:tc>
                      <w:tcPr>
                        <w:tcW w:w="106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电力集成</w:t>
                        </w:r>
                      </w:p>
                    </w:tc>
                    <w:tc>
                      <w:tcPr>
                        <w:tcW w:w="17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开发阶段</w:t>
                        </w:r>
                      </w:p>
                    </w:tc>
                    <w:tc>
                      <w:tcPr>
                        <w:tcW w:w="1153"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2014/8/1-2015/8/1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终端</w:t>
                        </w:r>
                        <w:r>
                          <w:rPr>
                            <w:rFonts w:ascii="宋体" w:hAnsi="宋体" w:cs="宋体" w:eastAsia="宋体" w:hint="default"/>
                            <w:spacing w:val="-62"/>
                            <w:sz w:val="15"/>
                            <w:szCs w:val="15"/>
                          </w:rPr>
                          <w:t>，</w:t>
                        </w:r>
                        <w:r>
                          <w:rPr>
                            <w:rFonts w:ascii="宋体" w:hAnsi="宋体" w:cs="宋体" w:eastAsia="宋体" w:hint="default"/>
                            <w:sz w:val="15"/>
                            <w:szCs w:val="15"/>
                          </w:rPr>
                          <w:t>采用模块化结构设计</w:t>
                        </w:r>
                        <w:r>
                          <w:rPr>
                            <w:rFonts w:ascii="宋体" w:hAnsi="宋体" w:cs="宋体" w:eastAsia="宋体" w:hint="default"/>
                            <w:spacing w:val="-62"/>
                            <w:sz w:val="15"/>
                            <w:szCs w:val="15"/>
                          </w:rPr>
                          <w:t>，</w:t>
                        </w:r>
                        <w:r>
                          <w:rPr>
                            <w:rFonts w:ascii="宋体" w:hAnsi="宋体" w:cs="宋体" w:eastAsia="宋体" w:hint="default"/>
                            <w:sz w:val="15"/>
                            <w:szCs w:val="15"/>
                          </w:rPr>
                          <w:t>支持多种通信方式</w:t>
                        </w:r>
                        <w:r>
                          <w:rPr>
                            <w:rFonts w:ascii="宋体" w:hAnsi="宋体" w:cs="宋体" w:eastAsia="宋体" w:hint="default"/>
                            <w:spacing w:val="-62"/>
                            <w:sz w:val="15"/>
                            <w:szCs w:val="15"/>
                          </w:rPr>
                          <w:t>，</w:t>
                        </w:r>
                        <w:r>
                          <w:rPr>
                            <w:rFonts w:ascii="宋体" w:hAnsi="宋体" w:cs="宋体" w:eastAsia="宋体" w:hint="default"/>
                            <w:sz w:val="15"/>
                            <w:szCs w:val="15"/>
                          </w:rPr>
                          <w:t>具备良好的安全性</w:t>
                        </w:r>
                        <w:r>
                          <w:rPr>
                            <w:rFonts w:ascii="宋体" w:hAnsi="宋体" w:cs="宋体" w:eastAsia="宋体" w:hint="default"/>
                            <w:spacing w:val="-62"/>
                            <w:sz w:val="15"/>
                            <w:szCs w:val="15"/>
                          </w:rPr>
                          <w:t>、</w:t>
                        </w:r>
                        <w:r>
                          <w:rPr>
                            <w:rFonts w:ascii="宋体" w:hAnsi="宋体" w:cs="宋体" w:eastAsia="宋体" w:hint="default"/>
                            <w:sz w:val="15"/>
                            <w:szCs w:val="15"/>
                          </w:rPr>
                          <w:t>稳定性和可扩展性</w:t>
                        </w:r>
                        <w:r>
                          <w:rPr>
                            <w:rFonts w:ascii="宋体" w:hAnsi="宋体" w:cs="宋体" w:eastAsia="宋体" w:hint="default"/>
                            <w:spacing w:val="-62"/>
                            <w:sz w:val="15"/>
                            <w:szCs w:val="15"/>
                          </w:rPr>
                          <w:t>。</w:t>
                        </w:r>
                        <w:r>
                          <w:rPr>
                            <w:rFonts w:ascii="宋体" w:hAnsi="宋体" w:cs="宋体" w:eastAsia="宋体" w:hint="default"/>
                            <w:sz w:val="15"/>
                            <w:szCs w:val="15"/>
                          </w:rPr>
                          <w:t>该终端符合国家电网</w:t>
                        </w:r>
                        <w:r>
                          <w:rPr>
                            <w:rFonts w:ascii="Times New Roman" w:hAnsi="Times New Roman" w:cs="Times New Roman" w:eastAsia="Times New Roman" w:hint="default"/>
                            <w:spacing w:val="-1"/>
                            <w:sz w:val="15"/>
                            <w:szCs w:val="15"/>
                          </w:rPr>
                          <w:t>Q/GDW</w:t>
                        </w:r>
                        <w:r>
                          <w:rPr>
                            <w:rFonts w:ascii="Times New Roman" w:hAnsi="Times New Roman" w:cs="Times New Roman" w:eastAsia="Times New Roman" w:hint="default"/>
                            <w:sz w:val="15"/>
                            <w:szCs w:val="15"/>
                          </w:rPr>
                        </w:r>
                      </w:p>
                    </w:tc>
                  </w:tr>
                  <w:tr>
                    <w:trPr>
                      <w:trHeight w:val="327" w:hRule="exact"/>
                    </w:trPr>
                    <w:tc>
                      <w:tcPr>
                        <w:tcW w:w="725" w:type="dxa"/>
                        <w:tcBorders>
                          <w:top w:val="nil" w:sz="6" w:space="0" w:color="auto"/>
                          <w:left w:val="single" w:sz="6" w:space="0" w:color="000000"/>
                          <w:bottom w:val="single" w:sz="6" w:space="0" w:color="000000"/>
                          <w:right w:val="single" w:sz="6" w:space="0" w:color="000000"/>
                        </w:tcBorders>
                      </w:tcPr>
                      <w:p>
                        <w:pPr/>
                      </w:p>
                    </w:tc>
                    <w:tc>
                      <w:tcPr>
                        <w:tcW w:w="1988" w:type="dxa"/>
                        <w:tcBorders>
                          <w:top w:val="nil" w:sz="6" w:space="0" w:color="auto"/>
                          <w:left w:val="single" w:sz="6" w:space="0" w:color="000000"/>
                          <w:bottom w:val="single" w:sz="6" w:space="0" w:color="000000"/>
                          <w:right w:val="single" w:sz="6" w:space="0" w:color="000000"/>
                        </w:tcBorders>
                      </w:tcPr>
                      <w:p>
                        <w:pPr/>
                      </w:p>
                    </w:tc>
                    <w:tc>
                      <w:tcPr>
                        <w:tcW w:w="1061" w:type="dxa"/>
                        <w:tcBorders>
                          <w:top w:val="nil" w:sz="6" w:space="0" w:color="auto"/>
                          <w:left w:val="single" w:sz="6" w:space="0" w:color="000000"/>
                          <w:bottom w:val="single" w:sz="6" w:space="0" w:color="000000"/>
                          <w:right w:val="single" w:sz="6" w:space="0" w:color="000000"/>
                        </w:tcBorders>
                      </w:tcPr>
                      <w:p>
                        <w:pPr/>
                      </w:p>
                    </w:tc>
                    <w:tc>
                      <w:tcPr>
                        <w:tcW w:w="1730" w:type="dxa"/>
                        <w:tcBorders>
                          <w:top w:val="nil" w:sz="6" w:space="0" w:color="auto"/>
                          <w:left w:val="single" w:sz="6" w:space="0" w:color="000000"/>
                          <w:bottom w:val="single" w:sz="6" w:space="0" w:color="000000"/>
                          <w:right w:val="single" w:sz="6" w:space="0" w:color="000000"/>
                        </w:tcBorders>
                      </w:tcPr>
                      <w:p>
                        <w:pPr/>
                      </w:p>
                    </w:tc>
                    <w:tc>
                      <w:tcPr>
                        <w:tcW w:w="115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5"/>
                            <w:szCs w:val="15"/>
                          </w:rPr>
                        </w:pPr>
                        <w:r>
                          <w:rPr>
                            <w:rFonts w:ascii="Times New Roman"/>
                            <w:sz w:val="15"/>
                          </w:rPr>
                          <w:t>5</w:t>
                        </w: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系列标准，满足电力用户用电信息采集系统各方面的需求，是国家智能电网的重要构成设备。</w:t>
                        </w:r>
                      </w:p>
                    </w:tc>
                  </w:tr>
                </w:tbl>
                <w:p>
                  <w:pPr/>
                </w:p>
              </w:txbxContent>
            </v:textbox>
            <w10:wrap type="none"/>
          </v:shape>
        </w:pict>
      </w:r>
      <w:r>
        <w:rPr>
          <w:rFonts w:ascii="宋体" w:hAnsi="宋体" w:cs="宋体" w:eastAsia="宋体" w:hint="default"/>
          <w:sz w:val="15"/>
          <w:szCs w:val="15"/>
        </w:rPr>
        <w:t>。</w:t>
      </w:r>
    </w:p>
    <w:p>
      <w:pPr>
        <w:spacing w:after="0"/>
        <w:jc w:val="right"/>
        <w:rPr>
          <w:rFonts w:ascii="宋体" w:hAnsi="宋体" w:cs="宋体" w:eastAsia="宋体" w:hint="default"/>
          <w:sz w:val="15"/>
          <w:szCs w:val="15"/>
        </w:rPr>
        <w:sectPr>
          <w:pgSz w:w="16840" w:h="11910" w:orient="landscape"/>
          <w:pgMar w:header="867" w:footer="978" w:top="1060" w:bottom="1160" w:left="1180" w:right="116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28,940,826.51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22,170,883.01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14,447,972.80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17"/>
          <w:footerReference w:type="default" r:id="rId18"/>
          <w:pgSz w:w="11910" w:h="16840"/>
          <w:pgMar w:header="877" w:footer="982" w:top="1100" w:bottom="1180" w:left="980" w:right="980"/>
          <w:pgNumType w:start="22"/>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6"/>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80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345,102,164.40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298,040,935.36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341,480,419.53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270,227,827.31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3,621,744.87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27,813,108.05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-35,134.56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741.68%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58,111,369.43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78,216,237.22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-57,885,919.43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-78,251,371.78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10,266,700.00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8,983,329.32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8,927,850.76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1,283,370.68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-3,004,350.76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142.72%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-52,980,803.88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-53,442,614.49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3" w:lineRule="auto" w:before="155"/>
        <w:ind w:left="354" w:right="132" w:firstLine="420"/>
        <w:jc w:val="left"/>
      </w:pPr>
      <w:r>
        <w:rPr>
          <w:rFonts w:ascii="Times New Roman" w:hAnsi="Times New Roman" w:cs="Times New Roman" w:eastAsia="Times New Roman" w:hint="default"/>
        </w:rPr>
        <w:t>a. </w:t>
      </w:r>
      <w:r>
        <w:rPr/>
        <w:t>经营活动产生的现金流量净额较上期大幅度减少，本期虽加大了销售规模和销售催款力度，使得 销售回款较上期增加了</w:t>
      </w:r>
      <w:r>
        <w:rPr>
          <w:rFonts w:ascii="Times New Roman" w:hAnsi="Times New Roman" w:cs="Times New Roman" w:eastAsia="Times New Roman" w:hint="default"/>
        </w:rPr>
        <w:t>5,758.74</w:t>
      </w:r>
      <w:r>
        <w:rPr/>
        <w:t>万元，但同时随着公司业务规模的扩张以及人员的增加，购买商品、接 </w:t>
      </w:r>
      <w:r>
        <w:rPr>
          <w:spacing w:val="-1"/>
        </w:rPr>
        <w:t>受劳务支付的现金、支付给职工以及为职工支付的现金等支出增加幅度较大，总体使经营活动产生的现</w:t>
      </w:r>
      <w:r>
        <w:rPr>
          <w:spacing w:val="-72"/>
        </w:rPr>
        <w:t> </w:t>
      </w:r>
      <w:r>
        <w:rPr>
          <w:spacing w:val="-72"/>
        </w:rPr>
      </w:r>
      <w:r>
        <w:rPr/>
        <w:t>金流量净额减少</w:t>
      </w:r>
      <w:r>
        <w:rPr>
          <w:rFonts w:ascii="Times New Roman" w:hAnsi="Times New Roman" w:cs="Times New Roman" w:eastAsia="Times New Roman" w:hint="default"/>
        </w:rPr>
        <w:t>86.98%</w:t>
      </w:r>
      <w:r>
        <w:rPr/>
        <w:t>；</w:t>
      </w:r>
    </w:p>
    <w:p>
      <w:pPr>
        <w:pStyle w:val="BodyText"/>
        <w:spacing w:line="386" w:lineRule="auto" w:before="28"/>
        <w:ind w:left="354" w:right="150" w:firstLine="420"/>
        <w:jc w:val="left"/>
      </w:pPr>
      <w:r>
        <w:rPr>
          <w:rFonts w:ascii="Times New Roman" w:hAnsi="Times New Roman" w:cs="Times New Roman" w:eastAsia="Times New Roman" w:hint="default"/>
          <w:spacing w:val="-1"/>
        </w:rPr>
        <w:t>b.</w:t>
      </w:r>
      <w:r>
        <w:rPr>
          <w:spacing w:val="-1"/>
        </w:rPr>
        <w:t>投资活动产生的现金流量净额较上期增加</w:t>
      </w:r>
      <w:r>
        <w:rPr>
          <w:rFonts w:ascii="Times New Roman" w:hAnsi="Times New Roman" w:cs="Times New Roman" w:eastAsia="Times New Roman" w:hint="default"/>
          <w:spacing w:val="-1"/>
        </w:rPr>
        <w:t>26.03%,</w:t>
      </w:r>
      <w:r>
        <w:rPr>
          <w:spacing w:val="-1"/>
        </w:rPr>
        <w:t>主要系公司前期募投项目投入的较大，本年度购</w:t>
      </w:r>
      <w:r>
        <w:rPr/>
        <w:t> 建固定资产、无形资产和其他长期资产支付的现金较上年同期减少导致；</w:t>
      </w:r>
    </w:p>
    <w:p>
      <w:pPr>
        <w:spacing w:after="0" w:line="386" w:lineRule="auto"/>
        <w:jc w:val="left"/>
        <w:sectPr>
          <w:type w:val="continuous"/>
          <w:pgSz w:w="11910" w:h="16840"/>
          <w:pgMar w:top="106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354" w:right="95" w:firstLine="420"/>
        <w:jc w:val="left"/>
      </w:pPr>
      <w:r>
        <w:rPr>
          <w:rFonts w:ascii="Times New Roman" w:hAnsi="Times New Roman" w:cs="Times New Roman" w:eastAsia="Times New Roman" w:hint="default"/>
          <w:spacing w:val="-2"/>
        </w:rPr>
        <w:t>c.</w:t>
      </w:r>
      <w:r>
        <w:rPr>
          <w:spacing w:val="-2"/>
        </w:rPr>
        <w:t>筹集活动产生的现金流量净额较上期增加</w:t>
      </w:r>
      <w:r>
        <w:rPr>
          <w:rFonts w:ascii="Times New Roman" w:hAnsi="Times New Roman" w:cs="Times New Roman" w:eastAsia="Times New Roman" w:hint="default"/>
          <w:spacing w:val="-2"/>
        </w:rPr>
        <w:t>142.72%</w:t>
      </w:r>
      <w:r>
        <w:rPr>
          <w:spacing w:val="-2"/>
        </w:rPr>
        <w:t>，主要系公司子公司福建新开普信息科技有限公</w:t>
      </w:r>
      <w:r>
        <w:rPr/>
        <w:t> 司少数股东投入投资款增加所致。</w:t>
      </w:r>
    </w:p>
    <w:p>
      <w:pPr>
        <w:spacing w:before="53"/>
        <w:ind w:left="154" w:right="532"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38" w:lineRule="auto" w:before="117"/>
        <w:ind w:left="154" w:right="74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25,626,599.26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w:t>
            </w:r>
          </w:p>
        </w:tc>
      </w:tr>
    </w:tbl>
    <w:p>
      <w:pPr>
        <w:spacing w:before="51"/>
        <w:ind w:left="154" w:right="532"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4" w:right="82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20,646,855.47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12.10%</w:t>
            </w:r>
          </w:p>
        </w:tc>
      </w:tr>
    </w:tbl>
    <w:p>
      <w:pPr>
        <w:spacing w:before="51"/>
        <w:ind w:left="154" w:right="532"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2"/>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03"/>
        <w:ind w:left="154" w:right="4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 首次公开发行招股说明书中披露的未来发展与规划在本报告期的实施情况</w:t>
      </w:r>
    </w:p>
    <w:p>
      <w:pPr>
        <w:spacing w:before="42"/>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6" w:lineRule="auto" w:before="155"/>
        <w:ind w:left="153" w:right="105" w:firstLine="420"/>
        <w:jc w:val="both"/>
      </w:pPr>
      <w:r>
        <w:rPr/>
        <w:t>报告期内，公司按照招股说明书中的发展规划进行经营管理。</w:t>
      </w:r>
      <w:r>
        <w:rPr>
          <w:rFonts w:ascii="Times New Roman" w:hAnsi="Times New Roman" w:cs="Times New Roman" w:eastAsia="Times New Roman" w:hint="default"/>
        </w:rPr>
        <w:t>2014</w:t>
      </w:r>
      <w:r>
        <w:rPr/>
        <w:t>年度，公司募集资金投资项目达到 </w:t>
      </w:r>
      <w:r>
        <w:rPr>
          <w:spacing w:val="-2"/>
        </w:rPr>
        <w:t>预定可使用状态，实现经济效益</w:t>
      </w:r>
      <w:r>
        <w:rPr>
          <w:rFonts w:ascii="Times New Roman" w:hAnsi="Times New Roman" w:cs="Times New Roman" w:eastAsia="Times New Roman" w:hint="default"/>
          <w:spacing w:val="-2"/>
        </w:rPr>
        <w:t>2600.28</w:t>
      </w:r>
      <w:r>
        <w:rPr>
          <w:spacing w:val="-2"/>
        </w:rPr>
        <w:t>万元。同时，公司积极贯彻执行战略发展规划，不断围绕市场需求</w:t>
      </w:r>
      <w:r>
        <w:rPr>
          <w:spacing w:val="-88"/>
        </w:rPr>
        <w:t> </w:t>
      </w:r>
      <w:r>
        <w:rPr>
          <w:spacing w:val="-88"/>
        </w:rPr>
      </w:r>
      <w:r>
        <w:rPr/>
        <w:t>深耕细作，拓展校园、企事业、城市等社区型客户的智能一卡通业务，为客户提供优质的集身份识别、小</w:t>
      </w:r>
      <w:r>
        <w:rPr/>
        <w:t> 额支付、资源管控、信息集成等多种功能为一体的智能一卡通系统完整解决方案、个性化定制服务及良好 的用户体验，同时开展业务创新及模式创新，紧抓移动互联网以及</w:t>
      </w:r>
      <w:r>
        <w:rPr>
          <w:rFonts w:ascii="Times New Roman" w:hAnsi="Times New Roman" w:cs="Times New Roman" w:eastAsia="Times New Roman" w:hint="default"/>
        </w:rPr>
        <w:t>NFC</w:t>
      </w:r>
      <w:r>
        <w:rPr/>
        <w:t>近场通信技术发展趋势，拓展企业 </w:t>
      </w:r>
      <w:r>
        <w:rPr>
          <w:spacing w:val="-3"/>
        </w:rPr>
        <w:t>发展思路，进行从智能一卡通解决方案、智能终端机具等的提供商向移动互联网服务运营商这一角色转变。</w:t>
      </w:r>
    </w:p>
    <w:p>
      <w:pPr>
        <w:spacing w:before="125"/>
        <w:ind w:left="154" w:right="532" w:firstLine="0"/>
        <w:jc w:val="left"/>
        <w:rPr>
          <w:rFonts w:ascii="宋体" w:hAnsi="宋体" w:cs="宋体" w:eastAsia="宋体" w:hint="default"/>
          <w:sz w:val="18"/>
          <w:szCs w:val="18"/>
        </w:rPr>
      </w:pPr>
      <w:r>
        <w:rPr>
          <w:rFonts w:ascii="宋体" w:hAnsi="宋体" w:cs="宋体" w:eastAsia="宋体" w:hint="default"/>
          <w:sz w:val="18"/>
          <w:szCs w:val="18"/>
        </w:rPr>
        <w:t>前期披露的发展战略和经营计划在报告期内的进展情况</w:t>
      </w:r>
    </w:p>
    <w:p>
      <w:pPr>
        <w:spacing w:line="240" w:lineRule="auto" w:before="10"/>
        <w:rPr>
          <w:rFonts w:ascii="宋体" w:hAnsi="宋体" w:cs="宋体" w:eastAsia="宋体" w:hint="default"/>
          <w:sz w:val="12"/>
          <w:szCs w:val="12"/>
        </w:rPr>
      </w:pPr>
    </w:p>
    <w:p>
      <w:pPr>
        <w:pStyle w:val="BodyText"/>
        <w:spacing w:line="386" w:lineRule="auto" w:before="0"/>
        <w:ind w:left="153" w:right="198" w:firstLine="420"/>
        <w:jc w:val="left"/>
      </w:pPr>
      <w:r>
        <w:rPr/>
        <w:t>报告期内，公司各项经营活动紧紧围绕年度经营计划进行。详见本节“一、董事会讨论与分析</w:t>
      </w:r>
      <w:r>
        <w:rPr>
          <w:spacing w:val="-15"/>
        </w:rPr>
        <w:t> </w:t>
      </w:r>
      <w:r>
        <w:rPr>
          <w:rFonts w:ascii="Times New Roman" w:hAnsi="Times New Roman" w:cs="Times New Roman" w:eastAsia="Times New Roman" w:hint="default"/>
          <w:spacing w:val="-4"/>
        </w:rPr>
        <w:t>1</w:t>
      </w:r>
      <w:r>
        <w:rPr>
          <w:spacing w:val="-4"/>
        </w:rPr>
        <w:t>、报</w:t>
      </w:r>
      <w:r>
        <w:rPr>
          <w:spacing w:val="-5"/>
        </w:rPr>
        <w:t> </w:t>
      </w:r>
      <w:r>
        <w:rPr/>
        <w:t>告内主要业务回顾”。</w:t>
      </w:r>
    </w:p>
    <w:p>
      <w:pPr>
        <w:spacing w:before="52"/>
        <w:ind w:left="154" w:right="532"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532"/>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spacing w:before="44"/>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2"/>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155,035,695.77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81,828,005.08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59,122,153.98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31,436,889.30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13,037,808.27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8,323,375.14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87,765,203.83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44,237,072.19</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26,796,365.67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18,946,059.62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59,811,335.54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39,581,790.36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72,280,354.14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32,851,897.24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156,072,806.51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74,445,594.50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116,303,192.09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57,666,846.27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68,257,440.67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38,636,252.36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39,827,404.54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21,493,781.56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29,425,510.95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18,224,017.38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32,792,115.49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13,008,733.10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12,308,359.03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5,951,707.28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16,046,839.08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10,844,003.76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499" w:space="542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155,035,695.77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73,207,690.69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59,122,153.98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27,685,264.68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13,037,808.27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4,714,433.13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87,765,203.83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43,528,131.64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26,796,365.67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7,850,306.05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59,811,335.54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20,229,545.18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72,280,354.14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39,428,456.90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156,072,806.51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81,627,212.01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116,303,192.09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58,636,345.82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68,257,440.67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29,621,188.31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39,827,404.54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18,333,622.98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29,425,510.95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11,201,493.57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32,792,115.49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19,783,382.39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12,308,359.03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6,356,651.75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16,046,839.08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5,202,835.32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r>
    </w:tbl>
    <w:p>
      <w:pPr>
        <w:spacing w:before="51"/>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spacing w:before="44"/>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2"/>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0" w:right="101" w:firstLine="0"/>
        <w:jc w:val="right"/>
        <w:rPr>
          <w:rFonts w:ascii="宋体" w:hAnsi="宋体" w:cs="宋体" w:eastAsia="宋体" w:hint="default"/>
          <w:sz w:val="18"/>
          <w:szCs w:val="18"/>
        </w:rPr>
      </w:pPr>
      <w:r>
        <w:rPr/>
        <w:pict>
          <v:shape style="position:absolute;margin-left:56.459999pt;margin-top:-161.38797pt;width:484.05pt;height:290.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261"/>
                    <w:gridCol w:w="1063"/>
                    <w:gridCol w:w="1195"/>
                    <w:gridCol w:w="1062"/>
                    <w:gridCol w:w="798"/>
                    <w:gridCol w:w="2918"/>
                  </w:tblGrid>
                  <w:tr>
                    <w:trPr>
                      <w:trHeight w:val="384"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2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3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2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261"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2"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2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1"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171,758,522.59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26.56%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223,811,326.47</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-11.82%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主要系本年度公司支付募投项目工 程款所致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1"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1"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1"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142,414,643.59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22.02%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117,507,169.95</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20.15%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1.87%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主要系本年度继续扩大市场，销售收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入较上年度大幅增加，期末应收账款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相应增长</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61"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1"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1"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106,244,066.70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16.43%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72,336,269.04</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4.02%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主要系本年募投项目投产后，业务规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模的增长，公司库存原材料、产成品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期末尚未结算的发出商品均相应增 加导致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61"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1"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19,238,212.43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61" w:type="dxa"/>
                        <w:tcBorders>
                          <w:top w:val="single" w:sz="4" w:space="0" w:color="000000"/>
                          <w:left w:val="single" w:sz="13" w:space="0" w:color="D3D3D3"/>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1,444,983.34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158,160,877.64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27,054,239.41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主要系公司募投项目转固所致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1,212,168.70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38,819,632.66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主要系公司募投项目转固所致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44"/>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3"/>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本公司期末尚未到结算期购货款增</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3" w:right="0"/>
              <w:jc w:val="center"/>
              <w:rPr>
                <w:rFonts w:ascii="Times New Roman" w:hAnsi="Times New Roman" w:cs="Times New Roman" w:eastAsia="Times New Roman" w:hint="default"/>
                <w:sz w:val="18"/>
                <w:szCs w:val="18"/>
              </w:rPr>
            </w:pPr>
            <w:r>
              <w:rPr>
                <w:rFonts w:ascii="Times New Roman"/>
                <w:sz w:val="18"/>
              </w:rPr>
              <w:t>52,015,612.37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65" w:right="0"/>
              <w:jc w:val="left"/>
              <w:rPr>
                <w:rFonts w:ascii="Times New Roman" w:hAnsi="Times New Roman" w:cs="Times New Roman" w:eastAsia="Times New Roman" w:hint="default"/>
                <w:sz w:val="18"/>
                <w:szCs w:val="18"/>
              </w:rPr>
            </w:pPr>
            <w:r>
              <w:rPr>
                <w:rFonts w:ascii="Times New Roman"/>
                <w:sz w:val="18"/>
              </w:rPr>
              <w:t>8.04%</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4" w:right="0"/>
              <w:jc w:val="center"/>
              <w:rPr>
                <w:rFonts w:ascii="Times New Roman" w:hAnsi="Times New Roman" w:cs="Times New Roman" w:eastAsia="Times New Roman" w:hint="default"/>
                <w:sz w:val="18"/>
                <w:szCs w:val="18"/>
              </w:rPr>
            </w:pPr>
            <w:r>
              <w:rPr>
                <w:rFonts w:ascii="Times New Roman"/>
                <w:sz w:val="18"/>
              </w:rPr>
              <w:t>38,318,105.40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65" w:right="0"/>
              <w:jc w:val="left"/>
              <w:rPr>
                <w:rFonts w:ascii="Times New Roman" w:hAnsi="Times New Roman" w:cs="Times New Roman" w:eastAsia="Times New Roman" w:hint="default"/>
                <w:sz w:val="18"/>
                <w:szCs w:val="18"/>
              </w:rPr>
            </w:pPr>
            <w:r>
              <w:rPr>
                <w:rFonts w:ascii="Times New Roman"/>
                <w:sz w:val="18"/>
              </w:rPr>
              <w:t>6.57%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99" w:right="0"/>
              <w:jc w:val="left"/>
              <w:rPr>
                <w:rFonts w:ascii="Times New Roman" w:hAnsi="Times New Roman" w:cs="Times New Roman" w:eastAsia="Times New Roman" w:hint="default"/>
                <w:sz w:val="18"/>
                <w:szCs w:val="18"/>
              </w:rPr>
            </w:pPr>
            <w:r>
              <w:rPr>
                <w:rFonts w:ascii="Times New Roman"/>
                <w:sz w:val="18"/>
              </w:rPr>
              <w:t>1.47%</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b.</w:t>
            </w:r>
            <w:r>
              <w:rPr>
                <w:rFonts w:ascii="宋体" w:hAnsi="宋体" w:cs="宋体" w:eastAsia="宋体" w:hint="default"/>
                <w:sz w:val="18"/>
                <w:szCs w:val="18"/>
              </w:rPr>
              <w:t>募投项目的工程尾款按合同尚</w:t>
            </w:r>
          </w:p>
        </w:tc>
      </w:tr>
      <w:tr>
        <w:trPr>
          <w:trHeight w:val="351"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未到结算期导致应付账款增加；</w:t>
            </w:r>
          </w:p>
        </w:tc>
      </w:tr>
    </w:tbl>
    <w:p>
      <w:pPr>
        <w:spacing w:before="51"/>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111"/>
        <w:jc w:val="left"/>
      </w:pPr>
      <w:r>
        <w:rPr/>
        <w:t>①注册商标： 报告期内，公司持续重视对商标权的保护力度，截至本年度报告披露之日，公司拥有</w:t>
      </w:r>
      <w:r>
        <w:rPr>
          <w:rFonts w:ascii="Times New Roman" w:hAnsi="Times New Roman" w:cs="Times New Roman" w:eastAsia="Times New Roman" w:hint="default"/>
        </w:rPr>
        <w:t>15</w:t>
      </w:r>
      <w:r>
        <w:rPr/>
        <w:t>项注册商标，</w:t>
      </w:r>
    </w:p>
    <w:p>
      <w:pPr>
        <w:pStyle w:val="BodyText"/>
        <w:spacing w:line="240" w:lineRule="auto" w:before="14"/>
        <w:ind w:left="153" w:right="0"/>
        <w:jc w:val="left"/>
      </w:pPr>
      <w:r>
        <w:rPr/>
        <w:t>具体情况如下：</w:t>
      </w:r>
    </w:p>
    <w:p>
      <w:pPr>
        <w:spacing w:line="240" w:lineRule="auto" w:before="2"/>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1114"/>
        <w:gridCol w:w="2058"/>
        <w:gridCol w:w="1115"/>
        <w:gridCol w:w="2347"/>
        <w:gridCol w:w="1015"/>
        <w:gridCol w:w="1108"/>
      </w:tblGrid>
      <w:tr>
        <w:trPr>
          <w:trHeight w:val="651" w:hRule="exact"/>
        </w:trPr>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商标</w:t>
            </w:r>
            <w:r>
              <w:rPr>
                <w:rFonts w:ascii="宋体" w:hAnsi="宋体" w:cs="宋体" w:eastAsia="宋体" w:hint="default"/>
                <w:sz w:val="18"/>
                <w:szCs w:val="18"/>
              </w:rPr>
            </w:r>
          </w:p>
        </w:tc>
        <w:tc>
          <w:tcPr>
            <w:tcW w:w="11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注册证号</w:t>
            </w:r>
            <w:r>
              <w:rPr>
                <w:rFonts w:ascii="宋体" w:hAnsi="宋体" w:cs="宋体" w:eastAsia="宋体" w:hint="default"/>
                <w:sz w:val="18"/>
                <w:szCs w:val="18"/>
              </w:rPr>
            </w:r>
          </w:p>
        </w:tc>
        <w:tc>
          <w:tcPr>
            <w:tcW w:w="23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0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1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商标权人</w:t>
            </w:r>
            <w:r>
              <w:rPr>
                <w:rFonts w:ascii="宋体" w:hAnsi="宋体" w:cs="宋体" w:eastAsia="宋体" w:hint="default"/>
                <w:sz w:val="18"/>
                <w:szCs w:val="18"/>
              </w:rPr>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478" w:lineRule="exact"/>
              <w:ind w:left="687"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421266" cy="30403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421266" cy="304038"/>
                          </a:xfrm>
                          <a:prstGeom prst="rect">
                            <a:avLst/>
                          </a:prstGeom>
                        </pic:spPr>
                      </pic:pic>
                    </a:graphicData>
                  </a:graphic>
                </wp:inline>
              </w:drawing>
            </w:r>
            <w:r>
              <w:rPr>
                <w:rFonts w:ascii="宋体" w:hAnsi="宋体" w:cs="宋体" w:eastAsia="宋体" w:hint="default"/>
                <w:position w:val="-9"/>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4915654</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2008.10.14</w:t>
            </w:r>
            <w:r>
              <w:rPr>
                <w:rFonts w:ascii="宋体" w:hAnsi="宋体" w:cs="宋体" w:eastAsia="宋体" w:hint="default"/>
                <w:sz w:val="18"/>
                <w:szCs w:val="18"/>
              </w:rPr>
              <w:t>至</w:t>
            </w:r>
            <w:r>
              <w:rPr>
                <w:rFonts w:ascii="Times New Roman" w:hAnsi="Times New Roman" w:cs="Times New Roman" w:eastAsia="Times New Roman" w:hint="default"/>
                <w:sz w:val="18"/>
                <w:szCs w:val="18"/>
              </w:rPr>
              <w:t>2018.10.13</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367" w:lineRule="exact"/>
              <w:ind w:left="697"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13335" cy="23345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413335" cy="233457"/>
                          </a:xfrm>
                          <a:prstGeom prst="rect">
                            <a:avLst/>
                          </a:prstGeom>
                        </pic:spPr>
                      </pic:pic>
                    </a:graphicData>
                  </a:graphic>
                </wp:inline>
              </w:drawing>
            </w:r>
            <w:r>
              <w:rPr>
                <w:rFonts w:ascii="宋体" w:hAnsi="宋体" w:cs="宋体" w:eastAsia="宋体" w:hint="default"/>
                <w:position w:val="-6"/>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5930384</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2010.04.14</w:t>
            </w:r>
            <w:r>
              <w:rPr>
                <w:rFonts w:ascii="宋体" w:hAnsi="宋体" w:cs="宋体" w:eastAsia="宋体" w:hint="default"/>
                <w:sz w:val="18"/>
                <w:szCs w:val="18"/>
              </w:rPr>
              <w:t>至</w:t>
            </w:r>
            <w:r>
              <w:rPr>
                <w:rFonts w:ascii="Times New Roman" w:hAnsi="Times New Roman" w:cs="Times New Roman" w:eastAsia="Times New Roman" w:hint="default"/>
                <w:sz w:val="18"/>
                <w:szCs w:val="18"/>
              </w:rPr>
              <w:t>2020.04.13</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367" w:lineRule="exact"/>
              <w:ind w:left="697"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13335" cy="233457"/>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20" cstate="print"/>
                          <a:stretch>
                            <a:fillRect/>
                          </a:stretch>
                        </pic:blipFill>
                        <pic:spPr>
                          <a:xfrm>
                            <a:off x="0" y="0"/>
                            <a:ext cx="413335" cy="233457"/>
                          </a:xfrm>
                          <a:prstGeom prst="rect">
                            <a:avLst/>
                          </a:prstGeom>
                        </pic:spPr>
                      </pic:pic>
                    </a:graphicData>
                  </a:graphic>
                </wp:inline>
              </w:drawing>
            </w:r>
            <w:r>
              <w:rPr>
                <w:rFonts w:ascii="宋体" w:hAnsi="宋体" w:cs="宋体" w:eastAsia="宋体" w:hint="default"/>
                <w:position w:val="-6"/>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5930385</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2009.12.28</w:t>
            </w:r>
            <w:r>
              <w:rPr>
                <w:rFonts w:ascii="宋体" w:hAnsi="宋体" w:cs="宋体" w:eastAsia="宋体" w:hint="default"/>
                <w:sz w:val="18"/>
                <w:szCs w:val="18"/>
              </w:rPr>
              <w:t>至</w:t>
            </w:r>
            <w:r>
              <w:rPr>
                <w:rFonts w:ascii="Times New Roman" w:hAnsi="Times New Roman" w:cs="Times New Roman" w:eastAsia="Times New Roman" w:hint="default"/>
                <w:sz w:val="18"/>
                <w:szCs w:val="18"/>
              </w:rPr>
              <w:t>2019.12.27</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11</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60"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367" w:lineRule="exact"/>
              <w:ind w:left="697"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13335" cy="233457"/>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20" cstate="print"/>
                          <a:stretch>
                            <a:fillRect/>
                          </a:stretch>
                        </pic:blipFill>
                        <pic:spPr>
                          <a:xfrm>
                            <a:off x="0" y="0"/>
                            <a:ext cx="413335" cy="233457"/>
                          </a:xfrm>
                          <a:prstGeom prst="rect">
                            <a:avLst/>
                          </a:prstGeom>
                        </pic:spPr>
                      </pic:pic>
                    </a:graphicData>
                  </a:graphic>
                </wp:inline>
              </w:drawing>
            </w:r>
            <w:r>
              <w:rPr>
                <w:rFonts w:ascii="宋体" w:hAnsi="宋体" w:cs="宋体" w:eastAsia="宋体" w:hint="default"/>
                <w:position w:val="-6"/>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5930386</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2009.11.07</w:t>
            </w:r>
            <w:r>
              <w:rPr>
                <w:rFonts w:ascii="宋体" w:hAnsi="宋体" w:cs="宋体" w:eastAsia="宋体" w:hint="default"/>
                <w:sz w:val="18"/>
                <w:szCs w:val="18"/>
              </w:rPr>
              <w:t>至</w:t>
            </w:r>
            <w:r>
              <w:rPr>
                <w:rFonts w:ascii="Times New Roman" w:hAnsi="Times New Roman" w:cs="Times New Roman" w:eastAsia="Times New Roman" w:hint="default"/>
                <w:sz w:val="18"/>
                <w:szCs w:val="18"/>
              </w:rPr>
              <w:t>2019.11.06</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7</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367" w:lineRule="exact"/>
              <w:ind w:left="697"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13335" cy="233457"/>
                  <wp:effectExtent l="0" t="0" r="0" b="0"/>
                  <wp:docPr id="11" name="image3.jpeg" descr=""/>
                  <wp:cNvGraphicFramePr>
                    <a:graphicFrameLocks noChangeAspect="1"/>
                  </wp:cNvGraphicFramePr>
                  <a:graphic>
                    <a:graphicData uri="http://schemas.openxmlformats.org/drawingml/2006/picture">
                      <pic:pic>
                        <pic:nvPicPr>
                          <pic:cNvPr id="12" name="image3.jpeg"/>
                          <pic:cNvPicPr/>
                        </pic:nvPicPr>
                        <pic:blipFill>
                          <a:blip r:embed="rId20" cstate="print"/>
                          <a:stretch>
                            <a:fillRect/>
                          </a:stretch>
                        </pic:blipFill>
                        <pic:spPr>
                          <a:xfrm>
                            <a:off x="0" y="0"/>
                            <a:ext cx="413335" cy="233457"/>
                          </a:xfrm>
                          <a:prstGeom prst="rect">
                            <a:avLst/>
                          </a:prstGeom>
                        </pic:spPr>
                      </pic:pic>
                    </a:graphicData>
                  </a:graphic>
                </wp:inline>
              </w:drawing>
            </w:r>
            <w:r>
              <w:rPr>
                <w:rFonts w:ascii="宋体" w:hAnsi="宋体" w:cs="宋体" w:eastAsia="宋体" w:hint="default"/>
                <w:position w:val="-6"/>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5930387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2009.12.28</w:t>
            </w:r>
            <w:r>
              <w:rPr>
                <w:rFonts w:ascii="宋体" w:hAnsi="宋体" w:cs="宋体" w:eastAsia="宋体" w:hint="default"/>
                <w:sz w:val="18"/>
                <w:szCs w:val="18"/>
              </w:rPr>
              <w:t>至</w:t>
            </w:r>
            <w:r>
              <w:rPr>
                <w:rFonts w:ascii="Times New Roman" w:hAnsi="Times New Roman" w:cs="Times New Roman" w:eastAsia="Times New Roman" w:hint="default"/>
                <w:sz w:val="18"/>
                <w:szCs w:val="18"/>
              </w:rPr>
              <w:t>2019.12.27</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367" w:lineRule="exact"/>
              <w:ind w:left="656"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65384" cy="233457"/>
                  <wp:effectExtent l="0" t="0" r="0" b="0"/>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21" cstate="print"/>
                          <a:stretch>
                            <a:fillRect/>
                          </a:stretch>
                        </pic:blipFill>
                        <pic:spPr>
                          <a:xfrm>
                            <a:off x="0" y="0"/>
                            <a:ext cx="465384" cy="233457"/>
                          </a:xfrm>
                          <a:prstGeom prst="rect">
                            <a:avLst/>
                          </a:prstGeom>
                        </pic:spPr>
                      </pic:pic>
                    </a:graphicData>
                  </a:graphic>
                </wp:inline>
              </w:drawing>
            </w:r>
            <w:r>
              <w:rPr>
                <w:rFonts w:ascii="宋体" w:hAnsi="宋体" w:cs="宋体" w:eastAsia="宋体" w:hint="default"/>
                <w:position w:val="-6"/>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6753058</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2010.06.14</w:t>
            </w:r>
            <w:r>
              <w:rPr>
                <w:rFonts w:ascii="宋体" w:hAnsi="宋体" w:cs="宋体" w:eastAsia="宋体" w:hint="default"/>
                <w:sz w:val="18"/>
                <w:szCs w:val="18"/>
              </w:rPr>
              <w:t>至</w:t>
            </w:r>
            <w:r>
              <w:rPr>
                <w:rFonts w:ascii="Times New Roman" w:hAnsi="Times New Roman" w:cs="Times New Roman" w:eastAsia="Times New Roman" w:hint="default"/>
                <w:sz w:val="18"/>
                <w:szCs w:val="18"/>
              </w:rPr>
              <w:t>2020.06.13</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11</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367" w:lineRule="exact"/>
              <w:ind w:left="656"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65384" cy="233457"/>
                  <wp:effectExtent l="0" t="0" r="0" b="0"/>
                  <wp:docPr id="15" name="image4.jpeg" descr=""/>
                  <wp:cNvGraphicFramePr>
                    <a:graphicFrameLocks noChangeAspect="1"/>
                  </wp:cNvGraphicFramePr>
                  <a:graphic>
                    <a:graphicData uri="http://schemas.openxmlformats.org/drawingml/2006/picture">
                      <pic:pic>
                        <pic:nvPicPr>
                          <pic:cNvPr id="16" name="image4.jpeg"/>
                          <pic:cNvPicPr/>
                        </pic:nvPicPr>
                        <pic:blipFill>
                          <a:blip r:embed="rId21" cstate="print"/>
                          <a:stretch>
                            <a:fillRect/>
                          </a:stretch>
                        </pic:blipFill>
                        <pic:spPr>
                          <a:xfrm>
                            <a:off x="0" y="0"/>
                            <a:ext cx="465384" cy="233457"/>
                          </a:xfrm>
                          <a:prstGeom prst="rect">
                            <a:avLst/>
                          </a:prstGeom>
                        </pic:spPr>
                      </pic:pic>
                    </a:graphicData>
                  </a:graphic>
                </wp:inline>
              </w:drawing>
            </w:r>
            <w:r>
              <w:rPr>
                <w:rFonts w:ascii="宋体" w:hAnsi="宋体" w:cs="宋体" w:eastAsia="宋体" w:hint="default"/>
                <w:position w:val="-6"/>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6753057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2010.09.28</w:t>
            </w:r>
            <w:r>
              <w:rPr>
                <w:rFonts w:ascii="宋体" w:hAnsi="宋体" w:cs="宋体" w:eastAsia="宋体" w:hint="default"/>
                <w:sz w:val="18"/>
                <w:szCs w:val="18"/>
              </w:rPr>
              <w:t>至</w:t>
            </w:r>
            <w:r>
              <w:rPr>
                <w:rFonts w:ascii="Times New Roman" w:hAnsi="Times New Roman" w:cs="Times New Roman" w:eastAsia="Times New Roman" w:hint="default"/>
                <w:sz w:val="18"/>
                <w:szCs w:val="18"/>
              </w:rPr>
              <w:t>2020.09.27</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exact"/>
              <w:ind w:left="432"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49046" cy="201167"/>
                  <wp:effectExtent l="0" t="0" r="0" b="0"/>
                  <wp:docPr id="17" name="image5.jpeg" descr=""/>
                  <wp:cNvGraphicFramePr>
                    <a:graphicFrameLocks noChangeAspect="1"/>
                  </wp:cNvGraphicFramePr>
                  <a:graphic>
                    <a:graphicData uri="http://schemas.openxmlformats.org/drawingml/2006/picture">
                      <pic:pic>
                        <pic:nvPicPr>
                          <pic:cNvPr id="18" name="image5.jpeg"/>
                          <pic:cNvPicPr/>
                        </pic:nvPicPr>
                        <pic:blipFill>
                          <a:blip r:embed="rId22" cstate="print"/>
                          <a:stretch>
                            <a:fillRect/>
                          </a:stretch>
                        </pic:blipFill>
                        <pic:spPr>
                          <a:xfrm>
                            <a:off x="0" y="0"/>
                            <a:ext cx="749046" cy="201167"/>
                          </a:xfrm>
                          <a:prstGeom prst="rect">
                            <a:avLst/>
                          </a:prstGeom>
                        </pic:spPr>
                      </pic:pic>
                    </a:graphicData>
                  </a:graphic>
                </wp:inline>
              </w:drawing>
            </w:r>
            <w:r>
              <w:rPr>
                <w:rFonts w:ascii="宋体" w:hAnsi="宋体" w:cs="宋体" w:eastAsia="宋体" w:hint="default"/>
                <w:position w:val="-5"/>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7480704</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2010.12.14</w:t>
            </w:r>
            <w:r>
              <w:rPr>
                <w:rFonts w:ascii="宋体" w:hAnsi="宋体" w:cs="宋体" w:eastAsia="宋体" w:hint="default"/>
                <w:sz w:val="18"/>
                <w:szCs w:val="18"/>
              </w:rPr>
              <w:t>至</w:t>
            </w:r>
            <w:r>
              <w:rPr>
                <w:rFonts w:ascii="Times New Roman" w:hAnsi="Times New Roman" w:cs="Times New Roman" w:eastAsia="Times New Roman" w:hint="default"/>
                <w:sz w:val="18"/>
                <w:szCs w:val="18"/>
              </w:rPr>
              <w:t>2020.12.13</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exact"/>
              <w:ind w:left="432"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49046" cy="201167"/>
                  <wp:effectExtent l="0" t="0" r="0" b="0"/>
                  <wp:docPr id="19" name="image5.jpeg" descr=""/>
                  <wp:cNvGraphicFramePr>
                    <a:graphicFrameLocks noChangeAspect="1"/>
                  </wp:cNvGraphicFramePr>
                  <a:graphic>
                    <a:graphicData uri="http://schemas.openxmlformats.org/drawingml/2006/picture">
                      <pic:pic>
                        <pic:nvPicPr>
                          <pic:cNvPr id="20" name="image5.jpeg"/>
                          <pic:cNvPicPr/>
                        </pic:nvPicPr>
                        <pic:blipFill>
                          <a:blip r:embed="rId22" cstate="print"/>
                          <a:stretch>
                            <a:fillRect/>
                          </a:stretch>
                        </pic:blipFill>
                        <pic:spPr>
                          <a:xfrm>
                            <a:off x="0" y="0"/>
                            <a:ext cx="749046" cy="201167"/>
                          </a:xfrm>
                          <a:prstGeom prst="rect">
                            <a:avLst/>
                          </a:prstGeom>
                        </pic:spPr>
                      </pic:pic>
                    </a:graphicData>
                  </a:graphic>
                </wp:inline>
              </w:drawing>
            </w:r>
            <w:r>
              <w:rPr>
                <w:rFonts w:ascii="宋体" w:hAnsi="宋体" w:cs="宋体" w:eastAsia="宋体" w:hint="default"/>
                <w:position w:val="-5"/>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7493256</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2011.01.28</w:t>
            </w:r>
            <w:r>
              <w:rPr>
                <w:rFonts w:ascii="宋体" w:hAnsi="宋体" w:cs="宋体" w:eastAsia="宋体" w:hint="default"/>
                <w:sz w:val="18"/>
                <w:szCs w:val="18"/>
              </w:rPr>
              <w:t>至</w:t>
            </w:r>
            <w:r>
              <w:rPr>
                <w:rFonts w:ascii="Times New Roman" w:hAnsi="Times New Roman" w:cs="Times New Roman" w:eastAsia="Times New Roman" w:hint="default"/>
                <w:sz w:val="18"/>
                <w:szCs w:val="18"/>
              </w:rPr>
              <w:t>2021.01.27</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60"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exact"/>
              <w:ind w:left="432"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51894" cy="201167"/>
                  <wp:effectExtent l="0" t="0" r="0" b="0"/>
                  <wp:docPr id="21" name="image5.jpeg" descr=""/>
                  <wp:cNvGraphicFramePr>
                    <a:graphicFrameLocks noChangeAspect="1"/>
                  </wp:cNvGraphicFramePr>
                  <a:graphic>
                    <a:graphicData uri="http://schemas.openxmlformats.org/drawingml/2006/picture">
                      <pic:pic>
                        <pic:nvPicPr>
                          <pic:cNvPr id="22" name="image5.jpeg"/>
                          <pic:cNvPicPr/>
                        </pic:nvPicPr>
                        <pic:blipFill>
                          <a:blip r:embed="rId22" cstate="print"/>
                          <a:stretch>
                            <a:fillRect/>
                          </a:stretch>
                        </pic:blipFill>
                        <pic:spPr>
                          <a:xfrm>
                            <a:off x="0" y="0"/>
                            <a:ext cx="751894" cy="201167"/>
                          </a:xfrm>
                          <a:prstGeom prst="rect">
                            <a:avLst/>
                          </a:prstGeom>
                        </pic:spPr>
                      </pic:pic>
                    </a:graphicData>
                  </a:graphic>
                </wp:inline>
              </w:drawing>
            </w:r>
            <w:r>
              <w:rPr>
                <w:rFonts w:ascii="宋体" w:hAnsi="宋体" w:cs="宋体" w:eastAsia="宋体" w:hint="default"/>
                <w:position w:val="-5"/>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7480661</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2011.02.07</w:t>
            </w:r>
            <w:r>
              <w:rPr>
                <w:rFonts w:ascii="宋体" w:hAnsi="宋体" w:cs="宋体" w:eastAsia="宋体" w:hint="default"/>
                <w:sz w:val="18"/>
                <w:szCs w:val="18"/>
              </w:rPr>
              <w:t>至</w:t>
            </w:r>
            <w:r>
              <w:rPr>
                <w:rFonts w:ascii="Times New Roman" w:hAnsi="Times New Roman" w:cs="Times New Roman" w:eastAsia="Times New Roman" w:hint="default"/>
                <w:sz w:val="18"/>
                <w:szCs w:val="18"/>
              </w:rPr>
              <w:t>2021.02.06</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11</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8" w:lineRule="exact"/>
              <w:ind w:left="855" w:right="0"/>
              <w:jc w:val="left"/>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219456" cy="24383"/>
                  <wp:effectExtent l="0" t="0" r="0" b="0"/>
                  <wp:docPr id="23" name="image6.png" descr=""/>
                  <wp:cNvGraphicFramePr>
                    <a:graphicFrameLocks noChangeAspect="1"/>
                  </wp:cNvGraphicFramePr>
                  <a:graphic>
                    <a:graphicData uri="http://schemas.openxmlformats.org/drawingml/2006/picture">
                      <pic:pic>
                        <pic:nvPicPr>
                          <pic:cNvPr id="24" name="image6.png"/>
                          <pic:cNvPicPr/>
                        </pic:nvPicPr>
                        <pic:blipFill>
                          <a:blip r:embed="rId23" cstate="print"/>
                          <a:stretch>
                            <a:fillRect/>
                          </a:stretch>
                        </pic:blipFill>
                        <pic:spPr>
                          <a:xfrm>
                            <a:off x="0" y="0"/>
                            <a:ext cx="219456" cy="24383"/>
                          </a:xfrm>
                          <a:prstGeom prst="rect">
                            <a:avLst/>
                          </a:prstGeom>
                        </pic:spPr>
                      </pic:pic>
                    </a:graphicData>
                  </a:graphic>
                </wp:inline>
              </w:drawing>
            </w:r>
            <w:r>
              <w:rPr>
                <w:rFonts w:ascii="宋体" w:hAnsi="宋体" w:cs="宋体" w:eastAsia="宋体" w:hint="default"/>
                <w:position w:val="0"/>
                <w:sz w:val="3"/>
                <w:szCs w:val="3"/>
              </w:rPr>
            </w:r>
          </w:p>
          <w:p>
            <w:pPr>
              <w:pStyle w:val="TableParagraph"/>
              <w:spacing w:line="240" w:lineRule="exact"/>
              <w:ind w:left="846"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225552" cy="152400"/>
                  <wp:effectExtent l="0" t="0" r="0" b="0"/>
                  <wp:docPr id="25" name="image7.png" descr=""/>
                  <wp:cNvGraphicFramePr>
                    <a:graphicFrameLocks noChangeAspect="1"/>
                  </wp:cNvGraphicFramePr>
                  <a:graphic>
                    <a:graphicData uri="http://schemas.openxmlformats.org/drawingml/2006/picture">
                      <pic:pic>
                        <pic:nvPicPr>
                          <pic:cNvPr id="26" name="image7.png"/>
                          <pic:cNvPicPr/>
                        </pic:nvPicPr>
                        <pic:blipFill>
                          <a:blip r:embed="rId24" cstate="print"/>
                          <a:stretch>
                            <a:fillRect/>
                          </a:stretch>
                        </pic:blipFill>
                        <pic:spPr>
                          <a:xfrm>
                            <a:off x="0" y="0"/>
                            <a:ext cx="225552" cy="152400"/>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before="9"/>
              <w:ind w:right="0"/>
              <w:jc w:val="left"/>
              <w:rPr>
                <w:rFonts w:ascii="宋体" w:hAnsi="宋体" w:cs="宋体" w:eastAsia="宋体" w:hint="default"/>
                <w:sz w:val="14"/>
                <w:szCs w:val="14"/>
              </w:rPr>
            </w:pP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4896958</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2008.09.07</w:t>
            </w:r>
            <w:r>
              <w:rPr>
                <w:rFonts w:ascii="宋体" w:hAnsi="宋体" w:cs="宋体" w:eastAsia="宋体" w:hint="default"/>
                <w:sz w:val="18"/>
                <w:szCs w:val="18"/>
              </w:rPr>
              <w:t>至</w:t>
            </w:r>
            <w:r>
              <w:rPr>
                <w:rFonts w:ascii="Times New Roman" w:hAnsi="Times New Roman" w:cs="Times New Roman" w:eastAsia="Times New Roman" w:hint="default"/>
                <w:sz w:val="18"/>
                <w:szCs w:val="18"/>
              </w:rPr>
              <w:t>2018.09.06</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exact"/>
              <w:ind w:left="208"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029620" cy="200787"/>
                  <wp:effectExtent l="0" t="0" r="0" b="0"/>
                  <wp:docPr id="27" name="image8.png" descr=""/>
                  <wp:cNvGraphicFramePr>
                    <a:graphicFrameLocks noChangeAspect="1"/>
                  </wp:cNvGraphicFramePr>
                  <a:graphic>
                    <a:graphicData uri="http://schemas.openxmlformats.org/drawingml/2006/picture">
                      <pic:pic>
                        <pic:nvPicPr>
                          <pic:cNvPr id="28" name="image8.png"/>
                          <pic:cNvPicPr/>
                        </pic:nvPicPr>
                        <pic:blipFill>
                          <a:blip r:embed="rId25" cstate="print"/>
                          <a:stretch>
                            <a:fillRect/>
                          </a:stretch>
                        </pic:blipFill>
                        <pic:spPr>
                          <a:xfrm>
                            <a:off x="0" y="0"/>
                            <a:ext cx="1029620" cy="200787"/>
                          </a:xfrm>
                          <a:prstGeom prst="rect">
                            <a:avLst/>
                          </a:prstGeom>
                        </pic:spPr>
                      </pic:pic>
                    </a:graphicData>
                  </a:graphic>
                </wp:inline>
              </w:drawing>
            </w:r>
            <w:r>
              <w:rPr>
                <w:rFonts w:ascii="宋体" w:hAnsi="宋体" w:cs="宋体" w:eastAsia="宋体" w:hint="default"/>
                <w:position w:val="-5"/>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4613890</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2008.02.14</w:t>
            </w:r>
            <w:r>
              <w:rPr>
                <w:rFonts w:ascii="宋体" w:hAnsi="宋体" w:cs="宋体" w:eastAsia="宋体" w:hint="default"/>
                <w:sz w:val="18"/>
                <w:szCs w:val="18"/>
              </w:rPr>
              <w:t>至</w:t>
            </w:r>
            <w:r>
              <w:rPr>
                <w:rFonts w:ascii="Times New Roman" w:hAnsi="Times New Roman" w:cs="Times New Roman" w:eastAsia="Times New Roman" w:hint="default"/>
                <w:sz w:val="18"/>
                <w:szCs w:val="18"/>
              </w:rPr>
              <w:t>2018.02.13</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971"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13</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6"/>
                <w:szCs w:val="6"/>
              </w:rPr>
            </w:pPr>
          </w:p>
          <w:p>
            <w:pPr>
              <w:pStyle w:val="TableParagraph"/>
              <w:spacing w:line="781" w:lineRule="exact"/>
              <w:ind w:left="369"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827023" cy="496062"/>
                  <wp:effectExtent l="0" t="0" r="0" b="0"/>
                  <wp:docPr id="29" name="image9.jpeg" descr=""/>
                  <wp:cNvGraphicFramePr>
                    <a:graphicFrameLocks noChangeAspect="1"/>
                  </wp:cNvGraphicFramePr>
                  <a:graphic>
                    <a:graphicData uri="http://schemas.openxmlformats.org/drawingml/2006/picture">
                      <pic:pic>
                        <pic:nvPicPr>
                          <pic:cNvPr id="30" name="image9.jpeg"/>
                          <pic:cNvPicPr/>
                        </pic:nvPicPr>
                        <pic:blipFill>
                          <a:blip r:embed="rId26" cstate="print"/>
                          <a:stretch>
                            <a:fillRect/>
                          </a:stretch>
                        </pic:blipFill>
                        <pic:spPr>
                          <a:xfrm>
                            <a:off x="0" y="0"/>
                            <a:ext cx="827023" cy="496062"/>
                          </a:xfrm>
                          <a:prstGeom prst="rect">
                            <a:avLst/>
                          </a:prstGeom>
                        </pic:spPr>
                      </pic:pic>
                    </a:graphicData>
                  </a:graphic>
                </wp:inline>
              </w:drawing>
            </w:r>
            <w:r>
              <w:rPr>
                <w:rFonts w:ascii="宋体" w:hAnsi="宋体" w:cs="宋体" w:eastAsia="宋体" w:hint="default"/>
                <w:position w:val="-15"/>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83" w:right="0"/>
              <w:jc w:val="left"/>
              <w:rPr>
                <w:rFonts w:ascii="Times New Roman" w:hAnsi="Times New Roman" w:cs="Times New Roman" w:eastAsia="Times New Roman" w:hint="default"/>
                <w:sz w:val="21"/>
                <w:szCs w:val="21"/>
              </w:rPr>
            </w:pPr>
            <w:r>
              <w:rPr>
                <w:rFonts w:ascii="Times New Roman"/>
                <w:sz w:val="21"/>
              </w:rPr>
              <w:t>4613891</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2008.05.07</w:t>
            </w:r>
            <w:r>
              <w:rPr>
                <w:rFonts w:ascii="宋体" w:hAnsi="宋体" w:cs="宋体" w:eastAsia="宋体" w:hint="default"/>
                <w:sz w:val="18"/>
                <w:szCs w:val="18"/>
              </w:rPr>
              <w:t>至</w:t>
            </w:r>
            <w:r>
              <w:rPr>
                <w:rFonts w:ascii="Times New Roman" w:hAnsi="Times New Roman" w:cs="Times New Roman" w:eastAsia="Times New Roman" w:hint="default"/>
                <w:sz w:val="18"/>
                <w:szCs w:val="18"/>
              </w:rPr>
              <w:t>2018.05.06</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60"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7"/>
                <w:szCs w:val="7"/>
              </w:rPr>
            </w:pPr>
          </w:p>
          <w:p>
            <w:pPr>
              <w:pStyle w:val="TableParagraph"/>
              <w:spacing w:line="451" w:lineRule="exact"/>
              <w:ind w:left="436"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47216" cy="286512"/>
                  <wp:effectExtent l="0" t="0" r="0" b="0"/>
                  <wp:docPr id="31" name="image10.jpeg" descr=""/>
                  <wp:cNvGraphicFramePr>
                    <a:graphicFrameLocks noChangeAspect="1"/>
                  </wp:cNvGraphicFramePr>
                  <a:graphic>
                    <a:graphicData uri="http://schemas.openxmlformats.org/drawingml/2006/picture">
                      <pic:pic>
                        <pic:nvPicPr>
                          <pic:cNvPr id="32" name="image10.jpeg"/>
                          <pic:cNvPicPr/>
                        </pic:nvPicPr>
                        <pic:blipFill>
                          <a:blip r:embed="rId27" cstate="print"/>
                          <a:stretch>
                            <a:fillRect/>
                          </a:stretch>
                        </pic:blipFill>
                        <pic:spPr>
                          <a:xfrm>
                            <a:off x="0" y="0"/>
                            <a:ext cx="747216" cy="286512"/>
                          </a:xfrm>
                          <a:prstGeom prst="rect">
                            <a:avLst/>
                          </a:prstGeom>
                        </pic:spPr>
                      </pic:pic>
                    </a:graphicData>
                  </a:graphic>
                </wp:inline>
              </w:drawing>
            </w:r>
            <w:r>
              <w:rPr>
                <w:rFonts w:ascii="宋体" w:hAnsi="宋体" w:cs="宋体" w:eastAsia="宋体" w:hint="default"/>
                <w:position w:val="-8"/>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3" w:right="0"/>
              <w:jc w:val="left"/>
              <w:rPr>
                <w:rFonts w:ascii="Times New Roman" w:hAnsi="Times New Roman" w:cs="Times New Roman" w:eastAsia="Times New Roman" w:hint="default"/>
                <w:sz w:val="21"/>
                <w:szCs w:val="21"/>
              </w:rPr>
            </w:pPr>
            <w:r>
              <w:rPr>
                <w:rFonts w:ascii="Times New Roman"/>
                <w:sz w:val="21"/>
              </w:rPr>
              <w:t>4896957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2008.11.28</w:t>
            </w:r>
            <w:r>
              <w:rPr>
                <w:rFonts w:ascii="宋体" w:hAnsi="宋体" w:cs="宋体" w:eastAsia="宋体" w:hint="default"/>
                <w:sz w:val="18"/>
                <w:szCs w:val="18"/>
              </w:rPr>
              <w:t>至</w:t>
            </w:r>
            <w:r>
              <w:rPr>
                <w:rFonts w:ascii="Times New Roman" w:hAnsi="Times New Roman" w:cs="Times New Roman" w:eastAsia="Times New Roman" w:hint="default"/>
                <w:sz w:val="18"/>
                <w:szCs w:val="18"/>
              </w:rPr>
              <w:t>2018.11.27</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114"/>
        <w:gridCol w:w="2058"/>
        <w:gridCol w:w="1115"/>
        <w:gridCol w:w="2347"/>
        <w:gridCol w:w="1015"/>
        <w:gridCol w:w="1108"/>
      </w:tblGrid>
      <w:tr>
        <w:trPr>
          <w:trHeight w:val="660"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364" w:lineRule="exact"/>
              <w:ind w:left="200"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043939" cy="231648"/>
                  <wp:effectExtent l="0" t="0" r="0" b="0"/>
                  <wp:docPr id="33" name="image11.jpeg" descr=""/>
                  <wp:cNvGraphicFramePr>
                    <a:graphicFrameLocks noChangeAspect="1"/>
                  </wp:cNvGraphicFramePr>
                  <a:graphic>
                    <a:graphicData uri="http://schemas.openxmlformats.org/drawingml/2006/picture">
                      <pic:pic>
                        <pic:nvPicPr>
                          <pic:cNvPr id="34" name="image11.jpeg"/>
                          <pic:cNvPicPr/>
                        </pic:nvPicPr>
                        <pic:blipFill>
                          <a:blip r:embed="rId28" cstate="print"/>
                          <a:stretch>
                            <a:fillRect/>
                          </a:stretch>
                        </pic:blipFill>
                        <pic:spPr>
                          <a:xfrm>
                            <a:off x="0" y="0"/>
                            <a:ext cx="1043939" cy="231648"/>
                          </a:xfrm>
                          <a:prstGeom prst="rect">
                            <a:avLst/>
                          </a:prstGeom>
                        </pic:spPr>
                      </pic:pic>
                    </a:graphicData>
                  </a:graphic>
                </wp:inline>
              </w:drawing>
            </w:r>
            <w:r>
              <w:rPr>
                <w:rFonts w:ascii="宋体" w:hAnsi="宋体" w:cs="宋体" w:eastAsia="宋体" w:hint="default"/>
                <w:position w:val="-6"/>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3" w:right="0"/>
              <w:jc w:val="left"/>
              <w:rPr>
                <w:rFonts w:ascii="Times New Roman" w:hAnsi="Times New Roman" w:cs="Times New Roman" w:eastAsia="Times New Roman" w:hint="default"/>
                <w:sz w:val="21"/>
                <w:szCs w:val="21"/>
              </w:rPr>
            </w:pPr>
            <w:r>
              <w:rPr>
                <w:rFonts w:ascii="Times New Roman"/>
                <w:sz w:val="21"/>
              </w:rPr>
              <w:t>4896956</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2008.11.28</w:t>
            </w:r>
            <w:r>
              <w:rPr>
                <w:rFonts w:ascii="宋体" w:hAnsi="宋体" w:cs="宋体" w:eastAsia="宋体" w:hint="default"/>
                <w:sz w:val="18"/>
                <w:szCs w:val="18"/>
              </w:rPr>
              <w:t>至</w:t>
            </w:r>
            <w:r>
              <w:rPr>
                <w:rFonts w:ascii="Times New Roman" w:hAnsi="Times New Roman" w:cs="Times New Roman" w:eastAsia="Times New Roman" w:hint="default"/>
                <w:sz w:val="18"/>
                <w:szCs w:val="18"/>
              </w:rPr>
              <w:t>2018.11.27</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新开普</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tabs>
          <w:tab w:pos="9686" w:val="left" w:leader="none"/>
        </w:tabs>
        <w:spacing w:line="331" w:lineRule="auto" w:before="35"/>
        <w:ind w:left="153" w:right="150" w:firstLine="420"/>
        <w:jc w:val="left"/>
      </w:pPr>
      <w:r>
        <w:rPr/>
        <w:pict>
          <v:shape style="position:absolute;margin-left:480.059998pt;margin-top:-28.706055pt;width:53.28pt;height:42.72pt;mso-position-horizontal-relative:page;mso-position-vertical-relative:paragraph;z-index:-998944" type="#_x0000_t75" stroked="false">
            <v:imagedata r:id="rId29" o:title=""/>
          </v:shape>
        </w:pict>
      </w:r>
      <w:r>
        <w:rPr>
          <w:spacing w:val="-4"/>
        </w:rPr>
        <w:t>报告期内，公司已向工商总局商标局提交了包括“校傲江湖”、“玩校”、“微校”、“</w:t>
        <w:tab/>
      </w:r>
      <w:r>
        <w:rPr/>
        <w:t>"</w:t>
      </w:r>
      <w:r>
        <w:rPr/>
        <w:t> 等在内</w:t>
      </w:r>
      <w:r>
        <w:rPr>
          <w:rFonts w:ascii="Times New Roman" w:hAnsi="Times New Roman" w:cs="Times New Roman" w:eastAsia="Times New Roman" w:hint="default"/>
        </w:rPr>
        <w:t>59</w:t>
      </w:r>
      <w:r>
        <w:rPr/>
        <w:t>项商标注册申请，并已取得受理通知书。</w:t>
      </w:r>
    </w:p>
    <w:p>
      <w:pPr>
        <w:spacing w:line="240" w:lineRule="auto" w:before="13"/>
        <w:rPr>
          <w:rFonts w:ascii="宋体" w:hAnsi="宋体" w:cs="宋体" w:eastAsia="宋体" w:hint="default"/>
          <w:sz w:val="15"/>
          <w:szCs w:val="15"/>
        </w:rPr>
      </w:pPr>
    </w:p>
    <w:p>
      <w:pPr>
        <w:pStyle w:val="BodyText"/>
        <w:spacing w:line="408" w:lineRule="auto" w:before="0"/>
        <w:ind w:left="573" w:right="0"/>
        <w:jc w:val="left"/>
      </w:pPr>
      <w:r>
        <w:rPr/>
        <w:t>②专利权 </w:t>
      </w:r>
      <w:r>
        <w:rPr>
          <w:spacing w:val="-1"/>
        </w:rPr>
        <w:t>截至本年度报告披露之日，公司拥有</w:t>
      </w:r>
      <w:r>
        <w:rPr>
          <w:rFonts w:ascii="Times New Roman" w:hAnsi="Times New Roman" w:cs="Times New Roman" w:eastAsia="Times New Roman" w:hint="default"/>
          <w:spacing w:val="-1"/>
        </w:rPr>
        <w:t>41</w:t>
      </w:r>
      <w:r>
        <w:rPr>
          <w:spacing w:val="-1"/>
        </w:rPr>
        <w:t>项已授权的专利，其中实用新型专利</w:t>
      </w:r>
      <w:r>
        <w:rPr>
          <w:rFonts w:ascii="Times New Roman" w:hAnsi="Times New Roman" w:cs="Times New Roman" w:eastAsia="Times New Roman" w:hint="default"/>
          <w:spacing w:val="-1"/>
        </w:rPr>
        <w:t>24</w:t>
      </w:r>
      <w:r>
        <w:rPr>
          <w:spacing w:val="-1"/>
        </w:rPr>
        <w:t>项，外观专利</w:t>
      </w:r>
      <w:r>
        <w:rPr>
          <w:rFonts w:ascii="Times New Roman" w:hAnsi="Times New Roman" w:cs="Times New Roman" w:eastAsia="Times New Roman" w:hint="default"/>
          <w:spacing w:val="-1"/>
        </w:rPr>
        <w:t>17</w:t>
      </w:r>
      <w:r>
        <w:rPr>
          <w:spacing w:val="-1"/>
        </w:rPr>
        <w:t>项，具</w:t>
      </w:r>
    </w:p>
    <w:p>
      <w:pPr>
        <w:pStyle w:val="BodyText"/>
        <w:spacing w:line="240" w:lineRule="auto" w:before="14"/>
        <w:ind w:left="153" w:right="0"/>
        <w:jc w:val="left"/>
      </w:pPr>
      <w:r>
        <w:rPr/>
        <w:t>体情况如下：</w:t>
      </w:r>
    </w:p>
    <w:p>
      <w:pPr>
        <w:spacing w:line="240" w:lineRule="auto" w:before="1"/>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640"/>
        <w:gridCol w:w="2636"/>
        <w:gridCol w:w="1926"/>
        <w:gridCol w:w="1080"/>
        <w:gridCol w:w="1080"/>
        <w:gridCol w:w="1296"/>
      </w:tblGrid>
      <w:tr>
        <w:trPr>
          <w:trHeight w:val="589" w:hRule="exact"/>
        </w:trPr>
        <w:tc>
          <w:tcPr>
            <w:tcW w:w="6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0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非接触智能卡水控器</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2005 2</w:t>
            </w:r>
            <w:r>
              <w:rPr>
                <w:rFonts w:ascii="Times New Roman"/>
                <w:spacing w:val="-3"/>
                <w:sz w:val="18"/>
              </w:rPr>
              <w:t> </w:t>
            </w:r>
            <w:r>
              <w:rPr>
                <w:rFonts w:ascii="Times New Roman"/>
                <w:sz w:val="18"/>
              </w:rPr>
              <w:t>0030647.5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2005.5.13</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非接触智能卡自助洗衣机</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2005 2</w:t>
            </w:r>
            <w:r>
              <w:rPr>
                <w:rFonts w:ascii="Times New Roman"/>
                <w:spacing w:val="-3"/>
                <w:sz w:val="18"/>
              </w:rPr>
              <w:t> </w:t>
            </w:r>
            <w:r>
              <w:rPr>
                <w:rFonts w:ascii="Times New Roman"/>
                <w:sz w:val="18"/>
              </w:rPr>
              <w:t>0030648.X</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2005.5.13</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智能卡车载消费终端</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2009 3</w:t>
            </w:r>
            <w:r>
              <w:rPr>
                <w:rFonts w:ascii="Times New Roman"/>
                <w:spacing w:val="-3"/>
                <w:sz w:val="18"/>
              </w:rPr>
              <w:t> </w:t>
            </w:r>
            <w:r>
              <w:rPr>
                <w:rFonts w:ascii="Times New Roman"/>
                <w:sz w:val="18"/>
              </w:rPr>
              <w:t>0117728.2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2009.5.20</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7"/>
                <w:sz w:val="18"/>
                <w:szCs w:val="18"/>
              </w:rPr>
              <w:t>具有监测信息本地存储的电能计 </w:t>
            </w:r>
            <w:r>
              <w:rPr>
                <w:rFonts w:ascii="宋体" w:hAnsi="宋体" w:cs="宋体" w:eastAsia="宋体" w:hint="default"/>
                <w:sz w:val="18"/>
                <w:szCs w:val="18"/>
              </w:rPr>
              <w:t>量控制模块</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2009 2</w:t>
            </w:r>
            <w:r>
              <w:rPr>
                <w:rFonts w:ascii="Times New Roman"/>
                <w:spacing w:val="-3"/>
                <w:sz w:val="18"/>
              </w:rPr>
              <w:t> </w:t>
            </w:r>
            <w:r>
              <w:rPr>
                <w:rFonts w:ascii="Times New Roman"/>
                <w:sz w:val="18"/>
              </w:rPr>
              <w:t>0091836.1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2009.7.22</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7"/>
                <w:sz w:val="18"/>
                <w:szCs w:val="18"/>
              </w:rPr>
              <w:t>具有检测信息报警功能的电能计 </w:t>
            </w:r>
            <w:r>
              <w:rPr>
                <w:rFonts w:ascii="宋体" w:hAnsi="宋体" w:cs="宋体" w:eastAsia="宋体" w:hint="default"/>
                <w:sz w:val="18"/>
                <w:szCs w:val="18"/>
              </w:rPr>
              <w:t>量控制模块</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2009 2</w:t>
            </w:r>
            <w:r>
              <w:rPr>
                <w:rFonts w:ascii="Times New Roman"/>
                <w:spacing w:val="-3"/>
                <w:sz w:val="18"/>
              </w:rPr>
              <w:t> </w:t>
            </w:r>
            <w:r>
              <w:rPr>
                <w:rFonts w:ascii="Times New Roman"/>
                <w:sz w:val="18"/>
              </w:rPr>
              <w:t>0091837.6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2009.7.22</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多功能电能计量控制模块</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2009 2</w:t>
            </w:r>
            <w:r>
              <w:rPr>
                <w:rFonts w:ascii="Times New Roman"/>
                <w:spacing w:val="-3"/>
                <w:sz w:val="18"/>
              </w:rPr>
              <w:t> </w:t>
            </w:r>
            <w:r>
              <w:rPr>
                <w:rFonts w:ascii="Times New Roman"/>
                <w:sz w:val="18"/>
              </w:rPr>
              <w:t>0091835.7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2009.7.22</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7"/>
                <w:sz w:val="18"/>
                <w:szCs w:val="18"/>
              </w:rPr>
              <w:t>具有恶性负载识别功能的电能计 </w:t>
            </w:r>
            <w:r>
              <w:rPr>
                <w:rFonts w:ascii="宋体" w:hAnsi="宋体" w:cs="宋体" w:eastAsia="宋体" w:hint="default"/>
                <w:sz w:val="18"/>
                <w:szCs w:val="18"/>
              </w:rPr>
              <w:t>量控制模块</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2009 2</w:t>
            </w:r>
            <w:r>
              <w:rPr>
                <w:rFonts w:ascii="Times New Roman"/>
                <w:spacing w:val="-3"/>
                <w:sz w:val="18"/>
              </w:rPr>
              <w:t> </w:t>
            </w:r>
            <w:r>
              <w:rPr>
                <w:rFonts w:ascii="Times New Roman"/>
                <w:sz w:val="18"/>
              </w:rPr>
              <w:t>0091838.0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2009.7.22</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7"/>
                <w:sz w:val="18"/>
                <w:szCs w:val="18"/>
              </w:rPr>
              <w:t>具有防雷击浪涌功能的电能计量 </w:t>
            </w:r>
            <w:r>
              <w:rPr>
                <w:rFonts w:ascii="宋体" w:hAnsi="宋体" w:cs="宋体" w:eastAsia="宋体" w:hint="default"/>
                <w:sz w:val="18"/>
                <w:szCs w:val="18"/>
              </w:rPr>
              <w:t>控制模块</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2009 2</w:t>
            </w:r>
            <w:r>
              <w:rPr>
                <w:rFonts w:ascii="Times New Roman"/>
                <w:spacing w:val="-3"/>
                <w:sz w:val="18"/>
              </w:rPr>
              <w:t> </w:t>
            </w:r>
            <w:r>
              <w:rPr>
                <w:rFonts w:ascii="Times New Roman"/>
                <w:sz w:val="18"/>
              </w:rPr>
              <w:t>0091839.5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2009.7.22</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超高频无源标签读写器</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0275486.7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超高频无源标签读写器</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0275487.1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6"/>
              <w:jc w:val="left"/>
              <w:rPr>
                <w:rFonts w:ascii="宋体" w:hAnsi="宋体" w:cs="宋体" w:eastAsia="宋体" w:hint="default"/>
                <w:sz w:val="18"/>
                <w:szCs w:val="18"/>
              </w:rPr>
            </w:pPr>
            <w:r>
              <w:rPr>
                <w:rFonts w:ascii="宋体" w:hAnsi="宋体" w:cs="宋体" w:eastAsia="宋体" w:hint="default"/>
                <w:spacing w:val="5"/>
                <w:sz w:val="18"/>
                <w:szCs w:val="18"/>
              </w:rPr>
              <w:t>基于</w:t>
            </w:r>
            <w:r>
              <w:rPr>
                <w:rFonts w:ascii="Times New Roman" w:hAnsi="Times New Roman" w:cs="Times New Roman" w:eastAsia="Times New Roman" w:hint="default"/>
                <w:spacing w:val="5"/>
                <w:sz w:val="18"/>
                <w:szCs w:val="18"/>
              </w:rPr>
              <w:t>FRAM</w:t>
            </w:r>
            <w:r>
              <w:rPr>
                <w:rFonts w:ascii="宋体" w:hAnsi="宋体" w:cs="宋体" w:eastAsia="宋体" w:hint="default"/>
                <w:spacing w:val="5"/>
                <w:sz w:val="18"/>
                <w:szCs w:val="18"/>
              </w:rPr>
              <w:t>和</w:t>
            </w:r>
            <w:r>
              <w:rPr>
                <w:rFonts w:ascii="Times New Roman" w:hAnsi="Times New Roman" w:cs="Times New Roman" w:eastAsia="Times New Roman" w:hint="default"/>
                <w:spacing w:val="5"/>
                <w:sz w:val="18"/>
                <w:szCs w:val="18"/>
              </w:rPr>
              <w:t>Flash</w:t>
            </w:r>
            <w:r>
              <w:rPr>
                <w:rFonts w:ascii="宋体" w:hAnsi="宋体" w:cs="宋体" w:eastAsia="宋体" w:hint="default"/>
                <w:spacing w:val="5"/>
                <w:sz w:val="18"/>
                <w:szCs w:val="18"/>
              </w:rPr>
              <w:t>的文件系统管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理模块</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0275479.7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单相电子式预付费双控电能表</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0275476.3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多通道流量采集水表系统</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0275478.2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7"/>
                <w:sz w:val="18"/>
                <w:szCs w:val="18"/>
              </w:rPr>
              <w:t>基于时间槽的半双工通信通信模 </w:t>
            </w:r>
            <w:r>
              <w:rPr>
                <w:rFonts w:ascii="宋体" w:hAnsi="宋体" w:cs="宋体" w:eastAsia="宋体" w:hint="default"/>
                <w:sz w:val="18"/>
                <w:szCs w:val="18"/>
              </w:rPr>
              <w:t>块</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0280275.2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15</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水控器</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0280291.1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水控器防水机壳</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0275477.8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计流水控器</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2010 2</w:t>
            </w:r>
            <w:r>
              <w:rPr>
                <w:rFonts w:ascii="Times New Roman"/>
                <w:spacing w:val="-3"/>
                <w:sz w:val="18"/>
              </w:rPr>
              <w:t> </w:t>
            </w:r>
            <w:r>
              <w:rPr>
                <w:rFonts w:ascii="Times New Roman"/>
                <w:sz w:val="18"/>
              </w:rPr>
              <w:t>0280295.X</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无障碍通道机（</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2010 3</w:t>
            </w:r>
            <w:r>
              <w:rPr>
                <w:rFonts w:ascii="Times New Roman"/>
                <w:spacing w:val="-3"/>
                <w:sz w:val="18"/>
              </w:rPr>
              <w:t> </w:t>
            </w:r>
            <w:r>
              <w:rPr>
                <w:rFonts w:ascii="Times New Roman"/>
                <w:sz w:val="18"/>
              </w:rPr>
              <w:t>0258430.6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无障碍通道机（</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 2010 3</w:t>
            </w:r>
            <w:r>
              <w:rPr>
                <w:rFonts w:ascii="Times New Roman"/>
                <w:spacing w:val="-3"/>
                <w:sz w:val="18"/>
              </w:rPr>
              <w:t> </w:t>
            </w:r>
            <w:r>
              <w:rPr>
                <w:rFonts w:ascii="Times New Roman"/>
                <w:sz w:val="18"/>
              </w:rPr>
              <w:t>0258405.8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2010.7.29</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7"/>
                <w:sz w:val="18"/>
                <w:szCs w:val="18"/>
              </w:rPr>
              <w:t>瞬时电流相位纯电阻负载识别控 </w:t>
            </w:r>
            <w:r>
              <w:rPr>
                <w:rFonts w:ascii="宋体" w:hAnsi="宋体" w:cs="宋体" w:eastAsia="宋体" w:hint="default"/>
                <w:sz w:val="18"/>
                <w:szCs w:val="18"/>
              </w:rPr>
              <w:t>制器装置</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2005 2</w:t>
            </w:r>
            <w:r>
              <w:rPr>
                <w:rFonts w:ascii="Times New Roman"/>
                <w:spacing w:val="-3"/>
                <w:sz w:val="18"/>
              </w:rPr>
              <w:t> </w:t>
            </w:r>
            <w:r>
              <w:rPr>
                <w:rFonts w:ascii="Times New Roman"/>
                <w:sz w:val="18"/>
              </w:rPr>
              <w:t>0032525.X</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2005.11.3</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21</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一控四门禁控制器</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201120027892.6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2011.1.27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640"/>
        <w:gridCol w:w="2636"/>
        <w:gridCol w:w="1926"/>
        <w:gridCol w:w="1080"/>
        <w:gridCol w:w="1080"/>
        <w:gridCol w:w="1296"/>
      </w:tblGrid>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智能卡</w:t>
            </w:r>
            <w:r>
              <w:rPr>
                <w:rFonts w:ascii="Times New Roman" w:hAnsi="Times New Roman" w:cs="Times New Roman" w:eastAsia="Times New Roman" w:hint="default"/>
                <w:sz w:val="18"/>
                <w:szCs w:val="18"/>
              </w:rPr>
              <w:t>-</w:t>
            </w:r>
            <w:r>
              <w:rPr>
                <w:rFonts w:ascii="宋体" w:hAnsi="宋体" w:cs="宋体" w:eastAsia="宋体" w:hint="default"/>
                <w:sz w:val="18"/>
                <w:szCs w:val="18"/>
              </w:rPr>
              <w:t>语音</w:t>
            </w:r>
            <w:r>
              <w:rPr>
                <w:rFonts w:ascii="Times New Roman" w:hAnsi="Times New Roman" w:cs="Times New Roman" w:eastAsia="Times New Roman" w:hint="default"/>
                <w:sz w:val="18"/>
                <w:szCs w:val="18"/>
              </w:rPr>
              <w:t>-</w:t>
            </w:r>
            <w:r>
              <w:rPr>
                <w:rFonts w:ascii="宋体" w:hAnsi="宋体" w:cs="宋体" w:eastAsia="宋体" w:hint="default"/>
                <w:sz w:val="18"/>
                <w:szCs w:val="18"/>
              </w:rPr>
              <w:t>指纹考勤机</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201120027894.5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2011.1.27</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5"/>
              <w:jc w:val="left"/>
              <w:rPr>
                <w:rFonts w:ascii="宋体" w:hAnsi="宋体" w:cs="宋体" w:eastAsia="宋体" w:hint="default"/>
                <w:sz w:val="18"/>
                <w:szCs w:val="18"/>
              </w:rPr>
            </w:pPr>
            <w:r>
              <w:rPr>
                <w:rFonts w:ascii="宋体" w:hAnsi="宋体" w:cs="宋体" w:eastAsia="宋体" w:hint="default"/>
                <w:spacing w:val="7"/>
                <w:sz w:val="18"/>
                <w:szCs w:val="18"/>
              </w:rPr>
              <w:t>带有授权名单完整控制器功能的</w:t>
            </w:r>
            <w:r>
              <w:rPr>
                <w:rFonts w:ascii="宋体" w:hAnsi="宋体" w:cs="宋体" w:eastAsia="宋体" w:hint="default"/>
                <w:sz w:val="18"/>
                <w:szCs w:val="18"/>
              </w:rPr>
            </w:r>
          </w:p>
          <w:p>
            <w:pPr>
              <w:pStyle w:val="TableParagraph"/>
              <w:spacing w:line="240" w:lineRule="auto" w:before="7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UHF</w:t>
            </w:r>
            <w:r>
              <w:rPr>
                <w:rFonts w:ascii="宋体" w:hAnsi="宋体" w:cs="宋体" w:eastAsia="宋体" w:hint="default"/>
                <w:sz w:val="18"/>
                <w:szCs w:val="18"/>
              </w:rPr>
              <w:t>远距离读写器</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201120027893.0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2011.1.27</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超高频无源标签读写器</w:t>
            </w:r>
            <w:r>
              <w:rPr>
                <w:rFonts w:ascii="Times New Roman" w:hAnsi="Times New Roman" w:cs="Times New Roman" w:eastAsia="Times New Roman" w:hint="default"/>
                <w:sz w:val="18"/>
                <w:szCs w:val="18"/>
              </w:rPr>
              <w:t>600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201120027895.x</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2011.1.27</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Times New Roman" w:hAnsi="Times New Roman" w:cs="Times New Roman" w:eastAsia="Times New Roman" w:hint="default"/>
                <w:sz w:val="18"/>
                <w:szCs w:val="18"/>
              </w:rPr>
              <w:t>POS</w:t>
            </w:r>
            <w:r>
              <w:rPr>
                <w:rFonts w:ascii="宋体" w:hAnsi="宋体" w:cs="宋体" w:eastAsia="宋体" w:hint="default"/>
                <w:sz w:val="18"/>
                <w:szCs w:val="18"/>
              </w:rPr>
              <w:t>终端</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201130095305.2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2011.4.28</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26</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智能卡支付终端</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201130095303.3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2011.4.28</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门禁读头（</w:t>
            </w:r>
            <w:r>
              <w:rPr>
                <w:rFonts w:ascii="Times New Roman" w:hAnsi="Times New Roman" w:cs="Times New Roman" w:eastAsia="Times New Roman" w:hint="default"/>
                <w:sz w:val="18"/>
                <w:szCs w:val="18"/>
              </w:rPr>
              <w:t>F931</w:t>
            </w:r>
            <w:r>
              <w:rPr>
                <w:rFonts w:ascii="宋体" w:hAnsi="宋体" w:cs="宋体" w:eastAsia="宋体" w:hint="default"/>
                <w:sz w:val="18"/>
                <w:szCs w:val="18"/>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201130356553.8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2011.10.10</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门禁读头（</w:t>
            </w:r>
            <w:r>
              <w:rPr>
                <w:rFonts w:ascii="Times New Roman" w:hAnsi="Times New Roman" w:cs="Times New Roman" w:eastAsia="Times New Roman" w:hint="default"/>
                <w:sz w:val="18"/>
                <w:szCs w:val="18"/>
              </w:rPr>
              <w:t>F901</w:t>
            </w:r>
            <w:r>
              <w:rPr>
                <w:rFonts w:ascii="宋体" w:hAnsi="宋体" w:cs="宋体" w:eastAsia="宋体" w:hint="default"/>
                <w:sz w:val="18"/>
                <w:szCs w:val="18"/>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201130356546.8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2011.10.10</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门禁读头（</w:t>
            </w:r>
            <w:r>
              <w:rPr>
                <w:rFonts w:ascii="Times New Roman" w:hAnsi="Times New Roman" w:cs="Times New Roman" w:eastAsia="Times New Roman" w:hint="default"/>
                <w:sz w:val="18"/>
                <w:szCs w:val="18"/>
              </w:rPr>
              <w:t>F921</w:t>
            </w:r>
            <w:r>
              <w:rPr>
                <w:rFonts w:ascii="宋体" w:hAnsi="宋体" w:cs="宋体" w:eastAsia="宋体" w:hint="default"/>
                <w:sz w:val="18"/>
                <w:szCs w:val="18"/>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201130356555.7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2011.10.10</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智能读卡器（</w:t>
            </w:r>
            <w:r>
              <w:rPr>
                <w:rFonts w:ascii="Times New Roman" w:hAnsi="Times New Roman" w:cs="Times New Roman" w:eastAsia="Times New Roman" w:hint="default"/>
                <w:sz w:val="18"/>
                <w:szCs w:val="18"/>
              </w:rPr>
              <w:t>E701</w:t>
            </w:r>
            <w:r>
              <w:rPr>
                <w:rFonts w:ascii="宋体" w:hAnsi="宋体" w:cs="宋体" w:eastAsia="宋体" w:hint="default"/>
                <w:sz w:val="18"/>
                <w:szCs w:val="18"/>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201130356543.4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2011.10.10</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智能读卡器（</w:t>
            </w:r>
            <w:r>
              <w:rPr>
                <w:rFonts w:ascii="Times New Roman" w:hAnsi="Times New Roman" w:cs="Times New Roman" w:eastAsia="Times New Roman" w:hint="default"/>
                <w:sz w:val="18"/>
                <w:szCs w:val="18"/>
              </w:rPr>
              <w:t>E711</w:t>
            </w:r>
            <w:r>
              <w:rPr>
                <w:rFonts w:ascii="宋体" w:hAnsi="宋体" w:cs="宋体" w:eastAsia="宋体" w:hint="default"/>
                <w:sz w:val="18"/>
                <w:szCs w:val="18"/>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201130356534.5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2011.10.10</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32</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考勤机（</w:t>
            </w:r>
            <w:r>
              <w:rPr>
                <w:rFonts w:ascii="Times New Roman" w:hAnsi="Times New Roman" w:cs="Times New Roman" w:eastAsia="Times New Roman" w:hint="default"/>
                <w:sz w:val="18"/>
                <w:szCs w:val="18"/>
              </w:rPr>
              <w:t>C901</w:t>
            </w:r>
            <w:r>
              <w:rPr>
                <w:rFonts w:ascii="宋体" w:hAnsi="宋体" w:cs="宋体" w:eastAsia="宋体" w:hint="default"/>
                <w:sz w:val="18"/>
                <w:szCs w:val="18"/>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201130494580.1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2011.12.22</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出租车智能支付终端</w:t>
            </w:r>
            <w:r>
              <w:rPr>
                <w:rFonts w:ascii="Times New Roman" w:hAnsi="Times New Roman" w:cs="Times New Roman" w:eastAsia="Times New Roman" w:hint="default"/>
                <w:sz w:val="18"/>
                <w:szCs w:val="18"/>
              </w:rPr>
              <w:t>B301</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2012304731050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智能卡支付终端</w:t>
            </w:r>
            <w:r>
              <w:rPr>
                <w:rFonts w:ascii="Times New Roman" w:hAnsi="Times New Roman" w:cs="Times New Roman" w:eastAsia="Times New Roman" w:hint="default"/>
                <w:sz w:val="18"/>
                <w:szCs w:val="18"/>
              </w:rPr>
              <w:t>A701</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2012304728490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卡水表的非接触防水按键</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201220507364.5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2012.9.29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圈存机</w:t>
            </w:r>
            <w:r>
              <w:rPr>
                <w:rFonts w:ascii="Times New Roman" w:hAnsi="Times New Roman" w:cs="Times New Roman" w:eastAsia="Times New Roman" w:hint="default"/>
                <w:sz w:val="18"/>
                <w:szCs w:val="18"/>
              </w:rPr>
              <w:t>K701</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ZL201230472762.3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2012.9.9</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塑胶铅封扣</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201320066524.1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2013.2.6</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38</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A303</w:t>
            </w:r>
            <w:r>
              <w:rPr>
                <w:rFonts w:ascii="宋体" w:hAnsi="宋体" w:cs="宋体" w:eastAsia="宋体" w:hint="default"/>
                <w:sz w:val="18"/>
                <w:szCs w:val="18"/>
              </w:rPr>
              <w:t>智能卡支付终端</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201330633545.2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2013.12.19</w:t>
            </w:r>
          </w:p>
        </w:tc>
      </w:tr>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B502</w:t>
            </w:r>
            <w:r>
              <w:rPr>
                <w:rFonts w:ascii="宋体" w:hAnsi="宋体" w:cs="宋体" w:eastAsia="宋体" w:hint="default"/>
                <w:sz w:val="18"/>
                <w:szCs w:val="18"/>
              </w:rPr>
              <w:t>智能卡车载机</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201330633940.0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2013.12.19</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18"/>
                <w:sz w:val="18"/>
                <w:szCs w:val="18"/>
              </w:rPr>
              <w:t>一种非接触卡</w:t>
            </w:r>
            <w:r>
              <w:rPr>
                <w:rFonts w:ascii="宋体" w:hAnsi="宋体" w:cs="宋体" w:eastAsia="宋体" w:hint="default"/>
                <w:spacing w:val="-65"/>
                <w:sz w:val="18"/>
                <w:szCs w:val="18"/>
              </w:rPr>
              <w:t> </w:t>
            </w:r>
            <w:r>
              <w:rPr>
                <w:rFonts w:ascii="宋体" w:hAnsi="宋体" w:cs="宋体" w:eastAsia="宋体" w:hint="default"/>
                <w:spacing w:val="18"/>
                <w:sz w:val="18"/>
                <w:szCs w:val="18"/>
              </w:rPr>
              <w:t>天线式手持金</w:t>
            </w:r>
            <w:r>
              <w:rPr>
                <w:rFonts w:ascii="宋体" w:hAnsi="宋体" w:cs="宋体" w:eastAsia="宋体" w:hint="default"/>
                <w:spacing w:val="-65"/>
                <w:sz w:val="18"/>
                <w:szCs w:val="18"/>
              </w:rPr>
              <w:t> </w:t>
            </w:r>
            <w:r>
              <w:rPr>
                <w:rFonts w:ascii="宋体" w:hAnsi="宋体" w:cs="宋体" w:eastAsia="宋体" w:hint="default"/>
                <w:sz w:val="18"/>
                <w:szCs w:val="18"/>
              </w:rPr>
              <w:t>融</w:t>
            </w:r>
          </w:p>
          <w:p>
            <w:pPr>
              <w:pStyle w:val="TableParagraph"/>
              <w:spacing w:line="240" w:lineRule="auto" w:before="7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宋体" w:hAnsi="宋体" w:cs="宋体" w:eastAsia="宋体" w:hint="default"/>
                <w:sz w:val="18"/>
                <w:szCs w:val="18"/>
              </w:rPr>
              <w:t>机</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201420110580.5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2014.3.12</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A801</w:t>
            </w:r>
            <w:r>
              <w:rPr>
                <w:rFonts w:ascii="宋体" w:hAnsi="宋体" w:cs="宋体" w:eastAsia="宋体" w:hint="default"/>
                <w:sz w:val="18"/>
                <w:szCs w:val="18"/>
              </w:rPr>
              <w:t>智能卡支付终端</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201330633939.8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2013.12.19</w:t>
            </w:r>
          </w:p>
        </w:tc>
      </w:tr>
    </w:tbl>
    <w:p>
      <w:pPr>
        <w:spacing w:line="240" w:lineRule="auto" w:before="4"/>
        <w:rPr>
          <w:rFonts w:ascii="宋体" w:hAnsi="宋体" w:cs="宋体" w:eastAsia="宋体" w:hint="default"/>
          <w:sz w:val="11"/>
          <w:szCs w:val="11"/>
        </w:rPr>
      </w:pPr>
    </w:p>
    <w:p>
      <w:pPr>
        <w:pStyle w:val="BodyText"/>
        <w:spacing w:line="408" w:lineRule="auto" w:before="35"/>
        <w:ind w:left="573" w:right="2536"/>
        <w:jc w:val="left"/>
      </w:pPr>
      <w:r>
        <w:rPr/>
        <w:t>③软件著作权 截至本年度报告披露之日，公司目前拥有</w:t>
      </w:r>
      <w:r>
        <w:rPr>
          <w:rFonts w:ascii="Times New Roman" w:hAnsi="Times New Roman" w:cs="Times New Roman" w:eastAsia="Times New Roman" w:hint="default"/>
        </w:rPr>
        <w:t>104</w:t>
      </w:r>
      <w:r>
        <w:rPr/>
        <w:t>项软件著作权，具体情况如下：</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40"/>
        <w:gridCol w:w="2778"/>
        <w:gridCol w:w="1134"/>
        <w:gridCol w:w="1296"/>
        <w:gridCol w:w="1116"/>
        <w:gridCol w:w="1132"/>
        <w:gridCol w:w="1784"/>
      </w:tblGrid>
      <w:tr>
        <w:trPr>
          <w:trHeight w:val="698" w:hRule="exact"/>
        </w:trPr>
        <w:tc>
          <w:tcPr>
            <w:tcW w:w="6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b/>
                <w:bCs/>
                <w:sz w:val="18"/>
                <w:szCs w:val="18"/>
              </w:rPr>
              <w:t>软件著作权名称</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登记证书号</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1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1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5"/>
              <w:jc w:val="left"/>
              <w:rPr>
                <w:rFonts w:ascii="宋体" w:hAnsi="宋体" w:cs="宋体" w:eastAsia="宋体" w:hint="default"/>
                <w:sz w:val="18"/>
                <w:szCs w:val="18"/>
              </w:rPr>
            </w:pPr>
            <w:r>
              <w:rPr>
                <w:rFonts w:ascii="宋体" w:hAnsi="宋体" w:cs="宋体" w:eastAsia="宋体" w:hint="default"/>
                <w:spacing w:val="16"/>
                <w:sz w:val="18"/>
                <w:szCs w:val="18"/>
              </w:rPr>
              <w:t>射频智能卡网络版考勤管理系统</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V2000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0009729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2001SR2796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射频智能卡网络版预付费收费集成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管理系统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V2000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0009739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2001SR2806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新开普一卡通管理系统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073853</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2007SR07858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5"/>
              <w:jc w:val="left"/>
              <w:rPr>
                <w:rFonts w:ascii="宋体" w:hAnsi="宋体" w:cs="宋体" w:eastAsia="宋体" w:hint="default"/>
                <w:sz w:val="18"/>
                <w:szCs w:val="18"/>
              </w:rPr>
            </w:pPr>
            <w:r>
              <w:rPr>
                <w:rFonts w:ascii="宋体" w:hAnsi="宋体" w:cs="宋体" w:eastAsia="宋体" w:hint="default"/>
                <w:spacing w:val="16"/>
                <w:sz w:val="18"/>
                <w:szCs w:val="18"/>
              </w:rPr>
              <w:t>新开普智能卡综合信息管理系统</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2007SR07855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新开普用电计量单元嵌入式程序</w:t>
            </w:r>
            <w:r>
              <w:rPr>
                <w:rFonts w:ascii="Times New Roman" w:hAnsi="Times New Roman" w:cs="Times New Roman" w:eastAsia="Times New Roman" w:hint="default"/>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2009SR014776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新开普洗衣机控制器嵌入式程序</w:t>
            </w:r>
            <w:r>
              <w:rPr>
                <w:rFonts w:ascii="Times New Roman" w:hAnsi="Times New Roman" w:cs="Times New Roman" w:eastAsia="Times New Roman" w:hint="default"/>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2009SR014778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新开普预付费电表嵌入式程序</w:t>
            </w:r>
            <w:r>
              <w:rPr>
                <w:rFonts w:ascii="Times New Roman" w:hAnsi="Times New Roman" w:cs="Times New Roman" w:eastAsia="Times New Roman" w:hint="default"/>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2009SR014779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7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640"/>
        <w:gridCol w:w="2778"/>
        <w:gridCol w:w="1134"/>
        <w:gridCol w:w="1296"/>
        <w:gridCol w:w="1116"/>
        <w:gridCol w:w="1132"/>
        <w:gridCol w:w="1784"/>
      </w:tblGrid>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新开普预付费水表嵌入式程序</w:t>
            </w:r>
            <w:r>
              <w:rPr>
                <w:rFonts w:ascii="Times New Roman" w:hAnsi="Times New Roman" w:cs="Times New Roman" w:eastAsia="Times New Roman" w:hint="default"/>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2009SR014780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新开普水控器嵌入式程序</w:t>
            </w:r>
            <w:r>
              <w:rPr>
                <w:rFonts w:ascii="Times New Roman" w:hAnsi="Times New Roman" w:cs="Times New Roman" w:eastAsia="Times New Roman" w:hint="default"/>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0141781</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2009SR014781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新开普洗衣机嵌入式程序</w:t>
            </w:r>
            <w:r>
              <w:rPr>
                <w:rFonts w:ascii="Times New Roman" w:hAnsi="Times New Roman" w:cs="Times New Roman" w:eastAsia="Times New Roman" w:hint="default"/>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2009SR014782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新开普考勤机嵌入式程序</w:t>
            </w:r>
            <w:r>
              <w:rPr>
                <w:rFonts w:ascii="Times New Roman" w:hAnsi="Times New Roman" w:cs="Times New Roman" w:eastAsia="Times New Roman" w:hint="default"/>
                <w:sz w:val="18"/>
                <w:szCs w:val="18"/>
              </w:rPr>
              <w:t>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0141783</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2009SR014783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新开普圈存机嵌入式程序</w:t>
            </w:r>
            <w:r>
              <w:rPr>
                <w:rFonts w:ascii="Times New Roman" w:hAnsi="Times New Roman" w:cs="Times New Roman" w:eastAsia="Times New Roman" w:hint="default"/>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2009SR014784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新开普无障碍通道机嵌入式程序</w:t>
            </w:r>
            <w:r>
              <w:rPr>
                <w:rFonts w:ascii="Times New Roman" w:hAnsi="Times New Roman" w:cs="Times New Roman" w:eastAsia="Times New Roman" w:hint="default"/>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0141785</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2009SR014785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新开普电控管理机嵌入式程序</w:t>
            </w:r>
            <w:r>
              <w:rPr>
                <w:rFonts w:ascii="Times New Roman" w:hAnsi="Times New Roman" w:cs="Times New Roman" w:eastAsia="Times New Roman" w:hint="default"/>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2009SR014786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新开普门禁控制器嵌入式程序</w:t>
            </w:r>
            <w:r>
              <w:rPr>
                <w:rFonts w:ascii="Times New Roman" w:hAnsi="Times New Roman" w:cs="Times New Roman" w:eastAsia="Times New Roman" w:hint="default"/>
                <w:sz w:val="18"/>
                <w:szCs w:val="18"/>
              </w:rPr>
              <w:t>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0141787</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2009SR014787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新开普射频卡读写器（发卡器）嵌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入式程序</w:t>
            </w:r>
            <w:r>
              <w:rPr>
                <w:rFonts w:ascii="Times New Roman" w:hAnsi="Times New Roman" w:cs="Times New Roman" w:eastAsia="Times New Roman" w:hint="default"/>
                <w:sz w:val="18"/>
                <w:szCs w:val="18"/>
              </w:rPr>
              <w:t>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0141790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2009SR014790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新开普射频卡计费终端（营业机）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嵌入式程序</w:t>
            </w:r>
            <w:r>
              <w:rPr>
                <w:rFonts w:ascii="Times New Roman" w:hAnsi="Times New Roman" w:cs="Times New Roman" w:eastAsia="Times New Roman" w:hint="default"/>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0141795</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2009SR014795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正普银校通自助服务终端软件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2010SR068241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正普数据交换中心平台</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2010SR068243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正普统一身份认证平台</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0256536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2010SR068263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正普统一信息门户平台</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2010SR068245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正普智能卡车载嵌入式程序</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0256534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2010SR068261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ARM</w:t>
            </w:r>
            <w:r>
              <w:rPr>
                <w:rFonts w:ascii="宋体" w:hAnsi="宋体" w:cs="宋体" w:eastAsia="宋体" w:hint="default"/>
                <w:sz w:val="18"/>
                <w:szCs w:val="18"/>
              </w:rPr>
              <w:t>台式机嵌入式程序</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0256814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2010SR068541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正普基于</w:t>
            </w:r>
            <w:r>
              <w:rPr>
                <w:rFonts w:ascii="Times New Roman" w:hAnsi="Times New Roman" w:cs="Times New Roman" w:eastAsia="Times New Roman" w:hint="default"/>
                <w:sz w:val="18"/>
                <w:szCs w:val="18"/>
              </w:rPr>
              <w:t>ARM</w:t>
            </w:r>
            <w:r>
              <w:rPr>
                <w:rFonts w:ascii="宋体" w:hAnsi="宋体" w:cs="宋体" w:eastAsia="宋体" w:hint="default"/>
                <w:sz w:val="18"/>
                <w:szCs w:val="18"/>
              </w:rPr>
              <w:t>的嵌入式城市消费终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端软件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0256836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2010SR068563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89"/>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正普汉显门禁读头嵌入式程序</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0256816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2010SR068543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正普手持机嵌入式程序</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0256818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2010SR068545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正普指纹手持机嵌入式程序</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0256728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2010SR068455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正普短信运维平台</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2010SR068547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7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640"/>
        <w:gridCol w:w="2778"/>
        <w:gridCol w:w="1134"/>
        <w:gridCol w:w="1296"/>
        <w:gridCol w:w="1116"/>
        <w:gridCol w:w="1132"/>
        <w:gridCol w:w="1784"/>
      </w:tblGrid>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0256820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正普智能卡门禁管理系统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0256822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2010SR068549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正普智能卡密钥管理系统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0256823</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2010SR068550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正普电信支付管理系统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0256729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2010SR068456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正普移动支付管理系统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0256869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2010SR068596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5"/>
              <w:jc w:val="left"/>
              <w:rPr>
                <w:rFonts w:ascii="宋体" w:hAnsi="宋体" w:cs="宋体" w:eastAsia="宋体" w:hint="default"/>
                <w:sz w:val="18"/>
                <w:szCs w:val="18"/>
              </w:rPr>
            </w:pPr>
            <w:r>
              <w:rPr>
                <w:rFonts w:ascii="宋体" w:hAnsi="宋体" w:cs="宋体" w:eastAsia="宋体" w:hint="default"/>
                <w:spacing w:val="15"/>
                <w:sz w:val="18"/>
                <w:szCs w:val="18"/>
              </w:rPr>
              <w:t>正普智能</w:t>
            </w:r>
            <w:r>
              <w:rPr>
                <w:rFonts w:ascii="Times New Roman" w:hAnsi="Times New Roman" w:cs="Times New Roman" w:eastAsia="Times New Roman" w:hint="default"/>
                <w:spacing w:val="15"/>
                <w:sz w:val="18"/>
                <w:szCs w:val="18"/>
              </w:rPr>
              <w:t>IC</w:t>
            </w:r>
            <w:r>
              <w:rPr>
                <w:rFonts w:ascii="宋体" w:hAnsi="宋体" w:cs="宋体" w:eastAsia="宋体" w:hint="default"/>
                <w:spacing w:val="15"/>
                <w:sz w:val="18"/>
                <w:szCs w:val="18"/>
              </w:rPr>
              <w:t>卡公共交通管理系统</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0256870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2010SR068597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正普城市小额消费统一结算支付平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0256872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2010SR068599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正普企业一卡通管理系统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2011SR005766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正普无障碍通道管理系统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0269441</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2011SR005767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正普数字迎新管理系统</w:t>
            </w:r>
            <w:r>
              <w:rPr>
                <w:rFonts w:ascii="Times New Roman" w:hAnsi="Times New Roman" w:cs="Times New Roman" w:eastAsia="Times New Roman" w:hint="default"/>
                <w:sz w:val="18"/>
                <w:szCs w:val="18"/>
              </w:rPr>
              <w:t>V</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0269434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2011SR005760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正普电子离校管理系统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0269436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2011SR005762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正普增值服务综合管理系统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2011SR005772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WAP</w:t>
            </w:r>
            <w:r>
              <w:rPr>
                <w:rFonts w:ascii="宋体" w:hAnsi="宋体" w:cs="宋体" w:eastAsia="宋体" w:hint="default"/>
                <w:sz w:val="18"/>
                <w:szCs w:val="18"/>
              </w:rPr>
              <w:t>门户系统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2011SR005775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51"/>
              <w:jc w:val="left"/>
              <w:rPr>
                <w:rFonts w:ascii="宋体" w:hAnsi="宋体" w:cs="宋体" w:eastAsia="宋体" w:hint="default"/>
                <w:sz w:val="18"/>
                <w:szCs w:val="18"/>
              </w:rPr>
            </w:pPr>
            <w:r>
              <w:rPr>
                <w:rFonts w:ascii="宋体" w:hAnsi="宋体" w:cs="宋体" w:eastAsia="宋体" w:hint="default"/>
                <w:spacing w:val="43"/>
                <w:sz w:val="18"/>
                <w:szCs w:val="18"/>
              </w:rPr>
              <w:t>正普双频收</w:t>
            </w:r>
            <w:r>
              <w:rPr>
                <w:rFonts w:ascii="宋体" w:hAnsi="宋体" w:cs="宋体" w:eastAsia="宋体" w:hint="default"/>
                <w:spacing w:val="-35"/>
                <w:sz w:val="18"/>
                <w:szCs w:val="18"/>
              </w:rPr>
              <w:t> </w:t>
            </w:r>
            <w:r>
              <w:rPr>
                <w:rFonts w:ascii="宋体" w:hAnsi="宋体" w:cs="宋体" w:eastAsia="宋体" w:hint="default"/>
                <w:spacing w:val="43"/>
                <w:sz w:val="18"/>
                <w:szCs w:val="18"/>
              </w:rPr>
              <w:t>费机嵌入式</w:t>
            </w:r>
            <w:r>
              <w:rPr>
                <w:rFonts w:ascii="宋体" w:hAnsi="宋体" w:cs="宋体" w:eastAsia="宋体" w:hint="default"/>
                <w:spacing w:val="-35"/>
                <w:sz w:val="18"/>
                <w:szCs w:val="18"/>
              </w:rPr>
              <w:t> </w:t>
            </w:r>
            <w:r>
              <w:rPr>
                <w:rFonts w:ascii="宋体" w:hAnsi="宋体" w:cs="宋体" w:eastAsia="宋体" w:hint="default"/>
                <w:spacing w:val="27"/>
                <w:sz w:val="18"/>
                <w:szCs w:val="18"/>
              </w:rPr>
              <w:t>程序</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(ECARD-M)V1.0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2011SR005774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51"/>
              <w:jc w:val="left"/>
              <w:rPr>
                <w:rFonts w:ascii="宋体" w:hAnsi="宋体" w:cs="宋体" w:eastAsia="宋体" w:hint="default"/>
                <w:sz w:val="18"/>
                <w:szCs w:val="18"/>
              </w:rPr>
            </w:pPr>
            <w:r>
              <w:rPr>
                <w:rFonts w:ascii="宋体" w:hAnsi="宋体" w:cs="宋体" w:eastAsia="宋体" w:hint="default"/>
                <w:spacing w:val="43"/>
                <w:sz w:val="18"/>
                <w:szCs w:val="18"/>
              </w:rPr>
              <w:t>正普双频充</w:t>
            </w:r>
            <w:r>
              <w:rPr>
                <w:rFonts w:ascii="宋体" w:hAnsi="宋体" w:cs="宋体" w:eastAsia="宋体" w:hint="default"/>
                <w:spacing w:val="-35"/>
                <w:sz w:val="18"/>
                <w:szCs w:val="18"/>
              </w:rPr>
              <w:t> </w:t>
            </w:r>
            <w:r>
              <w:rPr>
                <w:rFonts w:ascii="宋体" w:hAnsi="宋体" w:cs="宋体" w:eastAsia="宋体" w:hint="default"/>
                <w:spacing w:val="43"/>
                <w:sz w:val="18"/>
                <w:szCs w:val="18"/>
              </w:rPr>
              <w:t>值机嵌入式</w:t>
            </w:r>
            <w:r>
              <w:rPr>
                <w:rFonts w:ascii="宋体" w:hAnsi="宋体" w:cs="宋体" w:eastAsia="宋体" w:hint="default"/>
                <w:spacing w:val="-35"/>
                <w:sz w:val="18"/>
                <w:szCs w:val="18"/>
              </w:rPr>
              <w:t> </w:t>
            </w:r>
            <w:r>
              <w:rPr>
                <w:rFonts w:ascii="宋体" w:hAnsi="宋体" w:cs="宋体" w:eastAsia="宋体" w:hint="default"/>
                <w:spacing w:val="27"/>
                <w:sz w:val="18"/>
                <w:szCs w:val="18"/>
              </w:rPr>
              <w:t>程序</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(ECARD-T)V1.0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0269435</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2011SR005761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7"/>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正普双频</w:t>
            </w:r>
            <w:r>
              <w:rPr>
                <w:rFonts w:ascii="Times New Roman" w:hAnsi="Times New Roman" w:cs="Times New Roman" w:eastAsia="Times New Roman" w:hint="default"/>
                <w:spacing w:val="5"/>
                <w:sz w:val="18"/>
                <w:szCs w:val="18"/>
              </w:rPr>
              <w:t>CDMA</w:t>
            </w:r>
            <w:r>
              <w:rPr>
                <w:rFonts w:ascii="宋体" w:hAnsi="宋体" w:cs="宋体" w:eastAsia="宋体" w:hint="default"/>
                <w:spacing w:val="5"/>
                <w:sz w:val="18"/>
                <w:szCs w:val="18"/>
              </w:rPr>
              <w:t>车载</w:t>
            </w:r>
            <w:r>
              <w:rPr>
                <w:rFonts w:ascii="Times New Roman" w:hAnsi="Times New Roman" w:cs="Times New Roman" w:eastAsia="Times New Roman" w:hint="default"/>
                <w:spacing w:val="5"/>
                <w:sz w:val="18"/>
                <w:szCs w:val="18"/>
              </w:rPr>
              <w:t>POS</w:t>
            </w:r>
            <w:r>
              <w:rPr>
                <w:rFonts w:ascii="宋体" w:hAnsi="宋体" w:cs="宋体" w:eastAsia="宋体" w:hint="default"/>
                <w:spacing w:val="5"/>
                <w:sz w:val="18"/>
                <w:szCs w:val="18"/>
              </w:rPr>
              <w:t>嵌入式程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序</w:t>
            </w:r>
            <w:r>
              <w:rPr>
                <w:rFonts w:ascii="Times New Roman" w:hAnsi="Times New Roman" w:cs="Times New Roman" w:eastAsia="Times New Roman" w:hint="default"/>
                <w:sz w:val="18"/>
                <w:szCs w:val="18"/>
              </w:rPr>
              <w:t>(ECARD-T)V1.0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0269438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2011SR005764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3"/>
                <w:sz w:val="18"/>
                <w:szCs w:val="18"/>
              </w:rPr>
              <w:t>正普一控四门禁控制器嵌入式程序</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2011SR005770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WEB</w:t>
            </w:r>
            <w:r>
              <w:rPr>
                <w:rFonts w:ascii="宋体" w:hAnsi="宋体" w:cs="宋体" w:eastAsia="宋体" w:hint="default"/>
                <w:sz w:val="18"/>
                <w:szCs w:val="18"/>
              </w:rPr>
              <w:t>考勤管理系统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2011SR007732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正普考试管理系统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2011SR007728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51"/>
              <w:jc w:val="left"/>
              <w:rPr>
                <w:rFonts w:ascii="宋体" w:hAnsi="宋体" w:cs="宋体" w:eastAsia="宋体" w:hint="default"/>
                <w:sz w:val="18"/>
                <w:szCs w:val="18"/>
              </w:rPr>
            </w:pPr>
            <w:r>
              <w:rPr>
                <w:rFonts w:ascii="宋体" w:hAnsi="宋体" w:cs="宋体" w:eastAsia="宋体" w:hint="default"/>
                <w:spacing w:val="43"/>
                <w:sz w:val="18"/>
                <w:szCs w:val="18"/>
              </w:rPr>
              <w:t>正普双频收</w:t>
            </w:r>
            <w:r>
              <w:rPr>
                <w:rFonts w:ascii="宋体" w:hAnsi="宋体" w:cs="宋体" w:eastAsia="宋体" w:hint="default"/>
                <w:spacing w:val="-35"/>
                <w:sz w:val="18"/>
                <w:szCs w:val="18"/>
              </w:rPr>
              <w:t> </w:t>
            </w:r>
            <w:r>
              <w:rPr>
                <w:rFonts w:ascii="宋体" w:hAnsi="宋体" w:cs="宋体" w:eastAsia="宋体" w:hint="default"/>
                <w:spacing w:val="43"/>
                <w:sz w:val="18"/>
                <w:szCs w:val="18"/>
              </w:rPr>
              <w:t>费机嵌入式</w:t>
            </w:r>
            <w:r>
              <w:rPr>
                <w:rFonts w:ascii="宋体" w:hAnsi="宋体" w:cs="宋体" w:eastAsia="宋体" w:hint="default"/>
                <w:spacing w:val="-35"/>
                <w:sz w:val="18"/>
                <w:szCs w:val="18"/>
              </w:rPr>
              <w:t> </w:t>
            </w:r>
            <w:r>
              <w:rPr>
                <w:rFonts w:ascii="宋体" w:hAnsi="宋体" w:cs="宋体" w:eastAsia="宋体" w:hint="default"/>
                <w:spacing w:val="27"/>
                <w:sz w:val="18"/>
                <w:szCs w:val="18"/>
              </w:rPr>
              <w:t>软件</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(ECARD-T)V1.0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2011SR007734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正普人事信息管理系统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2011SR007730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正普增值服务集团客户端系统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2011SR007736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7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640"/>
        <w:gridCol w:w="2778"/>
        <w:gridCol w:w="1134"/>
        <w:gridCol w:w="1296"/>
        <w:gridCol w:w="1116"/>
        <w:gridCol w:w="1132"/>
        <w:gridCol w:w="1784"/>
      </w:tblGrid>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0271410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WEB/WAP</w:t>
            </w:r>
            <w:r>
              <w:rPr>
                <w:rFonts w:ascii="宋体" w:hAnsi="宋体" w:cs="宋体" w:eastAsia="宋体" w:hint="default"/>
                <w:sz w:val="18"/>
                <w:szCs w:val="18"/>
              </w:rPr>
              <w:t>内容管理系统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2011SR007735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5"/>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正普双频</w:t>
            </w:r>
            <w:r>
              <w:rPr>
                <w:rFonts w:ascii="Times New Roman" w:hAnsi="Times New Roman" w:cs="Times New Roman" w:eastAsia="Times New Roman" w:hint="default"/>
                <w:spacing w:val="8"/>
                <w:sz w:val="18"/>
                <w:szCs w:val="18"/>
              </w:rPr>
              <w:t>ZIGBEE</w:t>
            </w:r>
            <w:r>
              <w:rPr>
                <w:rFonts w:ascii="宋体" w:hAnsi="宋体" w:cs="宋体" w:eastAsia="宋体" w:hint="default"/>
                <w:spacing w:val="8"/>
                <w:sz w:val="18"/>
                <w:szCs w:val="18"/>
              </w:rPr>
              <w:t>车载</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9"/>
                <w:sz w:val="18"/>
                <w:szCs w:val="18"/>
              </w:rPr>
              <w:t> </w:t>
            </w:r>
            <w:r>
              <w:rPr>
                <w:rFonts w:ascii="宋体" w:hAnsi="宋体" w:cs="宋体" w:eastAsia="宋体" w:hint="default"/>
                <w:spacing w:val="10"/>
                <w:sz w:val="18"/>
                <w:szCs w:val="18"/>
              </w:rPr>
              <w:t>嵌入式</w:t>
            </w:r>
            <w:r>
              <w:rPr>
                <w:rFonts w:ascii="宋体" w:hAnsi="宋体" w:cs="宋体" w:eastAsia="宋体" w:hint="default"/>
                <w:spacing w:val="-74"/>
                <w:sz w:val="18"/>
                <w:szCs w:val="18"/>
              </w:rPr>
              <w:t> </w:t>
            </w:r>
            <w:r>
              <w:rPr>
                <w:rFonts w:ascii="宋体" w:hAnsi="宋体" w:cs="宋体" w:eastAsia="宋体" w:hint="default"/>
                <w:sz w:val="18"/>
                <w:szCs w:val="18"/>
              </w:rPr>
              <w:t>软件</w:t>
            </w:r>
            <w:r>
              <w:rPr>
                <w:rFonts w:ascii="Times New Roman" w:hAnsi="Times New Roman" w:cs="Times New Roman" w:eastAsia="Times New Roman" w:hint="default"/>
                <w:sz w:val="18"/>
                <w:szCs w:val="18"/>
              </w:rPr>
              <w:t>(ECARD-T)V1.0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0271398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2011SR007724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3"/>
              <w:jc w:val="left"/>
              <w:rPr>
                <w:rFonts w:ascii="宋体" w:hAnsi="宋体" w:cs="宋体" w:eastAsia="宋体" w:hint="default"/>
                <w:sz w:val="18"/>
                <w:szCs w:val="18"/>
              </w:rPr>
            </w:pPr>
            <w:r>
              <w:rPr>
                <w:rFonts w:ascii="宋体" w:hAnsi="宋体" w:cs="宋体" w:eastAsia="宋体" w:hint="default"/>
                <w:spacing w:val="3"/>
                <w:sz w:val="18"/>
                <w:szCs w:val="18"/>
              </w:rPr>
              <w:t>正普双频</w:t>
            </w:r>
            <w:r>
              <w:rPr>
                <w:rFonts w:ascii="Times New Roman" w:hAnsi="Times New Roman" w:cs="Times New Roman" w:eastAsia="Times New Roman" w:hint="default"/>
                <w:spacing w:val="3"/>
                <w:sz w:val="18"/>
                <w:szCs w:val="18"/>
              </w:rPr>
              <w:t>CDMA</w:t>
            </w:r>
            <w:r>
              <w:rPr>
                <w:rFonts w:ascii="宋体" w:hAnsi="宋体" w:cs="宋体" w:eastAsia="宋体" w:hint="default"/>
                <w:spacing w:val="3"/>
                <w:sz w:val="18"/>
                <w:szCs w:val="18"/>
              </w:rPr>
              <w:t>收费机嵌入式软件</w:t>
            </w:r>
            <w:r>
              <w:rPr>
                <w:rFonts w:ascii="宋体" w:hAnsi="宋体" w:cs="宋体" w:eastAsia="宋体" w:hint="default"/>
                <w:sz w:val="18"/>
                <w:szCs w:val="18"/>
              </w:rPr>
            </w:r>
          </w:p>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(ECARD-T)V1.0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2011SR007726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89"/>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正普便携收费机嵌入式软件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0271401</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2011SR007727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8"/>
              <w:jc w:val="left"/>
              <w:rPr>
                <w:rFonts w:ascii="宋体" w:hAnsi="宋体" w:cs="宋体" w:eastAsia="宋体" w:hint="default"/>
                <w:sz w:val="18"/>
                <w:szCs w:val="18"/>
              </w:rPr>
            </w:pPr>
            <w:r>
              <w:rPr>
                <w:rFonts w:ascii="宋体" w:hAnsi="宋体" w:cs="宋体" w:eastAsia="宋体" w:hint="default"/>
                <w:spacing w:val="10"/>
                <w:sz w:val="18"/>
                <w:szCs w:val="18"/>
              </w:rPr>
              <w:t>正普</w:t>
            </w:r>
            <w:r>
              <w:rPr>
                <w:rFonts w:ascii="宋体" w:hAnsi="宋体" w:cs="宋体" w:eastAsia="宋体" w:hint="default"/>
                <w:spacing w:val="-69"/>
                <w:sz w:val="18"/>
                <w:szCs w:val="18"/>
              </w:rPr>
              <w:t> </w:t>
            </w:r>
            <w:r>
              <w:rPr>
                <w:rFonts w:ascii="Times New Roman" w:hAnsi="Times New Roman" w:cs="Times New Roman" w:eastAsia="Times New Roman" w:hint="default"/>
                <w:spacing w:val="14"/>
                <w:sz w:val="18"/>
                <w:szCs w:val="18"/>
              </w:rPr>
              <w:t>2.4G</w:t>
            </w:r>
            <w:r>
              <w:rPr>
                <w:rFonts w:ascii="宋体" w:hAnsi="宋体" w:cs="宋体" w:eastAsia="宋体" w:hint="default"/>
                <w:spacing w:val="14"/>
                <w:sz w:val="18"/>
                <w:szCs w:val="18"/>
              </w:rPr>
              <w:t>分体水控器嵌入式软件</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63"/>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ECARD-T</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0271396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2011SR007722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89"/>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正普标准版车载嵌入式软件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0272227</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2011SR008553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7"/>
              <w:jc w:val="left"/>
              <w:rPr>
                <w:rFonts w:ascii="宋体" w:hAnsi="宋体" w:cs="宋体" w:eastAsia="宋体" w:hint="default"/>
                <w:sz w:val="18"/>
                <w:szCs w:val="18"/>
              </w:rPr>
            </w:pPr>
            <w:r>
              <w:rPr>
                <w:rFonts w:ascii="宋体" w:hAnsi="宋体" w:cs="宋体" w:eastAsia="宋体" w:hint="default"/>
                <w:spacing w:val="10"/>
                <w:sz w:val="18"/>
                <w:szCs w:val="18"/>
              </w:rPr>
              <w:t>正普</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5"/>
                <w:sz w:val="18"/>
                <w:szCs w:val="18"/>
              </w:rPr>
              <w:t> </w:t>
            </w:r>
            <w:r>
              <w:rPr>
                <w:rFonts w:ascii="宋体" w:hAnsi="宋体" w:cs="宋体" w:eastAsia="宋体" w:hint="default"/>
                <w:spacing w:val="18"/>
                <w:sz w:val="18"/>
                <w:szCs w:val="18"/>
              </w:rPr>
              <w:t>智能发卡器嵌入式软件</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0272219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2011SR008545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51"/>
              <w:jc w:val="left"/>
              <w:rPr>
                <w:rFonts w:ascii="宋体" w:hAnsi="宋体" w:cs="宋体" w:eastAsia="宋体" w:hint="default"/>
                <w:sz w:val="18"/>
                <w:szCs w:val="18"/>
              </w:rPr>
            </w:pPr>
            <w:r>
              <w:rPr>
                <w:rFonts w:ascii="宋体" w:hAnsi="宋体" w:cs="宋体" w:eastAsia="宋体" w:hint="default"/>
                <w:spacing w:val="43"/>
                <w:sz w:val="18"/>
                <w:szCs w:val="18"/>
              </w:rPr>
              <w:t>正普双频充</w:t>
            </w:r>
            <w:r>
              <w:rPr>
                <w:rFonts w:ascii="宋体" w:hAnsi="宋体" w:cs="宋体" w:eastAsia="宋体" w:hint="default"/>
                <w:spacing w:val="-35"/>
                <w:sz w:val="18"/>
                <w:szCs w:val="18"/>
              </w:rPr>
              <w:t> </w:t>
            </w:r>
            <w:r>
              <w:rPr>
                <w:rFonts w:ascii="宋体" w:hAnsi="宋体" w:cs="宋体" w:eastAsia="宋体" w:hint="default"/>
                <w:spacing w:val="43"/>
                <w:sz w:val="18"/>
                <w:szCs w:val="18"/>
              </w:rPr>
              <w:t>值机嵌入式</w:t>
            </w:r>
            <w:r>
              <w:rPr>
                <w:rFonts w:ascii="宋体" w:hAnsi="宋体" w:cs="宋体" w:eastAsia="宋体" w:hint="default"/>
                <w:spacing w:val="-35"/>
                <w:sz w:val="18"/>
                <w:szCs w:val="18"/>
              </w:rPr>
              <w:t> </w:t>
            </w:r>
            <w:r>
              <w:rPr>
                <w:rFonts w:ascii="宋体" w:hAnsi="宋体" w:cs="宋体" w:eastAsia="宋体" w:hint="default"/>
                <w:spacing w:val="27"/>
                <w:sz w:val="18"/>
                <w:szCs w:val="18"/>
              </w:rPr>
              <w:t>软件</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(ECARD-M)V1.0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0272218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2011SR008544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正普无障碍通道机嵌入式软件</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0272223</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2011SR008549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3"/>
                <w:sz w:val="18"/>
                <w:szCs w:val="18"/>
              </w:rPr>
              <w:t>正普读卡身份认证终端嵌入式软件</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0272225</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2011SR008551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CDMA</w:t>
            </w:r>
            <w:r>
              <w:rPr>
                <w:rFonts w:ascii="宋体" w:hAnsi="宋体" w:cs="宋体" w:eastAsia="宋体" w:hint="default"/>
                <w:sz w:val="18"/>
                <w:szCs w:val="18"/>
              </w:rPr>
              <w:t>考勤机嵌入式软件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2011SR008552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51"/>
              <w:jc w:val="left"/>
              <w:rPr>
                <w:rFonts w:ascii="宋体" w:hAnsi="宋体" w:cs="宋体" w:eastAsia="宋体" w:hint="default"/>
                <w:sz w:val="18"/>
                <w:szCs w:val="18"/>
              </w:rPr>
            </w:pPr>
            <w:r>
              <w:rPr>
                <w:rFonts w:ascii="宋体" w:hAnsi="宋体" w:cs="宋体" w:eastAsia="宋体" w:hint="default"/>
                <w:spacing w:val="43"/>
                <w:sz w:val="18"/>
                <w:szCs w:val="18"/>
              </w:rPr>
              <w:t>正普双频考</w:t>
            </w:r>
            <w:r>
              <w:rPr>
                <w:rFonts w:ascii="宋体" w:hAnsi="宋体" w:cs="宋体" w:eastAsia="宋体" w:hint="default"/>
                <w:spacing w:val="-35"/>
                <w:sz w:val="18"/>
                <w:szCs w:val="18"/>
              </w:rPr>
              <w:t> </w:t>
            </w:r>
            <w:r>
              <w:rPr>
                <w:rFonts w:ascii="宋体" w:hAnsi="宋体" w:cs="宋体" w:eastAsia="宋体" w:hint="default"/>
                <w:spacing w:val="43"/>
                <w:sz w:val="18"/>
                <w:szCs w:val="18"/>
              </w:rPr>
              <w:t>勤机嵌入式</w:t>
            </w:r>
            <w:r>
              <w:rPr>
                <w:rFonts w:ascii="宋体" w:hAnsi="宋体" w:cs="宋体" w:eastAsia="宋体" w:hint="default"/>
                <w:spacing w:val="-35"/>
                <w:sz w:val="18"/>
                <w:szCs w:val="18"/>
              </w:rPr>
              <w:t> </w:t>
            </w:r>
            <w:r>
              <w:rPr>
                <w:rFonts w:ascii="宋体" w:hAnsi="宋体" w:cs="宋体" w:eastAsia="宋体" w:hint="default"/>
                <w:spacing w:val="27"/>
                <w:sz w:val="18"/>
                <w:szCs w:val="18"/>
              </w:rPr>
              <w:t>软件</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40" w:lineRule="auto" w:before="76"/>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ECARD-T</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2011SR008548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正普一卡通数据采集系统</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2011SR008550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正普三相四线电子式预付费电能表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2011SR008546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正普联网型单相电子式预付费电能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表嵌入式软件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0272221</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2011SR008547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能源监管系统</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0346350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2011SR082676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正普预付费水电管理系统</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0346348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2011SR082674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学生收费管理系统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0424142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2012SR056106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预约报销管理系统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0424139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2012SR056103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学生工作管理系统</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0424261</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2012SR056225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新开普自主招生系统</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2012SR056259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7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640"/>
        <w:gridCol w:w="2778"/>
        <w:gridCol w:w="1134"/>
        <w:gridCol w:w="1296"/>
        <w:gridCol w:w="1116"/>
        <w:gridCol w:w="1132"/>
        <w:gridCol w:w="1784"/>
      </w:tblGrid>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0424295</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学生发费管理系统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0424298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2012SR056262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校情分析系统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0423996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2012SR055960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掌上校园系统</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0423994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2012SR055958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新开普校友服务系统</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0424057</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2012SR056021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新开普宿舍信息管理系统</w:t>
            </w:r>
            <w:r>
              <w:rPr>
                <w:rFonts w:ascii="Times New Roman" w:hAnsi="Times New Roman" w:cs="Times New Roman" w:eastAsia="Times New Roman" w:hint="default"/>
                <w:sz w:val="18"/>
                <w:szCs w:val="18"/>
              </w:rPr>
              <w:t>V2.0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0424130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2012SR056094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就业服务管理系统</w:t>
            </w:r>
            <w:r>
              <w:rPr>
                <w:rFonts w:ascii="Times New Roman" w:hAnsi="Times New Roman" w:cs="Times New Roman" w:eastAsia="Times New Roman" w:hint="default"/>
                <w:sz w:val="18"/>
                <w:szCs w:val="18"/>
              </w:rPr>
              <w:t>V3.0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0424128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2012SR056092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新开普招生管理系统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0424170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2012SR056134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新开普智能卡操作系统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0458012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2012SR089976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新开普自助现金充值系统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0556878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2013SR051116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15"/>
              <w:jc w:val="left"/>
              <w:rPr>
                <w:rFonts w:ascii="宋体" w:hAnsi="宋体" w:cs="宋体" w:eastAsia="宋体" w:hint="default"/>
                <w:sz w:val="18"/>
                <w:szCs w:val="18"/>
              </w:rPr>
            </w:pPr>
            <w:r>
              <w:rPr>
                <w:rFonts w:ascii="宋体" w:hAnsi="宋体" w:cs="宋体" w:eastAsia="宋体" w:hint="default"/>
                <w:spacing w:val="16"/>
                <w:sz w:val="18"/>
                <w:szCs w:val="18"/>
              </w:rPr>
              <w:t>新开普城市一卡通资金清算平台</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0557018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2013SR051256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新开普金融</w:t>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卡行业应用运营服务 </w:t>
            </w:r>
            <w:r>
              <w:rPr>
                <w:rFonts w:ascii="宋体" w:hAnsi="宋体" w:cs="宋体" w:eastAsia="宋体" w:hint="default"/>
                <w:sz w:val="18"/>
                <w:szCs w:val="18"/>
              </w:rPr>
              <w:t>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0557020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2013SR051258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89"/>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新开普在线支付平台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0556887</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2013SR051125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新开普家校通系统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0602305</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2013SR096543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12"/>
                <w:sz w:val="18"/>
                <w:szCs w:val="18"/>
              </w:rPr>
              <w:t>新开普</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P101</w:t>
            </w:r>
            <w:r>
              <w:rPr>
                <w:rFonts w:ascii="Times New Roman" w:hAnsi="Times New Roman" w:cs="Times New Roman" w:eastAsia="Times New Roman" w:hint="default"/>
                <w:spacing w:val="-25"/>
                <w:sz w:val="18"/>
                <w:szCs w:val="18"/>
              </w:rPr>
              <w:t> </w:t>
            </w:r>
            <w:r>
              <w:rPr>
                <w:rFonts w:ascii="宋体" w:hAnsi="宋体" w:cs="宋体" w:eastAsia="宋体" w:hint="default"/>
                <w:spacing w:val="16"/>
                <w:sz w:val="18"/>
                <w:szCs w:val="18"/>
              </w:rPr>
              <w:t>数据网关嵌入式软件</w:t>
            </w:r>
          </w:p>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0610763</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2013SR105001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新开普</w:t>
            </w:r>
            <w:r>
              <w:rPr>
                <w:rFonts w:ascii="Times New Roman" w:hAnsi="Times New Roman" w:cs="Times New Roman" w:eastAsia="Times New Roman" w:hint="default"/>
                <w:spacing w:val="9"/>
                <w:sz w:val="18"/>
                <w:szCs w:val="18"/>
              </w:rPr>
              <w:t>eCard-T</w:t>
            </w:r>
            <w:r>
              <w:rPr>
                <w:rFonts w:ascii="宋体" w:hAnsi="宋体" w:cs="宋体" w:eastAsia="宋体" w:hint="default"/>
                <w:spacing w:val="9"/>
                <w:sz w:val="18"/>
                <w:szCs w:val="18"/>
              </w:rPr>
              <w:t>一卡通区域集中平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0633598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2013SR127836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1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新开普</w:t>
            </w:r>
            <w:r>
              <w:rPr>
                <w:rFonts w:ascii="Times New Roman" w:hAnsi="Times New Roman" w:cs="Times New Roman" w:eastAsia="Times New Roman" w:hint="default"/>
                <w:spacing w:val="7"/>
                <w:sz w:val="18"/>
                <w:szCs w:val="18"/>
              </w:rPr>
              <w:t>eCard-M</w:t>
            </w:r>
            <w:r>
              <w:rPr>
                <w:rFonts w:ascii="宋体" w:hAnsi="宋体" w:cs="宋体" w:eastAsia="宋体" w:hint="default"/>
                <w:spacing w:val="7"/>
                <w:sz w:val="18"/>
                <w:szCs w:val="18"/>
              </w:rPr>
              <w:t>移动手机支付一卡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0634096</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2013SR128334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新开普</w:t>
            </w:r>
            <w:r>
              <w:rPr>
                <w:rFonts w:ascii="Times New Roman" w:hAnsi="Times New Roman" w:cs="Times New Roman" w:eastAsia="Times New Roman" w:hint="default"/>
                <w:spacing w:val="7"/>
                <w:sz w:val="18"/>
                <w:szCs w:val="18"/>
              </w:rPr>
              <w:t>eCard-M</w:t>
            </w:r>
            <w:r>
              <w:rPr>
                <w:rFonts w:ascii="宋体" w:hAnsi="宋体" w:cs="宋体" w:eastAsia="宋体" w:hint="default"/>
                <w:spacing w:val="7"/>
                <w:sz w:val="18"/>
                <w:szCs w:val="18"/>
              </w:rPr>
              <w:t>移动手机一卡通区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域集中平台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0634022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2013SR128260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智能数据采集器软件</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0653838</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2013SR148076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网站群管理系统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0653835</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2013SR148073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新开普实验实训管理系统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0673142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2014SR003898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348"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新开普教务管理系统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2014SR003815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7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640"/>
        <w:gridCol w:w="2778"/>
        <w:gridCol w:w="1134"/>
        <w:gridCol w:w="1296"/>
        <w:gridCol w:w="1116"/>
        <w:gridCol w:w="1132"/>
        <w:gridCol w:w="1784"/>
      </w:tblGrid>
      <w:tr>
        <w:trPr>
          <w:trHeight w:val="347" w:hRule="exact"/>
        </w:trPr>
        <w:tc>
          <w:tcPr>
            <w:tcW w:w="640"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0673059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92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新开普研究生管理系统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0673259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2014SR004015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93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新开普门锁管理系统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0711390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2014SR042146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94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9"/>
              <w:jc w:val="left"/>
              <w:rPr>
                <w:rFonts w:ascii="宋体" w:hAnsi="宋体" w:cs="宋体" w:eastAsia="宋体" w:hint="default"/>
                <w:sz w:val="18"/>
                <w:szCs w:val="18"/>
              </w:rPr>
            </w:pPr>
            <w:r>
              <w:rPr>
                <w:rFonts w:ascii="宋体" w:hAnsi="宋体" w:cs="宋体" w:eastAsia="宋体" w:hint="default"/>
                <w:spacing w:val="9"/>
                <w:sz w:val="18"/>
                <w:szCs w:val="18"/>
              </w:rPr>
              <w:t>新开普</w:t>
            </w:r>
            <w:r>
              <w:rPr>
                <w:rFonts w:ascii="Times New Roman" w:hAnsi="Times New Roman" w:cs="Times New Roman" w:eastAsia="Times New Roman" w:hint="default"/>
                <w:spacing w:val="9"/>
                <w:sz w:val="18"/>
                <w:szCs w:val="18"/>
              </w:rPr>
              <w:t>GPRS</w:t>
            </w:r>
            <w:r>
              <w:rPr>
                <w:rFonts w:ascii="宋体" w:hAnsi="宋体" w:cs="宋体" w:eastAsia="宋体" w:hint="default"/>
                <w:spacing w:val="9"/>
                <w:sz w:val="18"/>
                <w:szCs w:val="18"/>
              </w:rPr>
              <w:t>远程数据监控嵌入式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软件</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0711374</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2014SR042130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95</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8"/>
              <w:jc w:val="left"/>
              <w:rPr>
                <w:rFonts w:ascii="宋体" w:hAnsi="宋体" w:cs="宋体" w:eastAsia="宋体" w:hint="default"/>
                <w:sz w:val="18"/>
                <w:szCs w:val="18"/>
              </w:rPr>
            </w:pPr>
            <w:r>
              <w:rPr>
                <w:rFonts w:ascii="宋体" w:hAnsi="宋体" w:cs="宋体" w:eastAsia="宋体" w:hint="default"/>
                <w:spacing w:val="4"/>
                <w:sz w:val="18"/>
                <w:szCs w:val="18"/>
              </w:rPr>
              <w:t>新开普</w:t>
            </w:r>
            <w:r>
              <w:rPr>
                <w:rFonts w:ascii="Times New Roman" w:hAnsi="Times New Roman" w:cs="Times New Roman" w:eastAsia="Times New Roman" w:hint="default"/>
                <w:spacing w:val="4"/>
                <w:sz w:val="18"/>
                <w:szCs w:val="18"/>
              </w:rPr>
              <w:t>R108</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pacing w:val="9"/>
                <w:sz w:val="18"/>
                <w:szCs w:val="18"/>
              </w:rPr>
              <w:t>IC</w:t>
            </w:r>
            <w:r>
              <w:rPr>
                <w:rFonts w:ascii="宋体" w:hAnsi="宋体" w:cs="宋体" w:eastAsia="宋体" w:hint="default"/>
                <w:spacing w:val="9"/>
                <w:sz w:val="18"/>
                <w:szCs w:val="18"/>
              </w:rPr>
              <w:t>卡膜式燃气表嵌入</w:t>
            </w:r>
            <w:r>
              <w:rPr>
                <w:rFonts w:ascii="宋体" w:hAnsi="宋体" w:cs="宋体" w:eastAsia="宋体" w:hint="default"/>
                <w:spacing w:val="10"/>
                <w:sz w:val="18"/>
                <w:szCs w:val="18"/>
              </w:rPr>
              <w:t> </w:t>
            </w:r>
            <w:r>
              <w:rPr>
                <w:rFonts w:ascii="宋体" w:hAnsi="宋体" w:cs="宋体" w:eastAsia="宋体" w:hint="default"/>
                <w:sz w:val="18"/>
                <w:szCs w:val="18"/>
              </w:rPr>
              <w:t>式软件</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0711482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2014SR042238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96</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新开普</w:t>
            </w:r>
            <w:r>
              <w:rPr>
                <w:rFonts w:ascii="Times New Roman" w:hAnsi="Times New Roman" w:cs="Times New Roman" w:eastAsia="Times New Roman" w:hint="default"/>
                <w:sz w:val="18"/>
                <w:szCs w:val="18"/>
              </w:rPr>
              <w:t>R108</w:t>
            </w:r>
            <w:r>
              <w:rPr>
                <w:rFonts w:ascii="宋体" w:hAnsi="宋体" w:cs="宋体" w:eastAsia="宋体" w:hint="default"/>
                <w:sz w:val="18"/>
                <w:szCs w:val="18"/>
              </w:rPr>
              <w:t>无线膜式燃气表嵌入式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软件</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0711442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2014SR042198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97</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新开普</w:t>
            </w:r>
            <w:r>
              <w:rPr>
                <w:rFonts w:ascii="Times New Roman" w:hAnsi="Times New Roman" w:cs="Times New Roman" w:eastAsia="Times New Roman" w:hint="default"/>
                <w:sz w:val="18"/>
                <w:szCs w:val="18"/>
              </w:rPr>
              <w:t>R108</w:t>
            </w:r>
            <w:r>
              <w:rPr>
                <w:rFonts w:ascii="宋体" w:hAnsi="宋体" w:cs="宋体" w:eastAsia="宋体" w:hint="default"/>
                <w:sz w:val="18"/>
                <w:szCs w:val="18"/>
              </w:rPr>
              <w:t>智能膜式燃气表嵌入式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软件</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0711377</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2014SR042133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98</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新开普</w:t>
            </w:r>
            <w:r>
              <w:rPr>
                <w:rFonts w:ascii="Times New Roman" w:hAnsi="Times New Roman" w:cs="Times New Roman" w:eastAsia="Times New Roman" w:hint="default"/>
                <w:sz w:val="18"/>
                <w:szCs w:val="18"/>
              </w:rPr>
              <w:t>R208</w:t>
            </w:r>
            <w:r>
              <w:rPr>
                <w:rFonts w:ascii="宋体" w:hAnsi="宋体" w:cs="宋体" w:eastAsia="宋体" w:hint="default"/>
                <w:sz w:val="18"/>
                <w:szCs w:val="18"/>
              </w:rPr>
              <w:t>智能流量控制阀嵌入式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软件</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0711479</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2014SR042235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99</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3"/>
                <w:sz w:val="18"/>
                <w:szCs w:val="18"/>
              </w:rPr>
              <w:t>新开普电力线载波通信单元固件系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0711670</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2014SR042426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t>100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新开普身份识别平台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0735537</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2014SR066293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t>101</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w:t>
            </w:r>
            <w:r>
              <w:rPr>
                <w:rFonts w:ascii="Times New Roman" w:hAnsi="Times New Roman" w:cs="Times New Roman" w:eastAsia="Times New Roman" w:hint="default"/>
                <w:sz w:val="18"/>
                <w:szCs w:val="18"/>
              </w:rPr>
              <w:t>TSM</w:t>
            </w:r>
            <w:r>
              <w:rPr>
                <w:rFonts w:ascii="宋体" w:hAnsi="宋体" w:cs="宋体" w:eastAsia="宋体" w:hint="default"/>
                <w:sz w:val="18"/>
                <w:szCs w:val="18"/>
              </w:rPr>
              <w:t>可信服务管理平台</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0749872</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2014SR080628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t>102</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新开普智能巡检系统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0753933</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2014SR084689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t>103</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5"/>
              <w:jc w:val="left"/>
              <w:rPr>
                <w:rFonts w:ascii="宋体" w:hAnsi="宋体" w:cs="宋体" w:eastAsia="宋体" w:hint="default"/>
                <w:sz w:val="18"/>
                <w:szCs w:val="18"/>
              </w:rPr>
            </w:pPr>
            <w:r>
              <w:rPr>
                <w:rFonts w:ascii="宋体" w:hAnsi="宋体" w:cs="宋体" w:eastAsia="宋体" w:hint="default"/>
                <w:spacing w:val="16"/>
                <w:sz w:val="18"/>
                <w:szCs w:val="18"/>
              </w:rPr>
              <w:t>新开普产品质量追踪客户端软件</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0876251</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2014SR207019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t>104</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新开普数据分析系统</w:t>
            </w:r>
            <w:r>
              <w:rPr>
                <w:rFonts w:ascii="Times New Roman" w:hAnsi="Times New Roman" w:cs="Times New Roman" w:eastAsia="Times New Roman" w:hint="default"/>
                <w:sz w:val="18"/>
                <w:szCs w:val="18"/>
              </w:rPr>
              <w:t>V1.0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0876255</w:t>
            </w:r>
            <w:r>
              <w:rPr>
                <w:rFonts w:ascii="宋体" w:hAnsi="宋体" w:cs="宋体" w:eastAsia="宋体" w:hint="default"/>
                <w:sz w:val="18"/>
                <w:szCs w:val="18"/>
              </w:rPr>
              <w:t>号</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2014SR207023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新开普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r>
    </w:tbl>
    <w:p>
      <w:pPr>
        <w:spacing w:line="240" w:lineRule="auto" w:before="10"/>
        <w:rPr>
          <w:rFonts w:ascii="Times New Roman" w:hAnsi="Times New Roman" w:cs="Times New Roman" w:eastAsia="Times New Roman" w:hint="default"/>
          <w:sz w:val="12"/>
          <w:szCs w:val="12"/>
        </w:rPr>
      </w:pPr>
    </w:p>
    <w:p>
      <w:pPr>
        <w:pStyle w:val="BodyText"/>
        <w:spacing w:line="408" w:lineRule="auto" w:before="35"/>
        <w:ind w:left="573" w:right="2221"/>
        <w:jc w:val="left"/>
      </w:pPr>
      <w:r>
        <w:rPr/>
        <w:t>④软件登记产品 截至本年度报告披露之日，公司已取得的软件登记产品共</w:t>
      </w:r>
      <w:r>
        <w:rPr>
          <w:rFonts w:ascii="Times New Roman" w:hAnsi="Times New Roman" w:cs="Times New Roman" w:eastAsia="Times New Roman" w:hint="default"/>
        </w:rPr>
        <w:t>54</w:t>
      </w:r>
      <w:r>
        <w:rPr/>
        <w:t>项，具体情况如下：</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724"/>
        <w:gridCol w:w="3158"/>
        <w:gridCol w:w="1236"/>
        <w:gridCol w:w="1985"/>
        <w:gridCol w:w="1056"/>
        <w:gridCol w:w="1400"/>
      </w:tblGrid>
      <w:tr>
        <w:trPr>
          <w:trHeight w:val="685" w:hRule="exact"/>
        </w:trPr>
        <w:tc>
          <w:tcPr>
            <w:tcW w:w="7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2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所有者</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r>
      <w:tr>
        <w:trPr>
          <w:trHeight w:val="659"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新开普射频智能卡网络版预付费收费集 </w:t>
            </w:r>
            <w:r>
              <w:rPr>
                <w:rFonts w:ascii="宋体" w:hAnsi="宋体" w:cs="宋体" w:eastAsia="宋体" w:hint="default"/>
                <w:sz w:val="18"/>
                <w:szCs w:val="18"/>
              </w:rPr>
              <w:t>成管理系统</w:t>
            </w:r>
            <w:r>
              <w:rPr>
                <w:rFonts w:ascii="Times New Roman" w:hAnsi="Times New Roman" w:cs="Times New Roman" w:eastAsia="Times New Roman" w:hint="default"/>
                <w:sz w:val="18"/>
                <w:szCs w:val="18"/>
              </w:rPr>
              <w:t>V2000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DGY-2002-0032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新开普一卡通管理系统</w:t>
            </w:r>
            <w:r>
              <w:rPr>
                <w:rFonts w:ascii="Times New Roman" w:hAnsi="Times New Roman" w:cs="Times New Roman" w:eastAsia="Times New Roman" w:hint="default"/>
                <w:sz w:val="18"/>
                <w:szCs w:val="18"/>
              </w:rPr>
              <w:t>V3.0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DGY-2007-0036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新开普预付费水表嵌入式程序</w:t>
            </w:r>
            <w:r>
              <w:rPr>
                <w:rFonts w:ascii="Times New Roman" w:hAnsi="Times New Roman" w:cs="Times New Roman" w:eastAsia="Times New Roman" w:hint="default"/>
                <w:sz w:val="18"/>
                <w:szCs w:val="18"/>
              </w:rPr>
              <w:t>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新开普预付费电表嵌入式程序</w:t>
            </w:r>
            <w:r>
              <w:rPr>
                <w:rFonts w:ascii="Times New Roman" w:hAnsi="Times New Roman" w:cs="Times New Roman" w:eastAsia="Times New Roman" w:hint="default"/>
                <w:sz w:val="18"/>
                <w:szCs w:val="18"/>
              </w:rPr>
              <w:t>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新开普圈存机嵌入式程序</w:t>
            </w:r>
            <w:r>
              <w:rPr>
                <w:rFonts w:ascii="Times New Roman" w:hAnsi="Times New Roman" w:cs="Times New Roman" w:eastAsia="Times New Roman" w:hint="default"/>
                <w:sz w:val="18"/>
                <w:szCs w:val="18"/>
              </w:rPr>
              <w:t>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新开普电控管理机嵌入式程序</w:t>
            </w:r>
            <w:r>
              <w:rPr>
                <w:rFonts w:ascii="Times New Roman" w:hAnsi="Times New Roman" w:cs="Times New Roman" w:eastAsia="Times New Roman" w:hint="default"/>
                <w:sz w:val="18"/>
                <w:szCs w:val="18"/>
              </w:rPr>
              <w:t>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659"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新开普射频卡读写机（发卡器）嵌入式 </w:t>
            </w:r>
            <w:r>
              <w:rPr>
                <w:rFonts w:ascii="宋体" w:hAnsi="宋体" w:cs="宋体" w:eastAsia="宋体" w:hint="default"/>
                <w:sz w:val="18"/>
                <w:szCs w:val="18"/>
              </w:rPr>
              <w:t>程序</w:t>
            </w:r>
            <w:r>
              <w:rPr>
                <w:rFonts w:ascii="Times New Roman" w:hAnsi="Times New Roman" w:cs="Times New Roman" w:eastAsia="Times New Roman" w:hint="default"/>
                <w:sz w:val="18"/>
                <w:szCs w:val="18"/>
              </w:rPr>
              <w:t>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2014.9.23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76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724"/>
        <w:gridCol w:w="3158"/>
        <w:gridCol w:w="1236"/>
        <w:gridCol w:w="1985"/>
        <w:gridCol w:w="1056"/>
        <w:gridCol w:w="1400"/>
      </w:tblGrid>
      <w:tr>
        <w:trPr>
          <w:trHeight w:val="659"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新开普射频卡计费终端（营业机）嵌入 </w:t>
            </w:r>
            <w:r>
              <w:rPr>
                <w:rFonts w:ascii="宋体" w:hAnsi="宋体" w:cs="宋体" w:eastAsia="宋体" w:hint="default"/>
                <w:sz w:val="18"/>
                <w:szCs w:val="18"/>
              </w:rPr>
              <w:t>式程序</w:t>
            </w:r>
            <w:r>
              <w:rPr>
                <w:rFonts w:ascii="Times New Roman" w:hAnsi="Times New Roman" w:cs="Times New Roman" w:eastAsia="Times New Roman" w:hint="default"/>
                <w:sz w:val="18"/>
                <w:szCs w:val="18"/>
              </w:rPr>
              <w:t>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新开普门禁控制器嵌入式程序</w:t>
            </w:r>
            <w:r>
              <w:rPr>
                <w:rFonts w:ascii="Times New Roman" w:hAnsi="Times New Roman" w:cs="Times New Roman" w:eastAsia="Times New Roman" w:hint="default"/>
                <w:sz w:val="18"/>
                <w:szCs w:val="18"/>
              </w:rPr>
              <w:t>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新开普无障碍通道机嵌入式程序</w:t>
            </w:r>
            <w:r>
              <w:rPr>
                <w:rFonts w:ascii="Times New Roman" w:hAnsi="Times New Roman" w:cs="Times New Roman" w:eastAsia="Times New Roman" w:hint="default"/>
                <w:sz w:val="18"/>
                <w:szCs w:val="18"/>
              </w:rPr>
              <w:t>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新开普用电计量单元嵌入式程序</w:t>
            </w:r>
            <w:r>
              <w:rPr>
                <w:rFonts w:ascii="Times New Roman" w:hAnsi="Times New Roman" w:cs="Times New Roman" w:eastAsia="Times New Roman" w:hint="default"/>
                <w:sz w:val="18"/>
                <w:szCs w:val="18"/>
              </w:rPr>
              <w:t>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12</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新开普水控器嵌入式程序</w:t>
            </w:r>
            <w:r>
              <w:rPr>
                <w:rFonts w:ascii="Times New Roman" w:hAnsi="Times New Roman" w:cs="Times New Roman" w:eastAsia="Times New Roman" w:hint="default"/>
                <w:sz w:val="18"/>
                <w:szCs w:val="18"/>
              </w:rPr>
              <w:t>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新开普洗衣机控制器嵌入式程序</w:t>
            </w:r>
            <w:r>
              <w:rPr>
                <w:rFonts w:ascii="Times New Roman" w:hAnsi="Times New Roman" w:cs="Times New Roman" w:eastAsia="Times New Roman" w:hint="default"/>
                <w:sz w:val="18"/>
                <w:szCs w:val="18"/>
              </w:rPr>
              <w:t>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新开普考勤机嵌入式程序</w:t>
            </w:r>
            <w:r>
              <w:rPr>
                <w:rFonts w:ascii="Times New Roman" w:hAnsi="Times New Roman" w:cs="Times New Roman" w:eastAsia="Times New Roman" w:hint="default"/>
                <w:sz w:val="18"/>
                <w:szCs w:val="18"/>
              </w:rPr>
              <w:t>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正普统一身份认证平台</w:t>
            </w:r>
            <w:r>
              <w:rPr>
                <w:rFonts w:ascii="Times New Roman" w:hAnsi="Times New Roman" w:cs="Times New Roman" w:eastAsia="Times New Roman" w:hint="default"/>
                <w:sz w:val="18"/>
                <w:szCs w:val="18"/>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正普统一信息门户平台</w:t>
            </w:r>
            <w:r>
              <w:rPr>
                <w:rFonts w:ascii="Times New Roman" w:hAnsi="Times New Roman" w:cs="Times New Roman" w:eastAsia="Times New Roman" w:hint="default"/>
                <w:sz w:val="18"/>
                <w:szCs w:val="18"/>
              </w:rPr>
              <w:t>V3.0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正普智能卡车载嵌入式程序</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18</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正普汉显门禁读头嵌入式程序</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正普手持机嵌入式程序</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正普智能卡门禁管理系统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正普智能卡密钥管理系统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659"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4"/>
              <w:jc w:val="left"/>
              <w:rPr>
                <w:rFonts w:ascii="宋体" w:hAnsi="宋体" w:cs="宋体" w:eastAsia="宋体" w:hint="default"/>
                <w:sz w:val="18"/>
                <w:szCs w:val="18"/>
              </w:rPr>
            </w:pPr>
            <w:r>
              <w:rPr>
                <w:rFonts w:ascii="宋体" w:hAnsi="宋体" w:cs="宋体" w:eastAsia="宋体" w:hint="default"/>
                <w:spacing w:val="15"/>
                <w:sz w:val="18"/>
                <w:szCs w:val="18"/>
              </w:rPr>
              <w:t>正普城市小额消费统一结算支付平台</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116"/>
              <w:ind w:left="3" w:right="0"/>
              <w:jc w:val="left"/>
              <w:rPr>
                <w:rFonts w:ascii="Times New Roman" w:hAnsi="Times New Roman" w:cs="Times New Roman" w:eastAsia="Times New Roman" w:hint="default"/>
                <w:sz w:val="18"/>
                <w:szCs w:val="18"/>
              </w:rPr>
            </w:pPr>
            <w:r>
              <w:rPr>
                <w:rFonts w:ascii="Times New Roman"/>
                <w:sz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w:t>
            </w:r>
            <w:r>
              <w:rPr>
                <w:rFonts w:ascii="Times New Roman" w:hAnsi="Times New Roman" w:cs="Times New Roman" w:eastAsia="Times New Roman" w:hint="default"/>
                <w:sz w:val="18"/>
                <w:szCs w:val="18"/>
              </w:rPr>
              <w:t>IC</w:t>
            </w:r>
            <w:r>
              <w:rPr>
                <w:rFonts w:ascii="宋体" w:hAnsi="宋体" w:cs="宋体" w:eastAsia="宋体" w:hint="default"/>
                <w:sz w:val="18"/>
                <w:szCs w:val="18"/>
              </w:rPr>
              <w:t>卡公共交通管理系统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24</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正普无障碍通道管理系统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正普数字迎新管理系统</w:t>
            </w:r>
            <w:r>
              <w:rPr>
                <w:rFonts w:ascii="Times New Roman" w:hAnsi="Times New Roman" w:cs="Times New Roman" w:eastAsia="Times New Roman" w:hint="default"/>
                <w:sz w:val="18"/>
                <w:szCs w:val="18"/>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正普增值服务综合管理系统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WEB</w:t>
            </w:r>
            <w:r>
              <w:rPr>
                <w:rFonts w:ascii="宋体" w:hAnsi="宋体" w:cs="宋体" w:eastAsia="宋体" w:hint="default"/>
                <w:sz w:val="18"/>
                <w:szCs w:val="18"/>
              </w:rPr>
              <w:t>考勤管理系统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正普便携收费机嵌入式软件</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660"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86"/>
              <w:jc w:val="left"/>
              <w:rPr>
                <w:rFonts w:ascii="宋体" w:hAnsi="宋体" w:cs="宋体" w:eastAsia="宋体" w:hint="default"/>
                <w:sz w:val="18"/>
                <w:szCs w:val="18"/>
              </w:rPr>
            </w:pPr>
            <w:r>
              <w:rPr>
                <w:rFonts w:ascii="宋体" w:hAnsi="宋体" w:cs="宋体" w:eastAsia="宋体" w:hint="default"/>
                <w:spacing w:val="88"/>
                <w:sz w:val="18"/>
                <w:szCs w:val="18"/>
              </w:rPr>
              <w:t>正普双频充值机嵌入式软</w:t>
            </w:r>
            <w:r>
              <w:rPr>
                <w:rFonts w:ascii="宋体" w:hAnsi="宋体" w:cs="宋体" w:eastAsia="宋体" w:hint="default"/>
                <w:sz w:val="18"/>
                <w:szCs w:val="18"/>
              </w:rPr>
              <w:t>件</w:t>
            </w:r>
            <w:r>
              <w:rPr>
                <w:rFonts w:ascii="宋体" w:hAnsi="宋体" w:cs="宋体" w:eastAsia="宋体" w:hint="default"/>
                <w:spacing w:val="-2"/>
                <w:sz w:val="18"/>
                <w:szCs w:val="18"/>
              </w:rPr>
              <w:t> </w:t>
            </w:r>
            <w:r>
              <w:rPr>
                <w:rFonts w:ascii="宋体" w:hAnsi="宋体" w:cs="宋体" w:eastAsia="宋体" w:hint="default"/>
                <w:sz w:val="18"/>
                <w:szCs w:val="18"/>
              </w:rPr>
            </w:r>
          </w:p>
          <w:p>
            <w:pPr>
              <w:pStyle w:val="TableParagraph"/>
              <w:spacing w:line="240" w:lineRule="auto" w:before="76"/>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ECARD-M</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30</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正普读卡身份认证终端嵌入式软件</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新开普校友服务系统</w:t>
            </w:r>
            <w:r>
              <w:rPr>
                <w:rFonts w:ascii="Times New Roman" w:hAnsi="Times New Roman" w:cs="Times New Roman" w:eastAsia="Times New Roman" w:hint="default"/>
                <w:sz w:val="18"/>
                <w:szCs w:val="18"/>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新开普能源监管系统</w:t>
            </w:r>
            <w:r>
              <w:rPr>
                <w:rFonts w:ascii="Times New Roman" w:hAnsi="Times New Roman" w:cs="Times New Roman" w:eastAsia="Times New Roman" w:hint="default"/>
                <w:sz w:val="18"/>
                <w:szCs w:val="18"/>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新开普掌上校园系统</w:t>
            </w:r>
            <w:r>
              <w:rPr>
                <w:rFonts w:ascii="Times New Roman" w:hAnsi="Times New Roman" w:cs="Times New Roman" w:eastAsia="Times New Roman" w:hint="default"/>
                <w:sz w:val="18"/>
                <w:szCs w:val="18"/>
              </w:rPr>
              <w:t>V3.0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新开普就业服务管理系统</w:t>
            </w:r>
            <w:r>
              <w:rPr>
                <w:rFonts w:ascii="Times New Roman" w:hAnsi="Times New Roman" w:cs="Times New Roman" w:eastAsia="Times New Roman" w:hint="default"/>
                <w:sz w:val="18"/>
                <w:szCs w:val="18"/>
              </w:rPr>
              <w:t>V3.0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新开普学生收费管理系统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36</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新开普学生工作管理系统</w:t>
            </w:r>
            <w:r>
              <w:rPr>
                <w:rFonts w:ascii="Times New Roman" w:hAnsi="Times New Roman" w:cs="Times New Roman" w:eastAsia="Times New Roman" w:hint="default"/>
                <w:sz w:val="18"/>
                <w:szCs w:val="18"/>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新开普智能卡操作系统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新开普宿舍信息管理系统</w:t>
            </w:r>
            <w:r>
              <w:rPr>
                <w:rFonts w:ascii="Times New Roman" w:hAnsi="Times New Roman" w:cs="Times New Roman" w:eastAsia="Times New Roman" w:hint="default"/>
                <w:sz w:val="18"/>
                <w:szCs w:val="18"/>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新开普校情分析系统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DGY-2013-0461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新开普招生管理系统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DGY-2013-0462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正普数据交换中心平台</w:t>
            </w:r>
            <w:r>
              <w:rPr>
                <w:rFonts w:ascii="Times New Roman" w:hAnsi="Times New Roman" w:cs="Times New Roman" w:eastAsia="Times New Roman" w:hint="default"/>
                <w:sz w:val="18"/>
                <w:szCs w:val="18"/>
              </w:rPr>
              <w:t>V3.0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DGY-2013-0463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42</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正普人事信息管理系统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DGY-2013-0464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正普电子离校管理系统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DGY-2013-0465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r>
        <w:trPr>
          <w:trHeight w:val="34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44</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4"/>
              <w:jc w:val="left"/>
              <w:rPr>
                <w:rFonts w:ascii="宋体" w:hAnsi="宋体" w:cs="宋体" w:eastAsia="宋体" w:hint="default"/>
                <w:sz w:val="18"/>
                <w:szCs w:val="18"/>
              </w:rPr>
            </w:pPr>
            <w:r>
              <w:rPr>
                <w:rFonts w:ascii="宋体" w:hAnsi="宋体" w:cs="宋体" w:eastAsia="宋体" w:hint="default"/>
                <w:spacing w:val="15"/>
                <w:sz w:val="18"/>
                <w:szCs w:val="18"/>
              </w:rPr>
              <w:t>新开普电力线载波通信单元固件系统</w:t>
            </w:r>
            <w:r>
              <w:rPr>
                <w:rFonts w:ascii="宋体" w:hAnsi="宋体" w:cs="宋体" w:eastAsia="宋体" w:hint="default"/>
                <w:spacing w:val="-74"/>
                <w:sz w:val="18"/>
                <w:szCs w:val="18"/>
              </w:rPr>
              <w:t> </w:t>
            </w:r>
            <w:r>
              <w:rPr>
                <w:rFonts w:ascii="宋体" w:hAnsi="宋体" w:cs="宋体" w:eastAsia="宋体" w:hint="default"/>
                <w:sz w:val="18"/>
                <w:szCs w:val="18"/>
              </w:rPr>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DGY-2014-0167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2014.9.23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724"/>
        <w:gridCol w:w="3158"/>
        <w:gridCol w:w="1236"/>
        <w:gridCol w:w="1985"/>
        <w:gridCol w:w="1056"/>
        <w:gridCol w:w="1400"/>
      </w:tblGrid>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V1.0</w:t>
            </w:r>
          </w:p>
        </w:tc>
        <w:tc>
          <w:tcPr>
            <w:tcW w:w="1236"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45</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新开普城市一卡通资金清算平台</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659"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46</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2"/>
              <w:jc w:val="left"/>
              <w:rPr>
                <w:rFonts w:ascii="宋体" w:hAnsi="宋体" w:cs="宋体" w:eastAsia="宋体" w:hint="default"/>
                <w:sz w:val="18"/>
                <w:szCs w:val="18"/>
              </w:rPr>
            </w:pPr>
            <w:r>
              <w:rPr>
                <w:rFonts w:ascii="宋体" w:hAnsi="宋体" w:cs="宋体" w:eastAsia="宋体" w:hint="default"/>
                <w:spacing w:val="3"/>
                <w:sz w:val="18"/>
                <w:szCs w:val="18"/>
              </w:rPr>
              <w:t>新开普金融</w:t>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卡行业应用运营服务平台</w:t>
            </w:r>
            <w:r>
              <w:rPr>
                <w:rFonts w:ascii="宋体" w:hAnsi="宋体" w:cs="宋体" w:eastAsia="宋体" w:hint="default"/>
                <w:sz w:val="18"/>
                <w:szCs w:val="18"/>
              </w:rPr>
            </w:r>
          </w:p>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34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47</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新开普在线支付平台</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3"/>
              <w:jc w:val="right"/>
              <w:rPr>
                <w:rFonts w:ascii="Times New Roman" w:hAnsi="Times New Roman" w:cs="Times New Roman" w:eastAsia="Times New Roman" w:hint="default"/>
                <w:sz w:val="18"/>
                <w:szCs w:val="18"/>
              </w:rPr>
            </w:pPr>
            <w:r>
              <w:rPr>
                <w:rFonts w:ascii="Times New Roman"/>
                <w:sz w:val="18"/>
              </w:rPr>
              <w:t>48</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新开普自助现金充值系统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49</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新开普门锁管理系统</w:t>
            </w:r>
            <w:r>
              <w:rPr>
                <w:rFonts w:ascii="Times New Roman" w:hAnsi="Times New Roman" w:cs="Times New Roman" w:eastAsia="Times New Roman" w:hint="default"/>
                <w:sz w:val="18"/>
                <w:szCs w:val="18"/>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50</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w:t>
            </w:r>
            <w:r>
              <w:rPr>
                <w:rFonts w:ascii="Times New Roman" w:hAnsi="Times New Roman" w:cs="Times New Roman" w:eastAsia="Times New Roman" w:hint="default"/>
                <w:sz w:val="18"/>
                <w:szCs w:val="18"/>
              </w:rPr>
              <w:t>P101</w:t>
            </w:r>
            <w:r>
              <w:rPr>
                <w:rFonts w:ascii="宋体" w:hAnsi="宋体" w:cs="宋体" w:eastAsia="宋体" w:hint="default"/>
                <w:sz w:val="18"/>
                <w:szCs w:val="18"/>
              </w:rPr>
              <w:t>数据网关嵌入式软件</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51</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新开普研究生管理系统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347"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52</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新开普教务管理系统</w:t>
            </w:r>
            <w:r>
              <w:rPr>
                <w:rFonts w:ascii="Times New Roman" w:hAnsi="Times New Roman" w:cs="Times New Roman" w:eastAsia="Times New Roman" w:hint="default"/>
                <w:sz w:val="18"/>
                <w:szCs w:val="18"/>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660"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53</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3"/>
              <w:jc w:val="left"/>
              <w:rPr>
                <w:rFonts w:ascii="宋体" w:hAnsi="宋体" w:cs="宋体" w:eastAsia="宋体" w:hint="default"/>
                <w:sz w:val="18"/>
                <w:szCs w:val="18"/>
              </w:rPr>
            </w:pPr>
            <w:r>
              <w:rPr>
                <w:rFonts w:ascii="宋体" w:hAnsi="宋体" w:cs="宋体" w:eastAsia="宋体" w:hint="default"/>
                <w:spacing w:val="2"/>
                <w:sz w:val="18"/>
                <w:szCs w:val="18"/>
              </w:rPr>
              <w:t>新开普</w:t>
            </w:r>
            <w:r>
              <w:rPr>
                <w:rFonts w:ascii="Times New Roman" w:hAnsi="Times New Roman" w:cs="Times New Roman" w:eastAsia="Times New Roman" w:hint="default"/>
                <w:spacing w:val="2"/>
                <w:sz w:val="18"/>
                <w:szCs w:val="18"/>
              </w:rPr>
              <w:t>R108</w:t>
            </w:r>
            <w:r>
              <w:rPr>
                <w:rFonts w:ascii="宋体" w:hAnsi="宋体" w:cs="宋体" w:eastAsia="宋体" w:hint="default"/>
                <w:spacing w:val="2"/>
                <w:sz w:val="18"/>
                <w:szCs w:val="18"/>
              </w:rPr>
              <w:t>智能膜式燃气表嵌入式软件</w:t>
            </w:r>
            <w:r>
              <w:rPr>
                <w:rFonts w:ascii="宋体" w:hAnsi="宋体" w:cs="宋体" w:eastAsia="宋体" w:hint="default"/>
                <w:sz w:val="18"/>
                <w:szCs w:val="18"/>
              </w:rPr>
            </w:r>
          </w:p>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V3.0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2014.7.29</w:t>
            </w:r>
          </w:p>
        </w:tc>
      </w:tr>
      <w:tr>
        <w:trPr>
          <w:trHeight w:val="659"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54</w:t>
            </w:r>
          </w:p>
        </w:tc>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3"/>
              <w:jc w:val="left"/>
              <w:rPr>
                <w:rFonts w:ascii="宋体" w:hAnsi="宋体" w:cs="宋体" w:eastAsia="宋体" w:hint="default"/>
                <w:sz w:val="18"/>
                <w:szCs w:val="18"/>
              </w:rPr>
            </w:pPr>
            <w:r>
              <w:rPr>
                <w:rFonts w:ascii="宋体" w:hAnsi="宋体" w:cs="宋体" w:eastAsia="宋体" w:hint="default"/>
                <w:spacing w:val="2"/>
                <w:sz w:val="18"/>
                <w:szCs w:val="18"/>
              </w:rPr>
              <w:t>新开普</w:t>
            </w:r>
            <w:r>
              <w:rPr>
                <w:rFonts w:ascii="Times New Roman" w:hAnsi="Times New Roman" w:cs="Times New Roman" w:eastAsia="Times New Roman" w:hint="default"/>
                <w:spacing w:val="2"/>
                <w:sz w:val="18"/>
                <w:szCs w:val="18"/>
              </w:rPr>
              <w:t>R208</w:t>
            </w:r>
            <w:r>
              <w:rPr>
                <w:rFonts w:ascii="宋体" w:hAnsi="宋体" w:cs="宋体" w:eastAsia="宋体" w:hint="default"/>
                <w:spacing w:val="2"/>
                <w:sz w:val="18"/>
                <w:szCs w:val="18"/>
              </w:rPr>
              <w:t>智能流量控制阀嵌入式软件</w:t>
            </w:r>
            <w:r>
              <w:rPr>
                <w:rFonts w:ascii="宋体" w:hAnsi="宋体" w:cs="宋体" w:eastAsia="宋体" w:hint="default"/>
                <w:sz w:val="18"/>
                <w:szCs w:val="18"/>
              </w:rPr>
            </w:r>
          </w:p>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V3.0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DGY-2014-0212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2014.7.29</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3"/>
        <w:gridCol w:w="930"/>
        <w:gridCol w:w="1057"/>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31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02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上海微令信息科技有限公 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3"/>
              <w:jc w:val="left"/>
              <w:rPr>
                <w:rFonts w:ascii="宋体" w:hAnsi="宋体" w:cs="宋体" w:eastAsia="宋体" w:hint="default"/>
                <w:sz w:val="18"/>
                <w:szCs w:val="18"/>
              </w:rPr>
            </w:pPr>
            <w:r>
              <w:rPr>
                <w:rFonts w:ascii="宋体" w:hAnsi="宋体" w:cs="宋体" w:eastAsia="宋体" w:hint="default"/>
                <w:sz w:val="18"/>
                <w:szCs w:val="18"/>
              </w:rPr>
              <w:t>移动互联网、信息技 术服务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25.00%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彭一楠、尹文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-274,035.35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before="51"/>
        <w:ind w:left="154"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03"/>
        <w:ind w:left="153"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募集资金总体使用情况</w:t>
      </w:r>
    </w:p>
    <w:p>
      <w:pPr>
        <w:spacing w:before="103"/>
        <w:ind w:left="153"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089" w:space="6649"/>
            <w:col w:w="121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2"/>
        <w:gridCol w:w="5496"/>
      </w:tblGrid>
      <w:tr>
        <w:trPr>
          <w:trHeight w:val="402" w:hRule="exact"/>
        </w:trPr>
        <w:tc>
          <w:tcPr>
            <w:tcW w:w="4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29,902.66</w:t>
            </w:r>
          </w:p>
        </w:tc>
      </w:tr>
      <w:tr>
        <w:trPr>
          <w:trHeight w:val="402" w:hRule="exact"/>
        </w:trPr>
        <w:tc>
          <w:tcPr>
            <w:tcW w:w="4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6,787.48</w:t>
            </w:r>
          </w:p>
        </w:tc>
      </w:tr>
      <w:tr>
        <w:trPr>
          <w:trHeight w:val="402" w:hRule="exact"/>
        </w:trPr>
        <w:tc>
          <w:tcPr>
            <w:tcW w:w="4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23,609.76</w:t>
            </w:r>
          </w:p>
        </w:tc>
      </w:tr>
      <w:tr>
        <w:trPr>
          <w:trHeight w:val="402" w:hRule="exact"/>
        </w:trPr>
        <w:tc>
          <w:tcPr>
            <w:tcW w:w="4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91.2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8"/>
                    <w:gridCol w:w="5479"/>
                  </w:tblGrid>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01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①募集资金金额及到位情况：中国证监会监督管理委员会《关于核准郑州新开普电子股份有限公司首次公开发行股票并在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创业板上市的批复》（证监许可</w:t>
                        </w:r>
                        <w:r>
                          <w:rPr>
                            <w:rFonts w:ascii="Times New Roman" w:hAnsi="Times New Roman" w:cs="Times New Roman" w:eastAsia="Times New Roman" w:hint="default"/>
                            <w:spacing w:val="-5"/>
                            <w:sz w:val="18"/>
                            <w:szCs w:val="18"/>
                          </w:rPr>
                          <w:t>[2011]1067</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号）核准，向社会公众发行人民币普通股 </w:t>
                        </w:r>
                        <w:r>
                          <w:rPr>
                            <w:rFonts w:ascii="Times New Roman" w:hAnsi="Times New Roman" w:cs="Times New Roman" w:eastAsia="Times New Roman" w:hint="default"/>
                            <w:sz w:val="18"/>
                            <w:szCs w:val="18"/>
                          </w:rPr>
                          <w:t>1,120 </w:t>
                        </w:r>
                        <w:r>
                          <w:rPr>
                            <w:rFonts w:ascii="宋体" w:hAnsi="宋体" w:cs="宋体" w:eastAsia="宋体" w:hint="default"/>
                            <w:sz w:val="18"/>
                            <w:szCs w:val="18"/>
                          </w:rPr>
                          <w:t>万股，股票面值为人民币</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1.00</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元，发行价格每股人民币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元，公司募集资金总额为人民币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33,600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万元，扣除各项发行费用合计人民币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3,697.34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实际募集资金净额为人民币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29,902.66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万元，其中其他与主营业务相关的营运资金（超募资金）人民币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13,877.56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万元。利</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安达会计师事务所有限责任公司已对公司首次公开发行股票的资金到位情况进行了审验，并出具利安达验字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1067 </w:t>
                        </w:r>
                        <w:r>
                          <w:rPr>
                            <w:rFonts w:ascii="宋体" w:hAnsi="宋体" w:cs="宋体" w:eastAsia="宋体" w:hint="default"/>
                            <w:spacing w:val="-5"/>
                            <w:sz w:val="18"/>
                            <w:szCs w:val="18"/>
                          </w:rPr>
                          <w:t>号《验资报告》。根据《深圳证券交易所创业板股票上市规则》、《深圳证券交易所创业板上市公司规范运作指引》等相关</w:t>
                        </w:r>
                        <w:r>
                          <w:rPr>
                            <w:rFonts w:ascii="宋体" w:hAnsi="宋体" w:cs="宋体" w:eastAsia="宋体" w:hint="default"/>
                            <w:sz w:val="18"/>
                            <w:szCs w:val="18"/>
                          </w:rPr>
                          <w:t> </w:t>
                        </w:r>
                        <w:r>
                          <w:rPr>
                            <w:rFonts w:ascii="宋体" w:hAnsi="宋体" w:cs="宋体" w:eastAsia="宋体" w:hint="default"/>
                            <w:spacing w:val="-1"/>
                            <w:sz w:val="18"/>
                            <w:szCs w:val="18"/>
                          </w:rPr>
                          <w:t>法律法规，公司与保荐机构南京证券股份有限公司分别与中国银行股份有限公司郑州高新技术开发区支行、交通银行股份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有限公司郑州高新技术开发区支行两家银行签订《募集资金三方监管协议》，对公司募集资金进行监管，并开设了募集资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金专用账户。</w:t>
                        </w:r>
                      </w:p>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②募集资金的实际使用情况：公司募集资金总额为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29,902.66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万元，报告期投入募集资金总额为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6,787.48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万元，已累计投</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23,609.76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日，募投项目使用情况：</w:t>
                        </w: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ⅰ</w:t>
                        </w:r>
                        <w:r>
                          <w:rPr>
                            <w:rFonts w:ascii="Times New Roman" w:hAnsi="Times New Roman" w:cs="Times New Roman" w:eastAsia="Times New Roman" w:hint="default"/>
                            <w:sz w:val="18"/>
                            <w:szCs w:val="18"/>
                          </w:rPr>
                          <w:t>.</w:t>
                        </w:r>
                        <w:r>
                          <w:rPr>
                            <w:rFonts w:ascii="宋体" w:hAnsi="宋体" w:cs="宋体" w:eastAsia="宋体" w:hint="default"/>
                            <w:sz w:val="18"/>
                            <w:szCs w:val="18"/>
                          </w:rPr>
                          <w:t>智能一卡通整体解决方案技术升级及产业化项目支出为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10,097.36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ⅱ</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研发中心升级扩建项目支出为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3,757.82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ⅲ</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营销与客服网络扩建项目支出为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2,254.58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日，超募资金使用情况：</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ⅰ</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日，公司第二届董事会第三次会议及第二届监事会第二次会议审议通过了《关于使用部分超募资金提前</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pacing w:val="-6"/>
                            <w:sz w:val="18"/>
                            <w:szCs w:val="18"/>
                          </w:rPr>
                          <w:t>偿还银行贷款暨超募资金使用计划的议案》，决定使用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万元超募资金偿还银行贷款；剩余超募资金公司将根据自身发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展规划及实际生产经营需求，按照中国证券监督管理委员会和深圳证券交易所的有关规定，围绕主营业务合理规划资金用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途，谨慎、认真地制订使用计划；公司在实际使用超募资金前，将履行相应的董事会、股东大会等审议程序，并及时披露</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万元银行贷款已全部偿还完毕；</w:t>
                        </w:r>
                      </w:p>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ⅱ</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日，公司第二届董事会第三次会议及第二届监事会第二次会议审议通过了《关于使用闲置募集资金暂时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同意公司使用部分闲置募集资金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w:t>
                        </w:r>
                        <w:r>
                          <w:rPr>
                            <w:rFonts w:ascii="宋体" w:hAnsi="宋体" w:cs="宋体" w:eastAsia="宋体" w:hint="default"/>
                            <w:spacing w:val="-36"/>
                            <w:sz w:val="18"/>
                            <w:szCs w:val="18"/>
                          </w:rPr>
                          <w:t>，</w:t>
                        </w:r>
                        <w:r>
                          <w:rPr>
                            <w:rFonts w:ascii="宋体" w:hAnsi="宋体" w:cs="宋体" w:eastAsia="宋体" w:hint="default"/>
                            <w:sz w:val="18"/>
                            <w:szCs w:val="18"/>
                          </w:rPr>
                          <w:t>补充流动资金使用期限自董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事会批准之日起期限不超过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个月，到期前，公司及时、足额将上述资金归还至募集资金专户。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日，公司已</w:t>
                        </w:r>
                      </w:p>
                      <w:p>
                        <w:pPr>
                          <w:pStyle w:val="TableParagraph"/>
                          <w:spacing w:line="302" w:lineRule="auto" w:before="63"/>
                          <w:ind w:left="22" w:right="41"/>
                          <w:jc w:val="left"/>
                          <w:rPr>
                            <w:rFonts w:ascii="宋体" w:hAnsi="宋体" w:cs="宋体" w:eastAsia="宋体" w:hint="default"/>
                            <w:sz w:val="18"/>
                            <w:szCs w:val="18"/>
                          </w:rPr>
                        </w:pPr>
                        <w:r>
                          <w:rPr>
                            <w:rFonts w:ascii="宋体" w:hAnsi="宋体" w:cs="宋体" w:eastAsia="宋体" w:hint="default"/>
                            <w:sz w:val="18"/>
                            <w:szCs w:val="18"/>
                          </w:rPr>
                          <w:t>将合计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万元一次性归还至公司募集资金专户，并于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日予以公告，同时将上述募集资金的归还情况通 知了保荐机构及保荐代表人；</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ⅲ</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日，公司第二届董事会第六次会议及第二届监事会第四次会议审议通过了《关于继续使用部分闲置募集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同意公司继续使用部分闲置募集资金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万元暂时补充流动资金计划</w:t>
                        </w:r>
                        <w:r>
                          <w:rPr>
                            <w:rFonts w:ascii="宋体" w:hAnsi="宋体" w:cs="宋体" w:eastAsia="宋体" w:hint="default"/>
                            <w:spacing w:val="-36"/>
                            <w:sz w:val="18"/>
                            <w:szCs w:val="18"/>
                          </w:rPr>
                          <w:t>，</w:t>
                        </w:r>
                        <w:r>
                          <w:rPr>
                            <w:rFonts w:ascii="宋体" w:hAnsi="宋体" w:cs="宋体" w:eastAsia="宋体" w:hint="default"/>
                            <w:sz w:val="18"/>
                            <w:szCs w:val="18"/>
                          </w:rPr>
                          <w:t>使用计划自公告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之日起开始实施，使用期限不超过六个月。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万元人民币一次性归还至公司募集资金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专户，并于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日予以公告，同时将上述募集资金的归还情况通知了保荐机构及保荐代表人；</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ⅳ</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日，公司第二届董事会第十二次会议及第二届监事会第七次会议审议通过了《关于使用部分超募资金永</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pacing w:val="-6"/>
                            <w:sz w:val="18"/>
                            <w:szCs w:val="18"/>
                          </w:rPr>
                          <w:t>久补充流动资金的议案》，同意公司使用部分超募资金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万元用于永久补充流动资金，剩余超募资金公司将根据自身发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展规划及实际生产经营需求，按照中国证券监督管理委员会和深圳证券交易所的有关规定，围绕主营业务合理规划资金用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途，谨慎、认真地制订使用计划。</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日，公司第二届董事会第十七次会议及第二届监事会第十二次会议审议通过了《关于继续使用部分闲置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募集资金暂时补充流动资金的议案</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同意公司继续使用部分闲置募集资金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万元暂时性补充流动资金</w:t>
                        </w:r>
                        <w:r>
                          <w:rPr>
                            <w:rFonts w:ascii="宋体" w:hAnsi="宋体" w:cs="宋体" w:eastAsia="宋体" w:hint="default"/>
                            <w:spacing w:val="-36"/>
                            <w:sz w:val="18"/>
                            <w:szCs w:val="18"/>
                          </w:rPr>
                          <w:t>，</w:t>
                        </w:r>
                        <w:r>
                          <w:rPr>
                            <w:rFonts w:ascii="宋体" w:hAnsi="宋体" w:cs="宋体" w:eastAsia="宋体" w:hint="default"/>
                            <w:sz w:val="18"/>
                            <w:szCs w:val="18"/>
                          </w:rPr>
                          <w:t>使用期限为自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董事会批准之日起不超过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个月，到期将及时、足额将上述资金归还至募集资金专户。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日，公司将合计</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万元人民币一次性归还至公司募集资金专户，并将上述募集资金的归还情况通知了保荐机构及保荐代表人。</w:t>
                        </w:r>
                      </w:p>
                      <w:p>
                        <w:pPr>
                          <w:pStyle w:val="TableParagraph"/>
                          <w:spacing w:line="300" w:lineRule="auto" w:before="102"/>
                          <w:ind w:left="22" w:right="20"/>
                          <w:jc w:val="left"/>
                          <w:rPr>
                            <w:rFonts w:ascii="宋体" w:hAnsi="宋体" w:cs="宋体" w:eastAsia="宋体" w:hint="default"/>
                            <w:sz w:val="18"/>
                            <w:szCs w:val="18"/>
                          </w:rPr>
                        </w:pPr>
                        <w:r>
                          <w:rPr>
                            <w:rFonts w:ascii="宋体" w:hAnsi="宋体" w:cs="宋体" w:eastAsia="宋体" w:hint="default"/>
                            <w:sz w:val="18"/>
                            <w:szCs w:val="18"/>
                          </w:rPr>
                          <w:t>ⅵ</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为满足公司业务发展的资金需求，合理分配资源，提高募集资金的使用效率，降低公司财务费用，同时在保证募集资 金投资项目的资金需求以及募集资金使用计划正常进行的前提下，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日，经公司第二届董事会第十九次会议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spacing w:line="2334" w:lineRule="exact"/>
        <w:ind w:left="144"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481.95pt;height:116.7pt;mso-position-horizontal-relative:char;mso-position-vertical-relative:line" coordorigin="0,0" coordsize="9639,2334">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2325" coordorigin="10,5" coordsize="2,2325">
              <v:shape style="position:absolute;left:10;top:5;width:2;height:2325" coordorigin="10,5" coordsize="0,2325" path="m10,5l10,2329e" filled="false" stroked="true" strokeweight=".48001pt" strokecolor="#000000">
                <v:path arrowok="t"/>
              </v:shape>
            </v:group>
            <v:group style="position:absolute;left:5;top:2324;width:9568;height:2" coordorigin="5,2324" coordsize="9568,2">
              <v:shape style="position:absolute;left:5;top:2324;width:9568;height:2" coordorigin="5,2324" coordsize="9568,0" path="m5,2324l9572,2324e" filled="false" stroked="true" strokeweight=".47998pt" strokecolor="#000000">
                <v:path arrowok="t"/>
              </v:shape>
            </v:group>
            <v:group style="position:absolute;left:9577;top:5;width:2;height:2325" coordorigin="9577,5" coordsize="2,2325">
              <v:shape style="position:absolute;left:9577;top:5;width:2;height:2325" coordorigin="9577,5" coordsize="0,2325" path="m9577,5l9577,2329e" filled="false" stroked="true" strokeweight=".47998pt" strokecolor="#000000">
                <v:path arrowok="t"/>
              </v:shape>
              <v:shape style="position:absolute;left:0;top:0;width:9639;height:2334" type="#_x0000_t202" filled="false" stroked="false">
                <v:textbox inset="0,0,0,0">
                  <w:txbxContent>
                    <w:p>
                      <w:pPr>
                        <w:spacing w:before="25"/>
                        <w:ind w:left="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及第二届监事会第十四次会议通过，公司使用部分超募资金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万元用于永久补充流动资金。该事项已经由公司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spacing w:line="309" w:lineRule="auto" w:before="63"/>
                        <w:ind w:left="37"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年第三次临时股东大会审议通过。剩余超募资金公司将根据自身发展规划及实际生产经营需求， 按照中国证券监督管理委员会和深圳证券交易所的有关规定，围绕主营业务合理规划资金用途，谨慎、认真地制订使用计 划。</w:t>
                      </w:r>
                    </w:p>
                    <w:p>
                      <w:pPr>
                        <w:spacing w:before="65"/>
                        <w:ind w:left="37" w:right="0" w:firstLine="0"/>
                        <w:jc w:val="left"/>
                        <w:rPr>
                          <w:rFonts w:ascii="宋体" w:hAnsi="宋体" w:cs="宋体" w:eastAsia="宋体" w:hint="default"/>
                          <w:sz w:val="18"/>
                          <w:szCs w:val="18"/>
                        </w:rPr>
                      </w:pPr>
                      <w:r>
                        <w:rPr>
                          <w:rFonts w:ascii="宋体" w:hAnsi="宋体" w:cs="宋体" w:eastAsia="宋体" w:hint="default"/>
                          <w:sz w:val="18"/>
                          <w:szCs w:val="18"/>
                        </w:rPr>
                        <w:t>③募集资金投向变更情况：报告期内，公司不存在募集资金投向变更的情形。</w:t>
                      </w:r>
                    </w:p>
                    <w:p>
                      <w:pPr>
                        <w:spacing w:line="319" w:lineRule="auto" w:before="115"/>
                        <w:ind w:left="37" w:right="88" w:firstLine="0"/>
                        <w:jc w:val="left"/>
                        <w:rPr>
                          <w:rFonts w:ascii="宋体" w:hAnsi="宋体" w:cs="宋体" w:eastAsia="宋体" w:hint="default"/>
                          <w:sz w:val="18"/>
                          <w:szCs w:val="18"/>
                        </w:rPr>
                      </w:pPr>
                      <w:r>
                        <w:rPr>
                          <w:rFonts w:ascii="宋体" w:hAnsi="宋体" w:cs="宋体" w:eastAsia="宋体" w:hint="default"/>
                          <w:spacing w:val="-1"/>
                          <w:sz w:val="18"/>
                          <w:szCs w:val="18"/>
                        </w:rPr>
                        <w:t>④募集资金使用及披露中存在的问题：报告期内，公司募集资金使用情况的披露与实际使用情况相符，不存在未及时、真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实、准确、完整披露的情况，也不存在募集资金违规使用的情形。</w:t>
                      </w:r>
                    </w:p>
                  </w:txbxContent>
                </v:textbox>
                <w10:wrap type="none"/>
              </v:shape>
            </v:group>
          </v:group>
        </w:pict>
      </w:r>
      <w:r>
        <w:rPr>
          <w:rFonts w:ascii="宋体" w:hAnsi="宋体" w:cs="宋体" w:eastAsia="宋体" w:hint="default"/>
          <w:position w:val="-46"/>
          <w:sz w:val="20"/>
          <w:szCs w:val="20"/>
        </w:rPr>
      </w:r>
    </w:p>
    <w:p>
      <w:pPr>
        <w:spacing w:after="0" w:line="2334" w:lineRule="exact"/>
        <w:rPr>
          <w:rFonts w:ascii="宋体" w:hAnsi="宋体" w:cs="宋体" w:eastAsia="宋体" w:hint="default"/>
          <w:sz w:val="20"/>
          <w:szCs w:val="20"/>
        </w:rPr>
        <w:sectPr>
          <w:pgSz w:w="11910" w:h="16840"/>
          <w:pgMar w:header="877" w:footer="982" w:top="1100" w:bottom="1180" w:left="980" w:right="860"/>
        </w:sectPr>
      </w:pPr>
    </w:p>
    <w:p>
      <w:pPr>
        <w:spacing w:before="46"/>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募集资金承诺项目情况</w:t>
      </w:r>
    </w:p>
    <w:p>
      <w:pPr>
        <w:spacing w:before="102"/>
        <w:ind w:left="153"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860"/>
          <w:cols w:num="2" w:equalWidth="0">
            <w:col w:w="2089" w:space="6650"/>
            <w:col w:w="133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105" w:firstLine="0"/>
        <w:jc w:val="right"/>
        <w:rPr>
          <w:rFonts w:ascii="宋体" w:hAnsi="宋体" w:cs="宋体" w:eastAsia="宋体" w:hint="default"/>
          <w:sz w:val="18"/>
          <w:szCs w:val="18"/>
        </w:rPr>
      </w:pPr>
      <w:r>
        <w:rPr/>
        <w:pict>
          <v:shape style="position:absolute;margin-left:56.459999pt;margin-top:-411.347961pt;width:487.8pt;height:520.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8"/>
                    <w:gridCol w:w="648"/>
                    <w:gridCol w:w="90"/>
                    <w:gridCol w:w="720"/>
                    <w:gridCol w:w="721"/>
                    <w:gridCol w:w="720"/>
                    <w:gridCol w:w="886"/>
                    <w:gridCol w:w="730"/>
                    <w:gridCol w:w="721"/>
                    <w:gridCol w:w="721"/>
                    <w:gridCol w:w="722"/>
                    <w:gridCol w:w="722"/>
                    <w:gridCol w:w="721"/>
                  </w:tblGrid>
                  <w:tr>
                    <w:trPr>
                      <w:trHeight w:val="1650" w:hRule="exact"/>
                    </w:trPr>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7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70"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8"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74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智能一卡通整体解 决方案技术升级及 产业化项目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10,286.6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10,286.6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4,341.64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10,097.36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研发中心升级扩建 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3,466.1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1,443.73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3,757.82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108.42%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营销与客服网络扩 建项目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2,272.4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1,002.11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2,254.58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16,025.1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6,787.48</w:t>
                        </w:r>
                      </w:p>
                    </w:tc>
                    <w:tc>
                      <w:tcPr>
                        <w:tcW w:w="88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16,109.76</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2,600.28</w:t>
                        </w:r>
                      </w:p>
                    </w:tc>
                    <w:tc>
                      <w:tcPr>
                        <w:tcW w:w="72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2,600.28</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74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61" w:hRule="exact"/>
                    </w:trPr>
                    <w:tc>
                      <w:tcPr>
                        <w:tcW w:w="161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9" w:space="0" w:color="D3D3D3"/>
                          <w:right w:val="single" w:sz="4" w:space="0" w:color="000000"/>
                        </w:tcBorders>
                      </w:tcPr>
                      <w:p>
                        <w:pPr/>
                      </w:p>
                    </w:tc>
                    <w:tc>
                      <w:tcPr>
                        <w:tcW w:w="721"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2,500</w:t>
                        </w:r>
                      </w:p>
                    </w:tc>
                    <w:tc>
                      <w:tcPr>
                        <w:tcW w:w="730" w:type="dxa"/>
                        <w:vMerge w:val="restart"/>
                        <w:tcBorders>
                          <w:top w:val="single" w:sz="4" w:space="0" w:color="000000"/>
                          <w:left w:val="single" w:sz="4" w:space="0" w:color="000000"/>
                          <w:right w:val="single" w:sz="9" w:space="0" w:color="D3D3D3"/>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618" w:type="dxa"/>
                        <w:vMerge/>
                        <w:tcBorders>
                          <w:left w:val="single" w:sz="4" w:space="0" w:color="000000"/>
                          <w:right w:val="single" w:sz="4" w:space="0" w:color="000000"/>
                        </w:tcBorders>
                        <w:shd w:val="clear" w:color="auto" w:fill="D3D3D3"/>
                      </w:tcPr>
                      <w:p>
                        <w:pPr/>
                      </w:p>
                    </w:tc>
                    <w:tc>
                      <w:tcPr>
                        <w:tcW w:w="73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3D3D3"/>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30" w:type="dxa"/>
                        <w:vMerge/>
                        <w:tcBorders>
                          <w:left w:val="single" w:sz="4" w:space="0" w:color="000000"/>
                          <w:right w:val="single" w:sz="9" w:space="0" w:color="D3D3D3"/>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8" w:type="dxa"/>
                        <w:vMerge/>
                        <w:tcBorders>
                          <w:left w:val="single" w:sz="4" w:space="0" w:color="000000"/>
                          <w:bottom w:val="single" w:sz="4" w:space="0" w:color="000000"/>
                          <w:right w:val="single" w:sz="4" w:space="0" w:color="000000"/>
                        </w:tcBorders>
                        <w:shd w:val="clear" w:color="auto" w:fill="D3D3D3"/>
                      </w:tcPr>
                      <w:p>
                        <w:pPr/>
                      </w:p>
                    </w:tc>
                    <w:tc>
                      <w:tcPr>
                        <w:tcW w:w="73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9" w:space="0" w:color="D3D3D3"/>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9" w:space="0" w:color="D3D3D3"/>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161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9" w:space="0" w:color="D3D3D3"/>
                          <w:right w:val="single" w:sz="4" w:space="0" w:color="000000"/>
                        </w:tcBorders>
                      </w:tcPr>
                      <w:p>
                        <w:pPr/>
                      </w:p>
                    </w:tc>
                    <w:tc>
                      <w:tcPr>
                        <w:tcW w:w="721"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5,000</w:t>
                        </w:r>
                      </w:p>
                    </w:tc>
                    <w:tc>
                      <w:tcPr>
                        <w:tcW w:w="730" w:type="dxa"/>
                        <w:vMerge w:val="restart"/>
                        <w:tcBorders>
                          <w:top w:val="single" w:sz="4" w:space="0" w:color="000000"/>
                          <w:left w:val="single" w:sz="4" w:space="0" w:color="000000"/>
                          <w:right w:val="single" w:sz="9" w:space="0" w:color="D3D3D3"/>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618" w:type="dxa"/>
                        <w:vMerge/>
                        <w:tcBorders>
                          <w:left w:val="single" w:sz="4" w:space="0" w:color="000000"/>
                          <w:right w:val="single" w:sz="4" w:space="0" w:color="000000"/>
                        </w:tcBorders>
                        <w:shd w:val="clear" w:color="auto" w:fill="D3D3D3"/>
                      </w:tcPr>
                      <w:p>
                        <w:pPr/>
                      </w:p>
                    </w:tc>
                    <w:tc>
                      <w:tcPr>
                        <w:tcW w:w="73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3D3D3"/>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30" w:type="dxa"/>
                        <w:vMerge/>
                        <w:tcBorders>
                          <w:left w:val="single" w:sz="4" w:space="0" w:color="000000"/>
                          <w:right w:val="single" w:sz="9" w:space="0" w:color="D3D3D3"/>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8" w:type="dxa"/>
                        <w:vMerge/>
                        <w:tcBorders>
                          <w:left w:val="single" w:sz="4" w:space="0" w:color="000000"/>
                          <w:bottom w:val="single" w:sz="4" w:space="0" w:color="000000"/>
                          <w:right w:val="single" w:sz="4" w:space="0" w:color="000000"/>
                        </w:tcBorders>
                        <w:shd w:val="clear" w:color="auto" w:fill="D3D3D3"/>
                      </w:tcPr>
                      <w:p>
                        <w:pPr/>
                      </w:p>
                    </w:tc>
                    <w:tc>
                      <w:tcPr>
                        <w:tcW w:w="73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9" w:space="0" w:color="D3D3D3"/>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9" w:space="0" w:color="D3D3D3"/>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3" w:space="0" w:color="D3D3D3"/>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7,500</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3D3D3"/>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13" w:space="0" w:color="D3D3D3"/>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16,025.1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6,787.48</w:t>
                        </w:r>
                      </w:p>
                    </w:tc>
                    <w:tc>
                      <w:tcPr>
                        <w:tcW w:w="88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23,609.76</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2,600.28</w:t>
                        </w:r>
                      </w:p>
                    </w:tc>
                    <w:tc>
                      <w:tcPr>
                        <w:tcW w:w="72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2,600.28</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609" w:hRule="exact"/>
                    </w:trPr>
                    <w:tc>
                      <w:tcPr>
                        <w:tcW w:w="1618" w:type="dxa"/>
                        <w:tcBorders>
                          <w:top w:val="single" w:sz="4" w:space="0" w:color="000000"/>
                          <w:left w:val="single" w:sz="4" w:space="0" w:color="000000"/>
                          <w:bottom w:val="nil" w:sz="6" w:space="0" w:color="auto"/>
                          <w:right w:val="single" w:sz="9" w:space="0" w:color="FFFFFF"/>
                        </w:tcBorders>
                        <w:shd w:val="clear" w:color="auto" w:fill="D3D3D3"/>
                      </w:tcPr>
                      <w:p>
                        <w:pPr/>
                      </w:p>
                    </w:tc>
                    <w:tc>
                      <w:tcPr>
                        <w:tcW w:w="8124" w:type="dxa"/>
                        <w:gridSpan w:val="12"/>
                        <w:vMerge w:val="restart"/>
                        <w:tcBorders>
                          <w:top w:val="single" w:sz="4" w:space="0" w:color="000000"/>
                          <w:left w:val="single" w:sz="9" w:space="0" w:color="FFFFFF"/>
                          <w:right w:val="single" w:sz="4" w:space="0" w:color="000000"/>
                        </w:tcBorders>
                      </w:tcPr>
                      <w:p>
                        <w:pPr>
                          <w:pStyle w:val="TableParagraph"/>
                          <w:spacing w:line="314" w:lineRule="auto" w:before="51"/>
                          <w:ind w:left="31"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日，公司募集资金投资项目“智能一卡通整体解决方案技术升级及产业化项目” </w:t>
                        </w:r>
                        <w:r>
                          <w:rPr>
                            <w:rFonts w:ascii="宋体" w:hAnsi="宋体" w:cs="宋体" w:eastAsia="宋体" w:hint="default"/>
                            <w:spacing w:val="-2"/>
                            <w:sz w:val="18"/>
                            <w:szCs w:val="18"/>
                          </w:rPr>
                          <w:t>“研发中心升级扩建项目”、“营销与客服网络扩建项目”的总体投资进度较预计进度有所滞后，主要</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原因为：三个募集资金投资项目土建工程正式开工建设后，根据公司的实际需求，对设计方案进行了部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4"/>
                            <w:sz w:val="18"/>
                            <w:szCs w:val="18"/>
                          </w:rPr>
                          <w:t>分变更及优化，变更后的方案更加符合企业的现状和未来的发展。该变更方案经报规划部门后得到审批</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在此过程中，公司为避免因赶工期而造成工程项目出现质量问题，科学合理组织施工，从而影响了工程</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进度。目前，三个募集资金投资项目所依托的主体土建工程已经完工，内部电器设备安装及装修基本可</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以达到生产设备进场条件，根据相关规定，在生产设备进场前需要进行的整体工程竣工验收等工作尚需</w:t>
                        </w:r>
                      </w:p>
                    </w:tc>
                  </w:tr>
                  <w:tr>
                    <w:trPr>
                      <w:trHeight w:val="1016" w:hRule="exact"/>
                    </w:trPr>
                    <w:tc>
                      <w:tcPr>
                        <w:tcW w:w="1618" w:type="dxa"/>
                        <w:tcBorders>
                          <w:top w:val="nil" w:sz="6" w:space="0" w:color="auto"/>
                          <w:left w:val="single" w:sz="4" w:space="0" w:color="000000"/>
                          <w:bottom w:val="nil" w:sz="6" w:space="0" w:color="auto"/>
                          <w:right w:val="single" w:sz="9" w:space="0" w:color="FFFFFF"/>
                        </w:tcBorders>
                        <w:shd w:val="clear" w:color="auto" w:fill="D3D3D3"/>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8124" w:type="dxa"/>
                        <w:gridSpan w:val="12"/>
                        <w:vMerge/>
                        <w:tcBorders>
                          <w:left w:val="single" w:sz="9" w:space="0" w:color="FFFFFF"/>
                          <w:right w:val="single" w:sz="4" w:space="0" w:color="000000"/>
                        </w:tcBorders>
                      </w:tcPr>
                      <w:p>
                        <w:pPr/>
                      </w:p>
                    </w:tc>
                  </w:tr>
                  <w:tr>
                    <w:trPr>
                      <w:trHeight w:val="609" w:hRule="exact"/>
                    </w:trPr>
                    <w:tc>
                      <w:tcPr>
                        <w:tcW w:w="1618" w:type="dxa"/>
                        <w:tcBorders>
                          <w:top w:val="nil" w:sz="6" w:space="0" w:color="auto"/>
                          <w:left w:val="single" w:sz="4" w:space="0" w:color="000000"/>
                          <w:bottom w:val="single" w:sz="4" w:space="0" w:color="000000"/>
                          <w:right w:val="single" w:sz="9" w:space="0" w:color="FFFFFF"/>
                        </w:tcBorders>
                        <w:shd w:val="clear" w:color="auto" w:fill="D3D3D3"/>
                      </w:tcPr>
                      <w:p>
                        <w:pPr/>
                      </w:p>
                    </w:tc>
                    <w:tc>
                      <w:tcPr>
                        <w:tcW w:w="8124" w:type="dxa"/>
                        <w:gridSpan w:val="12"/>
                        <w:vMerge/>
                        <w:tcBorders>
                          <w:left w:val="single" w:sz="9" w:space="0" w:color="FFFFFF"/>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65"/>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80" w:left="980" w:right="8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3"/>
        <w:gridCol w:w="8108"/>
      </w:tblGrid>
      <w:tr>
        <w:trPr>
          <w:trHeight w:val="1610"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9"/>
              <w:jc w:val="both"/>
              <w:rPr>
                <w:rFonts w:ascii="宋体" w:hAnsi="宋体" w:cs="宋体" w:eastAsia="宋体" w:hint="default"/>
                <w:sz w:val="18"/>
                <w:szCs w:val="18"/>
              </w:rPr>
            </w:pPr>
            <w:r>
              <w:rPr>
                <w:rFonts w:ascii="宋体" w:hAnsi="宋体" w:cs="宋体" w:eastAsia="宋体" w:hint="default"/>
                <w:spacing w:val="-2"/>
                <w:sz w:val="18"/>
                <w:szCs w:val="18"/>
              </w:rPr>
              <w:t>一定周期，而且新设备调试也需要一定时间，因此公司需要对募集资金投资项目实施进度进行必要的调</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日，经公司第二届董事会第二十三次会议及第二届监事会第十六次会议审议通过， </w:t>
            </w:r>
            <w:r>
              <w:rPr>
                <w:rFonts w:ascii="宋体" w:hAnsi="宋体" w:cs="宋体" w:eastAsia="宋体" w:hint="default"/>
                <w:spacing w:val="-2"/>
                <w:sz w:val="18"/>
                <w:szCs w:val="18"/>
              </w:rPr>
              <w:t>公司对募集资金项目的投资进度再次进行了调整，智能一卡通整体解决方案技术升级及产业化项目、研</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发中心升级扩建项目和营销与客服网络扩建项目达到预定可使用状态的日期均延期调整至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58"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公司超募资金金额为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13,877.56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日，公司第二届董事会第三次会议及第二届监事会第二次会议审议通过，公司使用超募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万元提前偿还银行贷款；</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日，经公司第二届董事会第十二次会议及第二届监事会第七次会议审议通过，公司使</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万元用于永久补充流动资金；</w:t>
            </w:r>
          </w:p>
          <w:p>
            <w:pPr>
              <w:pStyle w:val="TableParagraph"/>
              <w:spacing w:line="302" w:lineRule="auto" w:before="11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剩余超募资金公司将根据自身发展规划及实际生产经营需求，按照中国证券监督管理委员会和深圳证 券交易所的有关规定，围绕主营业务合理规划资金用途，谨慎、认真地制订使用计划。</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5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月公司募集资金投资项目“智能一卡通整体解决方案技术升级及产业化项目”、“研发中心 </w:t>
            </w:r>
            <w:r>
              <w:rPr>
                <w:rFonts w:ascii="宋体" w:hAnsi="宋体" w:cs="宋体" w:eastAsia="宋体" w:hint="default"/>
                <w:spacing w:val="-2"/>
                <w:sz w:val="18"/>
                <w:szCs w:val="18"/>
              </w:rPr>
              <w:t>升级扩建项目”、“营销与客服网络扩建项目”已完工转入固定资产，三项目募集资金结余金额分别为</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Times New Roman" w:hAnsi="Times New Roman" w:cs="Times New Roman" w:eastAsia="Times New Roman" w:hint="default"/>
                <w:sz w:val="18"/>
                <w:szCs w:val="18"/>
              </w:rPr>
              <w:t>189.24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-291.72 </w:t>
            </w:r>
            <w:r>
              <w:rPr>
                <w:rFonts w:ascii="宋体" w:hAnsi="宋体" w:cs="宋体" w:eastAsia="宋体" w:hint="default"/>
                <w:spacing w:val="-8"/>
                <w:sz w:val="18"/>
                <w:szCs w:val="18"/>
              </w:rPr>
              <w:t>万元（超支）、</w:t>
            </w:r>
            <w:r>
              <w:rPr>
                <w:rFonts w:ascii="Times New Roman" w:hAnsi="Times New Roman" w:cs="Times New Roman" w:eastAsia="Times New Roman" w:hint="default"/>
                <w:spacing w:val="-8"/>
                <w:sz w:val="18"/>
                <w:szCs w:val="18"/>
              </w:rPr>
              <w:t>17.82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万元，主要为部分设备实际付款金额与募集预计差异。</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存放于募集资金专户中。</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p>
      <w:pPr>
        <w:spacing w:after="0"/>
        <w:jc w:val="left"/>
        <w:rPr>
          <w:rFonts w:ascii="宋体" w:hAnsi="宋体" w:cs="宋体" w:eastAsia="宋体" w:hint="default"/>
          <w:sz w:val="18"/>
          <w:szCs w:val="18"/>
        </w:rPr>
        <w:sectPr>
          <w:pgSz w:w="11910" w:h="16840"/>
          <w:pgMar w:header="877" w:footer="982" w:top="1100" w:bottom="1180" w:left="980" w:right="900"/>
        </w:sectPr>
      </w:pPr>
    </w:p>
    <w:p>
      <w:pPr>
        <w:spacing w:line="240" w:lineRule="auto" w:before="13"/>
        <w:rPr>
          <w:rFonts w:ascii="宋体" w:hAnsi="宋体" w:cs="宋体" w:eastAsia="宋体" w:hint="default"/>
          <w:sz w:val="21"/>
          <w:szCs w:val="21"/>
        </w:rPr>
      </w:pPr>
    </w:p>
    <w:p>
      <w:pPr>
        <w:spacing w:line="348" w:lineRule="auto" w:before="44"/>
        <w:ind w:left="254" w:right="6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line="348" w:lineRule="auto" w:before="12"/>
        <w:ind w:left="254" w:right="6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 </w:t>
      </w: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before="12"/>
        <w:ind w:left="254" w:right="6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254" w:right="6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line="348" w:lineRule="auto" w:before="103"/>
        <w:ind w:left="254" w:right="7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14"/>
        <w:ind w:left="254" w:right="6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254" w:right="6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2"/>
        <w:ind w:left="254" w:right="6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254" w:right="657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880" w:right="760"/>
        </w:sectPr>
      </w:pPr>
    </w:p>
    <w:p>
      <w:pPr>
        <w:spacing w:line="340" w:lineRule="auto" w:before="44"/>
        <w:ind w:left="2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2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880" w:right="760"/>
          <w:cols w:num="2" w:equalWidth="0">
            <w:col w:w="2415" w:space="6504"/>
            <w:col w:w="1351"/>
          </w:cols>
        </w:sectPr>
      </w:pP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087"/>
        <w:gridCol w:w="1075"/>
        <w:gridCol w:w="942"/>
        <w:gridCol w:w="943"/>
        <w:gridCol w:w="943"/>
        <w:gridCol w:w="1045"/>
        <w:gridCol w:w="1019"/>
        <w:gridCol w:w="943"/>
        <w:gridCol w:w="961"/>
        <w:gridCol w:w="1076"/>
      </w:tblGrid>
      <w:tr>
        <w:trPr>
          <w:trHeight w:val="713" w:hRule="exact"/>
        </w:trPr>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both"/>
              <w:rPr>
                <w:rFonts w:ascii="宋体" w:hAnsi="宋体" w:cs="宋体" w:eastAsia="宋体" w:hint="default"/>
                <w:sz w:val="18"/>
                <w:szCs w:val="18"/>
              </w:rPr>
            </w:pPr>
            <w:r>
              <w:rPr>
                <w:rFonts w:ascii="宋体" w:hAnsi="宋体" w:cs="宋体" w:eastAsia="宋体" w:hint="default"/>
                <w:sz w:val="18"/>
                <w:szCs w:val="18"/>
              </w:rPr>
              <w:t>上海微令信 息科技有限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移动互联 </w:t>
            </w:r>
            <w:r>
              <w:rPr>
                <w:rFonts w:ascii="宋体" w:hAnsi="宋体" w:cs="宋体" w:eastAsia="宋体" w:hint="default"/>
                <w:spacing w:val="-3"/>
                <w:sz w:val="18"/>
                <w:szCs w:val="18"/>
              </w:rPr>
              <w:t>网、信息技</w:t>
            </w:r>
            <w:r>
              <w:rPr>
                <w:rFonts w:ascii="宋体" w:hAnsi="宋体" w:cs="宋体" w:eastAsia="宋体" w:hint="default"/>
                <w:sz w:val="18"/>
                <w:szCs w:val="18"/>
              </w:rPr>
              <w:t> 术服务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68.00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2,503,858.61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2,413,858.61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-1,096,141.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-1,096,141.39</w:t>
            </w:r>
          </w:p>
        </w:tc>
      </w:tr>
      <w:tr>
        <w:trPr>
          <w:trHeight w:val="102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both"/>
              <w:rPr>
                <w:rFonts w:ascii="宋体" w:hAnsi="宋体" w:cs="宋体" w:eastAsia="宋体" w:hint="default"/>
                <w:sz w:val="18"/>
                <w:szCs w:val="18"/>
              </w:rPr>
            </w:pPr>
            <w:r>
              <w:rPr>
                <w:rFonts w:ascii="宋体" w:hAnsi="宋体" w:cs="宋体" w:eastAsia="宋体" w:hint="default"/>
                <w:sz w:val="18"/>
                <w:szCs w:val="18"/>
              </w:rPr>
              <w:t>凯里智慧城 市通卡管理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计算机服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8"/>
              <w:jc w:val="left"/>
              <w:rPr>
                <w:rFonts w:ascii="宋体" w:hAnsi="宋体" w:cs="宋体" w:eastAsia="宋体" w:hint="default"/>
                <w:sz w:val="18"/>
                <w:szCs w:val="18"/>
              </w:rPr>
            </w:pPr>
            <w:r>
              <w:rPr>
                <w:rFonts w:ascii="宋体" w:hAnsi="宋体" w:cs="宋体" w:eastAsia="宋体" w:hint="default"/>
                <w:sz w:val="18"/>
                <w:szCs w:val="18"/>
              </w:rPr>
              <w:t>城市一卡 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1,521,566.48</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2,005,553.67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1087"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智能化系</w:t>
            </w:r>
          </w:p>
        </w:tc>
        <w:tc>
          <w:tcPr>
            <w:tcW w:w="943"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19"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61"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52"/>
              <w:jc w:val="both"/>
              <w:rPr>
                <w:rFonts w:ascii="宋体" w:hAnsi="宋体" w:cs="宋体" w:eastAsia="宋体" w:hint="default"/>
                <w:sz w:val="18"/>
                <w:szCs w:val="18"/>
              </w:rPr>
            </w:pPr>
            <w:r>
              <w:rPr>
                <w:rFonts w:ascii="宋体" w:hAnsi="宋体" w:cs="宋体" w:eastAsia="宋体" w:hint="default"/>
                <w:sz w:val="18"/>
                <w:szCs w:val="18"/>
              </w:rPr>
              <w:t>福建新开普 信息科技有 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统及相关 计算机软 硬件的开 发及应用</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38,543,500.2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30,151,202.8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16,855,174.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9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781,631.31</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627,774.57</w:t>
            </w:r>
          </w:p>
        </w:tc>
      </w:tr>
      <w:tr>
        <w:trPr>
          <w:trHeight w:val="357" w:hRule="exact"/>
        </w:trPr>
        <w:tc>
          <w:tcPr>
            <w:tcW w:w="1087"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43"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19"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61"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before="51"/>
        <w:ind w:left="254" w:right="657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240" w:lineRule="auto" w:before="10"/>
        <w:rPr>
          <w:rFonts w:ascii="宋体" w:hAnsi="宋体" w:cs="宋体" w:eastAsia="宋体" w:hint="default"/>
          <w:sz w:val="12"/>
          <w:szCs w:val="12"/>
        </w:rPr>
      </w:pPr>
    </w:p>
    <w:p>
      <w:pPr>
        <w:pStyle w:val="BodyText"/>
        <w:spacing w:line="408" w:lineRule="auto" w:before="0"/>
        <w:ind w:left="673" w:right="383"/>
        <w:jc w:val="left"/>
      </w:pPr>
      <w:r>
        <w:rPr/>
        <w:t>①福建新开普信息科技有限公司 福建新开普成立于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日，注册资本</w:t>
      </w:r>
      <w:r>
        <w:rPr>
          <w:rFonts w:ascii="Times New Roman" w:hAnsi="Times New Roman" w:cs="Times New Roman" w:eastAsia="Times New Roman" w:hint="default"/>
        </w:rPr>
        <w:t>3,000</w:t>
      </w:r>
      <w:r>
        <w:rPr/>
        <w:t>万元，法定代表人尚卫国。福建新开普是公司的控</w:t>
      </w:r>
    </w:p>
    <w:p>
      <w:pPr>
        <w:pStyle w:val="BodyText"/>
        <w:spacing w:line="386" w:lineRule="auto" w:before="14"/>
        <w:ind w:left="254" w:right="354"/>
        <w:jc w:val="left"/>
      </w:pPr>
      <w:r>
        <w:rPr>
          <w:spacing w:val="-1"/>
        </w:rPr>
        <w:t>股子公司，截至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日，公司持有其</w:t>
      </w:r>
      <w:r>
        <w:rPr>
          <w:rFonts w:ascii="Times New Roman" w:hAnsi="Times New Roman" w:cs="Times New Roman" w:eastAsia="Times New Roman" w:hint="default"/>
          <w:spacing w:val="-1"/>
        </w:rPr>
        <w:t>51.00%</w:t>
      </w:r>
      <w:r>
        <w:rPr>
          <w:spacing w:val="-1"/>
        </w:rPr>
        <w:t>的股份。公司住所：福州市闽侯县上街镇科技东路以</w:t>
      </w:r>
      <w:r>
        <w:rPr>
          <w:spacing w:val="-102"/>
        </w:rPr>
        <w:t> </w:t>
      </w:r>
      <w:r>
        <w:rPr>
          <w:spacing w:val="-102"/>
        </w:rPr>
      </w:r>
      <w:r>
        <w:rPr/>
        <w:t>南</w:t>
      </w:r>
      <w:r>
        <w:rPr>
          <w:rFonts w:ascii="Times New Roman" w:hAnsi="Times New Roman" w:cs="Times New Roman" w:eastAsia="Times New Roman" w:hint="default"/>
        </w:rPr>
        <w:t>“</w:t>
      </w:r>
      <w:r>
        <w:rPr/>
        <w:t>海西高新技术产业园</w:t>
      </w:r>
      <w:r>
        <w:rPr>
          <w:rFonts w:ascii="Times New Roman" w:hAnsi="Times New Roman" w:cs="Times New Roman" w:eastAsia="Times New Roman" w:hint="default"/>
        </w:rPr>
        <w:t>”</w:t>
      </w:r>
      <w:r>
        <w:rPr/>
        <w:t>创新楼</w:t>
      </w:r>
      <w:r>
        <w:rPr>
          <w:rFonts w:ascii="Times New Roman" w:hAnsi="Times New Roman" w:cs="Times New Roman" w:eastAsia="Times New Roman" w:hint="default"/>
        </w:rPr>
        <w:t>8</w:t>
      </w:r>
      <w:r>
        <w:rPr/>
        <w:t>号楼</w:t>
      </w:r>
      <w:r>
        <w:rPr>
          <w:rFonts w:ascii="Times New Roman" w:hAnsi="Times New Roman" w:cs="Times New Roman" w:eastAsia="Times New Roman" w:hint="default"/>
        </w:rPr>
        <w:t>2</w:t>
      </w:r>
      <w:r>
        <w:rPr/>
        <w:t>层。公司主要经营范围是：计算机系统集成及维护；能源监管平台</w:t>
      </w:r>
    </w:p>
    <w:p>
      <w:pPr>
        <w:spacing w:after="0" w:line="386" w:lineRule="auto"/>
        <w:jc w:val="left"/>
        <w:sectPr>
          <w:type w:val="continuous"/>
          <w:pgSz w:w="11910" w:h="16840"/>
          <w:pgMar w:top="1060" w:bottom="1180" w:left="880" w:right="760"/>
        </w:sectPr>
      </w:pPr>
    </w:p>
    <w:p>
      <w:pPr>
        <w:spacing w:line="240" w:lineRule="auto" w:before="8"/>
        <w:rPr>
          <w:rFonts w:ascii="宋体" w:hAnsi="宋体" w:cs="宋体" w:eastAsia="宋体" w:hint="default"/>
          <w:sz w:val="26"/>
          <w:szCs w:val="26"/>
        </w:rPr>
      </w:pPr>
    </w:p>
    <w:p>
      <w:pPr>
        <w:pStyle w:val="BodyText"/>
        <w:spacing w:line="408" w:lineRule="auto" w:before="35"/>
        <w:ind w:right="188"/>
        <w:jc w:val="both"/>
      </w:pPr>
      <w:r>
        <w:rPr/>
        <w:t>项目开发、销售及维护；智能表具开发、生产、销售及维护；太阳能、空气源热泵热水项目集成及维护； </w:t>
      </w:r>
      <w:r>
        <w:rPr>
          <w:spacing w:val="-1"/>
        </w:rPr>
        <w:t>智能化系统及机电设备安装工程项目集成及维护。（依法须经批准的项目，经相关部门批准后方可开展经</w:t>
      </w:r>
      <w:r>
        <w:rPr>
          <w:spacing w:val="-82"/>
        </w:rPr>
        <w:t> </w:t>
      </w:r>
      <w:r>
        <w:rPr>
          <w:spacing w:val="-82"/>
        </w:rPr>
      </w:r>
      <w:r>
        <w:rPr/>
        <w:t>营活动）</w:t>
      </w:r>
    </w:p>
    <w:p>
      <w:pPr>
        <w:pStyle w:val="BodyText"/>
        <w:spacing w:line="398" w:lineRule="auto"/>
        <w:ind w:left="153" w:right="95" w:firstLine="420"/>
        <w:jc w:val="left"/>
      </w:pPr>
      <w:r>
        <w:rPr>
          <w:spacing w:val="-1"/>
        </w:rPr>
        <w:t>福建新开普的设立促进了公司进一步拓展智能一卡通资源管控及物联网业务，满足公司经营规模不断</w:t>
      </w:r>
      <w:r>
        <w:rPr/>
        <w:t> 扩大对全国市场的需求提升公司市场影响力并实现良好盈利。截至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日，福建新开普总资产 </w:t>
      </w:r>
      <w:r>
        <w:rPr>
          <w:rFonts w:ascii="Times New Roman" w:hAnsi="Times New Roman" w:cs="Times New Roman" w:eastAsia="Times New Roman" w:hint="default"/>
        </w:rPr>
        <w:t>3,854.35</w:t>
      </w:r>
      <w:r>
        <w:rPr/>
        <w:t>万元，净资产</w:t>
      </w:r>
      <w:r>
        <w:rPr>
          <w:rFonts w:ascii="Times New Roman" w:hAnsi="Times New Roman" w:cs="Times New Roman" w:eastAsia="Times New Roman" w:hint="default"/>
        </w:rPr>
        <w:t>3,015.12</w:t>
      </w:r>
      <w:r>
        <w:rPr/>
        <w:t>万元。报告期内实现营业收入</w:t>
      </w:r>
      <w:r>
        <w:rPr>
          <w:rFonts w:ascii="Times New Roman" w:hAnsi="Times New Roman" w:cs="Times New Roman" w:eastAsia="Times New Roman" w:hint="default"/>
        </w:rPr>
        <w:t>1,685.52</w:t>
      </w:r>
      <w:r>
        <w:rPr/>
        <w:t>万元，净利润</w:t>
      </w:r>
      <w:r>
        <w:rPr>
          <w:rFonts w:ascii="Times New Roman" w:hAnsi="Times New Roman" w:cs="Times New Roman" w:eastAsia="Times New Roman" w:hint="default"/>
        </w:rPr>
        <w:t>62.78</w:t>
      </w:r>
      <w:r>
        <w:rPr/>
        <w:t>万元。</w:t>
      </w:r>
    </w:p>
    <w:p>
      <w:pPr>
        <w:pStyle w:val="BodyText"/>
        <w:spacing w:line="408" w:lineRule="auto" w:before="24"/>
        <w:ind w:left="574" w:right="95"/>
        <w:jc w:val="left"/>
      </w:pPr>
      <w:r>
        <w:rPr/>
        <w:t>②凯里智慧城市通卡管理有限公司 </w:t>
      </w:r>
      <w:r>
        <w:rPr>
          <w:spacing w:val="-2"/>
        </w:rPr>
        <w:t>凯里通卡公司成立于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日，注册资本</w:t>
      </w:r>
      <w:r>
        <w:rPr>
          <w:rFonts w:ascii="Times New Roman" w:hAnsi="Times New Roman" w:cs="Times New Roman" w:eastAsia="Times New Roman" w:hint="default"/>
          <w:spacing w:val="-2"/>
        </w:rPr>
        <w:t>1,000</w:t>
      </w:r>
      <w:r>
        <w:rPr>
          <w:spacing w:val="-2"/>
        </w:rPr>
        <w:t>万元，法定代表人范泽祥。凯里通卡公司是公司的</w:t>
      </w:r>
    </w:p>
    <w:p>
      <w:pPr>
        <w:pStyle w:val="BodyText"/>
        <w:spacing w:line="398" w:lineRule="auto" w:before="14"/>
        <w:ind w:right="209"/>
        <w:jc w:val="both"/>
      </w:pPr>
      <w:r>
        <w:rPr/>
        <w:t>参股公司，公司持有其</w:t>
      </w:r>
      <w:r>
        <w:rPr>
          <w:rFonts w:ascii="Times New Roman" w:hAnsi="Times New Roman" w:cs="Times New Roman" w:eastAsia="Times New Roman" w:hint="default"/>
        </w:rPr>
        <w:t>35%</w:t>
      </w:r>
      <w:r>
        <w:rPr/>
        <w:t>的股份。公司住所：凯里职业技术学院（原卫校办公室）。公司的主要经营范 </w:t>
      </w:r>
      <w:r>
        <w:rPr>
          <w:spacing w:val="-1"/>
        </w:rPr>
        <w:t>围是：城市一卡通：智能交通、公用事业、金融应用、旅游消费、医疗、社保、加油、加气、税收一卡通</w:t>
      </w:r>
      <w:r>
        <w:rPr>
          <w:spacing w:val="-88"/>
        </w:rPr>
        <w:t> </w:t>
      </w:r>
      <w:r>
        <w:rPr>
          <w:spacing w:val="-88"/>
        </w:rPr>
      </w:r>
      <w:r>
        <w:rPr>
          <w:spacing w:val="-1"/>
        </w:rPr>
        <w:t>软硬件开发服务、以及城市一卡通相关业务；投资管理；计算机系统集成、计算机及相关设备产品、仪器</w:t>
      </w:r>
      <w:r>
        <w:rPr>
          <w:spacing w:val="-83"/>
        </w:rPr>
        <w:t> </w:t>
      </w:r>
      <w:r>
        <w:rPr>
          <w:spacing w:val="-83"/>
        </w:rPr>
      </w:r>
      <w:r>
        <w:rPr>
          <w:spacing w:val="-1"/>
        </w:rPr>
        <w:t>仪表、智能卡相关产品及软件的开发、设计、生产、销售、维护；一卡通应用服务；</w:t>
      </w:r>
      <w:r>
        <w:rPr>
          <w:rFonts w:ascii="Times New Roman" w:hAnsi="Times New Roman" w:cs="Times New Roman" w:eastAsia="Times New Roman" w:hint="default"/>
          <w:spacing w:val="-1"/>
        </w:rPr>
        <w:t>IT</w:t>
      </w:r>
      <w:r>
        <w:rPr>
          <w:spacing w:val="-1"/>
        </w:rPr>
        <w:t>工程、国内广告设</w:t>
      </w:r>
      <w:r>
        <w:rPr>
          <w:spacing w:val="-75"/>
        </w:rPr>
        <w:t> </w:t>
      </w:r>
      <w:r>
        <w:rPr>
          <w:spacing w:val="-75"/>
        </w:rPr>
      </w:r>
      <w:r>
        <w:rPr/>
        <w:t>计、制作、发布。【需许可和资质的项目，凭有效许可证、资质证开展经营活动】</w:t>
      </w:r>
    </w:p>
    <w:p>
      <w:pPr>
        <w:pStyle w:val="BodyText"/>
        <w:spacing w:line="386" w:lineRule="auto" w:before="54"/>
        <w:ind w:right="95" w:firstLine="420"/>
        <w:jc w:val="left"/>
      </w:pPr>
      <w:r>
        <w:rPr>
          <w:spacing w:val="-1"/>
        </w:rPr>
        <w:t>凯里通卡公司是凯里智慧城市一卡通项目的项目运营人。截至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日，凯里通卡公司总资产</w:t>
      </w:r>
      <w:r>
        <w:rPr/>
        <w:t> </w:t>
      </w:r>
      <w:r>
        <w:rPr>
          <w:rFonts w:ascii="Times New Roman" w:hAnsi="Times New Roman" w:cs="Times New Roman" w:eastAsia="Times New Roman" w:hint="default"/>
        </w:rPr>
        <w:t>152.16</w:t>
      </w:r>
      <w:r>
        <w:rPr/>
        <w:t>元，净资产</w:t>
      </w:r>
      <w:r>
        <w:rPr>
          <w:rFonts w:ascii="Times New Roman" w:hAnsi="Times New Roman" w:cs="Times New Roman" w:eastAsia="Times New Roman" w:hint="default"/>
        </w:rPr>
        <w:t>200.56</w:t>
      </w:r>
      <w:r>
        <w:rPr/>
        <w:t>万元，由于凯里智慧城市一卡通项目目前正在建设当中，故该公司报告期内未实 现营业收入，净利润</w:t>
      </w:r>
      <w:r>
        <w:rPr>
          <w:rFonts w:ascii="Times New Roman" w:hAnsi="Times New Roman" w:cs="Times New Roman" w:eastAsia="Times New Roman" w:hint="default"/>
        </w:rPr>
        <w:t>0.00</w:t>
      </w:r>
      <w:r>
        <w:rPr/>
        <w:t>万元。</w:t>
      </w:r>
    </w:p>
    <w:p>
      <w:pPr>
        <w:pStyle w:val="BodyText"/>
        <w:spacing w:line="386" w:lineRule="auto" w:before="35"/>
        <w:ind w:right="380" w:firstLine="420"/>
        <w:jc w:val="left"/>
      </w:pPr>
      <w:r>
        <w:rPr>
          <w:rFonts w:ascii="Times New Roman" w:hAnsi="Times New Roman" w:cs="Times New Roman" w:eastAsia="Times New Roman" w:hint="default"/>
        </w:rPr>
        <w:t>2014</w:t>
      </w:r>
      <w:r>
        <w:rPr/>
        <w:t>年度对凯里智慧城市通卡管理有限公司无重大影响，将对该公司投资重分类至可供出售金融资 产，期末经减值测试计提减值</w:t>
      </w:r>
      <w:r>
        <w:rPr>
          <w:rFonts w:ascii="Times New Roman" w:hAnsi="Times New Roman" w:cs="Times New Roman" w:eastAsia="Times New Roman" w:hint="default"/>
        </w:rPr>
        <w:t>1,444,983.34</w:t>
      </w:r>
      <w:r>
        <w:rPr/>
        <w:t>元。</w:t>
      </w:r>
    </w:p>
    <w:p>
      <w:pPr>
        <w:pStyle w:val="BodyText"/>
        <w:spacing w:line="400" w:lineRule="auto" w:before="35"/>
        <w:ind w:right="101" w:firstLine="420"/>
        <w:jc w:val="left"/>
      </w:pPr>
      <w:r>
        <w:rPr/>
        <w:t>③上海微令信息科技有限公司 上海微令成立于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日，注册资本</w:t>
      </w:r>
      <w:r>
        <w:rPr>
          <w:rFonts w:ascii="Times New Roman" w:hAnsi="Times New Roman" w:cs="Times New Roman" w:eastAsia="Times New Roman" w:hint="default"/>
        </w:rPr>
        <w:t>68</w:t>
      </w:r>
      <w:r>
        <w:rPr/>
        <w:t>万元，法定代表人彭一楠。上海微令是公司参股公司，公司 持有其</w:t>
      </w:r>
      <w:r>
        <w:rPr>
          <w:rFonts w:ascii="Times New Roman" w:hAnsi="Times New Roman" w:cs="Times New Roman" w:eastAsia="Times New Roman" w:hint="default"/>
        </w:rPr>
        <w:t>25%</w:t>
      </w:r>
      <w:r>
        <w:rPr/>
        <w:t>的股份。公司住所：上海市宝林区梅林路</w:t>
      </w:r>
      <w:r>
        <w:rPr>
          <w:rFonts w:ascii="Times New Roman" w:hAnsi="Times New Roman" w:cs="Times New Roman" w:eastAsia="Times New Roman" w:hint="default"/>
        </w:rPr>
        <w:t>358</w:t>
      </w:r>
      <w:r>
        <w:rPr/>
        <w:t>号</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805</w:t>
      </w:r>
      <w:r>
        <w:rPr/>
        <w:t>室</w:t>
      </w:r>
      <w:r>
        <w:rPr>
          <w:rFonts w:ascii="Times New Roman" w:hAnsi="Times New Roman" w:cs="Times New Roman" w:eastAsia="Times New Roman" w:hint="default"/>
        </w:rPr>
        <w:t>.</w:t>
      </w:r>
      <w:r>
        <w:rPr/>
        <w:t>公司主要经营范围是：从事信息科 技、网络科技、计算机科技领域内的技术开发、技术转让、技术咨询、技术服务；计算机及网络设备的研 </w:t>
      </w:r>
      <w:r>
        <w:rPr>
          <w:spacing w:val="-3"/>
        </w:rPr>
        <w:t>究、开发、安装与维护；计算机系统集成、销售；设计、制作、发布、代理各类广告；计算机软件的开发、</w:t>
      </w:r>
      <w:r>
        <w:rPr>
          <w:spacing w:val="-97"/>
        </w:rPr>
        <w:t> </w:t>
      </w:r>
      <w:r>
        <w:rPr>
          <w:spacing w:val="-97"/>
        </w:rPr>
      </w:r>
      <w:r>
        <w:rPr/>
        <w:t>销售；电脑网络工程；电子产品、数码产品、计算机及辅助设备（除计算机信息系统安全专用产品）的销</w:t>
      </w:r>
      <w:r>
        <w:rPr/>
        <w:t> 售；企业管理咨询；商务信息咨询；房屋建筑工程。【经营项目涉及行政许可的，凭许可证件经营】</w:t>
      </w:r>
    </w:p>
    <w:p>
      <w:pPr>
        <w:pStyle w:val="BodyText"/>
        <w:spacing w:line="391" w:lineRule="auto" w:before="52"/>
        <w:ind w:right="170" w:firstLine="336"/>
        <w:jc w:val="left"/>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月以自有资金人民币</w:t>
      </w:r>
      <w:r>
        <w:rPr>
          <w:rFonts w:ascii="Times New Roman" w:hAnsi="Times New Roman" w:cs="Times New Roman" w:eastAsia="Times New Roman" w:hint="default"/>
        </w:rPr>
        <w:t>300</w:t>
      </w:r>
      <w:r>
        <w:rPr/>
        <w:t>万元通过增资扩股的方式对其投资，持股比例</w:t>
      </w:r>
      <w:r>
        <w:rPr>
          <w:rFonts w:ascii="Times New Roman" w:hAnsi="Times New Roman" w:cs="Times New Roman" w:eastAsia="Times New Roman" w:hint="default"/>
        </w:rPr>
        <w:t>25%</w:t>
      </w:r>
      <w:r>
        <w:rPr/>
        <w:t>，其中注册 资本为</w:t>
      </w:r>
      <w:r>
        <w:rPr>
          <w:rFonts w:ascii="Times New Roman" w:hAnsi="Times New Roman" w:cs="Times New Roman" w:eastAsia="Times New Roman" w:hint="default"/>
        </w:rPr>
        <w:t>17</w:t>
      </w:r>
      <w:r>
        <w:rPr/>
        <w:t>万元人民币，剩余</w:t>
      </w:r>
      <w:r>
        <w:rPr>
          <w:rFonts w:ascii="Times New Roman" w:hAnsi="Times New Roman" w:cs="Times New Roman" w:eastAsia="Times New Roman" w:hint="default"/>
        </w:rPr>
        <w:t>283</w:t>
      </w:r>
      <w:r>
        <w:rPr/>
        <w:t>万元计入上海微令资本公积。上海微令主要从事高校社区的移动互联网业 务，主要产品线为</w:t>
      </w:r>
      <w:r>
        <w:rPr>
          <w:rFonts w:ascii="Times New Roman" w:hAnsi="Times New Roman" w:cs="Times New Roman" w:eastAsia="Times New Roman" w:hint="default"/>
        </w:rPr>
        <w:t>“</w:t>
      </w:r>
      <w:r>
        <w:rPr/>
        <w:t>校园司令</w:t>
      </w:r>
      <w:r>
        <w:rPr>
          <w:rFonts w:ascii="Times New Roman" w:hAnsi="Times New Roman" w:cs="Times New Roman" w:eastAsia="Times New Roman" w:hint="default"/>
        </w:rPr>
        <w:t>”</w:t>
      </w:r>
      <w:r>
        <w:rPr/>
        <w:t>，其主要服务的内容为，校园资讯、校内活动、校园论坛，是在每一个学校 </w:t>
      </w:r>
      <w:r>
        <w:rPr>
          <w:spacing w:val="-1"/>
        </w:rPr>
        <w:t>成立本地化运营团队，通过校园资讯整合推送、校园活动的线上互动宣传和线下组织执行、以及校园社区</w:t>
      </w:r>
      <w:r>
        <w:rPr>
          <w:spacing w:val="-83"/>
        </w:rPr>
        <w:t> </w:t>
      </w:r>
      <w:r>
        <w:rPr>
          <w:spacing w:val="-83"/>
        </w:rPr>
      </w:r>
      <w:r>
        <w:rPr/>
        <w:t>论坛的运营平台。上海微令的产品线及运营模式符合公司战略发展方向。鉴于此，公司进行了本次投资。</w:t>
      </w:r>
    </w:p>
    <w:p>
      <w:pPr>
        <w:spacing w:after="0" w:line="391" w:lineRule="auto"/>
        <w:jc w:val="left"/>
        <w:sectPr>
          <w:footerReference w:type="default" r:id="rId30"/>
          <w:pgSz w:w="11910" w:h="16840"/>
          <w:pgMar w:footer="982" w:header="877" w:top="1100" w:bottom="1180" w:left="980" w:right="920"/>
          <w:pgNumType w:start="40"/>
        </w:sectPr>
      </w:pPr>
    </w:p>
    <w:p>
      <w:pPr>
        <w:spacing w:line="240" w:lineRule="auto" w:before="8"/>
        <w:rPr>
          <w:rFonts w:ascii="宋体" w:hAnsi="宋体" w:cs="宋体" w:eastAsia="宋体" w:hint="default"/>
          <w:sz w:val="26"/>
          <w:szCs w:val="26"/>
        </w:rPr>
      </w:pPr>
      <w:r>
        <w:rPr/>
        <w:pict>
          <v:group style="position:absolute;margin-left:296.160004pt;margin-top:383.899994pt;width:119.1pt;height:140.4pt;mso-position-horizontal-relative:page;mso-position-vertical-relative:page;z-index:-998824" coordorigin="5923,7678" coordsize="2382,2808">
            <v:shape style="position:absolute;left:5923;top:7678;width:2382;height:2808" coordorigin="5923,7678" coordsize="2382,2808" path="m5923,10486l8305,10486,8305,7678,5923,7678,5923,10486xe" filled="true" fillcolor="#ffffff" stroked="false">
              <v:path arrowok="t"/>
              <v:fill type="solid"/>
            </v:shape>
            <w10:wrap type="none"/>
          </v:group>
        </w:pict>
      </w:r>
    </w:p>
    <w:p>
      <w:pPr>
        <w:pStyle w:val="BodyText"/>
        <w:spacing w:line="386" w:lineRule="auto" w:before="35"/>
        <w:ind w:right="243" w:firstLine="251"/>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日，上海微令总资产</w:t>
      </w:r>
      <w:r>
        <w:rPr>
          <w:rFonts w:ascii="Times New Roman" w:hAnsi="Times New Roman" w:cs="Times New Roman" w:eastAsia="Times New Roman" w:hint="default"/>
        </w:rPr>
        <w:t>250.39</w:t>
      </w:r>
      <w:r>
        <w:rPr/>
        <w:t>万元，净资产</w:t>
      </w:r>
      <w:r>
        <w:rPr>
          <w:rFonts w:ascii="Times New Roman" w:hAnsi="Times New Roman" w:cs="Times New Roman" w:eastAsia="Times New Roman" w:hint="default"/>
        </w:rPr>
        <w:t>241.39</w:t>
      </w:r>
      <w:r>
        <w:rPr/>
        <w:t>万元。报告期内实现营业收入</w:t>
      </w:r>
      <w:r>
        <w:rPr>
          <w:rFonts w:ascii="Times New Roman" w:hAnsi="Times New Roman" w:cs="Times New Roman" w:eastAsia="Times New Roman" w:hint="default"/>
        </w:rPr>
        <w:t>0.55</w:t>
      </w:r>
      <w:r>
        <w:rPr/>
        <w:t>万 元，净利润</w:t>
      </w:r>
      <w:r>
        <w:rPr>
          <w:rFonts w:ascii="Times New Roman" w:hAnsi="Times New Roman" w:cs="Times New Roman" w:eastAsia="Times New Roman" w:hint="default"/>
        </w:rPr>
        <w:t>-109.61</w:t>
      </w:r>
      <w:r>
        <w:rPr/>
        <w:t>万元。</w:t>
      </w:r>
    </w:p>
    <w:p>
      <w:pPr>
        <w:spacing w:before="23"/>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为实现公司软、硬件核心模块</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的集成与融合，节约管理成</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本，提高管理效率和运作效</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郑州正普软件科技有限公司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率，更有效地统筹资金及人力 资源，经公司第二届董事会第 十八次会议及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临时股东大会审议通过，公司 拟决定清算并注销正普软件。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月，公司收到郑州市</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注销法人并入母公司</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7"/>
              <w:jc w:val="both"/>
              <w:rPr>
                <w:rFonts w:ascii="宋体" w:hAnsi="宋体" w:cs="宋体" w:eastAsia="宋体" w:hint="default"/>
                <w:sz w:val="18"/>
                <w:szCs w:val="18"/>
              </w:rPr>
            </w:pPr>
            <w:r>
              <w:rPr>
                <w:rFonts w:ascii="宋体" w:hAnsi="宋体" w:cs="宋体" w:eastAsia="宋体" w:hint="default"/>
                <w:sz w:val="18"/>
                <w:szCs w:val="18"/>
              </w:rPr>
              <w:t>正普软件注销后，虽然对本公 司合并报表的范围有所改变， 但其资产、资源全部转入了本 公司，对本公司整体业务发展 和盈利水平都无大的影响。</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工商行政管理局出具的注销</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登记核准通知书，正普软件完</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成清算注销程序。</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经公司第三届董事会第四次</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会议审议同意以自有资金人</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万元通过增资扩股的</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方式对其投资</w:t>
            </w:r>
            <w:r>
              <w:rPr>
                <w:rFonts w:ascii="宋体" w:hAnsi="宋体" w:cs="宋体" w:eastAsia="宋体" w:hint="default"/>
                <w:spacing w:val="-90"/>
                <w:sz w:val="18"/>
                <w:szCs w:val="18"/>
              </w:rPr>
              <w:t>，</w:t>
            </w:r>
            <w:r>
              <w:rPr>
                <w:rFonts w:ascii="宋体" w:hAnsi="宋体" w:cs="宋体" w:eastAsia="宋体" w:hint="default"/>
                <w:sz w:val="18"/>
                <w:szCs w:val="18"/>
              </w:rPr>
              <w:t>持股比例</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其中注册资本为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币，剩余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万元计入上海微</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令资本公积。上海微令主要从</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事高校社区的移动互联网业</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宋体" w:hAnsi="宋体" w:cs="宋体" w:eastAsia="宋体" w:hint="default"/>
                <w:spacing w:val="-74"/>
                <w:sz w:val="18"/>
                <w:szCs w:val="18"/>
              </w:rPr>
              <w:t>，</w:t>
            </w:r>
            <w:r>
              <w:rPr>
                <w:rFonts w:ascii="宋体" w:hAnsi="宋体" w:cs="宋体" w:eastAsia="宋体" w:hint="default"/>
                <w:sz w:val="18"/>
                <w:szCs w:val="18"/>
              </w:rPr>
              <w:t>主要产品</w:t>
            </w:r>
            <w:r>
              <w:rPr>
                <w:rFonts w:ascii="宋体" w:hAnsi="宋体" w:cs="宋体" w:eastAsia="宋体" w:hint="default"/>
                <w:spacing w:val="-2"/>
                <w:sz w:val="18"/>
                <w:szCs w:val="18"/>
              </w:rPr>
              <w:t>线</w:t>
            </w:r>
            <w:r>
              <w:rPr>
                <w:rFonts w:ascii="宋体" w:hAnsi="宋体" w:cs="宋体" w:eastAsia="宋体" w:hint="default"/>
                <w:sz w:val="18"/>
                <w:szCs w:val="18"/>
              </w:rPr>
              <w:t>为</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校园司令</w:t>
            </w:r>
            <w:r>
              <w:rPr>
                <w:rFonts w:ascii="Times New Roman" w:hAnsi="Times New Roman" w:cs="Times New Roman" w:eastAsia="Times New Roman" w:hint="default"/>
                <w:sz w:val="18"/>
                <w:szCs w:val="18"/>
              </w:rPr>
              <w:t>”</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报告期内，上海微令实现净利</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上海微令信息科技有限公司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其主要服务的内容为，校园资</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-109.61</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万元，影响母公司净</w:t>
            </w: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讯、校内活动、校园论坛，是</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Times New Roman" w:hAnsi="Times New Roman" w:cs="Times New Roman" w:eastAsia="Times New Roman" w:hint="default"/>
                <w:sz w:val="18"/>
                <w:szCs w:val="18"/>
              </w:rPr>
              <w:t>-27.40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06"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在每一个学校成立本地化运</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营团队，通过校园资讯整合推</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送、校园活动的线上互动宣传</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和线下组织执行、以及校园社</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区论坛的运营平台。上海微令</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的产品线及运营模式符合公</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司战略发展方向。鉴于此，公</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司进行了本次投资。</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0"/>
        <w:jc w:val="both"/>
        <w:rPr>
          <w:b w:val="0"/>
          <w:bCs w:val="0"/>
        </w:rPr>
      </w:pPr>
      <w:r>
        <w:rPr/>
        <w:t>二、公司未来发展的展望</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right="0"/>
        <w:jc w:val="both"/>
      </w:pPr>
      <w:r>
        <w:rPr/>
        <w:t>（一）行业发展趋势</w:t>
      </w:r>
    </w:p>
    <w:p>
      <w:pPr>
        <w:spacing w:line="240" w:lineRule="auto" w:before="9"/>
        <w:rPr>
          <w:rFonts w:ascii="宋体" w:hAnsi="宋体" w:cs="宋体" w:eastAsia="宋体" w:hint="default"/>
          <w:sz w:val="17"/>
          <w:szCs w:val="17"/>
        </w:rPr>
      </w:pPr>
    </w:p>
    <w:p>
      <w:pPr>
        <w:pStyle w:val="BodyText"/>
        <w:spacing w:line="386" w:lineRule="auto" w:before="0"/>
        <w:ind w:left="574" w:right="95" w:hanging="1"/>
        <w:jc w:val="left"/>
      </w:pPr>
      <w:r>
        <w:rPr>
          <w:rFonts w:ascii="Times New Roman" w:hAnsi="Times New Roman" w:cs="Times New Roman" w:eastAsia="Times New Roman" w:hint="default"/>
        </w:rPr>
        <w:t>1</w:t>
      </w:r>
      <w:r>
        <w:rPr/>
        <w:t>、校园一卡通的建设范围越来越广，本科院校逐步普及，高职（专科）院校及中小学校也开始推广 </w:t>
      </w:r>
      <w:r>
        <w:rPr>
          <w:spacing w:val="-1"/>
        </w:rPr>
        <w:t>经过多年推广和应用，校园一卡通在重点本科院校已经较为普及，但由于办学规模、建设资金等方面</w:t>
      </w:r>
    </w:p>
    <w:p>
      <w:pPr>
        <w:pStyle w:val="BodyText"/>
        <w:spacing w:line="408" w:lineRule="auto" w:before="65"/>
        <w:ind w:right="104"/>
        <w:jc w:val="both"/>
      </w:pPr>
      <w:r>
        <w:rPr/>
        <w:t>的限制，部分一般本科院校和大量的高职（专科）院校还有大量的一卡通建设需求。随着校园数字化进程 的不断提速，“一卡在手，走遍校园，一卡通用，一卡多用”的校园一卡通系统已逐步向各类学校推广和 普及，校园一卡通的建设范围越来越广，在部分经济发达地区的中小学校（包括高中、中等职业教育、初 </w:t>
      </w:r>
      <w:r>
        <w:rPr>
          <w:spacing w:val="-3"/>
        </w:rPr>
        <w:t>中及普通小学等），以小额消费、门禁、考勤、校车管理等功能为主的校园一卡通系统也已开始逐步推广。</w:t>
      </w:r>
    </w:p>
    <w:p>
      <w:pPr>
        <w:pStyle w:val="BodyText"/>
        <w:spacing w:line="386" w:lineRule="auto" w:before="87"/>
        <w:ind w:right="210" w:firstLine="420"/>
        <w:jc w:val="both"/>
      </w:pPr>
      <w:r>
        <w:rPr>
          <w:spacing w:val="-3"/>
        </w:rPr>
        <w:t>根据《中国统计年鉴》（</w:t>
      </w:r>
      <w:r>
        <w:rPr>
          <w:rFonts w:ascii="Times New Roman" w:hAnsi="Times New Roman" w:cs="Times New Roman" w:eastAsia="Times New Roman" w:hint="default"/>
          <w:spacing w:val="-3"/>
        </w:rPr>
        <w:t>2014</w:t>
      </w:r>
      <w:r>
        <w:rPr>
          <w:spacing w:val="-3"/>
        </w:rPr>
        <w:t>年），截至</w:t>
      </w:r>
      <w:r>
        <w:rPr>
          <w:rFonts w:ascii="Times New Roman" w:hAnsi="Times New Roman" w:cs="Times New Roman" w:eastAsia="Times New Roman" w:hint="default"/>
          <w:spacing w:val="-3"/>
        </w:rPr>
        <w:t>2013</w:t>
      </w:r>
      <w:r>
        <w:rPr>
          <w:spacing w:val="-3"/>
        </w:rPr>
        <w:t>年，我国本科院校有</w:t>
      </w:r>
      <w:r>
        <w:rPr>
          <w:rFonts w:ascii="Times New Roman" w:hAnsi="Times New Roman" w:cs="Times New Roman" w:eastAsia="Times New Roman" w:hint="default"/>
          <w:spacing w:val="-3"/>
        </w:rPr>
        <w:t>1,170</w:t>
      </w:r>
      <w:r>
        <w:rPr>
          <w:spacing w:val="-3"/>
        </w:rPr>
        <w:t>家，高职（专科）院校有</w:t>
      </w:r>
      <w:r>
        <w:rPr>
          <w:rFonts w:ascii="Times New Roman" w:hAnsi="Times New Roman" w:cs="Times New Roman" w:eastAsia="Times New Roman" w:hint="default"/>
          <w:spacing w:val="-3"/>
        </w:rPr>
        <w:t>1,321</w:t>
      </w:r>
      <w:r>
        <w:rPr>
          <w:rFonts w:ascii="Times New Roman" w:hAnsi="Times New Roman" w:cs="Times New Roman" w:eastAsia="Times New Roman" w:hint="default"/>
        </w:rPr>
        <w:t> </w:t>
      </w:r>
      <w:r>
        <w:rPr>
          <w:spacing w:val="-1"/>
        </w:rPr>
        <w:t>家，高中、中等职业教育、初中合计达</w:t>
      </w:r>
      <w:r>
        <w:rPr>
          <w:rFonts w:ascii="Times New Roman" w:hAnsi="Times New Roman" w:cs="Times New Roman" w:eastAsia="Times New Roman" w:hint="default"/>
          <w:spacing w:val="-1"/>
        </w:rPr>
        <w:t>78,418</w:t>
      </w:r>
      <w:r>
        <w:rPr>
          <w:spacing w:val="-1"/>
        </w:rPr>
        <w:t>家，普通小学数量则达</w:t>
      </w:r>
      <w:r>
        <w:rPr>
          <w:rFonts w:ascii="Times New Roman" w:hAnsi="Times New Roman" w:cs="Times New Roman" w:eastAsia="Times New Roman" w:hint="default"/>
          <w:spacing w:val="-1"/>
        </w:rPr>
        <w:t>213,529</w:t>
      </w:r>
      <w:r>
        <w:rPr>
          <w:spacing w:val="-1"/>
        </w:rPr>
        <w:t>家，从建设广度来看，校园一</w:t>
      </w:r>
      <w:r>
        <w:rPr>
          <w:spacing w:val="-87"/>
        </w:rPr>
        <w:t> </w:t>
      </w:r>
      <w:r>
        <w:rPr>
          <w:spacing w:val="-87"/>
        </w:rPr>
      </w:r>
      <w:r>
        <w:rPr/>
        <w:t>卡通的未来市场潜力巨大。</w:t>
      </w:r>
    </w:p>
    <w:p>
      <w:pPr>
        <w:pStyle w:val="BodyText"/>
        <w:spacing w:line="386" w:lineRule="auto" w:before="103"/>
        <w:ind w:left="574" w:right="95" w:hanging="1"/>
        <w:jc w:val="left"/>
      </w:pPr>
      <w:r>
        <w:rPr>
          <w:rFonts w:ascii="Times New Roman" w:hAnsi="Times New Roman" w:cs="Times New Roman" w:eastAsia="Times New Roman" w:hint="default"/>
        </w:rPr>
        <w:t>2</w:t>
      </w:r>
      <w:r>
        <w:rPr/>
        <w:t>、校园一卡通的功能日益丰富，应用深度不断提高，基于校园一卡通的大数据分析也逐渐兴起 </w:t>
      </w:r>
      <w:r>
        <w:rPr>
          <w:spacing w:val="-1"/>
        </w:rPr>
        <w:t>近年来，校园一卡通的应用日益成熟，功能不断拓展和丰富，目前已涵盖了从学生入学至毕业离校的</w:t>
      </w:r>
    </w:p>
    <w:p>
      <w:pPr>
        <w:pStyle w:val="BodyText"/>
        <w:spacing w:line="408" w:lineRule="auto" w:before="65"/>
        <w:ind w:right="211"/>
        <w:jc w:val="both"/>
      </w:pPr>
      <w:r>
        <w:rPr>
          <w:spacing w:val="-1"/>
        </w:rPr>
        <w:t>学习、生活的各个方面，包括餐饮收费、学校班车、上机收费、医院收费、购物消费、费用缴纳等消费管</w:t>
      </w:r>
      <w:r>
        <w:rPr>
          <w:spacing w:val="-85"/>
        </w:rPr>
        <w:t> </w:t>
      </w:r>
      <w:r>
        <w:rPr>
          <w:spacing w:val="-85"/>
        </w:rPr>
      </w:r>
      <w:r>
        <w:rPr>
          <w:spacing w:val="-1"/>
        </w:rPr>
        <w:t>理，以及注册报到、门禁、考勤、签到、图书借阅、寄存柜、考试管理、补助发放、银校圈存转账、无障</w:t>
      </w:r>
      <w:r>
        <w:rPr>
          <w:spacing w:val="-88"/>
        </w:rPr>
        <w:t> </w:t>
      </w:r>
      <w:r>
        <w:rPr>
          <w:spacing w:val="-88"/>
        </w:rPr>
      </w:r>
      <w:r>
        <w:rPr/>
        <w:t>碍通道、停车场应用、浴室水控、开水管理、水电购买、离校等身份识别和管理功能。</w:t>
      </w:r>
    </w:p>
    <w:p>
      <w:pPr>
        <w:pStyle w:val="BodyText"/>
        <w:spacing w:line="408" w:lineRule="auto"/>
        <w:ind w:right="101" w:firstLine="420"/>
        <w:jc w:val="left"/>
      </w:pPr>
      <w:r>
        <w:rPr/>
        <w:t>随着智能一卡通的技术不断升级和应用功能不断优化，在人机交互、业务流程等方面也更加智能化、 人性化，更加贴合学校和学生的实际需求，如大量业务的自助服务模式被推广应用，学生可借助自助发卡 机、自助补卡机、自助充值机、圈存机、自助打印机、自助洗衣机等自助终端，实现自助发卡、补卡、挂 失、充值、圈存、银校转账、自助成绩单打印、自助打印复印、自助洗衣等功能，打破了校园管理长期大 量依赖人工的操作方式，降低了校园服务的成本，也极大的提高了学生使用的便捷性。在系统运维方面， 早期校园一卡通系统在设计时大多对系统管理和运维的重视程度不足，缺乏监控和智能报警机制，随着发 卡量不断增加、应用系统不断拓展、存储数据不断累积，系统的运营维护和管理难度不断提高，越来越多 </w:t>
      </w:r>
      <w:r>
        <w:rPr>
          <w:spacing w:val="-3"/>
        </w:rPr>
        <w:t>的学校开始加大系统运营维护的投入，部分学校还新增了校园一卡通监控系统、设备管理系统等应用系统，</w:t>
      </w:r>
      <w:r>
        <w:rPr>
          <w:spacing w:val="-92"/>
        </w:rPr>
        <w:t> </w:t>
      </w:r>
      <w:r>
        <w:rPr>
          <w:spacing w:val="-92"/>
        </w:rPr>
      </w:r>
      <w:r>
        <w:rPr/>
        <w:t>对校园一卡通相关的硬件终端、软件系统进行集中管理、统一监控、智能报警和及时维护。</w:t>
      </w:r>
    </w:p>
    <w:p>
      <w:pPr>
        <w:pStyle w:val="BodyText"/>
        <w:spacing w:line="408" w:lineRule="auto"/>
        <w:ind w:right="209" w:firstLine="420"/>
        <w:jc w:val="both"/>
      </w:pPr>
      <w:r>
        <w:rPr>
          <w:spacing w:val="-1"/>
        </w:rPr>
        <w:t>此外，随着大数据时代的到来，基于校园一卡通的大数据应用也逐渐兴起。校园一卡通数据具有样本</w:t>
      </w:r>
      <w:r>
        <w:rPr/>
        <w:t> </w:t>
      </w:r>
      <w:r>
        <w:rPr>
          <w:spacing w:val="-1"/>
        </w:rPr>
        <w:t>量大、真实、可信度高等特点，将校园一卡通各个应用子系统的业务信息数据进行整合集成，并进行深入</w:t>
      </w:r>
      <w:r>
        <w:rPr>
          <w:spacing w:val="-82"/>
        </w:rPr>
        <w:t> </w:t>
      </w:r>
      <w:r>
        <w:rPr>
          <w:spacing w:val="-82"/>
        </w:rPr>
      </w:r>
      <w:r>
        <w:rPr>
          <w:spacing w:val="-1"/>
        </w:rPr>
        <w:t>的数据分析和挖掘，能够帮助学校更好的掌握学生就餐、消费、图书借阅、上课、上机、出入宿舍等生活</w:t>
      </w:r>
      <w:r>
        <w:rPr>
          <w:spacing w:val="-83"/>
        </w:rPr>
        <w:t> </w:t>
      </w:r>
      <w:r>
        <w:rPr>
          <w:spacing w:val="-83"/>
        </w:rPr>
      </w:r>
      <w:r>
        <w:rPr>
          <w:spacing w:val="-1"/>
        </w:rPr>
        <w:t>和学习的活动轨迹和规律，为后勤、教务、图书馆、食堂、校园商户的管理和决策提供极具参考价值的数</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211"/>
        <w:jc w:val="both"/>
      </w:pPr>
      <w:r>
        <w:rPr>
          <w:spacing w:val="-1"/>
        </w:rPr>
        <w:t>据支撑。如通过对学生日常刷卡消费数据进行分析，能真实了解学生的消费水平和消费习惯，从而帮助学</w:t>
      </w:r>
      <w:r>
        <w:rPr>
          <w:spacing w:val="-83"/>
        </w:rPr>
        <w:t> </w:t>
      </w:r>
      <w:r>
        <w:rPr>
          <w:spacing w:val="-83"/>
        </w:rPr>
      </w:r>
      <w:r>
        <w:rPr>
          <w:spacing w:val="-1"/>
        </w:rPr>
        <w:t>校确定国家困难补贴对象和补贴力度，并可更加科学的规划食堂、小卖部等相关后勤服务部门的人员配备</w:t>
      </w:r>
      <w:r>
        <w:rPr>
          <w:spacing w:val="-81"/>
        </w:rPr>
        <w:t> </w:t>
      </w:r>
      <w:r>
        <w:rPr>
          <w:spacing w:val="-81"/>
        </w:rPr>
      </w:r>
      <w:r>
        <w:rPr>
          <w:spacing w:val="-1"/>
        </w:rPr>
        <w:t>和营业时间；对门禁而言，学校可以实时查看各个门禁设备的状态，并对出入信息进行详细的统计，可以</w:t>
      </w:r>
      <w:r>
        <w:rPr>
          <w:spacing w:val="-82"/>
        </w:rPr>
        <w:t> </w:t>
      </w:r>
      <w:r>
        <w:rPr>
          <w:spacing w:val="-82"/>
        </w:rPr>
      </w:r>
      <w:r>
        <w:rPr>
          <w:spacing w:val="-1"/>
        </w:rPr>
        <w:t>帮助图书馆、教学楼更好的制定开放时间，并指导学生错峰使用相关资源。现有校园一卡通系统在设计时</w:t>
      </w:r>
      <w:r>
        <w:rPr>
          <w:spacing w:val="-83"/>
        </w:rPr>
        <w:t> </w:t>
      </w:r>
      <w:r>
        <w:rPr>
          <w:spacing w:val="-83"/>
        </w:rPr>
      </w:r>
      <w:r>
        <w:rPr>
          <w:spacing w:val="-1"/>
        </w:rPr>
        <w:t>大多偏重于多系统、多卡片的整合与应用，存在数据分散流失、整合分析能力不足等问题。目前，基于校</w:t>
      </w:r>
      <w:r>
        <w:rPr>
          <w:spacing w:val="-83"/>
        </w:rPr>
        <w:t> </w:t>
      </w:r>
      <w:r>
        <w:rPr>
          <w:spacing w:val="-83"/>
        </w:rPr>
      </w:r>
      <w:r>
        <w:rPr>
          <w:spacing w:val="-1"/>
        </w:rPr>
        <w:t>园一卡通的数据分析和挖掘还处于大规模推广的初级阶段，持卡人行为分析系统、决策支持系统的应用范</w:t>
      </w:r>
      <w:r>
        <w:rPr>
          <w:spacing w:val="-81"/>
        </w:rPr>
        <w:t> </w:t>
      </w:r>
      <w:r>
        <w:rPr>
          <w:spacing w:val="-81"/>
        </w:rPr>
      </w:r>
      <w:r>
        <w:rPr/>
        <w:t>围还较为局限，数据挖掘深度也有待提高。未来，基于校园一卡通系统的大数据应用前景广阔。</w:t>
      </w:r>
    </w:p>
    <w:p>
      <w:pPr>
        <w:pStyle w:val="BodyText"/>
        <w:spacing w:line="408" w:lineRule="auto" w:before="87"/>
        <w:ind w:left="153" w:right="95" w:firstLine="420"/>
        <w:jc w:val="left"/>
      </w:pPr>
      <w:r>
        <w:rPr>
          <w:spacing w:val="-1"/>
        </w:rPr>
        <w:t>从应用深度看，校园一卡通的功能日益丰富，应用深度不断提高，系统升级改造和功能扩充的需求旺</w:t>
      </w:r>
      <w:r>
        <w:rPr/>
        <w:t> 盛，建设规模越来越大。</w:t>
      </w:r>
    </w:p>
    <w:p>
      <w:pPr>
        <w:pStyle w:val="BodyText"/>
        <w:spacing w:line="386" w:lineRule="auto" w:before="85"/>
        <w:ind w:left="574" w:right="95" w:hanging="1"/>
        <w:jc w:val="left"/>
      </w:pPr>
      <w:r>
        <w:rPr>
          <w:rFonts w:ascii="Times New Roman" w:hAnsi="Times New Roman" w:cs="Times New Roman" w:eastAsia="Times New Roman" w:hint="default"/>
        </w:rPr>
        <w:t>3</w:t>
      </w:r>
      <w:r>
        <w:rPr/>
        <w:t>、校园信息化建设稳步推进，校园一卡通的基础平台作用凸显，现有系统的升级改造需求旺盛 </w:t>
      </w:r>
      <w:r>
        <w:rPr>
          <w:spacing w:val="-1"/>
        </w:rPr>
        <w:t>随着校园信息化应用层次的不断深入和建设水平的持续提升，学校对建设完整统一、技术先进、覆盖</w:t>
      </w:r>
    </w:p>
    <w:p>
      <w:pPr>
        <w:pStyle w:val="BodyText"/>
        <w:spacing w:line="408" w:lineRule="auto" w:before="65"/>
        <w:ind w:right="209"/>
        <w:jc w:val="both"/>
      </w:pPr>
      <w:r>
        <w:rPr>
          <w:spacing w:val="-1"/>
        </w:rPr>
        <w:t>全面、应用深入、高效稳定、安全可靠的数字化校园的需求日益迫切，以校园一卡通为基础载体，将教务</w:t>
      </w:r>
      <w:r>
        <w:rPr>
          <w:spacing w:val="-83"/>
        </w:rPr>
        <w:t> </w:t>
      </w:r>
      <w:r>
        <w:rPr>
          <w:spacing w:val="-83"/>
        </w:rPr>
      </w:r>
      <w:r>
        <w:rPr>
          <w:spacing w:val="-1"/>
        </w:rPr>
        <w:t>信息系统、财务系统、图书管理系统、医疗系统、机房管理和网络计费系统、车辆道闸控制系统、大型设</w:t>
      </w:r>
      <w:r>
        <w:rPr>
          <w:spacing w:val="-83"/>
        </w:rPr>
        <w:t> </w:t>
      </w:r>
      <w:r>
        <w:rPr>
          <w:spacing w:val="-83"/>
        </w:rPr>
      </w:r>
      <w:r>
        <w:rPr>
          <w:spacing w:val="-1"/>
        </w:rPr>
        <w:t>备管理系统等校园第三方应用系统与校园一卡通系统进行对接和整合，建立校级统一信息系统，消除信息</w:t>
      </w:r>
      <w:r>
        <w:rPr>
          <w:spacing w:val="-81"/>
        </w:rPr>
        <w:t> </w:t>
      </w:r>
      <w:r>
        <w:rPr>
          <w:spacing w:val="-81"/>
        </w:rPr>
      </w:r>
      <w:r>
        <w:rPr>
          <w:spacing w:val="-1"/>
        </w:rPr>
        <w:t>孤岛和业务孤岛，将极大的提高学校的管理和决策效率。因此，作为校园信息化的重要基础平台，校园一</w:t>
      </w:r>
      <w:r>
        <w:rPr>
          <w:spacing w:val="-82"/>
        </w:rPr>
        <w:t> </w:t>
      </w:r>
      <w:r>
        <w:rPr>
          <w:spacing w:val="-82"/>
        </w:rPr>
      </w:r>
      <w:r>
        <w:rPr>
          <w:spacing w:val="-1"/>
        </w:rPr>
        <w:t>卡通系统需要融入整个智慧型校园的建设中，使其在总体规划下更好的支撑校园内各种信息化应用，从而</w:t>
      </w:r>
      <w:r>
        <w:rPr>
          <w:spacing w:val="-81"/>
        </w:rPr>
        <w:t> </w:t>
      </w:r>
      <w:r>
        <w:rPr>
          <w:spacing w:val="-81"/>
        </w:rPr>
      </w:r>
      <w:r>
        <w:rPr/>
        <w:t>提升校园的整体信息化服务水平。</w:t>
      </w:r>
    </w:p>
    <w:p>
      <w:pPr>
        <w:pStyle w:val="BodyText"/>
        <w:spacing w:line="408" w:lineRule="auto" w:before="87"/>
        <w:ind w:right="105" w:firstLine="420"/>
        <w:jc w:val="left"/>
      </w:pPr>
      <w:r>
        <w:rPr/>
        <w:t>由于部分学校的校园一卡通系统建设较早，系统的扩展性能较差，且缺乏统一规划、统一认证，导致 部分系统无法与校园一卡通系统进行对接和整合，形成了信息孤岛和业务孤岛，给学生的生活、学习及学 校的教学和日常管理带来极大的不便。随着校园信息化建设稳步推进以及学校的管理日益精细，校园一卡 </w:t>
      </w:r>
      <w:r>
        <w:rPr>
          <w:spacing w:val="-3"/>
        </w:rPr>
        <w:t>通的基础平台作用凸显，系统的升级改造需求也趋于旺盛。同时，因终端硬件磨损、软件系统升级等原因，</w:t>
      </w:r>
      <w:r>
        <w:rPr>
          <w:spacing w:val="-95"/>
        </w:rPr>
        <w:t> </w:t>
      </w:r>
      <w:r>
        <w:rPr>
          <w:spacing w:val="-95"/>
        </w:rPr>
      </w:r>
      <w:r>
        <w:rPr/>
        <w:t>校园一卡通系统也存在着</w:t>
      </w:r>
      <w:r>
        <w:rPr>
          <w:rFonts w:ascii="Times New Roman" w:hAnsi="Times New Roman" w:cs="Times New Roman" w:eastAsia="Times New Roman" w:hint="default"/>
        </w:rPr>
        <w:t>5-8</w:t>
      </w:r>
      <w:r>
        <w:rPr/>
        <w:t>年左右的升级换代期，这将为智能一卡通行业带来持续的市场需求。</w:t>
      </w:r>
    </w:p>
    <w:p>
      <w:pPr>
        <w:pStyle w:val="BodyText"/>
        <w:spacing w:line="386" w:lineRule="auto" w:before="53"/>
        <w:ind w:left="634" w:right="198" w:hanging="60"/>
        <w:jc w:val="left"/>
      </w:pPr>
      <w:r>
        <w:rPr>
          <w:rFonts w:ascii="Times New Roman" w:hAnsi="Times New Roman" w:cs="Times New Roman" w:eastAsia="Times New Roman" w:hint="default"/>
        </w:rPr>
        <w:t>4</w:t>
      </w:r>
      <w:r>
        <w:rPr/>
        <w:t>、智能一卡通由</w:t>
      </w:r>
      <w:r>
        <w:rPr>
          <w:rFonts w:ascii="Times New Roman" w:hAnsi="Times New Roman" w:cs="Times New Roman" w:eastAsia="Times New Roman" w:hint="default"/>
        </w:rPr>
        <w:t>M1</w:t>
      </w:r>
      <w:r>
        <w:rPr/>
        <w:t>卡系统向</w:t>
      </w:r>
      <w:r>
        <w:rPr>
          <w:rFonts w:ascii="Times New Roman" w:hAnsi="Times New Roman" w:cs="Times New Roman" w:eastAsia="Times New Roman" w:hint="default"/>
        </w:rPr>
        <w:t>CPU</w:t>
      </w:r>
      <w:r>
        <w:rPr/>
        <w:t>卡系统的技术升级不断加速，金融</w:t>
      </w:r>
      <w:r>
        <w:rPr>
          <w:rFonts w:ascii="Times New Roman" w:hAnsi="Times New Roman" w:cs="Times New Roman" w:eastAsia="Times New Roman" w:hint="default"/>
        </w:rPr>
        <w:t>IC</w:t>
      </w:r>
      <w:r>
        <w:rPr/>
        <w:t>卡被大规模推广应用 </w:t>
      </w:r>
      <w:r>
        <w:rPr>
          <w:spacing w:val="-2"/>
        </w:rPr>
        <w:t>早期，图书借阅卡、医疗卡、就餐卡等大规模采用的卡片大多采用光电卡或磁卡，卡片设计简单、信</w:t>
      </w:r>
    </w:p>
    <w:p>
      <w:pPr>
        <w:pStyle w:val="BodyText"/>
        <w:spacing w:line="408" w:lineRule="auto" w:before="65"/>
        <w:ind w:right="101"/>
        <w:jc w:val="left"/>
      </w:pPr>
      <w:r>
        <w:rPr>
          <w:spacing w:val="-3"/>
        </w:rPr>
        <w:t>息容量较小且功能单一。随着信息化技术的发展、校园网基础设施的逐步完善，信息传媒介质也从光电卡、</w:t>
      </w:r>
      <w:r>
        <w:rPr>
          <w:spacing w:val="-90"/>
        </w:rPr>
        <w:t> </w:t>
      </w:r>
      <w:r>
        <w:rPr>
          <w:spacing w:val="-90"/>
        </w:rPr>
      </w:r>
      <w:r>
        <w:rPr/>
        <w:t>磁卡逐步升级到</w:t>
      </w:r>
      <w:r>
        <w:rPr>
          <w:rFonts w:ascii="Times New Roman" w:hAnsi="Times New Roman" w:cs="Times New Roman" w:eastAsia="Times New Roman" w:hint="default"/>
        </w:rPr>
        <w:t>M1</w:t>
      </w:r>
      <w:r>
        <w:rPr/>
        <w:t>卡、</w:t>
      </w:r>
      <w:r>
        <w:rPr>
          <w:rFonts w:ascii="Times New Roman" w:hAnsi="Times New Roman" w:cs="Times New Roman" w:eastAsia="Times New Roman" w:hint="default"/>
        </w:rPr>
        <w:t>CPU</w:t>
      </w:r>
      <w:r>
        <w:rPr/>
        <w:t>卡和手机卡等集成电路卡。</w:t>
      </w:r>
    </w:p>
    <w:p>
      <w:pPr>
        <w:pStyle w:val="BodyText"/>
        <w:spacing w:line="386" w:lineRule="auto" w:before="55"/>
        <w:ind w:right="154" w:firstLine="420"/>
        <w:jc w:val="left"/>
      </w:pPr>
      <w:r>
        <w:rPr/>
        <w:t>根据信息交互的方式，集成电路卡（又称</w:t>
      </w:r>
      <w:r>
        <w:rPr>
          <w:rFonts w:ascii="Times New Roman" w:hAnsi="Times New Roman" w:cs="Times New Roman" w:eastAsia="Times New Roman" w:hint="default"/>
        </w:rPr>
        <w:t>IC</w:t>
      </w:r>
      <w:r>
        <w:rPr/>
        <w:t>卡）可以分为接触式、非接触式及双界面卡。智能一卡通 主要以</w:t>
      </w:r>
      <w:r>
        <w:rPr>
          <w:rFonts w:ascii="Times New Roman" w:hAnsi="Times New Roman" w:cs="Times New Roman" w:eastAsia="Times New Roman" w:hint="default"/>
        </w:rPr>
        <w:t>“</w:t>
      </w:r>
      <w:r>
        <w:rPr/>
        <w:t>非接触式</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w:t>
      </w:r>
      <w:r>
        <w:rPr/>
        <w:t>作为信息载体，</w:t>
      </w:r>
      <w:r>
        <w:rPr>
          <w:rFonts w:ascii="Times New Roman" w:hAnsi="Times New Roman" w:cs="Times New Roman" w:eastAsia="Times New Roman" w:hint="default"/>
        </w:rPr>
        <w:t>M1</w:t>
      </w:r>
      <w:r>
        <w:rPr/>
        <w:t>卡、非接触式</w:t>
      </w:r>
      <w:r>
        <w:rPr>
          <w:rFonts w:ascii="Times New Roman" w:hAnsi="Times New Roman" w:cs="Times New Roman" w:eastAsia="Times New Roman" w:hint="default"/>
        </w:rPr>
        <w:t>CPU</w:t>
      </w:r>
      <w:r>
        <w:rPr/>
        <w:t>卡以及集合了</w:t>
      </w:r>
      <w:r>
        <w:rPr>
          <w:rFonts w:ascii="Times New Roman" w:hAnsi="Times New Roman" w:cs="Times New Roman" w:eastAsia="Times New Roman" w:hint="default"/>
        </w:rPr>
        <w:t>RFID</w:t>
      </w:r>
      <w:r>
        <w:rPr/>
        <w:t>功能的</w:t>
      </w:r>
      <w:r>
        <w:rPr>
          <w:rFonts w:ascii="Times New Roman" w:hAnsi="Times New Roman" w:cs="Times New Roman" w:eastAsia="Times New Roman" w:hint="default"/>
        </w:rPr>
        <w:t>RF-S(U)IM</w:t>
      </w:r>
      <w:r>
        <w:rPr/>
        <w:t>、 </w:t>
      </w:r>
      <w:r>
        <w:rPr>
          <w:rFonts w:ascii="Times New Roman" w:hAnsi="Times New Roman" w:cs="Times New Roman" w:eastAsia="Times New Roman" w:hint="default"/>
          <w:spacing w:val="-1"/>
        </w:rPr>
        <w:t>S(U)IM-PASS</w:t>
      </w:r>
      <w:r>
        <w:rPr>
          <w:spacing w:val="-1"/>
        </w:rPr>
        <w:t>等手机卡均属于非接触式</w:t>
      </w:r>
      <w:r>
        <w:rPr>
          <w:rFonts w:ascii="Times New Roman" w:hAnsi="Times New Roman" w:cs="Times New Roman" w:eastAsia="Times New Roman" w:hint="default"/>
          <w:spacing w:val="-1"/>
        </w:rPr>
        <w:t>IC</w:t>
      </w:r>
      <w:r>
        <w:rPr>
          <w:spacing w:val="-1"/>
        </w:rPr>
        <w:t>卡的范畴。非接触式</w:t>
      </w:r>
      <w:r>
        <w:rPr>
          <w:rFonts w:ascii="Times New Roman" w:hAnsi="Times New Roman" w:cs="Times New Roman" w:eastAsia="Times New Roman" w:hint="default"/>
          <w:spacing w:val="-1"/>
        </w:rPr>
        <w:t>IC</w:t>
      </w:r>
      <w:r>
        <w:rPr>
          <w:spacing w:val="-1"/>
        </w:rPr>
        <w:t>卡采用的无线射频近场通讯技术（</w:t>
      </w:r>
      <w:r>
        <w:rPr>
          <w:rFonts w:ascii="Times New Roman" w:hAnsi="Times New Roman" w:cs="Times New Roman" w:eastAsia="Times New Roman" w:hint="default"/>
          <w:spacing w:val="-1"/>
        </w:rPr>
        <w:t>RFID</w:t>
      </w:r>
      <w:r>
        <w:rPr>
          <w:spacing w:val="-1"/>
        </w:rPr>
        <w:t>）</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10" w:lineRule="auto" w:before="35"/>
        <w:ind w:right="188"/>
        <w:jc w:val="both"/>
      </w:pPr>
      <w:r>
        <w:rPr>
          <w:spacing w:val="-1"/>
        </w:rPr>
        <w:t>成功地解决了非接触通讯中的无源（卡中无电源）难题，具有耐腐蚀、防水防潮，抗干扰及多方向识别等</w:t>
      </w:r>
      <w:r>
        <w:rPr>
          <w:spacing w:val="-83"/>
        </w:rPr>
        <w:t> </w:t>
      </w:r>
      <w:r>
        <w:rPr>
          <w:spacing w:val="-83"/>
        </w:rPr>
      </w:r>
      <w:r>
        <w:rPr/>
        <w:t>良好的物理性能，并具有逻辑加密性强、安全性能高等突出特点，现已成为智能一卡通系统的最佳载体， 被广泛应用于校园一卡通、企事业一卡通、城市一卡通以及居民第二代身份证等领域。</w:t>
      </w:r>
    </w:p>
    <w:p>
      <w:pPr>
        <w:pStyle w:val="BodyText"/>
        <w:spacing w:line="396" w:lineRule="auto" w:before="82"/>
        <w:ind w:left="153" w:right="102" w:firstLine="420"/>
        <w:jc w:val="left"/>
      </w:pPr>
      <w:r>
        <w:rPr/>
        <w:t>在城市领域，采用</w:t>
      </w:r>
      <w:r>
        <w:rPr>
          <w:rFonts w:ascii="Times New Roman" w:hAnsi="Times New Roman" w:cs="Times New Roman" w:eastAsia="Times New Roman" w:hint="default"/>
        </w:rPr>
        <w:t>CPU</w:t>
      </w:r>
      <w:r>
        <w:rPr/>
        <w:t>卡技术的金融</w:t>
      </w:r>
      <w:r>
        <w:rPr>
          <w:rFonts w:ascii="Times New Roman" w:hAnsi="Times New Roman" w:cs="Times New Roman" w:eastAsia="Times New Roman" w:hint="default"/>
        </w:rPr>
        <w:t>IC</w:t>
      </w:r>
      <w:r>
        <w:rPr/>
        <w:t>卡被大规模推广应用，极大的促进了智能一卡通在城市领域的 应用。金融</w:t>
      </w:r>
      <w:r>
        <w:rPr>
          <w:rFonts w:ascii="Times New Roman" w:hAnsi="Times New Roman" w:cs="Times New Roman" w:eastAsia="Times New Roman" w:hint="default"/>
        </w:rPr>
        <w:t>IC</w:t>
      </w:r>
      <w:r>
        <w:rPr/>
        <w:t>卡是由商业银行（信用社）或支付机构发行的具有消费信用、转账结算、现金存取等全部或 部分功能，也可以具有其他商业服务和社会管理功能的金融工具，是为替代安全性相对较差的磁条卡而推 </w:t>
      </w:r>
      <w:r>
        <w:rPr>
          <w:spacing w:val="-6"/>
        </w:rPr>
        <w:t>出的卡片，其集社保、交通、医疗、教育、通讯、购物、娱乐、水电煤缴费等行业应用于一体，可实现“一</w:t>
      </w:r>
      <w:r>
        <w:rPr>
          <w:spacing w:val="-63"/>
        </w:rPr>
        <w:t> </w:t>
      </w:r>
      <w:r>
        <w:rPr>
          <w:spacing w:val="-63"/>
        </w:rPr>
      </w:r>
      <w:r>
        <w:rPr/>
        <w:t>卡多用”。自2</w:t>
      </w:r>
      <w:r>
        <w:rPr>
          <w:rFonts w:ascii="Times New Roman" w:hAnsi="Times New Roman" w:cs="Times New Roman" w:eastAsia="Times New Roman" w:hint="default"/>
        </w:rPr>
        <w:t>011</w:t>
      </w:r>
      <w:r>
        <w:rPr/>
        <w:t>年</w:t>
      </w:r>
      <w:r>
        <w:rPr>
          <w:rFonts w:ascii="Times New Roman" w:hAnsi="Times New Roman" w:cs="Times New Roman" w:eastAsia="Times New Roman" w:hint="default"/>
        </w:rPr>
        <w:t>3</w:t>
      </w:r>
      <w:r>
        <w:rPr/>
        <w:t>月人民银行启动金融</w:t>
      </w:r>
      <w:r>
        <w:rPr>
          <w:rFonts w:ascii="Times New Roman" w:hAnsi="Times New Roman" w:cs="Times New Roman" w:eastAsia="Times New Roman" w:hint="default"/>
        </w:rPr>
        <w:t>IC</w:t>
      </w:r>
      <w:r>
        <w:rPr/>
        <w:t>卡应用推广以来，我国金融</w:t>
      </w:r>
      <w:r>
        <w:rPr>
          <w:rFonts w:ascii="Times New Roman" w:hAnsi="Times New Roman" w:cs="Times New Roman" w:eastAsia="Times New Roman" w:hint="default"/>
        </w:rPr>
        <w:t>IC</w:t>
      </w:r>
      <w:r>
        <w:rPr/>
        <w:t>卡的推广取得了显著成绩，根 据中国银联</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月的数据，银联</w:t>
      </w:r>
      <w:r>
        <w:rPr>
          <w:rFonts w:ascii="Times New Roman" w:hAnsi="Times New Roman" w:cs="Times New Roman" w:eastAsia="Times New Roman" w:hint="default"/>
        </w:rPr>
        <w:t>IC</w:t>
      </w:r>
      <w:r>
        <w:rPr/>
        <w:t>卡的发卡量已突破</w:t>
      </w:r>
      <w:r>
        <w:rPr>
          <w:rFonts w:ascii="Times New Roman" w:hAnsi="Times New Roman" w:cs="Times New Roman" w:eastAsia="Times New Roman" w:hint="default"/>
        </w:rPr>
        <w:t>10</w:t>
      </w:r>
      <w:r>
        <w:rPr/>
        <w:t>亿张，在公共交通、社会保障、医疗卫生、文 化教育、城市管理、生活服务、企业服务等领域的应用也已经实现突破。金融</w:t>
      </w:r>
      <w:r>
        <w:rPr>
          <w:rFonts w:ascii="Times New Roman" w:hAnsi="Times New Roman" w:cs="Times New Roman" w:eastAsia="Times New Roman" w:hint="default"/>
        </w:rPr>
        <w:t>IC</w:t>
      </w:r>
      <w:r>
        <w:rPr/>
        <w:t>卡的大规模推广应用和普 </w:t>
      </w:r>
      <w:r>
        <w:rPr>
          <w:spacing w:val="-3"/>
        </w:rPr>
        <w:t>及，将极大的推动智慧城市及城市一卡通系统的建设，而部分学校基于校园卡与城市公共服务对接的考虑，</w:t>
      </w:r>
      <w:r>
        <w:rPr>
          <w:spacing w:val="-92"/>
        </w:rPr>
        <w:t> </w:t>
      </w:r>
      <w:r>
        <w:rPr>
          <w:spacing w:val="-92"/>
        </w:rPr>
      </w:r>
      <w:r>
        <w:rPr/>
        <w:t>也开始要求校园一卡通采用金融</w:t>
      </w:r>
      <w:r>
        <w:rPr>
          <w:rFonts w:ascii="Times New Roman" w:hAnsi="Times New Roman" w:cs="Times New Roman" w:eastAsia="Times New Roman" w:hint="default"/>
        </w:rPr>
        <w:t>IC</w:t>
      </w:r>
      <w:r>
        <w:rPr/>
        <w:t>卡的相关技术和标准，这都将为智能一卡通行业带来巨大的市场需求。</w:t>
      </w:r>
    </w:p>
    <w:p>
      <w:pPr>
        <w:pStyle w:val="BodyText"/>
        <w:spacing w:line="420" w:lineRule="auto" w:before="65"/>
        <w:ind w:left="573" w:right="96" w:hanging="1"/>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NFC</w:t>
      </w:r>
      <w:r>
        <w:rPr/>
        <w:t>移动支付逐渐兴起，为校园一卡通行业带来了新的增长动力 </w:t>
      </w:r>
      <w:r>
        <w:rPr>
          <w:spacing w:val="-3"/>
        </w:rPr>
        <w:t>近年来，随着智能手机不断普及，我国手机支付产业获得较快发展。手机支付是以手机作为支付终端，</w:t>
      </w:r>
    </w:p>
    <w:p>
      <w:pPr>
        <w:pStyle w:val="BodyText"/>
        <w:spacing w:line="393" w:lineRule="auto" w:before="34"/>
        <w:ind w:left="153" w:right="95"/>
        <w:jc w:val="left"/>
      </w:pPr>
      <w:r>
        <w:rPr/>
        <w:t>基于无线通信网络与后台服务器之间的远程信息交互（即远程支付），或基于手机与受理终端的近场信息 交互发起支付指令（即近场支付），实现货币资金转移的支付方式，其中近场支付中</w:t>
      </w:r>
      <w:r>
        <w:rPr>
          <w:rFonts w:ascii="Times New Roman" w:hAnsi="Times New Roman" w:cs="Times New Roman" w:eastAsia="Times New Roman" w:hint="default"/>
        </w:rPr>
        <w:t>NFC</w:t>
      </w:r>
      <w:r>
        <w:rPr/>
        <w:t>技术由于其安全 性高、能耗低、传输速度快等优势成为主流的技术方案。</w:t>
      </w:r>
      <w:r>
        <w:rPr>
          <w:rFonts w:ascii="Times New Roman" w:hAnsi="Times New Roman" w:cs="Times New Roman" w:eastAsia="Times New Roman" w:hint="default"/>
        </w:rPr>
        <w:t>NFC</w:t>
      </w:r>
      <w:r>
        <w:rPr/>
        <w:t>近场支付主要利用</w:t>
      </w:r>
      <w:r>
        <w:rPr>
          <w:rFonts w:ascii="Times New Roman" w:hAnsi="Times New Roman" w:cs="Times New Roman" w:eastAsia="Times New Roman" w:hint="default"/>
        </w:rPr>
        <w:t>RFID</w:t>
      </w:r>
      <w:r>
        <w:rPr/>
        <w:t>技术，使手机和自动 售货机、</w:t>
      </w:r>
      <w:r>
        <w:rPr>
          <w:rFonts w:ascii="Times New Roman" w:hAnsi="Times New Roman" w:cs="Times New Roman" w:eastAsia="Times New Roman" w:hint="default"/>
        </w:rPr>
        <w:t>POS</w:t>
      </w:r>
      <w:r>
        <w:rPr/>
        <w:t>终端、汽车停放收费表等终端设备之间实现本地化通讯，是智能一卡通行业</w:t>
      </w:r>
      <w:r>
        <w:rPr>
          <w:rFonts w:ascii="Times New Roman" w:hAnsi="Times New Roman" w:cs="Times New Roman" w:eastAsia="Times New Roman" w:hint="default"/>
        </w:rPr>
        <w:t>RFID</w:t>
      </w:r>
      <w:r>
        <w:rPr/>
        <w:t>和智能卡技 </w:t>
      </w:r>
      <w:r>
        <w:rPr>
          <w:spacing w:val="-3"/>
        </w:rPr>
        <w:t>术在手机载体上应用的典型业务。</w:t>
      </w:r>
      <w:r>
        <w:rPr>
          <w:rFonts w:ascii="Times New Roman" w:hAnsi="Times New Roman" w:cs="Times New Roman" w:eastAsia="Times New Roman" w:hint="default"/>
          <w:spacing w:val="-3"/>
        </w:rPr>
        <w:t>NFC</w:t>
      </w:r>
      <w:r>
        <w:rPr>
          <w:spacing w:val="-3"/>
        </w:rPr>
        <w:t>手机能够满足智能一卡通应用的多数功能和场景，如面向个人用户，</w:t>
      </w:r>
      <w:r>
        <w:rPr>
          <w:spacing w:val="-79"/>
        </w:rPr>
        <w:t> </w:t>
      </w:r>
      <w:r>
        <w:rPr>
          <w:spacing w:val="-79"/>
        </w:rPr>
      </w:r>
      <w:r>
        <w:rPr/>
        <w:t>能够满足综合交通、公共缴费以及商户小额消费现场便利支付需求，而将其应用到学校、企事业行业中， 则可很好的实现校园、企事业一卡通的餐饮、门禁、考勤、停车收费等全部的功能。</w:t>
      </w:r>
    </w:p>
    <w:p>
      <w:pPr>
        <w:pStyle w:val="BodyText"/>
        <w:spacing w:line="391" w:lineRule="auto" w:before="97"/>
        <w:ind w:right="209" w:firstLine="480"/>
        <w:jc w:val="both"/>
      </w:pPr>
      <w:r>
        <w:rPr>
          <w:spacing w:val="-2"/>
        </w:rPr>
        <w:t>随着近场支付相关技术标准逐渐统一、受理环境不断改善、政策环境逐渐成熟，在国家政策和三大运</w:t>
      </w:r>
      <w:r>
        <w:rPr/>
        <w:t> </w:t>
      </w:r>
      <w:r>
        <w:rPr>
          <w:spacing w:val="-1"/>
        </w:rPr>
        <w:t>营商的大力推动下，凭借安全性、应用场景、便捷性等方面的优势，我国</w:t>
      </w:r>
      <w:r>
        <w:rPr>
          <w:rFonts w:ascii="Times New Roman" w:hAnsi="Times New Roman" w:cs="Times New Roman" w:eastAsia="Times New Roman" w:hint="default"/>
          <w:spacing w:val="-1"/>
        </w:rPr>
        <w:t>NFC</w:t>
      </w:r>
      <w:r>
        <w:rPr>
          <w:spacing w:val="-1"/>
        </w:rPr>
        <w:t>近场支付产业进入发展的黄</w:t>
      </w:r>
      <w:r>
        <w:rPr>
          <w:spacing w:val="-73"/>
        </w:rPr>
        <w:t> </w:t>
      </w:r>
      <w:r>
        <w:rPr>
          <w:spacing w:val="-1"/>
        </w:rPr>
        <w:t>金时期，为智能一卡通行业带来了巨大的发展机遇。此外，</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2011</w:t>
      </w:r>
      <w:r>
        <w:rPr>
          <w:spacing w:val="-1"/>
        </w:rPr>
        <w:t>年在三大运营的主导下大规模建</w:t>
      </w:r>
      <w:r>
        <w:rPr>
          <w:spacing w:val="-83"/>
        </w:rPr>
        <w:t> </w:t>
      </w:r>
      <w:r>
        <w:rPr>
          <w:spacing w:val="-83"/>
        </w:rPr>
      </w:r>
      <w:r>
        <w:rPr>
          <w:spacing w:val="-1"/>
        </w:rPr>
        <w:t>设实施的</w:t>
      </w:r>
      <w:r>
        <w:rPr>
          <w:rFonts w:ascii="Times New Roman" w:hAnsi="Times New Roman" w:cs="Times New Roman" w:eastAsia="Times New Roman" w:hint="default"/>
          <w:spacing w:val="-1"/>
        </w:rPr>
        <w:t>NFC</w:t>
      </w:r>
      <w:r>
        <w:rPr>
          <w:spacing w:val="-1"/>
        </w:rPr>
        <w:t>手机一卡通系统，也随着技术标准逐渐统一，且因终端硬件磨损、软件系统升级等原因而进</w:t>
      </w:r>
      <w:r>
        <w:rPr>
          <w:spacing w:val="-71"/>
        </w:rPr>
        <w:t> </w:t>
      </w:r>
      <w:r>
        <w:rPr>
          <w:spacing w:val="-71"/>
        </w:rPr>
      </w:r>
      <w:r>
        <w:rPr/>
        <w:t>入</w:t>
      </w:r>
      <w:r>
        <w:rPr>
          <w:rFonts w:ascii="Times New Roman" w:hAnsi="Times New Roman" w:cs="Times New Roman" w:eastAsia="Times New Roman" w:hint="default"/>
        </w:rPr>
        <w:t>5-8</w:t>
      </w:r>
      <w:r>
        <w:rPr/>
        <w:t>年的升级换代期，而为智能一卡通行业带来了大量的市场需求。</w:t>
      </w:r>
    </w:p>
    <w:p>
      <w:pPr>
        <w:pStyle w:val="BodyText"/>
        <w:spacing w:line="398" w:lineRule="auto" w:before="71"/>
        <w:ind w:right="95" w:firstLine="420"/>
        <w:jc w:val="left"/>
      </w:pPr>
      <w:r>
        <w:rPr/>
        <w:t>拥有相当规模的高素质群体、新技术接受能力强、手机普及率和使用频率较高的校园是各大运营商 </w:t>
      </w:r>
      <w:r>
        <w:rPr>
          <w:rFonts w:ascii="Times New Roman" w:hAnsi="Times New Roman" w:cs="Times New Roman" w:eastAsia="Times New Roman" w:hint="default"/>
        </w:rPr>
        <w:t>NFC</w:t>
      </w:r>
      <w:r>
        <w:rPr/>
        <w:t>手机一卡通业务争相推广的重点客户，</w:t>
      </w:r>
      <w:r>
        <w:rPr>
          <w:rFonts w:ascii="Times New Roman" w:hAnsi="Times New Roman" w:cs="Times New Roman" w:eastAsia="Times New Roman" w:hint="default"/>
        </w:rPr>
        <w:t>NFC</w:t>
      </w:r>
      <w:r>
        <w:rPr/>
        <w:t>手机一卡通成为校园一卡通的重要补充和升级，学生可以 </w:t>
      </w:r>
      <w:r>
        <w:rPr>
          <w:spacing w:val="-3"/>
        </w:rPr>
        <w:t>使用</w:t>
      </w:r>
      <w:r>
        <w:rPr>
          <w:rFonts w:ascii="Times New Roman" w:hAnsi="Times New Roman" w:cs="Times New Roman" w:eastAsia="Times New Roman" w:hint="default"/>
          <w:spacing w:val="-3"/>
        </w:rPr>
        <w:t>NFC</w:t>
      </w:r>
      <w:r>
        <w:rPr>
          <w:spacing w:val="-3"/>
        </w:rPr>
        <w:t>手机进行刷手机消费、刷手机开门、刷手机打开水、刷手机出入图书馆、刷手机乘坐校园巴士等，</w:t>
      </w:r>
    </w:p>
    <w:p>
      <w:pPr>
        <w:spacing w:after="0" w:line="39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91" w:lineRule="auto" w:before="35"/>
        <w:ind w:left="153" w:right="208"/>
        <w:jc w:val="both"/>
      </w:pPr>
      <w:r>
        <w:rPr>
          <w:spacing w:val="-5"/>
        </w:rPr>
        <w:t>还可以通过手机一卡通的“空中圈存”功能，实时将资金充入电子消费钱包中，校园一卡通的主要功能（除</w:t>
      </w:r>
      <w:r>
        <w:rPr>
          <w:spacing w:val="-101"/>
        </w:rPr>
        <w:t> </w:t>
      </w:r>
      <w:r>
        <w:rPr>
          <w:spacing w:val="-101"/>
        </w:rPr>
      </w:r>
      <w:r>
        <w:rPr/>
        <w:t>浴室水控等相对恶劣的应用环境外）均可以用手机载体来完成，真正实现</w:t>
      </w:r>
      <w:r>
        <w:rPr>
          <w:rFonts w:ascii="Times New Roman" w:hAnsi="Times New Roman" w:cs="Times New Roman" w:eastAsia="Times New Roman" w:hint="default"/>
        </w:rPr>
        <w:t>“</w:t>
      </w:r>
      <w:r>
        <w:rPr/>
        <w:t>一机（卡）在手，走遍校园</w:t>
      </w:r>
      <w:r>
        <w:rPr>
          <w:rFonts w:ascii="Times New Roman" w:hAnsi="Times New Roman" w:cs="Times New Roman" w:eastAsia="Times New Roman" w:hint="default"/>
        </w:rPr>
        <w:t>”</w:t>
      </w:r>
      <w:r>
        <w:rPr/>
        <w:t>。 从手机一卡通产业链价值的分布来看，研究资料显示约</w:t>
      </w:r>
      <w:r>
        <w:rPr>
          <w:rFonts w:ascii="Times New Roman" w:hAnsi="Times New Roman" w:cs="Times New Roman" w:eastAsia="Times New Roman" w:hint="default"/>
        </w:rPr>
        <w:t>70%</w:t>
      </w:r>
      <w:r>
        <w:rPr/>
        <w:t>的市场价值由解决方案提供商、系统集成商、 </w:t>
      </w:r>
      <w:r>
        <w:rPr>
          <w:spacing w:val="-7"/>
        </w:rPr>
        <w:t>服务提供商、中间件及应用商取得（资料来源：《物联网产业链及市场分析》</w:t>
      </w:r>
      <w:r>
        <w:rPr>
          <w:spacing w:val="-75"/>
        </w:rPr>
        <w:t> </w:t>
      </w:r>
      <w:r>
        <w:rPr/>
        <w:t>华为技术有限公司</w:t>
      </w:r>
      <w:r>
        <w:rPr>
          <w:spacing w:val="-14"/>
        </w:rPr>
        <w:t> </w:t>
      </w:r>
      <w:r>
        <w:rPr/>
        <w:t>肖剑</w:t>
      </w:r>
      <w:r>
        <w:rPr>
          <w:spacing w:val="-14"/>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月），这将为智能一卡通行业带来新的增长动力。</w:t>
      </w:r>
    </w:p>
    <w:p>
      <w:pPr>
        <w:pStyle w:val="BodyText"/>
        <w:spacing w:line="240" w:lineRule="auto" w:before="69"/>
        <w:ind w:left="573" w:right="95"/>
        <w:jc w:val="left"/>
      </w:pPr>
      <w:r>
        <w:rPr>
          <w:rFonts w:ascii="Times New Roman" w:hAnsi="Times New Roman" w:cs="Times New Roman" w:eastAsia="Times New Roman" w:hint="default"/>
        </w:rPr>
        <w:t>6</w:t>
      </w:r>
      <w:r>
        <w:rPr/>
        <w:t>、移动互联网在校园信息化领域的渗透逐步加深，融合了校园一卡通应用的移动互联网应用开始涌</w:t>
      </w:r>
    </w:p>
    <w:p>
      <w:pPr>
        <w:pStyle w:val="BodyText"/>
        <w:spacing w:line="240" w:lineRule="auto" w:before="177"/>
        <w:ind w:left="153" w:right="0"/>
        <w:jc w:val="both"/>
      </w:pPr>
      <w:r>
        <w:rPr/>
        <w:t>现</w:t>
      </w:r>
    </w:p>
    <w:p>
      <w:pPr>
        <w:spacing w:line="240" w:lineRule="auto" w:before="10"/>
        <w:rPr>
          <w:rFonts w:ascii="宋体" w:hAnsi="宋体" w:cs="宋体" w:eastAsia="宋体" w:hint="default"/>
          <w:sz w:val="14"/>
          <w:szCs w:val="14"/>
        </w:rPr>
      </w:pPr>
    </w:p>
    <w:p>
      <w:pPr>
        <w:pStyle w:val="BodyText"/>
        <w:spacing w:line="403" w:lineRule="auto" w:before="0"/>
        <w:ind w:left="153" w:right="102" w:firstLine="480"/>
        <w:jc w:val="left"/>
      </w:pPr>
      <w:r>
        <w:rPr/>
        <w:t>随着我国移动互联网用户规模快速增长、智能移动终端迅速普及，以及</w:t>
      </w:r>
      <w:r>
        <w:rPr>
          <w:rFonts w:ascii="Times New Roman" w:hAnsi="Times New Roman" w:cs="Times New Roman" w:eastAsia="Times New Roman" w:hint="default"/>
        </w:rPr>
        <w:t>3G/4G</w:t>
      </w:r>
      <w:r>
        <w:rPr/>
        <w:t>通信技术快速发展并大 </w:t>
      </w:r>
      <w:r>
        <w:rPr>
          <w:spacing w:val="-3"/>
        </w:rPr>
        <w:t>规模应用，移动互联网产业蓬勃发展，在校园领域也衍生了丰富多样的移动应用，如空中课堂、校园资讯、</w:t>
      </w:r>
      <w:r>
        <w:rPr>
          <w:spacing w:val="-95"/>
        </w:rPr>
        <w:t> </w:t>
      </w:r>
      <w:r>
        <w:rPr>
          <w:spacing w:val="-95"/>
        </w:rPr>
      </w:r>
      <w:r>
        <w:rPr/>
        <w:t>校园电台、校园社交、社团管理、校园一卡通、迎新导航、校园周边商户订餐、校园讲座、校车查询、课</w:t>
      </w:r>
      <w:r>
        <w:rPr/>
        <w:t> 程表查询、求职招聘、空闲教室查询、成绩查询等专门针对大学生的移动互联网应用和服务层出不穷，如 迎校园新导航功能结合地图、定位、导航等移动互联网相关技术实现了随时随地校园内手机导航，学校将 教学楼、图书馆、校医院、银行等校园建筑信息录入地图，新生入学时点击校园地图</w:t>
      </w:r>
      <w:r>
        <w:rPr>
          <w:rFonts w:ascii="Times New Roman" w:hAnsi="Times New Roman" w:cs="Times New Roman" w:eastAsia="Times New Roman" w:hint="default"/>
        </w:rPr>
        <w:t>APP</w:t>
      </w:r>
      <w:r>
        <w:rPr/>
        <w:t>中标识的地点，</w:t>
      </w:r>
      <w:r>
        <w:rPr>
          <w:spacing w:val="-99"/>
        </w:rPr>
        <w:t> </w:t>
      </w:r>
      <w:r>
        <w:rPr>
          <w:spacing w:val="-99"/>
        </w:rPr>
      </w:r>
      <w:r>
        <w:rPr/>
        <w:t>就可以查看该建筑的名称、具体地址、简介、图片等相关信息，并显示路线导航图，使新生可以快速熟悉</w:t>
      </w:r>
      <w:r>
        <w:rPr/>
        <w:t> 校园。</w:t>
      </w:r>
    </w:p>
    <w:p>
      <w:pPr>
        <w:pStyle w:val="BodyText"/>
        <w:spacing w:line="405" w:lineRule="auto" w:before="91"/>
        <w:ind w:left="153" w:right="95" w:firstLine="420"/>
        <w:jc w:val="left"/>
      </w:pPr>
      <w:r>
        <w:rPr/>
        <w:t>在校园领域，由于高校在校学生的智能手机普及率高，对新鲜事物的接受程度强，通过移动互联网获 取各种信息和服务已经成为在校学生日常生活的重要组成部分，移动互联网在校园信息化领域的渗透逐步 </w:t>
      </w:r>
      <w:r>
        <w:rPr>
          <w:spacing w:val="-3"/>
        </w:rPr>
        <w:t>加深，校园移动互联网业务的巨大潜力凸显。如公司推出了“玩校”</w:t>
      </w:r>
      <w:r>
        <w:rPr>
          <w:rFonts w:ascii="Times New Roman" w:hAnsi="Times New Roman" w:cs="Times New Roman" w:eastAsia="Times New Roman" w:hint="default"/>
          <w:spacing w:val="-3"/>
        </w:rPr>
        <w:t>APP</w:t>
      </w:r>
      <w:r>
        <w:rPr>
          <w:spacing w:val="-3"/>
        </w:rPr>
        <w:t>，其与校园一卡通系统无缝对接，</w:t>
      </w:r>
      <w:r>
        <w:rPr>
          <w:spacing w:val="-58"/>
        </w:rPr>
        <w:t> </w:t>
      </w:r>
      <w:r>
        <w:rPr>
          <w:spacing w:val="-58"/>
        </w:rPr>
      </w:r>
      <w:r>
        <w:rPr/>
        <w:t>可实现一卡通消费记录查询、余额查询、自助挂失、自助充值、水电费缴纳、四六级考试缴费等功能，并</w:t>
      </w:r>
      <w:r>
        <w:rPr/>
        <w:t> 以此为切入点，向校园学习生活的各个方面延伸，成为一款集学习、生活、交友、娱乐、消费、求职等功 能于一体的</w:t>
      </w:r>
      <w:r>
        <w:rPr>
          <w:rFonts w:ascii="Times New Roman" w:hAnsi="Times New Roman" w:cs="Times New Roman" w:eastAsia="Times New Roman" w:hint="default"/>
        </w:rPr>
        <w:t>“</w:t>
      </w:r>
      <w:r>
        <w:rPr/>
        <w:t>校园移动互联网门户</w:t>
      </w:r>
      <w:r>
        <w:rPr>
          <w:rFonts w:ascii="Times New Roman" w:hAnsi="Times New Roman" w:cs="Times New Roman" w:eastAsia="Times New Roman" w:hint="default"/>
        </w:rPr>
        <w:t>”</w:t>
      </w:r>
      <w:r>
        <w:rPr/>
        <w:t>。</w:t>
      </w:r>
    </w:p>
    <w:p>
      <w:pPr>
        <w:pStyle w:val="BodyText"/>
        <w:spacing w:line="240" w:lineRule="auto" w:before="56"/>
        <w:ind w:left="633" w:right="532"/>
        <w:jc w:val="left"/>
      </w:pPr>
      <w:r>
        <w:rPr/>
        <w:t>（二）公司面临的市场格局和机遇</w:t>
      </w:r>
    </w:p>
    <w:p>
      <w:pPr>
        <w:spacing w:line="240" w:lineRule="auto" w:before="11"/>
        <w:rPr>
          <w:rFonts w:ascii="宋体" w:hAnsi="宋体" w:cs="宋体" w:eastAsia="宋体" w:hint="default"/>
          <w:sz w:val="23"/>
          <w:szCs w:val="23"/>
        </w:rPr>
      </w:pPr>
    </w:p>
    <w:p>
      <w:pPr>
        <w:pStyle w:val="BodyText"/>
        <w:spacing w:line="420" w:lineRule="auto" w:before="0"/>
        <w:ind w:left="574" w:right="170" w:hanging="1"/>
        <w:jc w:val="left"/>
      </w:pPr>
      <w:r>
        <w:rPr>
          <w:rFonts w:ascii="Times New Roman" w:hAnsi="Times New Roman" w:cs="Times New Roman" w:eastAsia="Times New Roman" w:hint="default"/>
        </w:rPr>
        <w:t>1</w:t>
      </w:r>
      <w:r>
        <w:rPr/>
        <w:t>、行业竞争格局和市场化程度 我国智能一卡通行业起步于</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90</w:t>
      </w:r>
      <w:r>
        <w:rPr/>
        <w:t>年代，经过</w:t>
      </w:r>
      <w:r>
        <w:rPr>
          <w:rFonts w:ascii="Times New Roman" w:hAnsi="Times New Roman" w:cs="Times New Roman" w:eastAsia="Times New Roman" w:hint="default"/>
        </w:rPr>
        <w:t>20</w:t>
      </w:r>
      <w:r>
        <w:rPr/>
        <w:t>多年的快速发展，行业内积累了大量的中小企业，</w:t>
      </w:r>
    </w:p>
    <w:p>
      <w:pPr>
        <w:pStyle w:val="BodyText"/>
        <w:spacing w:line="403" w:lineRule="auto" w:before="1"/>
        <w:ind w:right="209"/>
        <w:jc w:val="both"/>
      </w:pPr>
      <w:r>
        <w:rPr>
          <w:spacing w:val="-1"/>
        </w:rPr>
        <w:t>市场发展较为成熟，在门禁、考勤、餐卡、公交卡等传统一卡通业务领域，市场参与主体众多，竞争较为</w:t>
      </w:r>
      <w:r>
        <w:rPr>
          <w:spacing w:val="-83"/>
        </w:rPr>
        <w:t> </w:t>
      </w:r>
      <w:r>
        <w:rPr>
          <w:spacing w:val="-83"/>
        </w:rPr>
      </w:r>
      <w:r>
        <w:rPr>
          <w:spacing w:val="-1"/>
        </w:rPr>
        <w:t>激烈，但其产品和业务大都较为单一，能够提供智能一卡通系统整体解决方案的企业相对较少，尤其是在</w:t>
      </w:r>
      <w:r>
        <w:rPr>
          <w:spacing w:val="-83"/>
        </w:rPr>
        <w:t> </w:t>
      </w:r>
      <w:r>
        <w:rPr>
          <w:spacing w:val="-83"/>
        </w:rPr>
      </w:r>
      <w:r>
        <w:rPr>
          <w:spacing w:val="-1"/>
        </w:rPr>
        <w:t>技术含量和智能化程度相对较高的手机一卡通、城市金融</w:t>
      </w:r>
      <w:r>
        <w:rPr>
          <w:rFonts w:ascii="Times New Roman" w:hAnsi="Times New Roman" w:cs="Times New Roman" w:eastAsia="Times New Roman" w:hint="default"/>
          <w:spacing w:val="-1"/>
        </w:rPr>
        <w:t>IC</w:t>
      </w:r>
      <w:r>
        <w:rPr>
          <w:spacing w:val="-1"/>
        </w:rPr>
        <w:t>卡平台等领域，具备相应研发设计能力和整体</w:t>
      </w:r>
      <w:r>
        <w:rPr>
          <w:spacing w:val="-81"/>
        </w:rPr>
        <w:t> </w:t>
      </w:r>
      <w:r>
        <w:rPr>
          <w:spacing w:val="-81"/>
        </w:rPr>
      </w:r>
      <w:r>
        <w:rPr>
          <w:spacing w:val="-1"/>
        </w:rPr>
        <w:t>解决方案定制能力的企业更少，市场竞争也相对缓和。随着我国信息化的应用层次不断深入和建设水平持</w:t>
      </w:r>
      <w:r>
        <w:rPr>
          <w:spacing w:val="-81"/>
        </w:rPr>
        <w:t> </w:t>
      </w:r>
      <w:r>
        <w:rPr>
          <w:spacing w:val="-81"/>
        </w:rPr>
      </w:r>
      <w:r>
        <w:rPr>
          <w:spacing w:val="-1"/>
        </w:rPr>
        <w:t>续提升，尤其是随着移动互联网、</w:t>
      </w:r>
      <w:r>
        <w:rPr>
          <w:rFonts w:ascii="Times New Roman" w:hAnsi="Times New Roman" w:cs="Times New Roman" w:eastAsia="Times New Roman" w:hint="default"/>
          <w:spacing w:val="-1"/>
        </w:rPr>
        <w:t>NFC</w:t>
      </w:r>
      <w:r>
        <w:rPr>
          <w:spacing w:val="-1"/>
        </w:rPr>
        <w:t>移动支付、物联网、大数据分析等信息技术快速发展并在智能一卡</w:t>
      </w:r>
    </w:p>
    <w:p>
      <w:pPr>
        <w:spacing w:after="0" w:line="403" w:lineRule="auto"/>
        <w:jc w:val="both"/>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441" w:lineRule="auto" w:before="35"/>
        <w:ind w:left="573" w:right="95" w:hanging="420"/>
        <w:jc w:val="left"/>
      </w:pPr>
      <w:r>
        <w:rPr/>
        <w:t>通行业的渗透逐步加深，具备较强整体解决方案定制能力的企业在市场中的竞争优势将更加突出。 </w:t>
      </w:r>
      <w:r>
        <w:rPr>
          <w:spacing w:val="-1"/>
        </w:rPr>
        <w:t>从细分领域来看，在智能一卡通起步最早、发展最快、应用最成熟的校园一卡通领域，多年的市场竞</w:t>
      </w:r>
    </w:p>
    <w:p>
      <w:pPr>
        <w:pStyle w:val="BodyText"/>
        <w:spacing w:line="408" w:lineRule="auto" w:before="17"/>
        <w:ind w:left="153" w:right="209"/>
        <w:jc w:val="both"/>
      </w:pPr>
      <w:r>
        <w:rPr>
          <w:spacing w:val="-1"/>
        </w:rPr>
        <w:t>争淘汰了大多数中小一卡通厂商，行业竞争格局趋于稳定，以新中新、新开普、迪科远望、广东智慧、浙</w:t>
      </w:r>
      <w:r>
        <w:rPr>
          <w:spacing w:val="-83"/>
        </w:rPr>
        <w:t> </w:t>
      </w:r>
      <w:r>
        <w:rPr>
          <w:spacing w:val="-83"/>
        </w:rPr>
      </w:r>
      <w:r>
        <w:rPr>
          <w:spacing w:val="-1"/>
        </w:rPr>
        <w:t>江正元、沈阳宝石、上海树维、南开太阳等为代表的少数厂商占据了主要市场份额，其中新中新、新开普</w:t>
      </w:r>
      <w:r>
        <w:rPr>
          <w:spacing w:val="-83"/>
        </w:rPr>
        <w:t> </w:t>
      </w:r>
      <w:r>
        <w:rPr>
          <w:spacing w:val="-83"/>
        </w:rPr>
      </w:r>
      <w:r>
        <w:rPr>
          <w:spacing w:val="-1"/>
        </w:rPr>
        <w:t>在全国市场积累了大量的客户，而迪科远望、浙江正元、上海树维等厂商则分别在北京、浙江、上海等区</w:t>
      </w:r>
      <w:r>
        <w:rPr>
          <w:spacing w:val="-83"/>
        </w:rPr>
        <w:t> </w:t>
      </w:r>
      <w:r>
        <w:rPr>
          <w:spacing w:val="-83"/>
        </w:rPr>
      </w:r>
      <w:r>
        <w:rPr>
          <w:spacing w:val="-1"/>
        </w:rPr>
        <w:t>域市场建立了一定的领先优势。在企事业和城市等应用领域，智能一卡通行业呈现出市场空间巨大、发展</w:t>
      </w:r>
      <w:r>
        <w:rPr>
          <w:spacing w:val="-83"/>
        </w:rPr>
        <w:t> </w:t>
      </w:r>
      <w:r>
        <w:rPr>
          <w:spacing w:val="-83"/>
        </w:rPr>
      </w:r>
      <w:r>
        <w:rPr>
          <w:spacing w:val="-1"/>
        </w:rPr>
        <w:t>快速、参与者众多和竞争较为充分等特点，市场参与者既包括专业一卡通厂商，也包括门禁、考勤等单一</w:t>
      </w:r>
      <w:r>
        <w:rPr>
          <w:spacing w:val="-82"/>
        </w:rPr>
        <w:t> </w:t>
      </w:r>
      <w:r>
        <w:rPr>
          <w:spacing w:val="-82"/>
        </w:rPr>
      </w:r>
      <w:r>
        <w:rPr/>
        <w:t>系统供应商、大型软件开发企业以及部分系统集成商等。</w:t>
      </w:r>
    </w:p>
    <w:p>
      <w:pPr>
        <w:pStyle w:val="BodyText"/>
        <w:spacing w:line="405" w:lineRule="auto" w:before="85"/>
        <w:ind w:left="153" w:right="102" w:firstLine="480"/>
        <w:jc w:val="left"/>
      </w:pPr>
      <w:r>
        <w:rPr>
          <w:spacing w:val="-2"/>
        </w:rPr>
        <w:t>在城市一卡通领域，其涉及面广，持卡群体广泛，项目投资金额较大，可应用于公共交通（公交、出</w:t>
      </w:r>
      <w:r>
        <w:rPr/>
        <w:t> </w:t>
      </w:r>
      <w:r>
        <w:rPr>
          <w:spacing w:val="-3"/>
        </w:rPr>
        <w:t>租、地铁等）、公用事业（医疗、社保、水电缴费等）、商户小额消费（超市、商场等）等众多公共领域。</w:t>
      </w:r>
      <w:r>
        <w:rPr>
          <w:spacing w:val="-92"/>
        </w:rPr>
        <w:t> </w:t>
      </w:r>
      <w:r>
        <w:rPr>
          <w:spacing w:val="-92"/>
        </w:rPr>
      </w:r>
      <w:r>
        <w:rPr/>
        <w:t>目前在大中型城市一卡通项目建设中一般采用软硬件分别招标的模式，而在小型城市一般采用项目整体招</w:t>
      </w:r>
      <w:r>
        <w:rPr/>
        <w:t> 标方式。该领域的市场参与者以规模企业为主，其中既包括部分一卡通整体解决方案提供商，也包括大型 软件企业、</w:t>
      </w:r>
      <w:r>
        <w:rPr>
          <w:rFonts w:ascii="Times New Roman" w:hAnsi="Times New Roman" w:cs="Times New Roman" w:eastAsia="Times New Roman" w:hint="default"/>
        </w:rPr>
        <w:t>POS</w:t>
      </w:r>
      <w:r>
        <w:rPr/>
        <w:t>机等终端机具制造商、</w:t>
      </w:r>
      <w:r>
        <w:rPr>
          <w:rFonts w:ascii="Times New Roman" w:hAnsi="Times New Roman" w:cs="Times New Roman" w:eastAsia="Times New Roman" w:hint="default"/>
        </w:rPr>
        <w:t>IC</w:t>
      </w:r>
      <w:r>
        <w:rPr/>
        <w:t>卡芯片制造商、智能卡制造商、系统集成商等众多企业。此外，</w:t>
      </w:r>
      <w:r>
        <w:rPr>
          <w:spacing w:val="-100"/>
        </w:rPr>
        <w:t> </w:t>
      </w:r>
      <w:r>
        <w:rPr>
          <w:spacing w:val="-100"/>
        </w:rPr>
      </w:r>
      <w:r>
        <w:rPr/>
        <w:t>很多大中型城市均在当地政府的主导下成立了城市一卡通公司，专门负责城市一卡通项目的建设、管理和</w:t>
      </w:r>
      <w:r>
        <w:rPr/>
        <w:t> 运营。</w:t>
      </w:r>
    </w:p>
    <w:p>
      <w:pPr>
        <w:pStyle w:val="BodyText"/>
        <w:spacing w:line="240" w:lineRule="auto" w:before="88"/>
        <w:ind w:left="633" w:right="532"/>
        <w:jc w:val="left"/>
      </w:pPr>
      <w:r>
        <w:rPr>
          <w:rFonts w:ascii="Times New Roman" w:hAnsi="Times New Roman" w:cs="Times New Roman" w:eastAsia="Times New Roman" w:hint="default"/>
        </w:rPr>
        <w:t>2</w:t>
      </w:r>
      <w:r>
        <w:rPr/>
        <w:t>、公司机遇</w:t>
      </w:r>
    </w:p>
    <w:p>
      <w:pPr>
        <w:spacing w:line="240" w:lineRule="auto" w:before="8"/>
        <w:rPr>
          <w:rFonts w:ascii="宋体" w:hAnsi="宋体" w:cs="宋体" w:eastAsia="宋体" w:hint="default"/>
          <w:sz w:val="16"/>
          <w:szCs w:val="16"/>
        </w:rPr>
      </w:pPr>
    </w:p>
    <w:p>
      <w:pPr>
        <w:pStyle w:val="BodyText"/>
        <w:spacing w:line="420" w:lineRule="auto" w:before="0"/>
        <w:ind w:left="574" w:right="228" w:hanging="1"/>
        <w:jc w:val="left"/>
      </w:pPr>
      <w:r>
        <w:rPr/>
        <w:t>（</w:t>
      </w:r>
      <w:r>
        <w:rPr>
          <w:rFonts w:ascii="Times New Roman" w:hAnsi="Times New Roman" w:cs="Times New Roman" w:eastAsia="Times New Roman" w:hint="default"/>
        </w:rPr>
        <w:t>1</w:t>
      </w:r>
      <w:r>
        <w:rPr/>
        <w:t>）移动互联网产业迅速发展，与智能一卡通行业的融合带来了新的盈利空间 近年来，我国移动互联网用户规模快速增长，智能移动终端迅速普及，随着</w:t>
      </w:r>
      <w:r>
        <w:rPr>
          <w:rFonts w:ascii="Times New Roman" w:hAnsi="Times New Roman" w:cs="Times New Roman" w:eastAsia="Times New Roman" w:hint="default"/>
        </w:rPr>
        <w:t>3G/4G</w:t>
      </w:r>
      <w:r>
        <w:rPr/>
        <w:t>通信技术的快速发</w:t>
      </w:r>
    </w:p>
    <w:p>
      <w:pPr>
        <w:pStyle w:val="BodyText"/>
        <w:spacing w:line="408" w:lineRule="auto" w:before="3"/>
        <w:ind w:right="211"/>
        <w:jc w:val="both"/>
      </w:pPr>
      <w:r>
        <w:rPr>
          <w:spacing w:val="-1"/>
        </w:rPr>
        <w:t>展和大规模应用，移动互联网产业的商业环境不断成熟，传统互联网公司加速移动端布局，新兴创业公司</w:t>
      </w:r>
      <w:r>
        <w:rPr>
          <w:spacing w:val="-83"/>
        </w:rPr>
        <w:t> </w:t>
      </w:r>
      <w:r>
        <w:rPr>
          <w:spacing w:val="-83"/>
        </w:rPr>
      </w:r>
      <w:r>
        <w:rPr>
          <w:spacing w:val="-1"/>
        </w:rPr>
        <w:t>则专注于拓展各种细分领域，并开始探索商业化道路，移动互联网产业链不断丰富和完善，对社会生活服</w:t>
      </w:r>
      <w:r>
        <w:rPr>
          <w:spacing w:val="-83"/>
        </w:rPr>
        <w:t> </w:t>
      </w:r>
      <w:r>
        <w:rPr>
          <w:spacing w:val="-83"/>
        </w:rPr>
      </w:r>
      <w:r>
        <w:rPr>
          <w:spacing w:val="-1"/>
        </w:rPr>
        <w:t>务各领域的渗透不断加大，移动增值服务、移动购物、移动营销、移动搜索、移动游戏等移动互联网的商</w:t>
      </w:r>
      <w:r>
        <w:rPr>
          <w:spacing w:val="-83"/>
        </w:rPr>
        <w:t> </w:t>
      </w:r>
      <w:r>
        <w:rPr>
          <w:spacing w:val="-83"/>
        </w:rPr>
      </w:r>
      <w:r>
        <w:rPr/>
        <w:t>业形态快速发展，移动互联网产业呈现爆发式增长。</w:t>
      </w:r>
    </w:p>
    <w:p>
      <w:pPr>
        <w:pStyle w:val="BodyText"/>
        <w:spacing w:line="405" w:lineRule="auto" w:before="84"/>
        <w:ind w:right="170" w:firstLine="420"/>
        <w:jc w:val="left"/>
      </w:pPr>
      <w:r>
        <w:rPr/>
        <w:t>随着互联网用户从</w:t>
      </w:r>
      <w:r>
        <w:rPr>
          <w:rFonts w:ascii="Times New Roman" w:hAnsi="Times New Roman" w:cs="Times New Roman" w:eastAsia="Times New Roman" w:hint="default"/>
        </w:rPr>
        <w:t>PC</w:t>
      </w:r>
      <w:r>
        <w:rPr/>
        <w:t>端逐渐向移动端转移，作为用户接入移动互联网并借以获取内容和服务的第一 </w:t>
      </w:r>
      <w:r>
        <w:rPr>
          <w:spacing w:val="-1"/>
        </w:rPr>
        <w:t>站，移动互联网入口成为行业竞争的焦点，所谓“得入口者得天下”，掌握了移动互联网入口就意味着可</w:t>
      </w:r>
      <w:r>
        <w:rPr>
          <w:spacing w:val="-83"/>
        </w:rPr>
        <w:t> </w:t>
      </w:r>
      <w:r>
        <w:rPr>
          <w:spacing w:val="-83"/>
        </w:rPr>
      </w:r>
      <w:r>
        <w:rPr/>
        <w:t>能通过高黏度的内容和服务将产品优势转化为用户规模优势和流量优势，并带来源源不断的数据、信息、 </w:t>
      </w:r>
      <w:r>
        <w:rPr>
          <w:spacing w:val="-1"/>
        </w:rPr>
        <w:t>业务和收入。随着各大互联网巨头通过战略投资、并购等手段抢夺入口资源，打造各自的生态圈，移动互</w:t>
      </w:r>
      <w:r>
        <w:rPr>
          <w:spacing w:val="-82"/>
        </w:rPr>
        <w:t> </w:t>
      </w:r>
      <w:r>
        <w:rPr>
          <w:spacing w:val="-82"/>
        </w:rPr>
      </w:r>
      <w:r>
        <w:rPr>
          <w:spacing w:val="-1"/>
        </w:rPr>
        <w:t>联网行业的竞争格局逐渐明晰，拥有数量庞大、需求鲜明、粘性极高的特定潜在用户，并有望成为垂直领</w:t>
      </w:r>
      <w:r>
        <w:rPr>
          <w:spacing w:val="-82"/>
        </w:rPr>
        <w:t> </w:t>
      </w:r>
      <w:r>
        <w:rPr>
          <w:spacing w:val="-82"/>
        </w:rPr>
      </w:r>
      <w:r>
        <w:rPr/>
        <w:t>域精准入口的移动</w:t>
      </w:r>
      <w:r>
        <w:rPr>
          <w:rFonts w:ascii="Times New Roman" w:hAnsi="Times New Roman" w:cs="Times New Roman" w:eastAsia="Times New Roman" w:hint="default"/>
        </w:rPr>
        <w:t>APP</w:t>
      </w:r>
      <w:r>
        <w:rPr/>
        <w:t>的价值凸显。</w:t>
      </w:r>
    </w:p>
    <w:p>
      <w:pPr>
        <w:pStyle w:val="BodyText"/>
        <w:spacing w:line="240" w:lineRule="auto" w:before="55"/>
        <w:ind w:left="574" w:right="95"/>
        <w:jc w:val="left"/>
      </w:pPr>
      <w:r>
        <w:rPr/>
        <w:t>智能一卡通行业企业拥有大量的高校客户资源和庞大的校园卡持卡人用户群体，而高校在校学生的智</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223"/>
        <w:jc w:val="both"/>
      </w:pPr>
      <w:r>
        <w:rPr/>
        <w:t>能手机普及率高，对新鲜事物的接受程度强，如成功将大量的线下持卡人用户转化为校园</w:t>
      </w:r>
      <w:r>
        <w:rPr>
          <w:rFonts w:ascii="Times New Roman" w:hAnsi="Times New Roman" w:cs="Times New Roman" w:eastAsia="Times New Roman" w:hint="default"/>
        </w:rPr>
        <w:t>APP</w:t>
      </w:r>
      <w:r>
        <w:rPr/>
        <w:t>线上用户， 则该校园</w:t>
      </w:r>
      <w:r>
        <w:rPr>
          <w:rFonts w:ascii="Times New Roman" w:hAnsi="Times New Roman" w:cs="Times New Roman" w:eastAsia="Times New Roman" w:hint="default"/>
        </w:rPr>
        <w:t>APP</w:t>
      </w:r>
      <w:r>
        <w:rPr/>
        <w:t>有望成为精准的校园移动互联网入口，用户群体的巨大商业价值可更加充分的挖掘，一卡通 企业的盈利空间将大幅增加，而随着高校学生熟悉并对校园</w:t>
      </w:r>
      <w:r>
        <w:rPr>
          <w:rFonts w:ascii="Times New Roman" w:hAnsi="Times New Roman" w:cs="Times New Roman" w:eastAsia="Times New Roman" w:hint="default"/>
        </w:rPr>
        <w:t>APP</w:t>
      </w:r>
      <w:r>
        <w:rPr/>
        <w:t>产生依赖，在其毕业离校后，又将会把上 述使用习惯带入企事业、城市等领域，进一步拓宽了一卡通企业的市场空间。</w:t>
      </w:r>
    </w:p>
    <w:p>
      <w:pPr>
        <w:pStyle w:val="BodyText"/>
        <w:spacing w:line="420" w:lineRule="auto" w:before="104"/>
        <w:ind w:left="574" w:right="95" w:hanging="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NFC</w:t>
      </w:r>
      <w:r>
        <w:rPr/>
        <w:t>近场支付产业进入快速发展的黄金时期 </w:t>
      </w:r>
      <w:r>
        <w:rPr>
          <w:spacing w:val="-1"/>
        </w:rPr>
        <w:t>根据央行季度支付体系运行情况报告，</w:t>
      </w:r>
      <w:r>
        <w:rPr>
          <w:rFonts w:ascii="Times New Roman" w:hAnsi="Times New Roman" w:cs="Times New Roman" w:eastAsia="Times New Roman" w:hint="default"/>
          <w:spacing w:val="-1"/>
        </w:rPr>
        <w:t>2013</w:t>
      </w:r>
      <w:r>
        <w:rPr>
          <w:spacing w:val="-1"/>
        </w:rPr>
        <w:t>年以来，我国移动支付业务呈现爆发式增长态势，</w:t>
      </w:r>
      <w:r>
        <w:rPr>
          <w:rFonts w:ascii="Times New Roman" w:hAnsi="Times New Roman" w:cs="Times New Roman" w:eastAsia="Times New Roman" w:hint="default"/>
          <w:spacing w:val="-1"/>
        </w:rPr>
        <w:t>2014</w:t>
      </w:r>
      <w:r>
        <w:rPr>
          <w:spacing w:val="-1"/>
        </w:rPr>
        <w:t>年</w:t>
      </w:r>
    </w:p>
    <w:p>
      <w:pPr>
        <w:pStyle w:val="BodyText"/>
        <w:spacing w:line="391" w:lineRule="auto" w:before="3"/>
        <w:ind w:left="153" w:right="102"/>
        <w:jc w:val="left"/>
      </w:pPr>
      <w:r>
        <w:rPr>
          <w:rFonts w:ascii="Times New Roman" w:hAnsi="Times New Roman" w:cs="Times New Roman" w:eastAsia="Times New Roman" w:hint="default"/>
          <w:spacing w:val="-2"/>
        </w:rPr>
        <w:t>3</w:t>
      </w:r>
      <w:r>
        <w:rPr>
          <w:spacing w:val="-2"/>
        </w:rPr>
        <w:t>季度移动支付金额达</w:t>
      </w:r>
      <w:r>
        <w:rPr>
          <w:rFonts w:ascii="Times New Roman" w:hAnsi="Times New Roman" w:cs="Times New Roman" w:eastAsia="Times New Roman" w:hint="default"/>
          <w:spacing w:val="-2"/>
        </w:rPr>
        <w:t>6.16</w:t>
      </w:r>
      <w:r>
        <w:rPr>
          <w:spacing w:val="-2"/>
        </w:rPr>
        <w:t>万亿元，同比增长</w:t>
      </w:r>
      <w:r>
        <w:rPr>
          <w:rFonts w:ascii="Times New Roman" w:hAnsi="Times New Roman" w:cs="Times New Roman" w:eastAsia="Times New Roman" w:hint="default"/>
          <w:spacing w:val="-2"/>
        </w:rPr>
        <w:t>112.7%</w:t>
      </w:r>
      <w:r>
        <w:rPr>
          <w:spacing w:val="-2"/>
        </w:rPr>
        <w:t>，增速远高于电子支付（包括网上支付、电话支付和移</w:t>
      </w:r>
      <w:r>
        <w:rPr>
          <w:spacing w:val="-99"/>
        </w:rPr>
        <w:t> </w:t>
      </w:r>
      <w:r>
        <w:rPr>
          <w:spacing w:val="-99"/>
        </w:rPr>
      </w:r>
      <w:r>
        <w:rPr/>
        <w:t>动支付）整体</w:t>
      </w:r>
      <w:r>
        <w:rPr>
          <w:rFonts w:ascii="Times New Roman" w:hAnsi="Times New Roman" w:cs="Times New Roman" w:eastAsia="Times New Roman" w:hint="default"/>
        </w:rPr>
        <w:t>31.92%</w:t>
      </w:r>
      <w:r>
        <w:rPr/>
        <w:t>的增速，但其在电子支付中的占比仍相对较小，从业务数量来看，移动支付占电子支 付业务笔数的比重仅为</w:t>
      </w:r>
      <w:r>
        <w:rPr>
          <w:rFonts w:ascii="Times New Roman" w:hAnsi="Times New Roman" w:cs="Times New Roman" w:eastAsia="Times New Roman" w:hint="default"/>
        </w:rPr>
        <w:t>15%</w:t>
      </w:r>
      <w:r>
        <w:rPr/>
        <w:t>，随着移动网民数量的大幅增长，以及移动互联网产业的迅速发展，移动支付 </w:t>
      </w:r>
      <w:r>
        <w:rPr>
          <w:spacing w:val="-3"/>
        </w:rPr>
        <w:t>仍有广阔的发展空间。近年来，虽然三大运营商积极推动近场支付产业的发展，但受制于技术标准不统一、</w:t>
      </w:r>
      <w:r>
        <w:rPr>
          <w:spacing w:val="-90"/>
        </w:rPr>
        <w:t> </w:t>
      </w:r>
      <w:r>
        <w:rPr>
          <w:spacing w:val="-90"/>
        </w:rPr>
      </w:r>
      <w:r>
        <w:rPr/>
        <w:t>硬件设施不健全等限制，我国近场支付产业发展仍相对缓慢，近场支付在移动支付中的占比还相对较低， 随着近场支付相关技术标准逐渐统一、受理环境不断改善、政策环境逐渐成熟，凭借安全性、应用场景、 便捷性等方面的优势，近场支付在移动支付中的占比有望大幅提升。在技术标准方面，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月，央行 发布了中国金融移动支付系列技术标准，我国近场支付标准正式确立；在硬件方面，</w:t>
      </w:r>
      <w:r>
        <w:rPr>
          <w:rFonts w:ascii="Times New Roman" w:hAnsi="Times New Roman" w:cs="Times New Roman" w:eastAsia="Times New Roman" w:hint="default"/>
        </w:rPr>
        <w:t>NFC</w:t>
      </w:r>
      <w:r>
        <w:rPr/>
        <w:t>近场支付的大规 模应用离不开支持</w:t>
      </w:r>
      <w:r>
        <w:rPr>
          <w:rFonts w:ascii="Times New Roman" w:hAnsi="Times New Roman" w:cs="Times New Roman" w:eastAsia="Times New Roman" w:hint="default"/>
        </w:rPr>
        <w:t>NFC</w:t>
      </w:r>
      <w:r>
        <w:rPr/>
        <w:t>的</w:t>
      </w:r>
      <w:r>
        <w:rPr>
          <w:rFonts w:ascii="Times New Roman" w:hAnsi="Times New Roman" w:cs="Times New Roman" w:eastAsia="Times New Roman" w:hint="default"/>
        </w:rPr>
        <w:t>POS</w:t>
      </w:r>
      <w:r>
        <w:rPr/>
        <w:t>终端和智能手机的普及，根据中国银联的数据，截至</w:t>
      </w:r>
      <w:r>
        <w:rPr>
          <w:rFonts w:ascii="Times New Roman" w:hAnsi="Times New Roman" w:cs="Times New Roman" w:eastAsia="Times New Roman" w:hint="default"/>
        </w:rPr>
        <w:t>2014</w:t>
      </w:r>
      <w:r>
        <w:rPr/>
        <w:t>年末，全国</w:t>
      </w:r>
      <w:r>
        <w:rPr>
          <w:rFonts w:ascii="Times New Roman" w:hAnsi="Times New Roman" w:cs="Times New Roman" w:eastAsia="Times New Roman" w:hint="default"/>
        </w:rPr>
        <w:t>“</w:t>
      </w:r>
      <w:r>
        <w:rPr/>
        <w:t>闪 付</w:t>
      </w:r>
      <w:r>
        <w:rPr>
          <w:rFonts w:ascii="Times New Roman" w:hAnsi="Times New Roman" w:cs="Times New Roman" w:eastAsia="Times New Roman" w:hint="default"/>
        </w:rPr>
        <w:t>”POS</w:t>
      </w:r>
      <w:r>
        <w:rPr/>
        <w:t>终端（支持金融</w:t>
      </w:r>
      <w:r>
        <w:rPr>
          <w:rFonts w:ascii="Times New Roman" w:hAnsi="Times New Roman" w:cs="Times New Roman" w:eastAsia="Times New Roman" w:hint="default"/>
        </w:rPr>
        <w:t>IC</w:t>
      </w:r>
      <w:r>
        <w:rPr/>
        <w:t>卡和</w:t>
      </w:r>
      <w:r>
        <w:rPr>
          <w:rFonts w:ascii="Times New Roman" w:hAnsi="Times New Roman" w:cs="Times New Roman" w:eastAsia="Times New Roman" w:hint="default"/>
        </w:rPr>
        <w:t>NFC</w:t>
      </w:r>
      <w:r>
        <w:rPr/>
        <w:t>）的数量已达近</w:t>
      </w:r>
      <w:r>
        <w:rPr>
          <w:rFonts w:ascii="Times New Roman" w:hAnsi="Times New Roman" w:cs="Times New Roman" w:eastAsia="Times New Roman" w:hint="default"/>
        </w:rPr>
        <w:t>400</w:t>
      </w:r>
      <w:r>
        <w:rPr/>
        <w:t>万台，并已基本覆盖了公交、地铁、出租、停车、 高铁、超市、百货、快餐、菜场等生活服务区域；在</w:t>
      </w:r>
      <w:r>
        <w:rPr>
          <w:rFonts w:ascii="Times New Roman" w:hAnsi="Times New Roman" w:cs="Times New Roman" w:eastAsia="Times New Roman" w:hint="default"/>
        </w:rPr>
        <w:t>NFC</w:t>
      </w:r>
      <w:r>
        <w:rPr/>
        <w:t>手机方面，目前，主流手机厂商大都已经推出了 具备</w:t>
      </w:r>
      <w:r>
        <w:rPr>
          <w:rFonts w:ascii="Times New Roman" w:hAnsi="Times New Roman" w:cs="Times New Roman" w:eastAsia="Times New Roman" w:hint="default"/>
        </w:rPr>
        <w:t>NFC</w:t>
      </w:r>
      <w:r>
        <w:rPr/>
        <w:t>功能的智能手机，苹果公司也在</w:t>
      </w:r>
      <w:r>
        <w:rPr>
          <w:rFonts w:ascii="Times New Roman" w:hAnsi="Times New Roman" w:cs="Times New Roman" w:eastAsia="Times New Roman" w:hint="default"/>
        </w:rPr>
        <w:t>2014</w:t>
      </w:r>
      <w:r>
        <w:rPr/>
        <w:t>年推出的</w:t>
      </w:r>
      <w:r>
        <w:rPr>
          <w:rFonts w:ascii="Times New Roman" w:hAnsi="Times New Roman" w:cs="Times New Roman" w:eastAsia="Times New Roman" w:hint="default"/>
        </w:rPr>
        <w:t>iPhone</w:t>
      </w:r>
      <w:r>
        <w:rPr>
          <w:rFonts w:ascii="Times New Roman" w:hAnsi="Times New Roman" w:cs="Times New Roman" w:eastAsia="Times New Roman" w:hint="default"/>
          <w:spacing w:val="-2"/>
        </w:rPr>
        <w:t> </w:t>
      </w:r>
      <w:r>
        <w:rPr>
          <w:rFonts w:ascii="Times New Roman" w:hAnsi="Times New Roman" w:cs="Times New Roman" w:eastAsia="Times New Roman" w:hint="default"/>
        </w:rPr>
        <w:t>6</w:t>
      </w:r>
      <w:r>
        <w:rPr/>
        <w:t>系列手机中首次推出了以</w:t>
      </w:r>
      <w:r>
        <w:rPr>
          <w:rFonts w:ascii="Times New Roman" w:hAnsi="Times New Roman" w:cs="Times New Roman" w:eastAsia="Times New Roman" w:hint="default"/>
        </w:rPr>
        <w:t>NFC</w:t>
      </w:r>
      <w:r>
        <w:rPr/>
        <w:t>为基础的 </w:t>
      </w:r>
      <w:r>
        <w:rPr>
          <w:rFonts w:ascii="Times New Roman" w:hAnsi="Times New Roman" w:cs="Times New Roman" w:eastAsia="Times New Roman" w:hint="default"/>
          <w:spacing w:val="-1"/>
        </w:rPr>
        <w:t>Apple</w:t>
      </w:r>
      <w:r>
        <w:rPr>
          <w:rFonts w:ascii="Times New Roman" w:hAnsi="Times New Roman" w:cs="Times New Roman" w:eastAsia="Times New Roman" w:hint="default"/>
        </w:rPr>
        <w:t> </w:t>
      </w:r>
      <w:r>
        <w:rPr>
          <w:rFonts w:ascii="Times New Roman" w:hAnsi="Times New Roman" w:cs="Times New Roman" w:eastAsia="Times New Roman" w:hint="default"/>
          <w:spacing w:val="-5"/>
        </w:rPr>
        <w:t>Pay</w:t>
      </w:r>
      <w:r>
        <w:rPr>
          <w:spacing w:val="-5"/>
        </w:rPr>
        <w:t>，</w:t>
      </w:r>
      <w:r>
        <w:rPr>
          <w:rFonts w:ascii="Times New Roman" w:hAnsi="Times New Roman" w:cs="Times New Roman" w:eastAsia="Times New Roman" w:hint="default"/>
          <w:spacing w:val="-5"/>
        </w:rPr>
        <w:t>NFC</w:t>
      </w:r>
      <w:r>
        <w:rPr>
          <w:spacing w:val="-5"/>
        </w:rPr>
        <w:t>手机的出货量快速增长，支持</w:t>
      </w:r>
      <w:r>
        <w:rPr>
          <w:rFonts w:ascii="Times New Roman" w:hAnsi="Times New Roman" w:cs="Times New Roman" w:eastAsia="Times New Roman" w:hint="default"/>
          <w:spacing w:val="-5"/>
        </w:rPr>
        <w:t>NFC</w:t>
      </w:r>
      <w:r>
        <w:rPr>
          <w:spacing w:val="-5"/>
        </w:rPr>
        <w:t>的</w:t>
      </w:r>
      <w:r>
        <w:rPr>
          <w:rFonts w:ascii="Times New Roman" w:hAnsi="Times New Roman" w:cs="Times New Roman" w:eastAsia="Times New Roman" w:hint="default"/>
          <w:spacing w:val="-5"/>
        </w:rPr>
        <w:t>POS</w:t>
      </w:r>
      <w:r>
        <w:rPr>
          <w:spacing w:val="-5"/>
        </w:rPr>
        <w:t>终端和智能手机的大规模应用使得终端设备对</w:t>
      </w:r>
      <w:r>
        <w:rPr>
          <w:rFonts w:ascii="Times New Roman" w:hAnsi="Times New Roman" w:cs="Times New Roman" w:eastAsia="Times New Roman" w:hint="default"/>
          <w:spacing w:val="-5"/>
        </w:rPr>
        <w:t>NFC</w:t>
      </w:r>
      <w:r>
        <w:rPr>
          <w:rFonts w:ascii="Times New Roman" w:hAnsi="Times New Roman" w:cs="Times New Roman" w:eastAsia="Times New Roman" w:hint="default"/>
          <w:spacing w:val="-13"/>
        </w:rPr>
        <w:t> </w:t>
      </w:r>
      <w:r>
        <w:rPr/>
        <w:t>支付的制约逐步消失。此外，在政策环境方面，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月，央行下发《中国人民银行关于手机支付业务 发展的指导意见》，也提出大力鼓励商业银行拓展</w:t>
      </w:r>
      <w:r>
        <w:rPr>
          <w:rFonts w:ascii="Times New Roman" w:hAnsi="Times New Roman" w:cs="Times New Roman" w:eastAsia="Times New Roman" w:hint="default"/>
        </w:rPr>
        <w:t>NFC</w:t>
      </w:r>
      <w:r>
        <w:rPr/>
        <w:t>手机近场支付应用，我国</w:t>
      </w:r>
      <w:r>
        <w:rPr>
          <w:rFonts w:ascii="Times New Roman" w:hAnsi="Times New Roman" w:cs="Times New Roman" w:eastAsia="Times New Roman" w:hint="default"/>
        </w:rPr>
        <w:t>NFC</w:t>
      </w:r>
      <w:r>
        <w:rPr/>
        <w:t>移动支付产业进入发 展的黄金时期。</w:t>
      </w:r>
    </w:p>
    <w:p>
      <w:pPr>
        <w:pStyle w:val="BodyText"/>
        <w:spacing w:line="386" w:lineRule="auto" w:before="99"/>
        <w:ind w:right="95" w:firstLine="420"/>
        <w:jc w:val="left"/>
      </w:pPr>
      <w:r>
        <w:rPr>
          <w:rFonts w:ascii="Times New Roman" w:hAnsi="Times New Roman" w:cs="Times New Roman" w:eastAsia="Times New Roman" w:hint="default"/>
        </w:rPr>
        <w:t>NFC</w:t>
      </w:r>
      <w:r>
        <w:rPr/>
        <w:t>近场支付主要利用</w:t>
      </w:r>
      <w:r>
        <w:rPr>
          <w:rFonts w:ascii="Times New Roman" w:hAnsi="Times New Roman" w:cs="Times New Roman" w:eastAsia="Times New Roman" w:hint="default"/>
        </w:rPr>
        <w:t>RFID</w:t>
      </w:r>
      <w:r>
        <w:rPr/>
        <w:t>技术，是智能一卡通行业</w:t>
      </w:r>
      <w:r>
        <w:rPr>
          <w:rFonts w:ascii="Times New Roman" w:hAnsi="Times New Roman" w:cs="Times New Roman" w:eastAsia="Times New Roman" w:hint="default"/>
        </w:rPr>
        <w:t>RFID</w:t>
      </w:r>
      <w:r>
        <w:rPr/>
        <w:t>和智能卡技术在手机载体上应用的典型业 </w:t>
      </w:r>
      <w:r>
        <w:rPr>
          <w:spacing w:val="-1"/>
        </w:rPr>
        <w:t>务，我国</w:t>
      </w:r>
      <w:r>
        <w:rPr>
          <w:rFonts w:ascii="Times New Roman" w:hAnsi="Times New Roman" w:cs="Times New Roman" w:eastAsia="Times New Roman" w:hint="default"/>
          <w:spacing w:val="-1"/>
        </w:rPr>
        <w:t>NFC</w:t>
      </w:r>
      <w:r>
        <w:rPr>
          <w:spacing w:val="-1"/>
        </w:rPr>
        <w:t>移动支付产业的高速发展将为解决方案提供商、系统集成商、服务提供商、中间件及应用商</w:t>
      </w:r>
      <w:r>
        <w:rPr>
          <w:spacing w:val="-72"/>
        </w:rPr>
        <w:t> </w:t>
      </w:r>
      <w:r>
        <w:rPr>
          <w:spacing w:val="-72"/>
        </w:rPr>
      </w:r>
      <w:r>
        <w:rPr/>
        <w:t>带来巨大的市场需求，智能一卡通行业也将因此而受益。</w:t>
      </w:r>
    </w:p>
    <w:p>
      <w:pPr>
        <w:pStyle w:val="BodyText"/>
        <w:spacing w:line="420" w:lineRule="auto" w:before="104"/>
        <w:ind w:left="514" w:right="230" w:firstLine="60"/>
        <w:jc w:val="left"/>
      </w:pPr>
      <w:r>
        <w:rPr/>
        <w:t>（</w:t>
      </w:r>
      <w:r>
        <w:rPr>
          <w:rFonts w:ascii="Times New Roman" w:hAnsi="Times New Roman" w:cs="Times New Roman" w:eastAsia="Times New Roman" w:hint="default"/>
        </w:rPr>
        <w:t>3</w:t>
      </w:r>
      <w:r>
        <w:rPr/>
        <w:t>）我国教育信息化和校园信息化进程稳步推进 随着计算机、网络及信息技术不断发展，我国信息化水平整体大幅提升，而在国家一系列重大工程和</w:t>
      </w:r>
    </w:p>
    <w:p>
      <w:pPr>
        <w:pStyle w:val="BodyText"/>
        <w:spacing w:line="386" w:lineRule="auto" w:before="35"/>
        <w:ind w:right="95"/>
        <w:jc w:val="left"/>
      </w:pPr>
      <w:r>
        <w:rPr/>
        <w:t>政策措施的引导下，我国教育信息化水平取得了长足的进步。国务院、教育部在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月发布的《国家 </w:t>
      </w:r>
      <w:r>
        <w:rPr>
          <w:spacing w:val="-1"/>
        </w:rPr>
        <w:t>中长期教育改革和发展规划纲要（</w:t>
      </w:r>
      <w:r>
        <w:rPr>
          <w:rFonts w:ascii="Times New Roman" w:hAnsi="Times New Roman" w:cs="Times New Roman" w:eastAsia="Times New Roman" w:hint="default"/>
          <w:spacing w:val="-1"/>
        </w:rPr>
        <w:t>2010—2020</w:t>
      </w:r>
      <w:r>
        <w:rPr>
          <w:spacing w:val="-1"/>
        </w:rPr>
        <w:t>年）》中强调加快教育信息化进程，提出把教育信息化纳入</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98" w:lineRule="auto" w:before="35"/>
        <w:ind w:left="153" w:right="210"/>
        <w:jc w:val="left"/>
      </w:pPr>
      <w:r>
        <w:rPr>
          <w:spacing w:val="-1"/>
        </w:rPr>
        <w:t>国家信息化发展整体战略，加快教育信息基础设施建设，加强优质教育资源开发与应用，构建国家教育管</w:t>
      </w:r>
      <w:r>
        <w:rPr>
          <w:spacing w:val="-83"/>
        </w:rPr>
        <w:t> </w:t>
      </w:r>
      <w:r>
        <w:rPr>
          <w:spacing w:val="-83"/>
        </w:rPr>
      </w:r>
      <w:r>
        <w:rPr/>
        <w:t>理信息系统，并要求加快终端设施普及，推进数字化校园建设。教育部也于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月专门出台了《教育 信息化十年发展规划（</w:t>
      </w:r>
      <w:r>
        <w:rPr>
          <w:rFonts w:ascii="Times New Roman" w:hAnsi="Times New Roman" w:cs="Times New Roman" w:eastAsia="Times New Roman" w:hint="default"/>
        </w:rPr>
        <w:t>2011-2020</w:t>
      </w:r>
      <w:r>
        <w:rPr/>
        <w:t>年）》，着力推进我国的教育信息化进程。</w:t>
      </w:r>
    </w:p>
    <w:p>
      <w:pPr>
        <w:pStyle w:val="BodyText"/>
        <w:spacing w:line="420" w:lineRule="auto" w:before="63"/>
        <w:ind w:left="514" w:right="230" w:hanging="1"/>
        <w:jc w:val="left"/>
      </w:pPr>
      <w:r>
        <w:rPr/>
        <w:t>（</w:t>
      </w:r>
      <w:r>
        <w:rPr>
          <w:rFonts w:ascii="Times New Roman" w:hAnsi="Times New Roman" w:cs="Times New Roman" w:eastAsia="Times New Roman" w:hint="default"/>
        </w:rPr>
        <w:t>4</w:t>
      </w:r>
      <w:r>
        <w:rPr/>
        <w:t>）物联网应用发展进入实质性推进阶段 物联网将所有的物品通过短距离射频识别（RFID）等信息传感设备与互联网连接起来，实现局域范围</w:t>
      </w:r>
    </w:p>
    <w:p>
      <w:pPr>
        <w:pStyle w:val="BodyText"/>
        <w:spacing w:line="405" w:lineRule="auto" w:before="35"/>
        <w:ind w:right="101"/>
        <w:jc w:val="left"/>
      </w:pPr>
      <w:r>
        <w:rPr/>
        <w:t>内的物品“智能化识别和管理”。经过几年的发展，我国物联网产业在技术研发、标准研制、产业培育和 行业应用等方面已具备一定基础，物联网的理念和相关技术产品也已经广泛渗透到社会经济民生的各个领 域，并形成了涵盖以感知端设备和网络设备为代表的物联网制造业，以及以网络服务、软件与集成服务、 应用服务为代表的物联网服务业等相对完善的物联网产业体系，物联网产业规模持续高速增长。在移动互 联网高速发展的推动下，物联网开始融入移动互联网元素，并呈现出巨大的市场潜力和创新空间，物联网 </w:t>
      </w:r>
      <w:r>
        <w:rPr>
          <w:spacing w:val="-3"/>
        </w:rPr>
        <w:t>借鉴移动互联网的技术、模式和渠道，开始从行业领域向民生领域渗透，智慧城市、智慧校园、智慧医疗、</w:t>
      </w:r>
      <w:r>
        <w:rPr>
          <w:spacing w:val="-94"/>
        </w:rPr>
        <w:t> </w:t>
      </w:r>
      <w:r>
        <w:rPr>
          <w:spacing w:val="-94"/>
        </w:rPr>
      </w:r>
      <w:r>
        <w:rPr/>
        <w:t>智能交通等结合了物联网应用的</w:t>
      </w:r>
      <w:r>
        <w:rPr>
          <w:rFonts w:ascii="Times New Roman" w:hAnsi="Times New Roman" w:cs="Times New Roman" w:eastAsia="Times New Roman" w:hint="default"/>
        </w:rPr>
        <w:t>APP</w:t>
      </w:r>
      <w:r>
        <w:rPr/>
        <w:t>不断涌现，如智慧城市开放城市管理的相关数据和能力，可通过智能 手机向用户提供公共缴费、气象预警、交通引导等便民服务。</w:t>
      </w:r>
    </w:p>
    <w:p>
      <w:pPr>
        <w:pStyle w:val="BodyText"/>
        <w:spacing w:line="408" w:lineRule="auto" w:before="86"/>
        <w:ind w:right="101" w:firstLine="360"/>
        <w:jc w:val="left"/>
      </w:pPr>
      <w:r>
        <w:rPr/>
        <w:t>智能一卡通在智慧城市（包括综合交通、商户小额消费、城市管理、智慧建筑等）、智慧校园以及智 </w:t>
      </w:r>
      <w:r>
        <w:rPr>
          <w:spacing w:val="-3"/>
        </w:rPr>
        <w:t>慧工业（电力、制造等）等物联网的细分领域有广泛的应用，随着物联网的应用发展进入实质性推进阶段，</w:t>
      </w:r>
      <w:r>
        <w:rPr>
          <w:spacing w:val="-96"/>
        </w:rPr>
        <w:t> </w:t>
      </w:r>
      <w:r>
        <w:rPr>
          <w:spacing w:val="-96"/>
        </w:rPr>
      </w:r>
      <w:r>
        <w:rPr/>
        <w:t>以及物联网与移动互联网、大数据分析等其他信息技术不断融合渗透，智能一卡通的建设范围和应用深度</w:t>
      </w:r>
      <w:r>
        <w:rPr/>
        <w:t> 将不断提升，这将为智能一卡通行业带来巨大的发展空间。</w:t>
      </w:r>
    </w:p>
    <w:p>
      <w:pPr>
        <w:pStyle w:val="BodyText"/>
        <w:spacing w:line="240" w:lineRule="auto" w:before="6"/>
        <w:ind w:left="574" w:right="532"/>
        <w:jc w:val="left"/>
      </w:pPr>
      <w:r>
        <w:rPr/>
        <w:t>（三）对公司未来发展战略和经营目标的实现产生不利影响的风险因素分析</w:t>
      </w:r>
    </w:p>
    <w:p>
      <w:pPr>
        <w:spacing w:line="240" w:lineRule="auto" w:before="9"/>
        <w:rPr>
          <w:rFonts w:ascii="宋体" w:hAnsi="宋体" w:cs="宋体" w:eastAsia="宋体" w:hint="default"/>
          <w:sz w:val="20"/>
          <w:szCs w:val="20"/>
        </w:rPr>
      </w:pPr>
    </w:p>
    <w:p>
      <w:pPr>
        <w:pStyle w:val="BodyText"/>
        <w:spacing w:line="386" w:lineRule="auto" w:before="0"/>
        <w:ind w:left="634" w:right="198" w:hanging="60"/>
        <w:jc w:val="left"/>
      </w:pPr>
      <w:r>
        <w:rPr>
          <w:rFonts w:ascii="Times New Roman" w:hAnsi="Times New Roman" w:cs="Times New Roman" w:eastAsia="Times New Roman" w:hint="default"/>
        </w:rPr>
        <w:t>1</w:t>
      </w:r>
      <w:r>
        <w:rPr/>
        <w:t>、资金和高端人才缺乏，自主研发和创新能力也有所欠缺 </w:t>
      </w:r>
      <w:r>
        <w:rPr>
          <w:spacing w:val="-2"/>
        </w:rPr>
        <w:t>智能一卡通行业是典型的“哑铃型”经营模式，企业的经营大都偏重于研发和销售，此两个环节需要</w:t>
      </w:r>
    </w:p>
    <w:p>
      <w:pPr>
        <w:pStyle w:val="BodyText"/>
        <w:spacing w:line="408" w:lineRule="auto" w:before="65"/>
        <w:ind w:right="188"/>
        <w:jc w:val="both"/>
      </w:pPr>
      <w:r>
        <w:rPr>
          <w:spacing w:val="-1"/>
        </w:rPr>
        <w:t>持续投资，而智能一卡通行业大部分企业自身没有强大的资金实力，这成为了创新型企业规模化发展的主</w:t>
      </w:r>
      <w:r>
        <w:rPr>
          <w:spacing w:val="-81"/>
        </w:rPr>
        <w:t> </w:t>
      </w:r>
      <w:r>
        <w:rPr>
          <w:spacing w:val="-81"/>
        </w:rPr>
      </w:r>
      <w:r>
        <w:rPr>
          <w:spacing w:val="-1"/>
        </w:rPr>
        <w:t>要制约因素。同时，智能一卡通行业是新兴行业，涉及多种技术的综合运用，不仅需要对信息化领域相关</w:t>
      </w:r>
      <w:r>
        <w:rPr>
          <w:spacing w:val="-82"/>
        </w:rPr>
        <w:t> </w:t>
      </w:r>
      <w:r>
        <w:rPr>
          <w:spacing w:val="-82"/>
        </w:rPr>
      </w:r>
      <w:r>
        <w:rPr>
          <w:spacing w:val="-1"/>
        </w:rPr>
        <w:t>技术及软硬件开发十分精通，又因行业定制性强而需要深入理解不同客户的业务流程、管理模式、需求特</w:t>
      </w:r>
      <w:r>
        <w:rPr>
          <w:spacing w:val="-83"/>
        </w:rPr>
        <w:t> </w:t>
      </w:r>
      <w:r>
        <w:rPr>
          <w:spacing w:val="-83"/>
        </w:rPr>
      </w:r>
      <w:r>
        <w:rPr>
          <w:spacing w:val="-1"/>
        </w:rPr>
        <w:t>点，但目前智能一卡通行业急需的高端人才极为缺乏，严重制约了企业研发实力的提升。此外，行业应用</w:t>
      </w:r>
      <w:r>
        <w:rPr>
          <w:spacing w:val="-82"/>
        </w:rPr>
        <w:t> </w:t>
      </w:r>
      <w:r>
        <w:rPr>
          <w:spacing w:val="-82"/>
        </w:rPr>
      </w:r>
      <w:r>
        <w:rPr/>
        <w:t>性基础研究长期难以有效、系统地开展，企业科研基础的薄弱、投入研发经费的不足、高级人才的匮乏， 均制约了企业的自主研发、自主创新能力的提升。</w:t>
      </w:r>
    </w:p>
    <w:p>
      <w:pPr>
        <w:pStyle w:val="BodyText"/>
        <w:spacing w:line="398" w:lineRule="auto" w:before="85"/>
        <w:ind w:right="211" w:firstLine="480"/>
        <w:jc w:val="both"/>
      </w:pPr>
      <w:r>
        <w:rPr>
          <w:spacing w:val="-2"/>
        </w:rPr>
        <w:t>随着移动互联网、物联网、</w:t>
      </w:r>
      <w:r>
        <w:rPr>
          <w:rFonts w:ascii="Times New Roman" w:hAnsi="Times New Roman" w:cs="Times New Roman" w:eastAsia="Times New Roman" w:hint="default"/>
          <w:spacing w:val="-2"/>
        </w:rPr>
        <w:t>NFC</w:t>
      </w:r>
      <w:r>
        <w:rPr>
          <w:spacing w:val="-2"/>
        </w:rPr>
        <w:t>移动支付、大数据分析等新兴信息技术与智能一卡通行业的融合日益</w:t>
      </w:r>
      <w:r>
        <w:rPr/>
        <w:t> </w:t>
      </w:r>
      <w:r>
        <w:rPr>
          <w:spacing w:val="-1"/>
        </w:rPr>
        <w:t>紧密，对企业综合研发实力的要求也越来越高，资金、高端人才的缺乏，以及自主研发和创新能力的欠缺</w:t>
      </w:r>
      <w:r>
        <w:rPr>
          <w:spacing w:val="-82"/>
        </w:rPr>
        <w:t> </w:t>
      </w:r>
      <w:r>
        <w:rPr>
          <w:spacing w:val="-82"/>
        </w:rPr>
      </w:r>
      <w:r>
        <w:rPr/>
        <w:t>均将对行业的长期快速发展造成不利影响。</w:t>
      </w:r>
    </w:p>
    <w:p>
      <w:pPr>
        <w:spacing w:after="0" w:line="39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39" w:lineRule="auto" w:before="35"/>
        <w:ind w:left="574" w:right="95" w:hanging="1"/>
        <w:jc w:val="left"/>
      </w:pPr>
      <w:r>
        <w:rPr>
          <w:rFonts w:ascii="Times New Roman" w:hAnsi="Times New Roman" w:cs="Times New Roman" w:eastAsia="Times New Roman" w:hint="default"/>
        </w:rPr>
        <w:t>2</w:t>
      </w:r>
      <w:r>
        <w:rPr/>
        <w:t>、缺乏移动互联网运营经验 </w:t>
      </w:r>
      <w:r>
        <w:rPr>
          <w:spacing w:val="-1"/>
        </w:rPr>
        <w:t>当前，移动互联网产业蓬勃发展，成功的产品和服务模式不断向其它产业领域延伸渗透，智能一卡通</w:t>
      </w:r>
    </w:p>
    <w:p>
      <w:pPr>
        <w:pStyle w:val="BodyText"/>
        <w:spacing w:line="403" w:lineRule="auto" w:before="19"/>
        <w:ind w:left="153" w:right="102"/>
        <w:jc w:val="left"/>
      </w:pPr>
      <w:r>
        <w:rPr/>
        <w:t>行业也开始融入移动互联网元素，市场活力和盈利模式更加丰富，呈现出巨大的市场潜力。传统智能一卡 </w:t>
      </w:r>
      <w:r>
        <w:rPr>
          <w:spacing w:val="-3"/>
        </w:rPr>
        <w:t>通企业主要向学校、企业等客户提供智能一卡通系统及相关软硬件产品的研发设计、系统集成和售后服务，</w:t>
      </w:r>
      <w:r>
        <w:rPr>
          <w:spacing w:val="-92"/>
        </w:rPr>
        <w:t> </w:t>
      </w:r>
      <w:r>
        <w:rPr>
          <w:spacing w:val="-92"/>
        </w:rPr>
      </w:r>
      <w:r>
        <w:rPr>
          <w:spacing w:val="-2"/>
        </w:rPr>
        <w:t>缺乏直接面向大众消费者的自有系统</w:t>
      </w:r>
      <w:r>
        <w:rPr>
          <w:rFonts w:ascii="Times New Roman" w:hAnsi="Times New Roman" w:cs="Times New Roman" w:eastAsia="Times New Roman" w:hint="default"/>
          <w:spacing w:val="-2"/>
        </w:rPr>
        <w:t>/</w:t>
      </w:r>
      <w:r>
        <w:rPr>
          <w:spacing w:val="-2"/>
        </w:rPr>
        <w:t>平台的推广和运营经验，技术、渠道和商业模式与移动互联网行业也</w:t>
      </w:r>
      <w:r>
        <w:rPr>
          <w:spacing w:val="-93"/>
        </w:rPr>
        <w:t> </w:t>
      </w:r>
      <w:r>
        <w:rPr>
          <w:spacing w:val="-93"/>
        </w:rPr>
      </w:r>
      <w:r>
        <w:rPr/>
        <w:t>相差较大，智能一卡通企业移动互联网运营经验和成熟盈利模式的缺乏将对智能一卡通行业与移动互联网</w:t>
      </w:r>
      <w:r>
        <w:rPr/>
        <w:t> 的深度融合，以及借助移动互联网进一步拓展行业发展空间造成不利影响。</w:t>
      </w:r>
    </w:p>
    <w:p>
      <w:pPr>
        <w:pStyle w:val="BodyText"/>
        <w:spacing w:line="240" w:lineRule="auto" w:before="91"/>
        <w:ind w:left="573" w:right="532"/>
        <w:jc w:val="left"/>
      </w:pPr>
      <w:r>
        <w:rPr/>
        <w:t>（四）公司的发展战略规划及</w:t>
      </w:r>
      <w:r>
        <w:rPr>
          <w:rFonts w:ascii="Times New Roman" w:hAnsi="Times New Roman" w:cs="Times New Roman" w:eastAsia="Times New Roman" w:hint="default"/>
        </w:rPr>
        <w:t>2015</w:t>
      </w:r>
      <w:r>
        <w:rPr/>
        <w:t>年经营计划</w:t>
      </w:r>
    </w:p>
    <w:p>
      <w:pPr>
        <w:spacing w:line="240" w:lineRule="auto" w:before="8"/>
        <w:rPr>
          <w:rFonts w:ascii="宋体" w:hAnsi="宋体" w:cs="宋体" w:eastAsia="宋体" w:hint="default"/>
          <w:sz w:val="16"/>
          <w:szCs w:val="16"/>
        </w:rPr>
      </w:pPr>
    </w:p>
    <w:p>
      <w:pPr>
        <w:pStyle w:val="BodyText"/>
        <w:spacing w:line="240" w:lineRule="auto" w:before="0"/>
        <w:ind w:left="573" w:right="532"/>
        <w:jc w:val="left"/>
      </w:pPr>
      <w:r>
        <w:rPr>
          <w:rFonts w:ascii="Times New Roman" w:hAnsi="Times New Roman" w:cs="Times New Roman" w:eastAsia="Times New Roman" w:hint="default"/>
        </w:rPr>
        <w:t>1</w:t>
      </w:r>
      <w:r>
        <w:rPr/>
        <w:t>、整体发展战略</w:t>
      </w:r>
    </w:p>
    <w:p>
      <w:pPr>
        <w:spacing w:line="240" w:lineRule="auto" w:before="6"/>
        <w:rPr>
          <w:rFonts w:ascii="宋体" w:hAnsi="宋体" w:cs="宋体" w:eastAsia="宋体" w:hint="default"/>
          <w:sz w:val="16"/>
          <w:szCs w:val="16"/>
        </w:rPr>
      </w:pPr>
    </w:p>
    <w:p>
      <w:pPr>
        <w:pStyle w:val="BodyText"/>
        <w:spacing w:line="396" w:lineRule="auto" w:before="0"/>
        <w:ind w:right="206" w:firstLine="420"/>
        <w:jc w:val="both"/>
      </w:pPr>
      <w:r>
        <w:rPr>
          <w:rFonts w:ascii="Times New Roman" w:hAnsi="Times New Roman" w:cs="Times New Roman" w:eastAsia="Times New Roman" w:hint="default"/>
          <w:spacing w:val="3"/>
        </w:rPr>
        <w:t>2015</w:t>
      </w:r>
      <w:r>
        <w:rPr>
          <w:spacing w:val="3"/>
        </w:rPr>
        <w:t>年，公司将实现由线下解决方案供应商向移动互联网服务商转型，同时续坚持“规模化个性定</w:t>
      </w:r>
      <w:r>
        <w:rPr>
          <w:spacing w:val="4"/>
        </w:rPr>
        <w:t> </w:t>
      </w:r>
      <w:r>
        <w:rPr>
          <w:spacing w:val="-1"/>
        </w:rPr>
        <w:t>制”的经营模式，并采取“差异化竞争战略”和“成本领先竞争战略”。公司将通过自身产品技术升级及</w:t>
      </w:r>
      <w:r>
        <w:rPr>
          <w:spacing w:val="-81"/>
        </w:rPr>
        <w:t> </w:t>
      </w:r>
      <w:r>
        <w:rPr>
          <w:spacing w:val="-81"/>
        </w:rPr>
      </w:r>
      <w:r>
        <w:rPr>
          <w:spacing w:val="-1"/>
        </w:rPr>
        <w:t>一系列资本运作，不断增加校园客户数量及持卡人用户数量，紧抓</w:t>
      </w:r>
      <w:r>
        <w:rPr>
          <w:rFonts w:ascii="Times New Roman" w:hAnsi="Times New Roman" w:cs="Times New Roman" w:eastAsia="Times New Roman" w:hint="default"/>
          <w:spacing w:val="-1"/>
        </w:rPr>
        <w:t>NFC</w:t>
      </w:r>
      <w:r>
        <w:rPr>
          <w:spacing w:val="-1"/>
        </w:rPr>
        <w:t>移动支付、移动互联网两大业务布</w:t>
      </w:r>
      <w:r>
        <w:rPr>
          <w:spacing w:val="-72"/>
        </w:rPr>
        <w:t> </w:t>
      </w:r>
      <w:r>
        <w:rPr>
          <w:spacing w:val="-72"/>
        </w:rPr>
      </w:r>
      <w:r>
        <w:rPr/>
        <w:t>局，把线下用户转化为线上客户，通过功能多样化的</w:t>
      </w:r>
      <w:r>
        <w:rPr>
          <w:rFonts w:ascii="Times New Roman" w:hAnsi="Times New Roman" w:cs="Times New Roman" w:eastAsia="Times New Roman" w:hint="default"/>
        </w:rPr>
        <w:t>APP</w:t>
      </w:r>
      <w:r>
        <w:rPr/>
        <w:t>，提供优质便捷的移动互联网服务。紧抓智慧城</w:t>
      </w:r>
      <w:r>
        <w:rPr>
          <w:spacing w:val="-99"/>
        </w:rPr>
        <w:t> </w:t>
      </w:r>
      <w:r>
        <w:rPr>
          <w:spacing w:val="-99"/>
        </w:rPr>
      </w:r>
      <w:r>
        <w:rPr>
          <w:spacing w:val="-1"/>
        </w:rPr>
        <w:t>市建设金融</w:t>
      </w:r>
      <w:r>
        <w:rPr>
          <w:rFonts w:ascii="Times New Roman" w:hAnsi="Times New Roman" w:cs="Times New Roman" w:eastAsia="Times New Roman" w:hint="default"/>
          <w:spacing w:val="-1"/>
        </w:rPr>
        <w:t>IC</w:t>
      </w:r>
      <w:r>
        <w:rPr>
          <w:spacing w:val="-1"/>
        </w:rPr>
        <w:t>卡大规模推广的行业发展机遇，完善产品结构，优化市场布局，继续保持与三大运营商和银</w:t>
      </w:r>
      <w:r>
        <w:rPr>
          <w:spacing w:val="-83"/>
        </w:rPr>
        <w:t> </w:t>
      </w:r>
      <w:r>
        <w:rPr>
          <w:spacing w:val="-83"/>
        </w:rPr>
      </w:r>
      <w:r>
        <w:rPr>
          <w:spacing w:val="-1"/>
        </w:rPr>
        <w:t>行的紧密合作关系，不断推出符合市场需求的新技术、新应用，大力拓展企事业和城市市场。同时，积极</w:t>
      </w:r>
      <w:r>
        <w:rPr>
          <w:spacing w:val="-83"/>
        </w:rPr>
        <w:t> </w:t>
      </w:r>
      <w:r>
        <w:rPr>
          <w:spacing w:val="-83"/>
        </w:rPr>
      </w:r>
      <w:r>
        <w:rPr>
          <w:spacing w:val="-1"/>
        </w:rPr>
        <w:t>引进高端人才，加大科技投入与合作，增强自主研发和技术创新能力，引入先进的生产管理模式，提高生</w:t>
      </w:r>
      <w:r>
        <w:rPr>
          <w:spacing w:val="-82"/>
        </w:rPr>
        <w:t> </w:t>
      </w:r>
      <w:r>
        <w:rPr>
          <w:spacing w:val="-82"/>
        </w:rPr>
      </w:r>
      <w:r>
        <w:rPr/>
        <w:t>产效率，加强质量管控，深化绩效考评体系，提升员工岗位价值，以支持公司长期可持续发展。</w:t>
      </w:r>
    </w:p>
    <w:p>
      <w:pPr>
        <w:pStyle w:val="BodyText"/>
        <w:spacing w:line="240" w:lineRule="auto" w:before="97"/>
        <w:ind w:left="574" w:right="53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年经营目标</w:t>
      </w:r>
    </w:p>
    <w:p>
      <w:pPr>
        <w:spacing w:line="240" w:lineRule="auto" w:before="6"/>
        <w:rPr>
          <w:rFonts w:ascii="宋体" w:hAnsi="宋体" w:cs="宋体" w:eastAsia="宋体" w:hint="default"/>
          <w:sz w:val="16"/>
          <w:szCs w:val="16"/>
        </w:rPr>
      </w:pPr>
    </w:p>
    <w:p>
      <w:pPr>
        <w:pStyle w:val="BodyText"/>
        <w:spacing w:line="393" w:lineRule="auto" w:before="0"/>
        <w:ind w:right="209" w:firstLine="420"/>
        <w:jc w:val="both"/>
      </w:pPr>
      <w:r>
        <w:rPr>
          <w:rFonts w:ascii="Times New Roman" w:hAnsi="Times New Roman" w:cs="Times New Roman" w:eastAsia="Times New Roman" w:hint="default"/>
          <w:spacing w:val="-1"/>
        </w:rPr>
        <w:t>2015</w:t>
      </w:r>
      <w:r>
        <w:rPr>
          <w:spacing w:val="-1"/>
        </w:rPr>
        <w:t>年度，公司将将继续积极拓展原有细分市场，内部将继续加强新产品的研发，合理控制费用，提</w:t>
      </w:r>
      <w:r>
        <w:rPr/>
        <w:t> 升业务管理水平，公司力争全年实现销售收入</w:t>
      </w:r>
      <w:r>
        <w:rPr>
          <w:rFonts w:ascii="Times New Roman" w:hAnsi="Times New Roman" w:cs="Times New Roman" w:eastAsia="Times New Roman" w:hint="default"/>
        </w:rPr>
        <w:t>3.6-4.3</w:t>
      </w:r>
      <w:r>
        <w:rPr/>
        <w:t>亿元。由于公司要实现向移动互联网服务商的业务转</w:t>
      </w:r>
      <w:r>
        <w:rPr>
          <w:spacing w:val="-99"/>
        </w:rPr>
        <w:t> </w:t>
      </w:r>
      <w:r>
        <w:rPr>
          <w:spacing w:val="-99"/>
        </w:rPr>
      </w:r>
      <w:r>
        <w:rPr>
          <w:spacing w:val="-1"/>
        </w:rPr>
        <w:t>型，需增加移动互联网业务投入，因此即使线下业务利润较好增长，公司净利润实现同比例增长也具有不</w:t>
      </w:r>
      <w:r>
        <w:rPr>
          <w:spacing w:val="-83"/>
        </w:rPr>
        <w:t> </w:t>
      </w:r>
      <w:r>
        <w:rPr>
          <w:spacing w:val="-83"/>
        </w:rPr>
      </w:r>
      <w:r>
        <w:rPr/>
        <w:t>确定性。</w:t>
      </w:r>
    </w:p>
    <w:p>
      <w:pPr>
        <w:pStyle w:val="Heading3"/>
        <w:spacing w:line="386" w:lineRule="auto" w:before="97"/>
        <w:ind w:right="211" w:firstLine="422"/>
        <w:jc w:val="both"/>
        <w:rPr>
          <w:b w:val="0"/>
          <w:bCs w:val="0"/>
        </w:rPr>
      </w:pPr>
      <w:r>
        <w:rPr>
          <w:spacing w:val="-1"/>
          <w:w w:val="95"/>
        </w:rPr>
        <w:t>上述经营目标并不代表公司对</w:t>
      </w:r>
      <w:r>
        <w:rPr>
          <w:rFonts w:ascii="Times New Roman" w:hAnsi="Times New Roman" w:cs="Times New Roman" w:eastAsia="Times New Roman" w:hint="default"/>
          <w:spacing w:val="-1"/>
          <w:w w:val="95"/>
        </w:rPr>
        <w:t>2015</w:t>
      </w:r>
      <w:r>
        <w:rPr>
          <w:spacing w:val="-1"/>
          <w:w w:val="95"/>
        </w:rPr>
        <w:t>年度的盈利预测，能否实现取决于市场状况变化、经营团队的努力</w:t>
      </w:r>
      <w:r>
        <w:rPr>
          <w:spacing w:val="-81"/>
          <w:w w:val="95"/>
        </w:rPr>
        <w:t> </w:t>
      </w:r>
      <w:r>
        <w:rPr>
          <w:spacing w:val="-81"/>
          <w:w w:val="95"/>
        </w:rPr>
      </w:r>
      <w:r>
        <w:rPr/>
        <w:t>程度等多种因素，存在很大的不确定性，请投资者特别注意。</w:t>
      </w:r>
      <w:r>
        <w:rPr>
          <w:b w:val="0"/>
          <w:bCs w:val="0"/>
        </w:rPr>
      </w:r>
    </w:p>
    <w:p>
      <w:pPr>
        <w:pStyle w:val="BodyText"/>
        <w:spacing w:line="240" w:lineRule="auto" w:before="106"/>
        <w:ind w:left="574" w:right="53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年经营计划</w:t>
      </w:r>
    </w:p>
    <w:p>
      <w:pPr>
        <w:spacing w:line="240" w:lineRule="auto" w:before="8"/>
        <w:rPr>
          <w:rFonts w:ascii="宋体" w:hAnsi="宋体" w:cs="宋体" w:eastAsia="宋体" w:hint="default"/>
          <w:sz w:val="16"/>
          <w:szCs w:val="16"/>
        </w:rPr>
      </w:pPr>
    </w:p>
    <w:p>
      <w:pPr>
        <w:pStyle w:val="BodyText"/>
        <w:spacing w:line="417" w:lineRule="auto" w:before="0"/>
        <w:ind w:left="574" w:right="170" w:hanging="1"/>
        <w:jc w:val="left"/>
      </w:pPr>
      <w:r>
        <w:rPr/>
        <w:t>（</w:t>
      </w:r>
      <w:r>
        <w:rPr>
          <w:rFonts w:ascii="Times New Roman" w:hAnsi="Times New Roman" w:cs="Times New Roman" w:eastAsia="Times New Roman" w:hint="default"/>
        </w:rPr>
        <w:t>1</w:t>
      </w:r>
      <w:r>
        <w:rPr/>
        <w:t>）创新业务模式 紧跟移动互联网发展趋势，大力扩大校园客户规模和持卡人数量规模，把线下用户转化为线上客户；</w:t>
      </w:r>
    </w:p>
    <w:p>
      <w:pPr>
        <w:pStyle w:val="BodyText"/>
        <w:spacing w:line="386" w:lineRule="auto" w:before="38"/>
        <w:ind w:right="95" w:hanging="1"/>
        <w:jc w:val="left"/>
      </w:pPr>
      <w:r>
        <w:rPr>
          <w:spacing w:val="-1"/>
        </w:rPr>
        <w:t>紧跟</w:t>
      </w:r>
      <w:r>
        <w:rPr>
          <w:rFonts w:ascii="Times New Roman" w:hAnsi="Times New Roman" w:cs="Times New Roman" w:eastAsia="Times New Roman" w:hint="default"/>
          <w:spacing w:val="-1"/>
        </w:rPr>
        <w:t>NFC</w:t>
      </w:r>
      <w:r>
        <w:rPr>
          <w:spacing w:val="-1"/>
        </w:rPr>
        <w:t>移动支付发展契机，并结合电信运营商加以规模推广；紧跟智慧城市发展、金融</w:t>
      </w:r>
      <w:r>
        <w:rPr>
          <w:rFonts w:ascii="Times New Roman" w:hAnsi="Times New Roman" w:cs="Times New Roman" w:eastAsia="Times New Roman" w:hint="default"/>
          <w:spacing w:val="-1"/>
        </w:rPr>
        <w:t>IC</w:t>
      </w:r>
      <w:r>
        <w:rPr>
          <w:spacing w:val="-1"/>
        </w:rPr>
        <w:t>卡多行业应用</w:t>
      </w:r>
      <w:r>
        <w:rPr>
          <w:spacing w:val="-73"/>
        </w:rPr>
        <w:t> </w:t>
      </w:r>
      <w:r>
        <w:rPr/>
        <w:t>契机，发展大型智慧社区项目，大力拓展城市公共交通，公共服务缴费等方面业务。</w:t>
      </w:r>
    </w:p>
    <w:p>
      <w:pPr>
        <w:spacing w:after="0" w:line="386" w:lineRule="auto"/>
        <w:jc w:val="left"/>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417" w:lineRule="auto" w:before="35"/>
        <w:ind w:left="574" w:right="0" w:hanging="1"/>
        <w:jc w:val="left"/>
      </w:pPr>
      <w:r>
        <w:rPr/>
        <w:t>（</w:t>
      </w:r>
      <w:r>
        <w:rPr>
          <w:rFonts w:ascii="Times New Roman" w:hAnsi="Times New Roman" w:cs="Times New Roman" w:eastAsia="Times New Roman" w:hint="default"/>
        </w:rPr>
        <w:t>2</w:t>
      </w:r>
      <w:r>
        <w:rPr/>
        <w:t>）横向市场开发与纵向产业链扩张 </w:t>
      </w:r>
      <w:r>
        <w:rPr>
          <w:spacing w:val="-1"/>
        </w:rPr>
        <w:t>在产业整合化发展趋势下，产业的竞争已经由单个产品竞争转变为基于产业链的竞争。为促进产业链</w:t>
      </w:r>
    </w:p>
    <w:p>
      <w:pPr>
        <w:pStyle w:val="BodyText"/>
        <w:spacing w:line="400" w:lineRule="auto" w:before="38"/>
        <w:ind w:right="151"/>
        <w:jc w:val="both"/>
      </w:pPr>
      <w:r>
        <w:rPr>
          <w:spacing w:val="-1"/>
        </w:rPr>
        <w:t>整合，优化企业发展环境，公司不仅要加强在产业技术研发、产业化、市场培育、标准制定和人才培养等</w:t>
      </w:r>
      <w:r>
        <w:rPr>
          <w:spacing w:val="-83"/>
        </w:rPr>
        <w:t> </w:t>
      </w:r>
      <w:r>
        <w:rPr>
          <w:spacing w:val="-83"/>
        </w:rPr>
      </w:r>
      <w:r>
        <w:rPr>
          <w:spacing w:val="-1"/>
        </w:rPr>
        <w:t>关键环节的投入，在国内外对下游及同行企业适时展开合资、合作和兼并重组，拓展产业链，实现优势互</w:t>
      </w:r>
      <w:r>
        <w:rPr>
          <w:spacing w:val="-82"/>
        </w:rPr>
        <w:t> </w:t>
      </w:r>
      <w:r>
        <w:rPr>
          <w:spacing w:val="-82"/>
        </w:rPr>
      </w:r>
      <w:r>
        <w:rPr>
          <w:spacing w:val="-1"/>
        </w:rPr>
        <w:t>补，扩大企业规模。同时应积极与电信运营商、银行、银联及互联网企业等拥有客户资源和服务渠道的企</w:t>
      </w:r>
      <w:r>
        <w:rPr>
          <w:spacing w:val="-82"/>
        </w:rPr>
        <w:t> </w:t>
      </w:r>
      <w:r>
        <w:rPr>
          <w:spacing w:val="-82"/>
        </w:rPr>
      </w:r>
      <w:r>
        <w:rPr/>
        <w:t>业合作，拓展</w:t>
      </w:r>
      <w:r>
        <w:rPr>
          <w:rFonts w:ascii="Times New Roman" w:hAnsi="Times New Roman" w:cs="Times New Roman" w:eastAsia="Times New Roman" w:hint="default"/>
        </w:rPr>
        <w:t>NFC</w:t>
      </w:r>
      <w:r>
        <w:rPr/>
        <w:t>移动支付、</w:t>
      </w:r>
      <w:r>
        <w:rPr>
          <w:rFonts w:ascii="Times New Roman" w:hAnsi="Times New Roman" w:cs="Times New Roman" w:eastAsia="Times New Roman" w:hint="default"/>
        </w:rPr>
        <w:t>O2O</w:t>
      </w:r>
      <w:r>
        <w:rPr/>
        <w:t>模式的商业应用等。与此同时，差异化的营销策略需差异化的服务与之 相配合。未来，公司将继续按客户需求开发特定产品，推行</w:t>
      </w:r>
      <w:r>
        <w:rPr>
          <w:rFonts w:ascii="Times New Roman" w:hAnsi="Times New Roman" w:cs="Times New Roman" w:eastAsia="Times New Roman" w:hint="default"/>
        </w:rPr>
        <w:t>“</w:t>
      </w:r>
      <w:r>
        <w:rPr/>
        <w:t>一站式整体解决方案</w:t>
      </w:r>
      <w:r>
        <w:rPr>
          <w:rFonts w:ascii="Times New Roman" w:hAnsi="Times New Roman" w:cs="Times New Roman" w:eastAsia="Times New Roman" w:hint="default"/>
        </w:rPr>
        <w:t>”</w:t>
      </w:r>
      <w:r>
        <w:rPr/>
        <w:t>式的服务，提高售后服 务质量，多措并举建立稳定的客户资源网络，进而提升盈利能力和利润空间。</w:t>
      </w:r>
    </w:p>
    <w:p>
      <w:pPr>
        <w:pStyle w:val="BodyText"/>
        <w:spacing w:line="240" w:lineRule="auto" w:before="93"/>
        <w:ind w:left="574" w:right="0"/>
        <w:jc w:val="left"/>
      </w:pPr>
      <w:r>
        <w:rPr/>
        <w:t>（</w:t>
      </w:r>
      <w:r>
        <w:rPr>
          <w:rFonts w:ascii="Times New Roman" w:hAnsi="Times New Roman" w:cs="Times New Roman" w:eastAsia="Times New Roman" w:hint="default"/>
        </w:rPr>
        <w:t>3</w:t>
      </w:r>
      <w:r>
        <w:rPr/>
        <w:t>）技术进步与研发创新</w:t>
      </w:r>
    </w:p>
    <w:p>
      <w:pPr>
        <w:spacing w:line="240" w:lineRule="auto" w:before="6"/>
        <w:rPr>
          <w:rFonts w:ascii="宋体" w:hAnsi="宋体" w:cs="宋体" w:eastAsia="宋体" w:hint="default"/>
          <w:sz w:val="16"/>
          <w:szCs w:val="16"/>
        </w:rPr>
      </w:pPr>
    </w:p>
    <w:p>
      <w:pPr>
        <w:pStyle w:val="BodyText"/>
        <w:spacing w:line="400" w:lineRule="auto" w:before="0"/>
        <w:ind w:right="149" w:firstLine="420"/>
        <w:jc w:val="both"/>
      </w:pPr>
      <w:r>
        <w:rPr>
          <w:rFonts w:ascii="Times New Roman" w:hAnsi="Times New Roman" w:cs="Times New Roman" w:eastAsia="Times New Roman" w:hint="default"/>
          <w:spacing w:val="-1"/>
        </w:rPr>
        <w:t>2015</w:t>
      </w:r>
      <w:r>
        <w:rPr>
          <w:spacing w:val="-1"/>
        </w:rPr>
        <w:t>年，公司将继续完善研发机制，而且在发展核心主营业务基础上，加大针对移动互联业务与产品</w:t>
      </w:r>
      <w:r>
        <w:rPr/>
        <w:t> </w:t>
      </w:r>
      <w:r>
        <w:rPr>
          <w:spacing w:val="-1"/>
        </w:rPr>
        <w:t>和其他创新性业务的投入力度；同时，公司还将密切关注行业技术发展前沿，以具有生命力的新产品为基</w:t>
      </w:r>
      <w:r>
        <w:rPr>
          <w:spacing w:val="-83"/>
        </w:rPr>
        <w:t> </w:t>
      </w:r>
      <w:r>
        <w:rPr>
          <w:spacing w:val="-83"/>
        </w:rPr>
      </w:r>
      <w:r>
        <w:rPr>
          <w:spacing w:val="-1"/>
        </w:rPr>
        <w:t>础，不断开发适合社会需求的先进工艺，提高生产效率。公司在未来将不断通过引进高端人才，打造一流</w:t>
      </w:r>
      <w:r>
        <w:rPr>
          <w:spacing w:val="-82"/>
        </w:rPr>
        <w:t> </w:t>
      </w:r>
      <w:r>
        <w:rPr>
          <w:spacing w:val="-82"/>
        </w:rPr>
      </w:r>
      <w:r>
        <w:rPr/>
        <w:t>的研发团队，实现快速技术进步及产品创新。</w:t>
      </w:r>
    </w:p>
    <w:p>
      <w:pPr>
        <w:pStyle w:val="BodyText"/>
        <w:spacing w:line="408" w:lineRule="auto" w:before="91"/>
        <w:ind w:right="128" w:firstLine="420"/>
        <w:jc w:val="both"/>
      </w:pPr>
      <w:r>
        <w:rPr/>
        <w:t>在实际研发工作中，公司将合理筛选研发项目，保证核心竞争力的延续，同时，全程控制项目管理， </w:t>
      </w:r>
      <w:r>
        <w:rPr>
          <w:spacing w:val="-1"/>
        </w:rPr>
        <w:t>保证研发项目按计划完成；加速提升研发创新能力，开发出符合市场需求、高技术含量且具有一定前瞻性</w:t>
      </w:r>
      <w:r>
        <w:rPr>
          <w:spacing w:val="-83"/>
        </w:rPr>
        <w:t> </w:t>
      </w:r>
      <w:r>
        <w:rPr>
          <w:spacing w:val="-83"/>
        </w:rPr>
      </w:r>
      <w:r>
        <w:rPr>
          <w:spacing w:val="-1"/>
        </w:rPr>
        <w:t>的系列化产品，力保和提升公司核心竞争优势，扩大市场份额；通过各项现代化研发管理模式及信息化管</w:t>
      </w:r>
      <w:r>
        <w:rPr>
          <w:spacing w:val="-83"/>
        </w:rPr>
        <w:t> </w:t>
      </w:r>
      <w:r>
        <w:rPr>
          <w:spacing w:val="-83"/>
        </w:rPr>
      </w:r>
      <w:r>
        <w:rPr>
          <w:spacing w:val="-1"/>
        </w:rPr>
        <w:t>理工具，打造更加适合公司发展的产品创新体系，更加可靠的质量管理体系，提升产品品质和可靠性；积</w:t>
      </w:r>
      <w:r>
        <w:rPr>
          <w:spacing w:val="-82"/>
        </w:rPr>
        <w:t> </w:t>
      </w:r>
      <w:r>
        <w:rPr>
          <w:spacing w:val="-82"/>
        </w:rPr>
      </w:r>
      <w:r>
        <w:rPr/>
        <w:t>极推动新业务的快速成长，使其为公司未来提供稳定增长的现金流，从而支持企业的持续增长。</w:t>
      </w:r>
    </w:p>
    <w:p>
      <w:pPr>
        <w:pStyle w:val="BodyText"/>
        <w:spacing w:line="417" w:lineRule="auto" w:before="87"/>
        <w:ind w:left="574" w:right="0" w:hanging="1"/>
        <w:jc w:val="left"/>
      </w:pPr>
      <w:r>
        <w:rPr/>
        <w:t>（</w:t>
      </w:r>
      <w:r>
        <w:rPr>
          <w:rFonts w:ascii="Times New Roman" w:hAnsi="Times New Roman" w:cs="Times New Roman" w:eastAsia="Times New Roman" w:hint="default"/>
        </w:rPr>
        <w:t>4</w:t>
      </w:r>
      <w:r>
        <w:rPr/>
        <w:t>）打造团结高效的人力资源团队，继续深化绩效管理体系建设 </w:t>
      </w:r>
      <w:r>
        <w:rPr>
          <w:spacing w:val="-1"/>
        </w:rPr>
        <w:t>公司属于知识密集型、智力密集型行业，高端人才储备不足将制约着企业的进一步发展，随着公司业</w:t>
      </w:r>
    </w:p>
    <w:p>
      <w:pPr>
        <w:pStyle w:val="BodyText"/>
        <w:spacing w:line="405" w:lineRule="auto" w:before="38"/>
        <w:ind w:right="128"/>
        <w:jc w:val="both"/>
      </w:pPr>
      <w:r>
        <w:rPr>
          <w:spacing w:val="-1"/>
        </w:rPr>
        <w:t>务规模不断扩大，以及互联网、电子信息技术、软件技术等领域的不断进步，对软硬件高级技术人员、营</w:t>
      </w:r>
      <w:r>
        <w:rPr>
          <w:spacing w:val="-83"/>
        </w:rPr>
        <w:t> </w:t>
      </w:r>
      <w:r>
        <w:rPr>
          <w:spacing w:val="-83"/>
        </w:rPr>
      </w:r>
      <w:r>
        <w:rPr>
          <w:spacing w:val="-1"/>
        </w:rPr>
        <w:t>销人员和管理人员具有较大的需求。</w:t>
      </w:r>
      <w:r>
        <w:rPr>
          <w:rFonts w:ascii="Times New Roman" w:hAnsi="Times New Roman" w:cs="Times New Roman" w:eastAsia="Times New Roman" w:hint="default"/>
          <w:spacing w:val="-1"/>
        </w:rPr>
        <w:t>2015</w:t>
      </w:r>
      <w:r>
        <w:rPr>
          <w:spacing w:val="-1"/>
        </w:rPr>
        <w:t>年，公司将继续加大高端人员的引进力度，建立起一个高效的人</w:t>
      </w:r>
      <w:r>
        <w:rPr>
          <w:spacing w:val="-83"/>
        </w:rPr>
        <w:t> </w:t>
      </w:r>
      <w:r>
        <w:rPr>
          <w:spacing w:val="-83"/>
        </w:rPr>
      </w:r>
      <w:r>
        <w:rPr>
          <w:spacing w:val="-1"/>
        </w:rPr>
        <w:t>力资源团队。同时公司将通过绩效管理体系的持续改进，在财务、客户、内部业务流程、学习与成长四个</w:t>
      </w:r>
      <w:r>
        <w:rPr>
          <w:spacing w:val="-83"/>
        </w:rPr>
        <w:t> </w:t>
      </w:r>
      <w:r>
        <w:rPr>
          <w:spacing w:val="-83"/>
        </w:rPr>
      </w:r>
      <w:r>
        <w:rPr/>
        <w:t>层面深化实施战略管理，逐级推进绩效指标规划，逐级分解关键工作目标，为员工指出正确的工作方向， </w:t>
      </w:r>
      <w:r>
        <w:rPr>
          <w:spacing w:val="-1"/>
        </w:rPr>
        <w:t>通过绩效指标的深入推进，公司将更加细致地去实施自己的战略目标，真正达到低成本、高竞争力、高回</w:t>
      </w:r>
      <w:r>
        <w:rPr>
          <w:spacing w:val="-82"/>
        </w:rPr>
        <w:t> </w:t>
      </w:r>
      <w:r>
        <w:rPr>
          <w:spacing w:val="-82"/>
        </w:rPr>
      </w:r>
      <w:r>
        <w:rPr/>
        <w:t>报率的目标。</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0"/>
        <w:jc w:val="both"/>
        <w:rPr>
          <w:b w:val="0"/>
          <w:bCs w:val="0"/>
        </w:rPr>
      </w:pP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BodyText"/>
        <w:spacing w:line="386" w:lineRule="auto" w:before="118"/>
        <w:ind w:right="151" w:firstLine="420"/>
        <w:jc w:val="both"/>
      </w:pPr>
      <w:r>
        <w:rPr>
          <w:spacing w:val="-1"/>
        </w:rPr>
        <w:t>（一）公司于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日召开了第三届董事会第七次会议及第三届监事会第六次会议，审议通过</w:t>
      </w:r>
      <w:r>
        <w:rPr/>
        <w:t> </w:t>
      </w:r>
      <w:r>
        <w:rPr>
          <w:spacing w:val="-1"/>
        </w:rPr>
        <w:t>了《关于公司会计政策变更的议案》，自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日起，公司依据财政部发布的《企业会计准则第</w:t>
      </w:r>
      <w:r>
        <w:rPr>
          <w:rFonts w:ascii="Times New Roman" w:hAnsi="Times New Roman" w:cs="Times New Roman" w:eastAsia="Times New Roman" w:hint="default"/>
          <w:spacing w:val="-1"/>
        </w:rPr>
        <w:t>39</w:t>
      </w:r>
      <w:r>
        <w:rPr>
          <w:spacing w:val="-1"/>
        </w:rPr>
        <w:t>号</w:t>
      </w:r>
    </w:p>
    <w:p>
      <w:pPr>
        <w:pStyle w:val="BodyText"/>
        <w:spacing w:line="386" w:lineRule="auto" w:before="35"/>
        <w:ind w:right="150"/>
        <w:jc w:val="both"/>
      </w:pP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w:t>
      </w:r>
      <w:r>
        <w:rPr>
          <w:spacing w:val="-39"/>
        </w:rPr>
        <w:t> </w:t>
      </w:r>
      <w:r>
        <w:rPr>
          <w:spacing w:val="-39"/>
        </w:rPr>
      </w:r>
      <w:r>
        <w:rPr/>
        <w:t>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w:t>
      </w:r>
      <w:r>
        <w:rPr>
          <w:spacing w:val="-39"/>
        </w:rPr>
        <w:t> </w:t>
      </w:r>
      <w:r>
        <w:rPr>
          <w:spacing w:val="-39"/>
        </w:rPr>
      </w:r>
      <w:r>
        <w:rPr/>
        <w:t>投资》、《企业会计准则第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在其他主体中权益的披露》七项具体会计准则，实施新的会计政策。</w:t>
      </w:r>
    </w:p>
    <w:p>
      <w:pPr>
        <w:pStyle w:val="BodyText"/>
        <w:spacing w:line="240" w:lineRule="auto" w:before="155"/>
        <w:ind w:left="574" w:right="0"/>
        <w:jc w:val="left"/>
      </w:pPr>
      <w:r>
        <w:rPr/>
        <w:t>（二）本次会计政策变更对公司的影响</w:t>
      </w:r>
    </w:p>
    <w:p>
      <w:pPr>
        <w:spacing w:line="240" w:lineRule="auto" w:before="10"/>
        <w:rPr>
          <w:rFonts w:ascii="宋体" w:hAnsi="宋体" w:cs="宋体" w:eastAsia="宋体" w:hint="default"/>
          <w:sz w:val="14"/>
          <w:szCs w:val="14"/>
        </w:rPr>
      </w:pPr>
    </w:p>
    <w:p>
      <w:pPr>
        <w:pStyle w:val="BodyText"/>
        <w:spacing w:line="386" w:lineRule="auto" w:before="0"/>
        <w:ind w:left="153" w:right="150" w:firstLine="480"/>
        <w:jc w:val="both"/>
      </w:pPr>
      <w:r>
        <w:rPr>
          <w:rFonts w:ascii="Times New Roman" w:hAnsi="Times New Roman" w:cs="Times New Roman" w:eastAsia="Times New Roman" w:hint="default"/>
          <w:spacing w:val="-3"/>
        </w:rPr>
        <w:t>1</w:t>
      </w:r>
      <w:r>
        <w:rPr>
          <w:spacing w:val="-3"/>
        </w:rPr>
        <w:t>、公司根据《关于印发</w:t>
      </w:r>
      <w:r>
        <w:rPr>
          <w:rFonts w:ascii="Times New Roman" w:hAnsi="Times New Roman" w:cs="Times New Roman" w:eastAsia="Times New Roman" w:hint="default"/>
          <w:spacing w:val="-3"/>
        </w:rPr>
        <w:t>&lt;</w:t>
      </w:r>
      <w:r>
        <w:rPr>
          <w:spacing w:val="-3"/>
        </w:rPr>
        <w:t>企业会计准则第</w:t>
      </w:r>
      <w:r>
        <w:rPr>
          <w:rFonts w:ascii="Times New Roman" w:hAnsi="Times New Roman" w:cs="Times New Roman" w:eastAsia="Times New Roman" w:hint="default"/>
          <w:spacing w:val="-3"/>
        </w:rPr>
        <w:t>39</w:t>
      </w:r>
      <w:r>
        <w:rPr>
          <w:spacing w:val="-3"/>
        </w:rPr>
        <w:t>号</w:t>
      </w:r>
      <w:r>
        <w:rPr>
          <w:rFonts w:ascii="Times New Roman" w:hAnsi="Times New Roman" w:cs="Times New Roman" w:eastAsia="Times New Roman" w:hint="default"/>
          <w:spacing w:val="-3"/>
        </w:rPr>
        <w:t>-</w:t>
      </w:r>
      <w:r>
        <w:rPr>
          <w:spacing w:val="-3"/>
        </w:rPr>
        <w:t>公允价值计量</w:t>
      </w:r>
      <w:r>
        <w:rPr>
          <w:rFonts w:ascii="Times New Roman" w:hAnsi="Times New Roman" w:cs="Times New Roman" w:eastAsia="Times New Roman" w:hint="default"/>
          <w:spacing w:val="-3"/>
        </w:rPr>
        <w:t>&gt;</w:t>
      </w:r>
      <w:r>
        <w:rPr>
          <w:spacing w:val="-3"/>
        </w:rPr>
        <w:t>的通知》（财会</w:t>
      </w:r>
      <w:r>
        <w:rPr>
          <w:rFonts w:ascii="Times New Roman" w:hAnsi="Times New Roman" w:cs="Times New Roman" w:eastAsia="Times New Roman" w:hint="default"/>
          <w:spacing w:val="-3"/>
        </w:rPr>
        <w:t>[2014]6</w:t>
      </w:r>
      <w:r>
        <w:rPr>
          <w:spacing w:val="-3"/>
        </w:rPr>
        <w:t>号），执行《企</w:t>
      </w:r>
      <w:r>
        <w:rPr/>
        <w:t> 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公允价值计量》。该变更对财务报表无重大影响。</w:t>
      </w:r>
    </w:p>
    <w:p>
      <w:pPr>
        <w:pStyle w:val="BodyText"/>
        <w:spacing w:line="386" w:lineRule="auto" w:before="35"/>
        <w:ind w:left="153" w:right="150" w:firstLine="480"/>
        <w:jc w:val="both"/>
      </w:pPr>
      <w:r>
        <w:rPr>
          <w:rFonts w:ascii="Times New Roman" w:hAnsi="Times New Roman" w:cs="Times New Roman" w:eastAsia="Times New Roman" w:hint="default"/>
        </w:rPr>
        <w:t>2</w:t>
      </w:r>
      <w:r>
        <w:rPr/>
        <w:t>、公司根据《关于印发修订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[2014]7</w:t>
      </w:r>
      <w:r>
        <w:rPr/>
        <w:t>号），执 行《企业会计准则第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财务报表列报》。该变更对财务报表无重大影响。</w:t>
      </w:r>
    </w:p>
    <w:p>
      <w:pPr>
        <w:pStyle w:val="BodyText"/>
        <w:spacing w:line="386" w:lineRule="auto" w:before="35"/>
        <w:ind w:left="153" w:right="148" w:firstLine="480"/>
        <w:jc w:val="both"/>
      </w:pPr>
      <w:r>
        <w:rPr>
          <w:rFonts w:ascii="Times New Roman" w:hAnsi="Times New Roman" w:cs="Times New Roman" w:eastAsia="Times New Roman" w:hint="default"/>
        </w:rPr>
        <w:t>3</w:t>
      </w:r>
      <w:r>
        <w:rPr/>
        <w:t>、公司根据《关于印发修订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[2014]8</w:t>
      </w:r>
      <w:r>
        <w:rPr/>
        <w:t>号），执行《企 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职工薪酬》。该变更对财务报表无重大影响。</w:t>
      </w:r>
    </w:p>
    <w:p>
      <w:pPr>
        <w:pStyle w:val="BodyText"/>
        <w:spacing w:line="386" w:lineRule="auto" w:before="35"/>
        <w:ind w:right="151" w:firstLine="480"/>
        <w:jc w:val="both"/>
      </w:pPr>
      <w:r>
        <w:rPr>
          <w:rFonts w:ascii="Times New Roman" w:hAnsi="Times New Roman" w:cs="Times New Roman" w:eastAsia="Times New Roman" w:hint="default"/>
          <w:spacing w:val="-1"/>
        </w:rPr>
        <w:t>4</w:t>
      </w:r>
      <w:r>
        <w:rPr>
          <w:spacing w:val="-1"/>
        </w:rPr>
        <w:t>、公司根据《关于印发修订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w:t>
      </w:r>
      <w:r>
        <w:rPr>
          <w:spacing w:val="-1"/>
        </w:rPr>
        <w:t>合并财务报表</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[2014]10</w:t>
      </w:r>
      <w:r>
        <w:rPr>
          <w:spacing w:val="-1"/>
        </w:rPr>
        <w:t>号），执</w:t>
      </w:r>
      <w:r>
        <w:rPr>
          <w:spacing w:val="-2"/>
        </w:rPr>
        <w:t> </w:t>
      </w:r>
      <w:r>
        <w:rPr/>
        <w:t>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合并财务报表》。该变更对财务报表无重大影响。</w:t>
      </w:r>
    </w:p>
    <w:p>
      <w:pPr>
        <w:pStyle w:val="BodyText"/>
        <w:spacing w:line="386" w:lineRule="auto" w:before="35"/>
        <w:ind w:right="151" w:firstLine="480"/>
        <w:jc w:val="both"/>
      </w:pPr>
      <w:r>
        <w:rPr>
          <w:rFonts w:ascii="Times New Roman" w:hAnsi="Times New Roman" w:cs="Times New Roman" w:eastAsia="Times New Roman" w:hint="default"/>
          <w:spacing w:val="-1"/>
        </w:rPr>
        <w:t>5</w:t>
      </w:r>
      <w:r>
        <w:rPr>
          <w:spacing w:val="-1"/>
        </w:rPr>
        <w:t>、公司根据《关于印发</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40</w:t>
      </w:r>
      <w:r>
        <w:rPr>
          <w:spacing w:val="-1"/>
        </w:rPr>
        <w:t>号</w:t>
      </w:r>
      <w:r>
        <w:rPr>
          <w:rFonts w:ascii="Times New Roman" w:hAnsi="Times New Roman" w:cs="Times New Roman" w:eastAsia="Times New Roman" w:hint="default"/>
          <w:spacing w:val="-1"/>
        </w:rPr>
        <w:t>-</w:t>
      </w:r>
      <w:r>
        <w:rPr>
          <w:spacing w:val="-1"/>
        </w:rPr>
        <w:t>合营安排</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[2014]11</w:t>
      </w:r>
      <w:r>
        <w:rPr>
          <w:spacing w:val="-1"/>
        </w:rPr>
        <w:t>号），执行《企业</w:t>
      </w:r>
      <w:r>
        <w:rPr/>
        <w:t> 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合营安排》。该变更对财务报表无重大影响。</w:t>
      </w:r>
    </w:p>
    <w:p>
      <w:pPr>
        <w:pStyle w:val="BodyText"/>
        <w:spacing w:line="393" w:lineRule="auto" w:before="35"/>
        <w:ind w:left="153" w:right="145" w:firstLine="480"/>
        <w:jc w:val="both"/>
      </w:pPr>
      <w:r>
        <w:rPr>
          <w:rFonts w:ascii="Times New Roman" w:hAnsi="Times New Roman" w:cs="Times New Roman" w:eastAsia="Times New Roman" w:hint="default"/>
        </w:rPr>
        <w:t>6</w:t>
      </w:r>
      <w:r>
        <w:rPr/>
        <w:t>、公司根据《关于印发修订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[2014]14</w:t>
      </w:r>
      <w:r>
        <w:rPr/>
        <w:t>号），执</w:t>
      </w:r>
      <w:r>
        <w:rPr>
          <w:spacing w:val="2"/>
        </w:rPr>
        <w:t> </w:t>
      </w:r>
      <w:r>
        <w:rPr/>
        <w:t>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长期股权投资》。对持有的不具有控制、共同控制、重大影响，且其公允价值不</w:t>
      </w:r>
      <w:r>
        <w:rPr>
          <w:spacing w:val="-98"/>
        </w:rPr>
        <w:t> </w:t>
      </w:r>
      <w:r>
        <w:rPr>
          <w:spacing w:val="-98"/>
        </w:rPr>
      </w:r>
      <w:r>
        <w:rPr>
          <w:spacing w:val="-1"/>
        </w:rPr>
        <w:t>能可靠计量的股权投资，作为按成本计量的可供出售金融资产进行核算，不作为长期股权投资核算，并对</w:t>
      </w:r>
      <w:r>
        <w:rPr>
          <w:spacing w:val="-83"/>
        </w:rPr>
        <w:t> </w:t>
      </w:r>
      <w:r>
        <w:rPr>
          <w:spacing w:val="-83"/>
        </w:rPr>
      </w:r>
      <w:r>
        <w:rPr/>
        <w:t>其采用追溯调整法进行调整。具体调整事项如下：</w:t>
      </w:r>
    </w:p>
    <w:tbl>
      <w:tblPr>
        <w:tblW w:w="0" w:type="auto"/>
        <w:jc w:val="left"/>
        <w:tblInd w:w="146" w:type="dxa"/>
        <w:tblLayout w:type="fixed"/>
        <w:tblCellMar>
          <w:top w:w="0" w:type="dxa"/>
          <w:left w:w="0" w:type="dxa"/>
          <w:bottom w:w="0" w:type="dxa"/>
          <w:right w:w="0" w:type="dxa"/>
        </w:tblCellMar>
        <w:tblLook w:val="01E0"/>
      </w:tblPr>
      <w:tblGrid>
        <w:gridCol w:w="2130"/>
        <w:gridCol w:w="2130"/>
        <w:gridCol w:w="2131"/>
        <w:gridCol w:w="2131"/>
      </w:tblGrid>
      <w:tr>
        <w:trPr>
          <w:trHeight w:val="342" w:hRule="exact"/>
        </w:trPr>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调整内容</w:t>
            </w:r>
          </w:p>
        </w:tc>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426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6" w:hRule="exact"/>
        </w:trPr>
        <w:tc>
          <w:tcPr>
            <w:tcW w:w="2130" w:type="dxa"/>
            <w:vMerge/>
            <w:tcBorders>
              <w:left w:val="single" w:sz="6" w:space="0" w:color="000000"/>
              <w:bottom w:val="single" w:sz="6" w:space="0" w:color="000000"/>
              <w:right w:val="single" w:sz="6" w:space="0" w:color="000000"/>
            </w:tcBorders>
            <w:shd w:val="clear" w:color="auto" w:fill="D9D9D9"/>
          </w:tcPr>
          <w:p>
            <w:pPr/>
          </w:p>
        </w:tc>
        <w:tc>
          <w:tcPr>
            <w:tcW w:w="2130" w:type="dxa"/>
            <w:vMerge/>
            <w:tcBorders>
              <w:left w:val="single" w:sz="6" w:space="0" w:color="000000"/>
              <w:bottom w:val="single" w:sz="6" w:space="0" w:color="000000"/>
              <w:right w:val="single" w:sz="6" w:space="0" w:color="000000"/>
            </w:tcBorders>
            <w:shd w:val="clear" w:color="auto" w:fill="D9D9D9"/>
          </w:tcPr>
          <w:p>
            <w:pPr/>
          </w:p>
        </w:tc>
        <w:tc>
          <w:tcPr>
            <w:tcW w:w="2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7" w:hRule="exact"/>
        </w:trPr>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309" w:lineRule="auto" w:before="21"/>
              <w:ind w:left="2" w:right="-11"/>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将在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长期股权投资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凯</w:t>
            </w:r>
            <w:r>
              <w:rPr>
                <w:rFonts w:ascii="宋体" w:hAnsi="宋体" w:cs="宋体" w:eastAsia="宋体" w:hint="default"/>
                <w:spacing w:val="-83"/>
                <w:sz w:val="18"/>
                <w:szCs w:val="18"/>
              </w:rPr>
              <w:t> </w:t>
            </w:r>
            <w:r>
              <w:rPr>
                <w:rFonts w:ascii="宋体" w:hAnsi="宋体" w:cs="宋体" w:eastAsia="宋体" w:hint="default"/>
                <w:spacing w:val="12"/>
                <w:sz w:val="18"/>
                <w:szCs w:val="18"/>
              </w:rPr>
              <w:t>里智慧城市通卡管理有限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2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1"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1,444,983.34</w:t>
            </w:r>
          </w:p>
        </w:tc>
        <w:tc>
          <w:tcPr>
            <w:tcW w:w="213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1,444,983.34</w:t>
            </w:r>
          </w:p>
        </w:tc>
      </w:tr>
      <w:tr>
        <w:trPr>
          <w:trHeight w:val="625" w:hRule="exact"/>
        </w:trPr>
        <w:tc>
          <w:tcPr>
            <w:tcW w:w="2130" w:type="dxa"/>
            <w:vMerge/>
            <w:tcBorders>
              <w:left w:val="single" w:sz="6" w:space="0" w:color="000000"/>
              <w:bottom w:val="single" w:sz="6" w:space="0" w:color="000000"/>
              <w:right w:val="single" w:sz="6" w:space="0" w:color="000000"/>
            </w:tcBorders>
            <w:shd w:val="clear" w:color="auto" w:fill="D9D9D9"/>
          </w:tcPr>
          <w:p>
            <w:pPr/>
          </w:p>
        </w:tc>
        <w:tc>
          <w:tcPr>
            <w:tcW w:w="2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-1,444,983.34</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-1,444,983.34</w:t>
            </w:r>
          </w:p>
        </w:tc>
      </w:tr>
      <w:tr>
        <w:trPr>
          <w:trHeight w:val="347" w:hRule="exact"/>
        </w:trPr>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300" w:lineRule="auto" w:before="38"/>
              <w:ind w:left="2"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将在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长期股权投资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w:t>
            </w:r>
            <w:r>
              <w:rPr>
                <w:rFonts w:ascii="宋体" w:hAnsi="宋体" w:cs="宋体" w:eastAsia="宋体" w:hint="default"/>
                <w:spacing w:val="-83"/>
                <w:sz w:val="18"/>
                <w:szCs w:val="18"/>
              </w:rPr>
              <w:t> </w:t>
            </w:r>
            <w:r>
              <w:rPr>
                <w:rFonts w:ascii="宋体" w:hAnsi="宋体" w:cs="宋体" w:eastAsia="宋体" w:hint="default"/>
                <w:sz w:val="18"/>
                <w:szCs w:val="18"/>
              </w:rPr>
              <w:t>海微令信息科技有限公司</w:t>
            </w:r>
            <w:r>
              <w:rPr>
                <w:rFonts w:ascii="Times New Roman" w:hAnsi="Times New Roman" w:cs="Times New Roman" w:eastAsia="Times New Roman" w:hint="default"/>
                <w:sz w:val="18"/>
                <w:szCs w:val="18"/>
              </w:rPr>
              <w:t>”</w:t>
            </w:r>
          </w:p>
        </w:tc>
        <w:tc>
          <w:tcPr>
            <w:tcW w:w="2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3,000,000</w:t>
            </w:r>
          </w:p>
        </w:tc>
      </w:tr>
      <w:tr>
        <w:trPr>
          <w:trHeight w:val="333" w:hRule="exact"/>
        </w:trPr>
        <w:tc>
          <w:tcPr>
            <w:tcW w:w="2130" w:type="dxa"/>
            <w:vMerge/>
            <w:tcBorders>
              <w:left w:val="single" w:sz="6" w:space="0" w:color="000000"/>
              <w:bottom w:val="single" w:sz="6" w:space="0" w:color="000000"/>
              <w:right w:val="single" w:sz="6" w:space="0" w:color="000000"/>
            </w:tcBorders>
            <w:shd w:val="clear" w:color="auto" w:fill="D9D9D9"/>
          </w:tcPr>
          <w:p>
            <w:pPr/>
          </w:p>
        </w:tc>
        <w:tc>
          <w:tcPr>
            <w:tcW w:w="2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-3,000,000</w:t>
            </w:r>
          </w:p>
        </w:tc>
      </w:tr>
    </w:tbl>
    <w:p>
      <w:pPr>
        <w:pStyle w:val="BodyText"/>
        <w:spacing w:line="386" w:lineRule="auto" w:before="77"/>
        <w:ind w:right="142" w:firstLine="480"/>
        <w:jc w:val="left"/>
      </w:pPr>
      <w:r>
        <w:rPr>
          <w:spacing w:val="-2"/>
        </w:rPr>
        <w:t>上述会计政策变更，仅对可供出售金融资产和长期股权投资两个报表项目金额产生影响，对公司</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年度及</w:t>
      </w:r>
      <w:r>
        <w:rPr>
          <w:rFonts w:ascii="Times New Roman" w:hAnsi="Times New Roman" w:cs="Times New Roman" w:eastAsia="Times New Roman" w:hint="default"/>
        </w:rPr>
        <w:t>2014</w:t>
      </w:r>
      <w:r>
        <w:rPr/>
        <w:t>年第三季度财务状况、经营成果不产生影响，对合并财务报表不产生重大影响。</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153" w:right="104" w:firstLine="480"/>
        <w:jc w:val="left"/>
      </w:pPr>
      <w:r>
        <w:rPr>
          <w:rFonts w:ascii="Times New Roman" w:hAnsi="Times New Roman" w:cs="Times New Roman" w:eastAsia="Times New Roman" w:hint="default"/>
          <w:spacing w:val="-7"/>
        </w:rPr>
        <w:t>7</w:t>
      </w:r>
      <w:r>
        <w:rPr>
          <w:spacing w:val="-7"/>
        </w:rPr>
        <w:t>、公司根据《关于印发</w:t>
      </w:r>
      <w:r>
        <w:rPr>
          <w:rFonts w:ascii="Times New Roman" w:hAnsi="Times New Roman" w:cs="Times New Roman" w:eastAsia="Times New Roman" w:hint="default"/>
          <w:spacing w:val="-7"/>
        </w:rPr>
        <w:t>&lt;</w:t>
      </w:r>
      <w:r>
        <w:rPr>
          <w:spacing w:val="-7"/>
        </w:rPr>
        <w:t>企业会计准则第</w:t>
      </w:r>
      <w:r>
        <w:rPr>
          <w:rFonts w:ascii="Times New Roman" w:hAnsi="Times New Roman" w:cs="Times New Roman" w:eastAsia="Times New Roman" w:hint="default"/>
          <w:spacing w:val="-7"/>
        </w:rPr>
        <w:t>41</w:t>
      </w:r>
      <w:r>
        <w:rPr>
          <w:spacing w:val="-7"/>
        </w:rPr>
        <w:t>号</w:t>
      </w:r>
      <w:r>
        <w:rPr>
          <w:rFonts w:ascii="Times New Roman" w:hAnsi="Times New Roman" w:cs="Times New Roman" w:eastAsia="Times New Roman" w:hint="default"/>
          <w:spacing w:val="-7"/>
        </w:rPr>
        <w:t>-</w:t>
      </w:r>
      <w:r>
        <w:rPr>
          <w:spacing w:val="-7"/>
        </w:rPr>
        <w:t>在其他主体中权益的披露</w:t>
      </w:r>
      <w:r>
        <w:rPr>
          <w:rFonts w:ascii="Times New Roman" w:hAnsi="Times New Roman" w:cs="Times New Roman" w:eastAsia="Times New Roman" w:hint="default"/>
          <w:spacing w:val="-7"/>
        </w:rPr>
        <w:t>&gt;</w:t>
      </w:r>
      <w:r>
        <w:rPr>
          <w:spacing w:val="-7"/>
        </w:rPr>
        <w:t>的通知》（财会</w:t>
      </w:r>
      <w:r>
        <w:rPr>
          <w:rFonts w:ascii="Times New Roman" w:hAnsi="Times New Roman" w:cs="Times New Roman" w:eastAsia="Times New Roman" w:hint="default"/>
          <w:spacing w:val="-7"/>
        </w:rPr>
        <w:t>[2014]16</w:t>
      </w:r>
      <w:r>
        <w:rPr>
          <w:spacing w:val="-7"/>
        </w:rPr>
        <w:t>号），</w:t>
      </w:r>
      <w:r>
        <w:rPr/>
        <w:t> 执行《企业会计准则第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在其他主体中权益的披露》。该变更对财务报表无重大影响。</w:t>
      </w:r>
    </w:p>
    <w:p>
      <w:pPr>
        <w:pStyle w:val="BodyText"/>
        <w:spacing w:line="386" w:lineRule="auto" w:before="35"/>
        <w:ind w:left="153" w:right="211" w:firstLine="480"/>
        <w:jc w:val="left"/>
      </w:pPr>
      <w:r>
        <w:rPr>
          <w:rFonts w:ascii="Times New Roman" w:hAnsi="Times New Roman" w:cs="Times New Roman" w:eastAsia="Times New Roman" w:hint="default"/>
          <w:spacing w:val="-1"/>
        </w:rPr>
        <w:t>8</w:t>
      </w:r>
      <w:r>
        <w:rPr>
          <w:spacing w:val="-1"/>
        </w:rPr>
        <w:t>、公司根据《关于印发修订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[2014]23</w:t>
      </w:r>
      <w:r>
        <w:rPr>
          <w:spacing w:val="-1"/>
        </w:rPr>
        <w:t>号），执</w:t>
      </w:r>
      <w:r>
        <w:rPr>
          <w:spacing w:val="-2"/>
        </w:rPr>
        <w:t> </w:t>
      </w:r>
      <w:r>
        <w:rPr/>
        <w:t>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金融工具列报》。该变更对财务报表无重大影响。</w:t>
      </w:r>
    </w:p>
    <w:p>
      <w:pPr>
        <w:spacing w:line="240" w:lineRule="auto" w:before="0"/>
        <w:rPr>
          <w:rFonts w:ascii="宋体" w:hAnsi="宋体" w:cs="宋体" w:eastAsia="宋体" w:hint="default"/>
          <w:sz w:val="18"/>
          <w:szCs w:val="18"/>
        </w:rPr>
      </w:pPr>
    </w:p>
    <w:p>
      <w:pPr>
        <w:pStyle w:val="Heading2"/>
        <w:spacing w:line="240" w:lineRule="auto"/>
        <w:ind w:right="532"/>
        <w:jc w:val="left"/>
        <w:rPr>
          <w:b w:val="0"/>
          <w:bCs w:val="0"/>
        </w:rPr>
      </w:pP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4" w:right="532"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before="116"/>
        <w:ind w:left="153"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8" w:lineRule="auto" w:before="155"/>
        <w:ind w:right="104" w:firstLine="420"/>
        <w:jc w:val="left"/>
      </w:pPr>
      <w:r>
        <w:rPr/>
        <w:t>（一）公司重视对投资者的合理投资回报，根据自身的财务结构、盈利能力和未来的投资、融资发展 规划实施积极的利润分配办法，保持利润分配政策的持续性和稳定性。根据中国证监会《上市公司监管指 </w:t>
      </w:r>
      <w:r>
        <w:rPr>
          <w:spacing w:val="-2"/>
        </w:rPr>
        <w:t>引第</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上市公司现金分红》的文件精神，公司已于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20</w:t>
      </w:r>
      <w:r>
        <w:rPr>
          <w:spacing w:val="-2"/>
        </w:rPr>
        <w:t>日召开第二届董事会第二十三次会议审议</w:t>
      </w:r>
      <w:r>
        <w:rPr>
          <w:spacing w:val="-102"/>
        </w:rPr>
        <w:t> </w:t>
      </w:r>
      <w:r>
        <w:rPr/>
        <w:t>通过了《关于修改郑州新开普电子股份有限公司利润分配政策的议案》、《关于修改</w:t>
      </w:r>
      <w:r>
        <w:rPr>
          <w:rFonts w:ascii="Times New Roman" w:hAnsi="Times New Roman" w:cs="Times New Roman" w:eastAsia="Times New Roman" w:hint="default"/>
        </w:rPr>
        <w:t>&lt;</w:t>
      </w:r>
      <w:r>
        <w:rPr/>
        <w:t>郑州新开普电子股 份有限公司章程</w:t>
      </w:r>
      <w:r>
        <w:rPr>
          <w:rFonts w:ascii="Times New Roman" w:hAnsi="Times New Roman" w:cs="Times New Roman" w:eastAsia="Times New Roman" w:hint="default"/>
        </w:rPr>
        <w:t>&gt;</w:t>
      </w:r>
      <w:r>
        <w:rPr/>
        <w:t>的议案》，对公司利润分配政策进一步完善。完善后的公司利润分配政策进一步明确了 </w:t>
      </w:r>
      <w:r>
        <w:rPr>
          <w:spacing w:val="-3"/>
        </w:rPr>
        <w:t>现金分红政策的具体内容，利润分配的形式，利润分配尤其是现金分红的期间间隔，现金分红的具体条件，</w:t>
      </w:r>
      <w:r>
        <w:rPr>
          <w:spacing w:val="-90"/>
        </w:rPr>
        <w:t> </w:t>
      </w:r>
      <w:r>
        <w:rPr>
          <w:spacing w:val="-90"/>
        </w:rPr>
      </w:r>
      <w:r>
        <w:rPr/>
        <w:t>发放股票股利的条件，各期现金分红最低金额或比例等。公司独立董事、监事会均已发表了明确意见，同</w:t>
      </w:r>
      <w:r>
        <w:rPr/>
        <w:t> 意公司本次修改利润分配政策。</w:t>
      </w:r>
    </w:p>
    <w:p>
      <w:pPr>
        <w:pStyle w:val="BodyText"/>
        <w:spacing w:line="441" w:lineRule="auto" w:before="94"/>
        <w:ind w:left="574" w:right="95"/>
        <w:jc w:val="left"/>
      </w:pPr>
      <w:r>
        <w:rPr/>
        <w:t>最新修订的利润分配政策如下： </w:t>
      </w:r>
      <w:r>
        <w:rPr>
          <w:spacing w:val="-1"/>
        </w:rPr>
        <w:t>“公司的利润分配政策应重视对投资者的合理投资回报，利润分配政策将保持连续性和稳定性。公司</w:t>
      </w:r>
    </w:p>
    <w:p>
      <w:pPr>
        <w:pStyle w:val="BodyText"/>
        <w:spacing w:line="444" w:lineRule="auto" w:before="18"/>
        <w:ind w:left="574" w:right="2900" w:hanging="420"/>
        <w:jc w:val="left"/>
      </w:pPr>
      <w:r>
        <w:rPr/>
        <w:t>的利润分配不得超过累计可分配利润的范围，不得损害公司持续经营能力。 公司的利润分配政策为：</w:t>
      </w:r>
    </w:p>
    <w:p>
      <w:pPr>
        <w:pStyle w:val="BodyText"/>
        <w:spacing w:line="240" w:lineRule="auto" w:before="54"/>
        <w:ind w:left="574" w:right="532"/>
        <w:jc w:val="left"/>
      </w:pPr>
      <w:r>
        <w:rPr/>
        <w:t>（一）公司可以采取现金或者股票股利方式分配股利，可以进行中期现金分红；</w:t>
      </w:r>
    </w:p>
    <w:p>
      <w:pPr>
        <w:spacing w:line="240" w:lineRule="auto" w:before="9"/>
        <w:rPr>
          <w:rFonts w:ascii="宋体" w:hAnsi="宋体" w:cs="宋体" w:eastAsia="宋体" w:hint="default"/>
          <w:sz w:val="17"/>
          <w:szCs w:val="17"/>
        </w:rPr>
      </w:pPr>
    </w:p>
    <w:p>
      <w:pPr>
        <w:pStyle w:val="BodyText"/>
        <w:spacing w:line="398" w:lineRule="auto" w:before="0"/>
        <w:ind w:right="209" w:firstLine="420"/>
        <w:jc w:val="both"/>
      </w:pPr>
      <w:r>
        <w:rPr>
          <w:spacing w:val="-1"/>
        </w:rPr>
        <w:t>（二）在满足公司正常生产经营的资金需求的前提下，公司每年以现金方式分配的利润不少于当年实</w:t>
      </w:r>
      <w:r>
        <w:rPr/>
        <w:t> 现的可分配利润的</w:t>
      </w:r>
      <w:r>
        <w:rPr>
          <w:rFonts w:ascii="Times New Roman" w:hAnsi="Times New Roman" w:cs="Times New Roman" w:eastAsia="Times New Roman" w:hint="default"/>
        </w:rPr>
        <w:t>10%</w:t>
      </w:r>
      <w:r>
        <w:rPr/>
        <w:t>；对于公司当年的利润分配计划，公司董事会应当在定期报告中披露当年未分配利 润的使用计划、安排或原则。</w:t>
      </w:r>
    </w:p>
    <w:p>
      <w:pPr>
        <w:pStyle w:val="BodyText"/>
        <w:spacing w:line="400" w:lineRule="auto" w:before="94"/>
        <w:ind w:right="209" w:firstLine="420"/>
        <w:jc w:val="both"/>
      </w:pPr>
      <w:r>
        <w:rPr/>
        <w:t>公司董事会未做出年度现金利润分配预案或年度现金利润分配比例不足</w:t>
      </w:r>
      <w:r>
        <w:rPr>
          <w:rFonts w:ascii="Times New Roman" w:hAnsi="Times New Roman" w:cs="Times New Roman" w:eastAsia="Times New Roman" w:hint="default"/>
        </w:rPr>
        <w:t>10%</w:t>
      </w:r>
      <w:r>
        <w:rPr/>
        <w:t>的，应当在定期报告中披 </w:t>
      </w:r>
      <w:r>
        <w:rPr>
          <w:spacing w:val="-1"/>
        </w:rPr>
        <w:t>露原因、公司留存资金的使用计划和安排，该等年度现金利润分配方案须经董事会审议、监事会审核后提</w:t>
      </w:r>
      <w:r>
        <w:rPr>
          <w:spacing w:val="-83"/>
        </w:rPr>
        <w:t> </w:t>
      </w:r>
      <w:r>
        <w:rPr>
          <w:spacing w:val="-83"/>
        </w:rPr>
      </w:r>
      <w:r>
        <w:rPr>
          <w:spacing w:val="-1"/>
        </w:rPr>
        <w:t>交股东大会审议；股东大会审议该等年度现金利润分配方案时，公司应当提供网络投票表决方式为公众股</w:t>
      </w:r>
      <w:r>
        <w:rPr>
          <w:spacing w:val="-81"/>
        </w:rPr>
        <w:t> </w:t>
      </w:r>
      <w:r>
        <w:rPr>
          <w:spacing w:val="-81"/>
        </w:rPr>
      </w:r>
      <w:r>
        <w:rPr/>
        <w:t>东参加股东大会提供便利；对于该等年度现金利润分配方案，独立董事应当发表独立意见；</w:t>
      </w:r>
    </w:p>
    <w:p>
      <w:pPr>
        <w:pStyle w:val="BodyText"/>
        <w:spacing w:line="240" w:lineRule="auto" w:before="91"/>
        <w:ind w:left="574" w:right="95"/>
        <w:jc w:val="left"/>
      </w:pPr>
      <w:r>
        <w:rPr/>
        <w:t>（三）具备现金分红条件的，应当采用现金分红进行利润分配。若公司营业收入快速增长，并且董事</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10" w:lineRule="auto" w:before="35"/>
        <w:ind w:right="151"/>
        <w:jc w:val="both"/>
      </w:pPr>
      <w:r>
        <w:rPr>
          <w:spacing w:val="-1"/>
        </w:rPr>
        <w:t>会认为公司股票价格与公司股本规模不匹配时，可以在满足上述现金股利分配之余，提出实施股票股利分</w:t>
      </w:r>
      <w:r>
        <w:rPr>
          <w:spacing w:val="-81"/>
        </w:rPr>
        <w:t> </w:t>
      </w:r>
      <w:r>
        <w:rPr>
          <w:spacing w:val="-81"/>
        </w:rPr>
      </w:r>
      <w:r>
        <w:rPr>
          <w:spacing w:val="-1"/>
        </w:rPr>
        <w:t>配预案，具体方案需经公司董事会审议后提交公司股东大会批准。采用股票股利进行利润分配的，应当具</w:t>
      </w:r>
      <w:r>
        <w:rPr>
          <w:spacing w:val="-83"/>
        </w:rPr>
        <w:t> </w:t>
      </w:r>
      <w:r>
        <w:rPr>
          <w:spacing w:val="-83"/>
        </w:rPr>
      </w:r>
      <w:r>
        <w:rPr/>
        <w:t>有公司成长性、每股净资产的摊薄等真实合理因素。</w:t>
      </w:r>
    </w:p>
    <w:p>
      <w:pPr>
        <w:pStyle w:val="BodyText"/>
        <w:spacing w:line="410" w:lineRule="auto" w:before="82"/>
        <w:ind w:left="153" w:right="0" w:firstLine="420"/>
        <w:jc w:val="left"/>
      </w:pPr>
      <w:r>
        <w:rPr>
          <w:spacing w:val="-1"/>
        </w:rPr>
        <w:t>公司董事会应当综合考虑所处行业特点、发展阶段、自身经营模式、盈利水平以及是否有重大资金支</w:t>
      </w:r>
      <w:r>
        <w:rPr/>
        <w:t> 出安排等因素，区分下列情形，并按照本章程规定的程序，提出差异化的现金分红政策：</w:t>
      </w:r>
    </w:p>
    <w:p>
      <w:pPr>
        <w:pStyle w:val="BodyText"/>
        <w:spacing w:line="386" w:lineRule="auto" w:before="83"/>
        <w:ind w:left="153" w:right="216" w:firstLine="420"/>
        <w:jc w:val="left"/>
      </w:pPr>
      <w:r>
        <w:rPr>
          <w:rFonts w:ascii="Times New Roman" w:hAnsi="Times New Roman" w:cs="Times New Roman" w:eastAsia="Times New Roman" w:hint="default"/>
        </w:rPr>
        <w:t>1</w:t>
      </w:r>
      <w:r>
        <w:rPr/>
        <w:t>、公司发展阶段属成熟期且无重大资金支出安排的，进行利润分配时，现金分红在本次利润分配中 所占比例最低应达到</w:t>
      </w:r>
      <w:r>
        <w:rPr>
          <w:rFonts w:ascii="Times New Roman" w:hAnsi="Times New Roman" w:cs="Times New Roman" w:eastAsia="Times New Roman" w:hint="default"/>
        </w:rPr>
        <w:t>80%</w:t>
      </w:r>
      <w:r>
        <w:rPr/>
        <w:t>；</w:t>
      </w:r>
    </w:p>
    <w:p>
      <w:pPr>
        <w:pStyle w:val="BodyText"/>
        <w:spacing w:line="386" w:lineRule="auto" w:before="74"/>
        <w:ind w:left="153" w:right="216" w:firstLine="420"/>
        <w:jc w:val="left"/>
      </w:pPr>
      <w:r>
        <w:rPr>
          <w:rFonts w:ascii="Times New Roman" w:hAnsi="Times New Roman" w:cs="Times New Roman" w:eastAsia="Times New Roman" w:hint="default"/>
        </w:rPr>
        <w:t>2</w:t>
      </w:r>
      <w:r>
        <w:rPr/>
        <w:t>、公司发展阶段属成熟期且有重大资金支出安排的，进行利润分配时，现金分红在本次利润分配中 所占比例最低应达到</w:t>
      </w:r>
      <w:r>
        <w:rPr>
          <w:rFonts w:ascii="Times New Roman" w:hAnsi="Times New Roman" w:cs="Times New Roman" w:eastAsia="Times New Roman" w:hint="default"/>
        </w:rPr>
        <w:t>40%</w:t>
      </w:r>
      <w:r>
        <w:rPr/>
        <w:t>；</w:t>
      </w:r>
    </w:p>
    <w:p>
      <w:pPr>
        <w:pStyle w:val="BodyText"/>
        <w:spacing w:line="386" w:lineRule="auto" w:before="74"/>
        <w:ind w:left="153" w:right="216" w:firstLine="420"/>
        <w:jc w:val="left"/>
      </w:pPr>
      <w:r>
        <w:rPr>
          <w:rFonts w:ascii="Times New Roman" w:hAnsi="Times New Roman" w:cs="Times New Roman" w:eastAsia="Times New Roman" w:hint="default"/>
        </w:rPr>
        <w:t>3</w:t>
      </w:r>
      <w:r>
        <w:rPr/>
        <w:t>、公司发展阶段属成长期且有重大资金支出安排的，进行利润分配时，现金分红在本次利润分配中 所占比例最低应达到</w:t>
      </w:r>
      <w:r>
        <w:rPr>
          <w:rFonts w:ascii="Times New Roman" w:hAnsi="Times New Roman" w:cs="Times New Roman" w:eastAsia="Times New Roman" w:hint="default"/>
        </w:rPr>
        <w:t>20%</w:t>
      </w:r>
      <w:r>
        <w:rPr/>
        <w:t>；</w:t>
      </w:r>
    </w:p>
    <w:p>
      <w:pPr>
        <w:pStyle w:val="BodyText"/>
        <w:spacing w:line="441" w:lineRule="auto" w:before="76"/>
        <w:ind w:left="573" w:right="0"/>
        <w:jc w:val="left"/>
      </w:pPr>
      <w:r>
        <w:rPr/>
        <w:t>公司发展阶段不易区分但有重大资金支出安排的，可以按照前项规定处理。 </w:t>
      </w:r>
      <w:r>
        <w:rPr>
          <w:spacing w:val="-1"/>
        </w:rPr>
        <w:t>公司的利润分配政策经董事会审议、监事会审核后，报股东大会表决通过。公司制定各期利润分配的</w:t>
      </w:r>
    </w:p>
    <w:p>
      <w:pPr>
        <w:pStyle w:val="BodyText"/>
        <w:spacing w:line="408" w:lineRule="auto" w:before="17"/>
        <w:ind w:left="153" w:right="151"/>
        <w:jc w:val="both"/>
      </w:pPr>
      <w:r>
        <w:rPr>
          <w:spacing w:val="-1"/>
        </w:rPr>
        <w:t>具体规划和计划安排，以及调整规划或计划安排时，应按照有关法律、行政法规、部门规章及本章程的规</w:t>
      </w:r>
      <w:r>
        <w:rPr>
          <w:spacing w:val="-82"/>
        </w:rPr>
        <w:t> </w:t>
      </w:r>
      <w:r>
        <w:rPr>
          <w:spacing w:val="-82"/>
        </w:rPr>
      </w:r>
      <w:r>
        <w:rPr>
          <w:spacing w:val="-1"/>
        </w:rPr>
        <w:t>定，并充分听取独立董事、外部监事和公众股东的意见；公司在制定现金分红具体方案时，董事会应当认</w:t>
      </w:r>
      <w:r>
        <w:rPr>
          <w:spacing w:val="-82"/>
        </w:rPr>
        <w:t> </w:t>
      </w:r>
      <w:r>
        <w:rPr>
          <w:spacing w:val="-82"/>
        </w:rPr>
      </w:r>
      <w:r>
        <w:rPr>
          <w:spacing w:val="-1"/>
        </w:rPr>
        <w:t>真研究和论证公司现金分红的时机、条件和最低比例、调整的条件及其决策程序要求等事宜，独立董事应</w:t>
      </w:r>
      <w:r>
        <w:rPr>
          <w:spacing w:val="-83"/>
        </w:rPr>
        <w:t> </w:t>
      </w:r>
      <w:r>
        <w:rPr>
          <w:spacing w:val="-83"/>
        </w:rPr>
      </w:r>
      <w:r>
        <w:rPr>
          <w:spacing w:val="-1"/>
        </w:rPr>
        <w:t>当发表明确意见。独立董事可以征集中小股东的意见，提出分红提案，并直接提交董事会审议。股东大会</w:t>
      </w:r>
      <w:r>
        <w:rPr>
          <w:spacing w:val="-82"/>
        </w:rPr>
        <w:t> </w:t>
      </w:r>
      <w:r>
        <w:rPr>
          <w:spacing w:val="-82"/>
        </w:rPr>
      </w:r>
      <w:r>
        <w:rPr>
          <w:spacing w:val="-1"/>
        </w:rPr>
        <w:t>对现金分红具体方案进行审议前，公司应当通过多种渠道主动与股东特别是中小股东进行沟通和交流，充</w:t>
      </w:r>
      <w:r>
        <w:rPr>
          <w:spacing w:val="-81"/>
        </w:rPr>
        <w:t> </w:t>
      </w:r>
      <w:r>
        <w:rPr>
          <w:spacing w:val="-81"/>
        </w:rPr>
      </w:r>
      <w:r>
        <w:rPr/>
        <w:t>分听取中小股东的意见和诉求，及时答复中小股东关心的问题。</w:t>
      </w:r>
    </w:p>
    <w:p>
      <w:pPr>
        <w:pStyle w:val="BodyText"/>
        <w:spacing w:line="405" w:lineRule="auto" w:before="84"/>
        <w:ind w:left="153" w:right="0" w:firstLine="420"/>
        <w:jc w:val="left"/>
      </w:pPr>
      <w:r>
        <w:rPr>
          <w:spacing w:val="-1"/>
        </w:rPr>
        <w:t>公司应当严格执行公司章程确定的现金分红政策以及股东大会审议批准的现金分红具体方案。确有必</w:t>
      </w:r>
      <w:r>
        <w:rPr/>
        <w:t> 要对公司章程确定的利润分配政策特别是现金分红政策进行调整或者变更的，应以股东权益保护为出发 </w:t>
      </w:r>
      <w:r>
        <w:rPr>
          <w:spacing w:val="-1"/>
        </w:rPr>
        <w:t>点，由公司董事会、监事会进行研究论证并在股东大会提案中详细论证和说明原因，经调整的利润分配政</w:t>
      </w:r>
      <w:r>
        <w:rPr>
          <w:spacing w:val="-83"/>
        </w:rPr>
        <w:t> </w:t>
      </w:r>
      <w:r>
        <w:rPr>
          <w:spacing w:val="-83"/>
        </w:rPr>
      </w:r>
      <w:r>
        <w:rPr>
          <w:spacing w:val="-1"/>
        </w:rPr>
        <w:t>策应当符合有关法律、行政法规、部门规章及本章程的规定并须经董事会审议、监事会审核后提交股东大</w:t>
      </w:r>
      <w:r>
        <w:rPr>
          <w:spacing w:val="-83"/>
        </w:rPr>
        <w:t> </w:t>
      </w:r>
      <w:r>
        <w:rPr>
          <w:spacing w:val="-83"/>
        </w:rPr>
      </w:r>
      <w:r>
        <w:rPr>
          <w:spacing w:val="-2"/>
        </w:rPr>
        <w:t>会审议，并经出席股东大会的股东所持表决权的</w:t>
      </w:r>
      <w:r>
        <w:rPr>
          <w:rFonts w:ascii="Times New Roman" w:hAnsi="Times New Roman" w:cs="Times New Roman" w:eastAsia="Times New Roman" w:hint="default"/>
          <w:spacing w:val="-2"/>
        </w:rPr>
        <w:t>2/3</w:t>
      </w:r>
      <w:r>
        <w:rPr>
          <w:spacing w:val="-2"/>
        </w:rPr>
        <w:t>以上通过。股东大会审议该等议案时，公司应当提供网</w:t>
      </w:r>
      <w:r>
        <w:rPr>
          <w:spacing w:val="-92"/>
        </w:rPr>
        <w:t> </w:t>
      </w:r>
      <w:r>
        <w:rPr>
          <w:spacing w:val="-92"/>
        </w:rPr>
      </w:r>
      <w:r>
        <w:rPr>
          <w:spacing w:val="-1"/>
        </w:rPr>
        <w:t>络投票表决方式为公众股东参加股东大会提供便利。对于公司利润分配政策的调整或者变更事项，独立董</w:t>
      </w:r>
      <w:r>
        <w:rPr>
          <w:spacing w:val="-81"/>
        </w:rPr>
        <w:t> </w:t>
      </w:r>
      <w:r>
        <w:rPr>
          <w:spacing w:val="-81"/>
        </w:rPr>
      </w:r>
      <w:r>
        <w:rPr/>
        <w:t>事应当发表独立意见。</w:t>
      </w:r>
    </w:p>
    <w:p>
      <w:pPr>
        <w:pStyle w:val="BodyText"/>
        <w:spacing w:line="427" w:lineRule="auto" w:before="88"/>
        <w:ind w:left="153" w:right="148" w:firstLine="420"/>
        <w:jc w:val="right"/>
      </w:pPr>
      <w:r>
        <w:rPr>
          <w:spacing w:val="-1"/>
        </w:rPr>
        <w:t>公司制定分红回报规划应当着眼于公司的长远和可持续发展，在综合分析企业经营发展实际、股东要</w:t>
      </w:r>
      <w:r>
        <w:rPr/>
        <w:t> </w:t>
      </w:r>
      <w:r>
        <w:rPr>
          <w:spacing w:val="-5"/>
        </w:rPr>
        <w:t>求和意愿、社会资金成本、外部融资环境等因素的基础上，建立对投资者持续、稳定、科学的回报机制。”</w:t>
      </w:r>
      <w:r>
        <w:rPr/>
        <w:t> 本次公司对利润分配政策的修改已经由</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日召开的公司</w:t>
      </w:r>
      <w:r>
        <w:rPr>
          <w:rFonts w:ascii="Times New Roman" w:hAnsi="Times New Roman" w:cs="Times New Roman" w:eastAsia="Times New Roman" w:hint="default"/>
        </w:rPr>
        <w:t>2014</w:t>
      </w:r>
      <w:r>
        <w:rPr/>
        <w:t>年第一次临时股东大会审议通</w:t>
      </w:r>
    </w:p>
    <w:p>
      <w:pPr>
        <w:spacing w:after="0" w:line="427" w:lineRule="auto"/>
        <w:jc w:val="righ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10" w:lineRule="auto" w:before="35"/>
        <w:ind w:right="151"/>
        <w:jc w:val="both"/>
      </w:pPr>
      <w:r>
        <w:rPr>
          <w:spacing w:val="-1"/>
        </w:rPr>
        <w:t>过。本次股东大会公司采取现场投票与网络投票相结合的表决方式，为中小投资者参与本次决策提供了充</w:t>
      </w:r>
      <w:r>
        <w:rPr>
          <w:spacing w:val="-81"/>
        </w:rPr>
        <w:t> </w:t>
      </w:r>
      <w:r>
        <w:rPr>
          <w:spacing w:val="-81"/>
        </w:rPr>
      </w:r>
      <w:r>
        <w:rPr/>
        <w:t>分的便利。</w:t>
      </w:r>
    </w:p>
    <w:p>
      <w:pPr>
        <w:pStyle w:val="BodyText"/>
        <w:spacing w:line="240" w:lineRule="auto" w:before="83"/>
        <w:ind w:left="574" w:right="0"/>
        <w:jc w:val="left"/>
      </w:pPr>
      <w:r>
        <w:rPr/>
        <w:t>（二）报告期内公司分红派息执行情况</w:t>
      </w:r>
    </w:p>
    <w:p>
      <w:pPr>
        <w:spacing w:line="240" w:lineRule="auto" w:before="10"/>
        <w:rPr>
          <w:rFonts w:ascii="宋体" w:hAnsi="宋体" w:cs="宋体" w:eastAsia="宋体" w:hint="default"/>
          <w:sz w:val="17"/>
          <w:szCs w:val="17"/>
        </w:rPr>
      </w:pPr>
    </w:p>
    <w:p>
      <w:pPr>
        <w:pStyle w:val="BodyText"/>
        <w:spacing w:line="240" w:lineRule="auto" w:before="0"/>
        <w:ind w:left="573" w:right="0"/>
        <w:jc w:val="left"/>
      </w:pPr>
      <w:r>
        <w:rPr>
          <w:rFonts w:ascii="Times New Roman" w:hAnsi="Times New Roman" w:cs="Times New Roman" w:eastAsia="Times New Roman" w:hint="default"/>
        </w:rPr>
        <w:t>1</w:t>
      </w:r>
      <w:r>
        <w:rPr/>
        <w:t>、经立信会计师事务所（特殊普通合伙）审计：公司</w:t>
      </w:r>
      <w:r>
        <w:rPr>
          <w:rFonts w:ascii="Times New Roman" w:hAnsi="Times New Roman" w:cs="Times New Roman" w:eastAsia="Times New Roman" w:hint="default"/>
        </w:rPr>
        <w:t>2013</w:t>
      </w:r>
      <w:r>
        <w:rPr/>
        <w:t>年度实现归属于上市公司股东的净利润为</w:t>
      </w:r>
    </w:p>
    <w:p>
      <w:pPr>
        <w:pStyle w:val="BodyText"/>
        <w:spacing w:line="386" w:lineRule="auto" w:before="177"/>
        <w:ind w:left="574" w:right="144" w:hanging="421"/>
        <w:jc w:val="left"/>
      </w:pPr>
      <w:r>
        <w:rPr>
          <w:rFonts w:ascii="Times New Roman" w:hAnsi="Times New Roman" w:cs="Times New Roman" w:eastAsia="Times New Roman" w:hint="default"/>
        </w:rPr>
        <w:t>24,696,036.39</w:t>
      </w:r>
      <w:r>
        <w:rPr/>
        <w:t>元，母公司实现的净利润为</w:t>
      </w:r>
      <w:r>
        <w:rPr>
          <w:rFonts w:ascii="Times New Roman" w:hAnsi="Times New Roman" w:cs="Times New Roman" w:eastAsia="Times New Roman" w:hint="default"/>
        </w:rPr>
        <w:t>26,895,407.84</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2,689,540.78</w:t>
      </w:r>
      <w:r>
        <w:rPr>
          <w:spacing w:val="-1"/>
        </w:rPr>
        <w:t>元作为法定公积金。截至</w:t>
      </w:r>
    </w:p>
    <w:p>
      <w:pPr>
        <w:pStyle w:val="BodyText"/>
        <w:spacing w:line="386" w:lineRule="auto" w:before="35"/>
        <w:ind w:left="574" w:right="110" w:hanging="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137,036,659.86</w:t>
      </w:r>
      <w:r>
        <w:rPr/>
        <w:t>元，资本公积余额为</w:t>
      </w:r>
      <w:r>
        <w:rPr>
          <w:rFonts w:ascii="Times New Roman" w:hAnsi="Times New Roman" w:cs="Times New Roman" w:eastAsia="Times New Roman" w:hint="default"/>
        </w:rPr>
        <w:t>259,989,044.44</w:t>
      </w:r>
      <w:r>
        <w:rPr/>
        <w:t>元。 考虑到公司未来业务发展需要，为使公司股本规模和经营规模相匹配，使公司的价值能够更加公允、</w:t>
      </w:r>
    </w:p>
    <w:p>
      <w:pPr>
        <w:pStyle w:val="BodyText"/>
        <w:spacing w:line="391" w:lineRule="auto" w:before="65"/>
        <w:ind w:right="146"/>
        <w:jc w:val="both"/>
      </w:pPr>
      <w:r>
        <w:rPr>
          <w:spacing w:val="-1"/>
        </w:rPr>
        <w:t>客观的体现，同时能为投资者提供更多的保障，从长远角度回报投资者，保护中小投资者的利益，使全体</w:t>
      </w:r>
      <w:r>
        <w:rPr>
          <w:spacing w:val="-82"/>
        </w:rPr>
        <w:t> </w:t>
      </w:r>
      <w:r>
        <w:rPr>
          <w:spacing w:val="-82"/>
        </w:rPr>
      </w:r>
      <w:r>
        <w:rPr/>
        <w:t>股东分享公司成长的经营成果，公司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日召开的第三届董事会第二次会议及第三届监事会第二</w:t>
      </w:r>
      <w:r>
        <w:rPr>
          <w:spacing w:val="-36"/>
        </w:rPr>
        <w:t> </w:t>
      </w:r>
      <w:r>
        <w:rPr>
          <w:spacing w:val="-36"/>
        </w:rPr>
      </w:r>
      <w:r>
        <w:rPr>
          <w:spacing w:val="-1"/>
        </w:rPr>
        <w:t>次会议分别审议通过了《关于审议郑州新开普电子股份有限公司</w:t>
      </w:r>
      <w:r>
        <w:rPr>
          <w:rFonts w:ascii="Times New Roman" w:hAnsi="Times New Roman" w:cs="Times New Roman" w:eastAsia="Times New Roman" w:hint="default"/>
          <w:spacing w:val="-1"/>
        </w:rPr>
        <w:t>2013</w:t>
      </w:r>
      <w:r>
        <w:rPr>
          <w:spacing w:val="-1"/>
        </w:rPr>
        <w:t>年度利润分配及资本公积金转增股本</w:t>
      </w:r>
      <w:r>
        <w:rPr>
          <w:spacing w:val="-81"/>
        </w:rPr>
        <w:t> </w:t>
      </w:r>
      <w:r>
        <w:rPr>
          <w:spacing w:val="-1"/>
        </w:rPr>
        <w:t>预案的议案》，拟定以截止</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89,200,000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34"/>
        </w:rPr>
        <w:t> </w:t>
      </w:r>
      <w:r>
        <w:rPr/>
        <w:t>元人民币（含税）；同时进行资本公积金转增股本，以公司总股本</w:t>
      </w:r>
      <w:r>
        <w:rPr>
          <w:rFonts w:ascii="Times New Roman" w:hAnsi="Times New Roman" w:cs="Times New Roman" w:eastAsia="Times New Roman" w:hint="default"/>
        </w:rPr>
        <w:t>89,200,000</w:t>
      </w:r>
      <w:r>
        <w:rPr/>
        <w:t>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股转增</w:t>
      </w:r>
      <w:r>
        <w:rPr>
          <w:rFonts w:ascii="Times New Roman" w:hAnsi="Times New Roman" w:cs="Times New Roman" w:eastAsia="Times New Roman" w:hint="default"/>
        </w:rPr>
        <w:t>6</w:t>
      </w:r>
      <w:r>
        <w:rPr/>
        <w:t>股，转增后公司总股本将增加至</w:t>
      </w:r>
      <w:r>
        <w:rPr>
          <w:rFonts w:ascii="Times New Roman" w:hAnsi="Times New Roman" w:cs="Times New Roman" w:eastAsia="Times New Roman" w:hint="default"/>
        </w:rPr>
        <w:t>142,720,000</w:t>
      </w:r>
      <w:r>
        <w:rPr/>
        <w:t>股。</w:t>
      </w:r>
    </w:p>
    <w:p>
      <w:pPr>
        <w:pStyle w:val="BodyText"/>
        <w:spacing w:line="400" w:lineRule="auto" w:before="30"/>
        <w:ind w:right="149" w:firstLine="420"/>
        <w:jc w:val="both"/>
      </w:pPr>
      <w:r>
        <w:rPr>
          <w:spacing w:val="-1"/>
        </w:rPr>
        <w:t>公司独立董事认为公司</w:t>
      </w:r>
      <w:r>
        <w:rPr>
          <w:rFonts w:ascii="Times New Roman" w:hAnsi="Times New Roman" w:cs="Times New Roman" w:eastAsia="Times New Roman" w:hint="default"/>
          <w:spacing w:val="-1"/>
        </w:rPr>
        <w:t>2013</w:t>
      </w:r>
      <w:r>
        <w:rPr>
          <w:spacing w:val="-1"/>
        </w:rPr>
        <w:t>年度利润分配及资本公积金转增股本预案符合公司实际情况，符合公司实</w:t>
      </w:r>
      <w:r>
        <w:rPr/>
        <w:t> </w:t>
      </w:r>
      <w:r>
        <w:rPr>
          <w:spacing w:val="-1"/>
        </w:rPr>
        <w:t>际开展业务和未来发展的需要，没有违反《公司法》和《公司章程》的有关规定，未损害公司股东尤其是</w:t>
      </w:r>
      <w:r>
        <w:rPr>
          <w:spacing w:val="-83"/>
        </w:rPr>
        <w:t> </w:t>
      </w:r>
      <w:r>
        <w:rPr>
          <w:spacing w:val="-83"/>
        </w:rPr>
      </w:r>
      <w:r>
        <w:rPr>
          <w:spacing w:val="-1"/>
        </w:rPr>
        <w:t>中小股东的利益，有利于公司的正常经营和健康发展，有利于公司的价值更加公允、客观地体现，同时能</w:t>
      </w:r>
      <w:r>
        <w:rPr>
          <w:spacing w:val="-82"/>
        </w:rPr>
        <w:t> </w:t>
      </w:r>
      <w:r>
        <w:rPr>
          <w:spacing w:val="-82"/>
        </w:rPr>
      </w:r>
      <w:r>
        <w:rPr/>
        <w:t>为投资者提供更多的保障，从长远角度回报投资者，具备合法性、合规性、合理性。</w:t>
      </w:r>
    </w:p>
    <w:p>
      <w:pPr>
        <w:pStyle w:val="BodyText"/>
        <w:spacing w:line="393" w:lineRule="auto" w:before="93"/>
        <w:ind w:right="145"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日召开的公司</w:t>
      </w:r>
      <w:r>
        <w:rPr>
          <w:rFonts w:ascii="Times New Roman" w:hAnsi="Times New Roman" w:cs="Times New Roman" w:eastAsia="Times New Roman" w:hint="default"/>
        </w:rPr>
        <w:t>2013</w:t>
      </w:r>
      <w:r>
        <w:rPr/>
        <w:t>年年度股东大会审议通过了上述</w:t>
      </w:r>
      <w:r>
        <w:rPr>
          <w:rFonts w:ascii="Times New Roman" w:hAnsi="Times New Roman" w:cs="Times New Roman" w:eastAsia="Times New Roman" w:hint="default"/>
        </w:rPr>
        <w:t>2013</w:t>
      </w:r>
      <w:r>
        <w:rPr/>
        <w:t>年度利润分配及资本公积转增方</w:t>
      </w:r>
      <w:r>
        <w:rPr>
          <w:spacing w:val="2"/>
        </w:rPr>
        <w:t> </w:t>
      </w:r>
      <w:r>
        <w:rPr>
          <w:spacing w:val="-1"/>
        </w:rPr>
        <w:t>案。本次股东大会公司采取现场投票与网络投票相结合的表决方式，为中小投资者参与本次决策提供了充</w:t>
      </w:r>
      <w:r>
        <w:rPr>
          <w:spacing w:val="-81"/>
        </w:rPr>
        <w:t> </w:t>
      </w:r>
      <w:r>
        <w:rPr>
          <w:spacing w:val="-81"/>
        </w:rPr>
      </w:r>
      <w:r>
        <w:rPr>
          <w:spacing w:val="-3"/>
        </w:rPr>
        <w:t>分的便利。</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12</w:t>
      </w:r>
      <w:r>
        <w:rPr>
          <w:spacing w:val="-3"/>
        </w:rPr>
        <w:t>日，公司在《巨潮资讯网》上刊登了《</w:t>
      </w:r>
      <w:r>
        <w:rPr>
          <w:rFonts w:ascii="Times New Roman" w:hAnsi="Times New Roman" w:cs="Times New Roman" w:eastAsia="Times New Roman" w:hint="default"/>
          <w:spacing w:val="-3"/>
        </w:rPr>
        <w:t>2013</w:t>
      </w:r>
      <w:r>
        <w:rPr>
          <w:spacing w:val="-3"/>
        </w:rPr>
        <w:t>年年度权益分派实施公告》，截至</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2013</w:t>
      </w:r>
      <w:r>
        <w:rPr/>
        <w:t>年年度权益分派已实施完毕。</w:t>
      </w:r>
    </w:p>
    <w:p>
      <w:pPr>
        <w:spacing w:line="240" w:lineRule="auto" w:before="3"/>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72"/>
        <w:gridCol w:w="4784"/>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17" w:hRule="exact"/>
        </w:trPr>
        <w:tc>
          <w:tcPr>
            <w:tcW w:w="4772"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vMerge w:val="restart"/>
            <w:tcBorders>
              <w:top w:val="single" w:sz="4" w:space="0" w:color="000000"/>
              <w:left w:val="single" w:sz="9" w:space="0" w:color="D3D3D3"/>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报告期内，公司严格按照《公司章程》的相关利润分配政策 和审议程序实施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年度利润分配及资本公积转增方案，并</w:t>
            </w:r>
            <w:r>
              <w:rPr>
                <w:rFonts w:ascii="宋体" w:hAnsi="宋体" w:cs="宋体" w:eastAsia="宋体" w:hint="default"/>
                <w:sz w:val="18"/>
                <w:szCs w:val="18"/>
              </w:rPr>
              <w:t> 在规定时间内实施了权益分派。</w:t>
            </w:r>
          </w:p>
        </w:tc>
      </w:tr>
      <w:tr>
        <w:trPr>
          <w:trHeight w:val="392" w:hRule="exact"/>
        </w:trPr>
        <w:tc>
          <w:tcPr>
            <w:tcW w:w="47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vMerge/>
            <w:tcBorders>
              <w:left w:val="single" w:sz="9" w:space="0" w:color="D3D3D3"/>
              <w:right w:val="single" w:sz="4" w:space="0" w:color="000000"/>
            </w:tcBorders>
          </w:tcPr>
          <w:p>
            <w:pPr/>
          </w:p>
        </w:tc>
      </w:tr>
      <w:tr>
        <w:trPr>
          <w:trHeight w:val="317" w:hRule="exact"/>
        </w:trPr>
        <w:tc>
          <w:tcPr>
            <w:tcW w:w="4772"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vMerge/>
            <w:tcBorders>
              <w:left w:val="single" w:sz="9" w:space="0" w:color="D3D3D3"/>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《公司章程》中规定的分红标准和分红比例明确清晰。</w:t>
            </w:r>
          </w:p>
        </w:tc>
      </w:tr>
      <w:tr>
        <w:trPr>
          <w:trHeight w:val="317" w:hRule="exact"/>
        </w:trPr>
        <w:tc>
          <w:tcPr>
            <w:tcW w:w="4772"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vMerge w:val="restart"/>
            <w:tcBorders>
              <w:top w:val="single" w:sz="4" w:space="0" w:color="000000"/>
              <w:left w:val="single" w:sz="9" w:space="0" w:color="D3D3D3"/>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年度利润分配及资本公积转增方案经由董事会、监 事会审议通过后提交股东大会审议，独立董事发表了独立意 见，相关决策程序和机制完备。</w:t>
            </w:r>
          </w:p>
        </w:tc>
      </w:tr>
      <w:tr>
        <w:trPr>
          <w:trHeight w:val="392" w:hRule="exact"/>
        </w:trPr>
        <w:tc>
          <w:tcPr>
            <w:tcW w:w="47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vMerge/>
            <w:tcBorders>
              <w:left w:val="single" w:sz="9" w:space="0" w:color="D3D3D3"/>
              <w:right w:val="single" w:sz="4" w:space="0" w:color="000000"/>
            </w:tcBorders>
          </w:tcPr>
          <w:p>
            <w:pPr/>
          </w:p>
        </w:tc>
      </w:tr>
      <w:tr>
        <w:trPr>
          <w:trHeight w:val="317" w:hRule="exact"/>
        </w:trPr>
        <w:tc>
          <w:tcPr>
            <w:tcW w:w="4772"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vMerge/>
            <w:tcBorders>
              <w:left w:val="single" w:sz="9" w:space="0" w:color="D3D3D3"/>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0" w:right="158" w:firstLine="0"/>
        <w:jc w:val="right"/>
        <w:rPr>
          <w:rFonts w:ascii="宋体" w:hAnsi="宋体" w:cs="宋体" w:eastAsia="宋体" w:hint="default"/>
          <w:sz w:val="18"/>
          <w:szCs w:val="18"/>
        </w:rPr>
      </w:pPr>
      <w:r>
        <w:rPr/>
        <w:pict>
          <v:shape style="position:absolute;margin-left:56.459999pt;margin-top:-130.147995pt;width:479.1pt;height:232.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4"/>
                  </w:tblGrid>
                  <w:tr>
                    <w:trPr>
                      <w:trHeight w:val="227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公司独立董事认为公司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年度利润分配及资本公积金转增 股本预案符合公司实际情况，符合公司实际开展业务和未来 发展的需要，没有违反《公司法》和《公司章程》的有关规 定，未损害公司股东尤其是中小股东的利益，有利于公司的 正常经营和健康发展，有利于公司的价值更加公允、客观地 体现，同时能为投资者提供更多的保障，从长远角度回报投 资者，具备合法性、合规性、合理性。</w:t>
                        </w:r>
                      </w:p>
                    </w:tc>
                  </w:tr>
                  <w:tr>
                    <w:trPr>
                      <w:trHeight w:val="1650"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公司在召开修订利润分配政策及审议</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年度利润分配方案 的股东大会时，采取现场投票与网络投票相结合的表决方式 为中小投资者参与本次决策提供了充分的便利。公司利润分 配决策程序和机制完备，充分考虑了广大投资者的合理诉求 其合法权益得到了充分保护。</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3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142,720,000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14,272,000.00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166,286,905.79</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86"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both"/>
              <w:rPr>
                <w:rFonts w:ascii="宋体" w:hAnsi="宋体" w:cs="宋体" w:eastAsia="宋体" w:hint="default"/>
                <w:sz w:val="18"/>
                <w:szCs w:val="18"/>
              </w:rPr>
            </w:pPr>
            <w:r>
              <w:rPr>
                <w:rFonts w:ascii="宋体" w:hAnsi="宋体" w:cs="宋体" w:eastAsia="宋体" w:hint="default"/>
                <w:sz w:val="18"/>
                <w:szCs w:val="18"/>
              </w:rPr>
              <w:t>经立信会计师事务所（特殊普通合伙）审计：公司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37,756,702.33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元，母公</w:t>
            </w:r>
          </w:p>
          <w:p>
            <w:pPr>
              <w:pStyle w:val="TableParagraph"/>
              <w:spacing w:line="240" w:lineRule="auto" w:before="63"/>
              <w:ind w:left="11" w:right="0"/>
              <w:jc w:val="both"/>
              <w:rPr>
                <w:rFonts w:ascii="宋体" w:hAnsi="宋体" w:cs="宋体" w:eastAsia="宋体" w:hint="default"/>
                <w:sz w:val="18"/>
                <w:szCs w:val="18"/>
              </w:rPr>
            </w:pPr>
            <w:r>
              <w:rPr>
                <w:rFonts w:ascii="宋体" w:hAnsi="宋体" w:cs="宋体" w:eastAsia="宋体" w:hint="default"/>
                <w:sz w:val="18"/>
                <w:szCs w:val="18"/>
              </w:rPr>
              <w:t>司实现的净利润为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42,411,384.37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元。根据《公司章程》的有关规定，母公司应当提取利润的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4,241,138.44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元作为</w:t>
            </w:r>
          </w:p>
          <w:p>
            <w:pPr>
              <w:pStyle w:val="TableParagraph"/>
              <w:spacing w:line="307" w:lineRule="auto" w:before="63"/>
              <w:ind w:left="11" w:right="-5"/>
              <w:jc w:val="both"/>
              <w:rPr>
                <w:rFonts w:ascii="Times New Roman" w:hAnsi="Times New Roman" w:cs="Times New Roman" w:eastAsia="Times New Roman" w:hint="default"/>
                <w:sz w:val="18"/>
                <w:szCs w:val="18"/>
              </w:rPr>
            </w:pPr>
            <w:r>
              <w:rPr>
                <w:rFonts w:ascii="宋体" w:hAnsi="宋体" w:cs="宋体" w:eastAsia="宋体" w:hint="default"/>
                <w:sz w:val="18"/>
                <w:szCs w:val="18"/>
              </w:rPr>
              <w:t>法定公积金。截至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日，母公司可供分配的利润为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166,286,905.79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元，资本公积余额为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206,469,044.44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pacing w:val="-1"/>
                <w:sz w:val="18"/>
                <w:szCs w:val="18"/>
              </w:rPr>
              <w:t>考虑到公司未来业务发展需要，为使公司股本规模和经营规模相匹配，使公司的价值能够更加公允、客观的体现，同时能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为投资者提供更多的保障，从长远角度回报投资者，保护中小投资者的利益，使全体股东分享公司成长的经营成果，</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年度公司利润分配预案如下：以截止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142,720,000 </w:t>
            </w:r>
            <w:r>
              <w:rPr>
                <w:rFonts w:ascii="宋体" w:hAnsi="宋体" w:cs="宋体" w:eastAsia="宋体" w:hint="default"/>
                <w:spacing w:val="-4"/>
                <w:sz w:val="18"/>
                <w:szCs w:val="18"/>
              </w:rPr>
              <w:t>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7"/>
              <w:ind w:left="11" w:right="0"/>
              <w:jc w:val="both"/>
              <w:rPr>
                <w:rFonts w:ascii="宋体" w:hAnsi="宋体" w:cs="宋体" w:eastAsia="宋体" w:hint="default"/>
                <w:sz w:val="18"/>
                <w:szCs w:val="18"/>
              </w:rPr>
            </w:pP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；同时进行资本公积金转增股本，以公司总股本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142,720,000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4"/>
              <w:ind w:left="11" w:right="0"/>
              <w:jc w:val="both"/>
              <w:rPr>
                <w:rFonts w:ascii="宋体" w:hAnsi="宋体" w:cs="宋体" w:eastAsia="宋体" w:hint="default"/>
                <w:sz w:val="18"/>
                <w:szCs w:val="18"/>
              </w:rPr>
            </w:pPr>
            <w:r>
              <w:rPr>
                <w:rFonts w:ascii="宋体" w:hAnsi="宋体" w:cs="宋体" w:eastAsia="宋体" w:hint="default"/>
                <w:sz w:val="18"/>
                <w:szCs w:val="18"/>
              </w:rPr>
              <w:t>转增后公司总股本将增加至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285,440,000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spacing w:before="102"/>
        <w:ind w:left="514" w:right="0"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年度利润分配方案</w:t>
      </w:r>
    </w:p>
    <w:p>
      <w:pPr>
        <w:pStyle w:val="BodyText"/>
        <w:spacing w:line="240" w:lineRule="auto" w:before="37"/>
        <w:ind w:left="574" w:right="0"/>
        <w:jc w:val="left"/>
      </w:pPr>
      <w:r>
        <w:rPr/>
        <w:t>经中瑞岳华会计师事务所（特殊普通合伙）审计：公司</w:t>
      </w:r>
      <w:r>
        <w:rPr>
          <w:rFonts w:ascii="Times New Roman" w:hAnsi="Times New Roman" w:cs="Times New Roman" w:eastAsia="Times New Roman" w:hint="default"/>
        </w:rPr>
        <w:t>2012</w:t>
      </w:r>
      <w:r>
        <w:rPr/>
        <w:t>年度实现归属于上市公司股东的净利润为</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56" w:lineRule="auto" w:before="35"/>
        <w:ind w:left="574" w:right="0" w:hanging="421"/>
        <w:jc w:val="left"/>
        <w:rPr>
          <w:rFonts w:ascii="Times New Roman" w:hAnsi="Times New Roman" w:cs="Times New Roman" w:eastAsia="Times New Roman" w:hint="default"/>
        </w:rPr>
      </w:pPr>
      <w:r>
        <w:rPr>
          <w:rFonts w:ascii="Times New Roman" w:hAnsi="Times New Roman" w:cs="Times New Roman" w:eastAsia="Times New Roman" w:hint="default"/>
        </w:rPr>
        <w:t>42,133,555.90</w:t>
      </w:r>
      <w:r>
        <w:rPr/>
        <w:t>元，母公司实现的净利润为</w:t>
      </w:r>
      <w:r>
        <w:rPr>
          <w:rFonts w:ascii="Times New Roman" w:hAnsi="Times New Roman" w:cs="Times New Roman" w:eastAsia="Times New Roman" w:hint="default"/>
        </w:rPr>
        <w:t>40,375,395.06</w:t>
      </w:r>
      <w:r>
        <w:rPr/>
        <w:t>元。 </w:t>
      </w:r>
      <w:r>
        <w:rPr>
          <w:spacing w:val="-5"/>
        </w:rPr>
        <w:t>根据《公司章程》有关规定，母公司应当提取利润的</w:t>
      </w:r>
      <w:r>
        <w:rPr>
          <w:rFonts w:ascii="Times New Roman" w:hAnsi="Times New Roman" w:cs="Times New Roman" w:eastAsia="Times New Roman" w:hint="default"/>
          <w:spacing w:val="-5"/>
        </w:rPr>
        <w:t>10%</w:t>
      </w:r>
      <w:r>
        <w:rPr>
          <w:spacing w:val="-5"/>
        </w:rPr>
        <w:t>，即</w:t>
      </w:r>
      <w:r>
        <w:rPr>
          <w:rFonts w:ascii="Times New Roman" w:hAnsi="Times New Roman" w:cs="Times New Roman" w:eastAsia="Times New Roman" w:hint="default"/>
          <w:spacing w:val="-5"/>
        </w:rPr>
        <w:t>4,037,539.51</w:t>
      </w:r>
      <w:r>
        <w:rPr>
          <w:spacing w:val="-5"/>
        </w:rPr>
        <w:t>元作为法定公积金。截止</w:t>
      </w:r>
      <w:r>
        <w:rPr>
          <w:rFonts w:ascii="Times New Roman" w:hAnsi="Times New Roman" w:cs="Times New Roman" w:eastAsia="Times New Roman" w:hint="default"/>
          <w:spacing w:val="-5"/>
        </w:rPr>
        <w:t>2012</w:t>
      </w:r>
    </w:p>
    <w:p>
      <w:pPr>
        <w:pStyle w:val="BodyText"/>
        <w:spacing w:line="264" w:lineRule="auto" w:before="5"/>
        <w:ind w:left="153"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121,750,792.80 </w:t>
      </w:r>
      <w:r>
        <w:rPr/>
        <w:t>元，资本公积余额为</w:t>
      </w:r>
      <w:r>
        <w:rPr>
          <w:spacing w:val="-45"/>
        </w:rPr>
        <w:t> </w:t>
      </w:r>
      <w:r>
        <w:rPr>
          <w:rFonts w:ascii="Times New Roman" w:hAnsi="Times New Roman" w:cs="Times New Roman" w:eastAsia="Times New Roman" w:hint="default"/>
        </w:rPr>
        <w:t>259,989,044.44</w:t>
      </w:r>
      <w:r>
        <w:rPr/>
        <w:t>元。 </w:t>
      </w:r>
      <w:r>
        <w:rPr>
          <w:spacing w:val="-1"/>
        </w:rPr>
        <w:t>考虑到公司业务持续发展，且经营现金流同步增长，根据中国证监会鼓励上市公司现金分红，给予投资者</w:t>
      </w:r>
      <w:r>
        <w:rPr>
          <w:spacing w:val="-83"/>
        </w:rPr>
        <w:t> </w:t>
      </w:r>
      <w:r>
        <w:rPr>
          <w:spacing w:val="-83"/>
        </w:rPr>
      </w:r>
      <w:r>
        <w:rPr>
          <w:spacing w:val="-1"/>
        </w:rPr>
        <w:t>稳定、合理回报的指导意见，在符合利润分配原则、保证公司正常经营和长远发展的前提下，为了更好的</w:t>
      </w:r>
      <w:r>
        <w:rPr>
          <w:spacing w:val="-82"/>
        </w:rPr>
        <w:t> </w:t>
      </w:r>
      <w:r>
        <w:rPr>
          <w:spacing w:val="-82"/>
        </w:rPr>
      </w:r>
      <w:r>
        <w:rPr/>
        <w:t>兼顾股东的即期利益和长远利益，公司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日召开的第二届董事会第十四次会议及第二届监事会 </w:t>
      </w:r>
      <w:r>
        <w:rPr>
          <w:spacing w:val="-1"/>
        </w:rPr>
        <w:t>第九次会议分别审议通过了《关于审议郑州新开普电子股份有限公司</w:t>
      </w:r>
      <w:r>
        <w:rPr>
          <w:rFonts w:ascii="Times New Roman" w:hAnsi="Times New Roman" w:cs="Times New Roman" w:eastAsia="Times New Roman" w:hint="default"/>
          <w:spacing w:val="-1"/>
        </w:rPr>
        <w:t>2012</w:t>
      </w:r>
      <w:r>
        <w:rPr>
          <w:spacing w:val="-1"/>
        </w:rPr>
        <w:t>年度利润分配预案的议案》，拟</w:t>
      </w:r>
      <w:r>
        <w:rPr>
          <w:spacing w:val="-85"/>
        </w:rPr>
        <w:t> </w:t>
      </w:r>
      <w:r>
        <w:rPr>
          <w:spacing w:val="-85"/>
        </w:rPr>
      </w:r>
      <w:r>
        <w:rPr/>
        <w:t>定以</w:t>
      </w:r>
      <w:r>
        <w:rPr>
          <w:rFonts w:ascii="Times New Roman" w:hAnsi="Times New Roman" w:cs="Times New Roman" w:eastAsia="Times New Roman" w:hint="default"/>
        </w:rPr>
        <w:t>2012</w:t>
      </w:r>
      <w:r>
        <w:rPr/>
        <w:t>年末总股本</w:t>
      </w:r>
      <w:r>
        <w:rPr>
          <w:rFonts w:ascii="Times New Roman" w:hAnsi="Times New Roman" w:cs="Times New Roman" w:eastAsia="Times New Roman" w:hint="default"/>
        </w:rPr>
        <w:t>8,920</w:t>
      </w:r>
      <w:r>
        <w:rPr/>
        <w:t>万股为基数，向全体股东每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1</w:t>
      </w:r>
      <w:r>
        <w:rPr/>
        <w:t>元现金（含税）。</w:t>
      </w:r>
    </w:p>
    <w:p>
      <w:pPr>
        <w:pStyle w:val="BodyText"/>
        <w:spacing w:line="256" w:lineRule="auto" w:before="0"/>
        <w:ind w:left="153" w:right="151" w:firstLine="420"/>
        <w:jc w:val="both"/>
      </w:pPr>
      <w:r>
        <w:rPr>
          <w:spacing w:val="-1"/>
        </w:rPr>
        <w:t>公司独立董事认为：公司</w:t>
      </w:r>
      <w:r>
        <w:rPr>
          <w:rFonts w:ascii="Times New Roman" w:hAnsi="Times New Roman" w:cs="Times New Roman" w:eastAsia="Times New Roman" w:hint="default"/>
          <w:spacing w:val="-1"/>
        </w:rPr>
        <w:t>2012</w:t>
      </w:r>
      <w:r>
        <w:rPr>
          <w:spacing w:val="-1"/>
        </w:rPr>
        <w:t>年度利润分配预案符合公司实际情况，公司</w:t>
      </w:r>
      <w:r>
        <w:rPr>
          <w:rFonts w:ascii="Times New Roman" w:hAnsi="Times New Roman" w:cs="Times New Roman" w:eastAsia="Times New Roman" w:hint="default"/>
          <w:spacing w:val="-1"/>
        </w:rPr>
        <w:t>2012</w:t>
      </w:r>
      <w:r>
        <w:rPr>
          <w:spacing w:val="-1"/>
        </w:rPr>
        <w:t>年以现金方式分配的利</w:t>
      </w:r>
      <w:r>
        <w:rPr/>
        <w:t> 润不少于当年实现的可分配利润的</w:t>
      </w:r>
      <w:r>
        <w:rPr>
          <w:rFonts w:ascii="Times New Roman" w:hAnsi="Times New Roman" w:cs="Times New Roman" w:eastAsia="Times New Roman" w:hint="default"/>
        </w:rPr>
        <w:t>10%</w:t>
      </w:r>
      <w:r>
        <w:rPr/>
        <w:t>，没有违反《公司法》和公司章程的有关规定，未损害公司股东尤 其是中小股东的利益，有利于公司的正常经营和健康发展。</w:t>
      </w:r>
    </w:p>
    <w:p>
      <w:pPr>
        <w:pStyle w:val="BodyText"/>
        <w:spacing w:line="240" w:lineRule="auto" w:before="22"/>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日召开的公司</w:t>
      </w:r>
      <w:r>
        <w:rPr>
          <w:rFonts w:ascii="Times New Roman" w:hAnsi="Times New Roman" w:cs="Times New Roman" w:eastAsia="Times New Roman" w:hint="default"/>
        </w:rPr>
        <w:t>2012</w:t>
      </w:r>
      <w:r>
        <w:rPr/>
        <w:t>年年度股东大会审议通过了上述</w:t>
      </w:r>
      <w:r>
        <w:rPr>
          <w:rFonts w:ascii="Times New Roman" w:hAnsi="Times New Roman" w:cs="Times New Roman" w:eastAsia="Times New Roman" w:hint="default"/>
        </w:rPr>
        <w:t>2012</w:t>
      </w:r>
      <w:r>
        <w:rPr/>
        <w:t>年度利润分配方案。截至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p>
    <w:p>
      <w:pPr>
        <w:pStyle w:val="BodyText"/>
        <w:spacing w:line="240" w:lineRule="auto" w:before="21"/>
        <w:ind w:left="153" w:right="0"/>
        <w:jc w:val="left"/>
      </w:pP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2012</w:t>
      </w:r>
      <w:r>
        <w:rPr/>
        <w:t>年年度权益分派实施完毕。</w:t>
      </w:r>
    </w:p>
    <w:p>
      <w:pPr>
        <w:pStyle w:val="BodyText"/>
        <w:spacing w:line="386" w:lineRule="auto" w:before="99"/>
        <w:ind w:left="489" w:right="615" w:firstLine="84"/>
        <w:jc w:val="left"/>
      </w:pPr>
      <w:r>
        <w:rPr/>
        <w:t>（二）</w:t>
      </w:r>
      <w:r>
        <w:rPr>
          <w:rFonts w:ascii="Times New Roman" w:hAnsi="Times New Roman" w:cs="Times New Roman" w:eastAsia="Times New Roman" w:hint="default"/>
        </w:rPr>
        <w:t>2013</w:t>
      </w:r>
      <w:r>
        <w:rPr/>
        <w:t>年度利润分配方案 经立信会计师事务所（特殊普通合伙）审计：公司</w:t>
      </w:r>
      <w:r>
        <w:rPr>
          <w:rFonts w:ascii="Times New Roman" w:hAnsi="Times New Roman" w:cs="Times New Roman" w:eastAsia="Times New Roman" w:hint="default"/>
        </w:rPr>
        <w:t>2013</w:t>
      </w:r>
      <w:r>
        <w:rPr/>
        <w:t>年度实现归属于上市公司股东的净利润为</w:t>
      </w:r>
    </w:p>
    <w:p>
      <w:pPr>
        <w:pStyle w:val="BodyText"/>
        <w:spacing w:line="386" w:lineRule="auto" w:before="35"/>
        <w:ind w:left="574" w:right="144" w:hanging="421"/>
        <w:jc w:val="left"/>
      </w:pPr>
      <w:r>
        <w:rPr>
          <w:rFonts w:ascii="Times New Roman" w:hAnsi="Times New Roman" w:cs="Times New Roman" w:eastAsia="Times New Roman" w:hint="default"/>
        </w:rPr>
        <w:t>24,696,036.39</w:t>
      </w:r>
      <w:r>
        <w:rPr/>
        <w:t>元，母公司实现的净利润为</w:t>
      </w:r>
      <w:r>
        <w:rPr>
          <w:rFonts w:ascii="Times New Roman" w:hAnsi="Times New Roman" w:cs="Times New Roman" w:eastAsia="Times New Roman" w:hint="default"/>
        </w:rPr>
        <w:t>26,895,407.84</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2,689,540.78</w:t>
      </w:r>
      <w:r>
        <w:rPr>
          <w:spacing w:val="-1"/>
        </w:rPr>
        <w:t>元作为法定公积金。截至</w:t>
      </w:r>
    </w:p>
    <w:p>
      <w:pPr>
        <w:pStyle w:val="BodyText"/>
        <w:spacing w:line="386" w:lineRule="auto" w:before="35"/>
        <w:ind w:left="574" w:right="110" w:hanging="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137,036,659.86</w:t>
      </w:r>
      <w:r>
        <w:rPr/>
        <w:t>元，资本公积余额为</w:t>
      </w:r>
      <w:r>
        <w:rPr>
          <w:rFonts w:ascii="Times New Roman" w:hAnsi="Times New Roman" w:cs="Times New Roman" w:eastAsia="Times New Roman" w:hint="default"/>
        </w:rPr>
        <w:t>259,989,044.44</w:t>
      </w:r>
      <w:r>
        <w:rPr/>
        <w:t>元。 考虑到公司未来业务发展需要，为使公司股本规模和经营规模相匹配，使公司的价值能够更加公允、</w:t>
      </w:r>
    </w:p>
    <w:p>
      <w:pPr>
        <w:pStyle w:val="BodyText"/>
        <w:spacing w:line="391" w:lineRule="auto" w:before="65"/>
        <w:ind w:left="153" w:right="146"/>
        <w:jc w:val="both"/>
      </w:pPr>
      <w:r>
        <w:rPr>
          <w:spacing w:val="-1"/>
        </w:rPr>
        <w:t>客观的体现，同时能为投资者提供更多的保障，从长远角度回报投资者，保护中小投资者的利益，使全体</w:t>
      </w:r>
      <w:r>
        <w:rPr>
          <w:spacing w:val="-82"/>
        </w:rPr>
        <w:t> </w:t>
      </w:r>
      <w:r>
        <w:rPr>
          <w:spacing w:val="-82"/>
        </w:rPr>
      </w:r>
      <w:r>
        <w:rPr/>
        <w:t>股东分享公司成长的经营成果，公司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日召开的第三届董事会第二次会议及第三届监事会第二</w:t>
      </w:r>
      <w:r>
        <w:rPr>
          <w:spacing w:val="-36"/>
        </w:rPr>
        <w:t> </w:t>
      </w:r>
      <w:r>
        <w:rPr>
          <w:spacing w:val="-36"/>
        </w:rPr>
      </w:r>
      <w:r>
        <w:rPr>
          <w:spacing w:val="-1"/>
        </w:rPr>
        <w:t>次会议分别审议通过了《关于审议郑州新开普电子股份有限公司</w:t>
      </w:r>
      <w:r>
        <w:rPr>
          <w:rFonts w:ascii="Times New Roman" w:hAnsi="Times New Roman" w:cs="Times New Roman" w:eastAsia="Times New Roman" w:hint="default"/>
          <w:spacing w:val="-1"/>
        </w:rPr>
        <w:t>2013</w:t>
      </w:r>
      <w:r>
        <w:rPr>
          <w:spacing w:val="-1"/>
        </w:rPr>
        <w:t>年度利润分配及资本公积金转增股本</w:t>
      </w:r>
      <w:r>
        <w:rPr>
          <w:spacing w:val="-81"/>
        </w:rPr>
        <w:t> </w:t>
      </w:r>
      <w:r>
        <w:rPr>
          <w:spacing w:val="-1"/>
        </w:rPr>
        <w:t>预案的议案》，拟定以截止</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89,200,000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34"/>
        </w:rPr>
        <w:t> </w:t>
      </w:r>
      <w:r>
        <w:rPr/>
        <w:t>元人民币（含税）；同时进行资本公积金转增股本，以公司总股本</w:t>
      </w:r>
      <w:r>
        <w:rPr>
          <w:rFonts w:ascii="Times New Roman" w:hAnsi="Times New Roman" w:cs="Times New Roman" w:eastAsia="Times New Roman" w:hint="default"/>
        </w:rPr>
        <w:t>89,200,000</w:t>
      </w:r>
      <w:r>
        <w:rPr/>
        <w:t>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股转增</w:t>
      </w:r>
      <w:r>
        <w:rPr>
          <w:rFonts w:ascii="Times New Roman" w:hAnsi="Times New Roman" w:cs="Times New Roman" w:eastAsia="Times New Roman" w:hint="default"/>
        </w:rPr>
        <w:t>6</w:t>
      </w:r>
      <w:r>
        <w:rPr/>
        <w:t>股，转增后公司总股本将增加至</w:t>
      </w:r>
      <w:r>
        <w:rPr>
          <w:rFonts w:ascii="Times New Roman" w:hAnsi="Times New Roman" w:cs="Times New Roman" w:eastAsia="Times New Roman" w:hint="default"/>
        </w:rPr>
        <w:t>142,720,000</w:t>
      </w:r>
      <w:r>
        <w:rPr/>
        <w:t>股。</w:t>
      </w:r>
    </w:p>
    <w:p>
      <w:pPr>
        <w:pStyle w:val="BodyText"/>
        <w:spacing w:line="400" w:lineRule="auto" w:before="30"/>
        <w:ind w:right="146" w:firstLine="420"/>
        <w:jc w:val="both"/>
      </w:pPr>
      <w:r>
        <w:rPr>
          <w:spacing w:val="-1"/>
        </w:rPr>
        <w:t>公司独立董事认为公司</w:t>
      </w:r>
      <w:r>
        <w:rPr>
          <w:rFonts w:ascii="Times New Roman" w:hAnsi="Times New Roman" w:cs="Times New Roman" w:eastAsia="Times New Roman" w:hint="default"/>
          <w:spacing w:val="-1"/>
        </w:rPr>
        <w:t>2013</w:t>
      </w:r>
      <w:r>
        <w:rPr>
          <w:spacing w:val="-1"/>
        </w:rPr>
        <w:t>年度利润分配及资本公积金转增股本预案符合公司实际情况，符合公司实</w:t>
      </w:r>
      <w:r>
        <w:rPr/>
        <w:t> </w:t>
      </w:r>
      <w:r>
        <w:rPr>
          <w:spacing w:val="-1"/>
        </w:rPr>
        <w:t>际开展业务和未来发展的需要，没有违反《公司法》和《公司章程》的有关规定，未损害公司股东尤其是</w:t>
      </w:r>
      <w:r>
        <w:rPr>
          <w:spacing w:val="-83"/>
        </w:rPr>
        <w:t> </w:t>
      </w:r>
      <w:r>
        <w:rPr>
          <w:spacing w:val="-83"/>
        </w:rPr>
      </w:r>
      <w:r>
        <w:rPr>
          <w:spacing w:val="-1"/>
        </w:rPr>
        <w:t>中小股东的利益，有利于公司的正常经营和健康发展，有利于公司的价值更加公允、客观地体现，同时能</w:t>
      </w:r>
      <w:r>
        <w:rPr>
          <w:spacing w:val="-82"/>
        </w:rPr>
        <w:t> </w:t>
      </w:r>
      <w:r>
        <w:rPr>
          <w:spacing w:val="-82"/>
        </w:rPr>
      </w:r>
      <w:r>
        <w:rPr/>
        <w:t>为投资者提供更多的保障，从长远角度回报投资者，具备合法性、合规性、合理性。</w:t>
      </w:r>
    </w:p>
    <w:p>
      <w:pPr>
        <w:pStyle w:val="BodyText"/>
        <w:spacing w:line="393" w:lineRule="auto" w:before="93"/>
        <w:ind w:left="153" w:right="146"/>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日召开的公司</w:t>
      </w:r>
      <w:r>
        <w:rPr>
          <w:rFonts w:ascii="Times New Roman" w:hAnsi="Times New Roman" w:cs="Times New Roman" w:eastAsia="Times New Roman" w:hint="default"/>
        </w:rPr>
        <w:t>2013</w:t>
      </w:r>
      <w:r>
        <w:rPr/>
        <w:t>年年度股东大会审议通过了上述</w:t>
      </w:r>
      <w:r>
        <w:rPr>
          <w:rFonts w:ascii="Times New Roman" w:hAnsi="Times New Roman" w:cs="Times New Roman" w:eastAsia="Times New Roman" w:hint="default"/>
        </w:rPr>
        <w:t>2013</w:t>
      </w:r>
      <w:r>
        <w:rPr/>
        <w:t>年度利润分配及资本公积转增方案。</w:t>
      </w:r>
      <w:r>
        <w:rPr>
          <w:spacing w:val="-38"/>
        </w:rPr>
        <w:t> </w:t>
      </w:r>
      <w:r>
        <w:rPr>
          <w:spacing w:val="-38"/>
        </w:rPr>
      </w:r>
      <w:r>
        <w:rPr>
          <w:spacing w:val="-1"/>
        </w:rPr>
        <w:t>本次股东大会公司采取现场投票与网络投票相结合的表决方式，为中小投资者参与本次决策提供了充分的</w:t>
      </w:r>
      <w:r>
        <w:rPr>
          <w:spacing w:val="-81"/>
        </w:rPr>
        <w:t> </w:t>
      </w:r>
      <w:r>
        <w:rPr>
          <w:spacing w:val="-81"/>
        </w:rPr>
      </w:r>
      <w:r>
        <w:rPr>
          <w:spacing w:val="-1"/>
        </w:rPr>
        <w:t>便利。</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日，公司在《巨潮资讯网》上刊登了《</w:t>
      </w:r>
      <w:r>
        <w:rPr>
          <w:rFonts w:ascii="Times New Roman" w:hAnsi="Times New Roman" w:cs="Times New Roman" w:eastAsia="Times New Roman" w:hint="default"/>
          <w:spacing w:val="-1"/>
        </w:rPr>
        <w:t>2013</w:t>
      </w:r>
      <w:r>
        <w:rPr>
          <w:spacing w:val="-1"/>
        </w:rPr>
        <w:t>年年度权益分派实施公告》，截至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2013</w:t>
      </w:r>
      <w:r>
        <w:rPr/>
        <w:t>年年度权益分派已实施完毕。</w:t>
      </w:r>
    </w:p>
    <w:p>
      <w:pPr>
        <w:pStyle w:val="BodyText"/>
        <w:spacing w:line="240" w:lineRule="auto" w:before="68"/>
        <w:ind w:left="573" w:right="0"/>
        <w:jc w:val="left"/>
      </w:pPr>
      <w:r>
        <w:rPr/>
        <w:t>（三）</w:t>
      </w:r>
      <w:r>
        <w:rPr>
          <w:rFonts w:ascii="Times New Roman" w:hAnsi="Times New Roman" w:cs="Times New Roman" w:eastAsia="Times New Roman" w:hint="default"/>
        </w:rPr>
        <w:t>2014</w:t>
      </w:r>
      <w:r>
        <w:rPr/>
        <w:t>年度利润分配预案</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经立信会计师事务所（特殊普通合伙）审计：公司</w:t>
      </w:r>
      <w:r>
        <w:rPr>
          <w:rFonts w:ascii="Times New Roman" w:hAnsi="Times New Roman" w:cs="Times New Roman" w:eastAsia="Times New Roman" w:hint="default"/>
        </w:rPr>
        <w:t>2014</w:t>
      </w:r>
      <w:r>
        <w:rPr/>
        <w:t>年度实现归属于上市公司股东的净利润为</w:t>
      </w:r>
    </w:p>
    <w:p>
      <w:pPr>
        <w:pStyle w:val="BodyText"/>
        <w:spacing w:line="386" w:lineRule="auto" w:before="177"/>
        <w:ind w:left="574" w:right="144" w:hanging="421"/>
        <w:jc w:val="left"/>
      </w:pPr>
      <w:r>
        <w:rPr>
          <w:rFonts w:ascii="Times New Roman" w:hAnsi="Times New Roman" w:cs="Times New Roman" w:eastAsia="Times New Roman" w:hint="default"/>
        </w:rPr>
        <w:t>37,756,702.33</w:t>
      </w:r>
      <w:r>
        <w:rPr/>
        <w:t>元，母公司实现的净利润为</w:t>
      </w:r>
      <w:r>
        <w:rPr>
          <w:rFonts w:ascii="Times New Roman" w:hAnsi="Times New Roman" w:cs="Times New Roman" w:eastAsia="Times New Roman" w:hint="default"/>
        </w:rPr>
        <w:t>42,411,384.37</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4,241,138.44</w:t>
      </w:r>
      <w:r>
        <w:rPr>
          <w:spacing w:val="-1"/>
        </w:rPr>
        <w:t>元作为法定公积金。截至</w:t>
      </w:r>
    </w:p>
    <w:p>
      <w:pPr>
        <w:pStyle w:val="BodyText"/>
        <w:spacing w:line="386" w:lineRule="auto" w:before="35"/>
        <w:ind w:left="574" w:right="110" w:hanging="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166,286,905.79</w:t>
      </w:r>
      <w:r>
        <w:rPr/>
        <w:t>元，资本公积余额为</w:t>
      </w:r>
      <w:r>
        <w:rPr>
          <w:rFonts w:ascii="Times New Roman" w:hAnsi="Times New Roman" w:cs="Times New Roman" w:eastAsia="Times New Roman" w:hint="default"/>
        </w:rPr>
        <w:t>206,469,044.44</w:t>
      </w:r>
      <w:r>
        <w:rPr/>
        <w:t>元。 考虑到公司未来业务发展需要，为使公司股本规模和经营规模相匹配，使公司的价值能够更加公允、</w:t>
      </w:r>
    </w:p>
    <w:p>
      <w:pPr>
        <w:pStyle w:val="BodyText"/>
        <w:spacing w:line="391" w:lineRule="auto" w:before="65"/>
        <w:ind w:right="0"/>
        <w:jc w:val="left"/>
      </w:pPr>
      <w:r>
        <w:rPr>
          <w:spacing w:val="-1"/>
        </w:rPr>
        <w:t>客观的体现，同时能为投资者提供更多的保障，从长远角度回报投资者，保护中小投资者的利益，使全体</w:t>
      </w:r>
      <w:r>
        <w:rPr>
          <w:spacing w:val="-82"/>
        </w:rPr>
        <w:t> </w:t>
      </w:r>
      <w:r>
        <w:rPr>
          <w:spacing w:val="-82"/>
        </w:rPr>
      </w:r>
      <w:r>
        <w:rPr/>
        <w:t>股东分享公司成长的经营成果，</w:t>
      </w:r>
      <w:r>
        <w:rPr>
          <w:rFonts w:ascii="Times New Roman" w:hAnsi="Times New Roman" w:cs="Times New Roman" w:eastAsia="Times New Roman" w:hint="default"/>
        </w:rPr>
        <w:t>2014</w:t>
      </w:r>
      <w:r>
        <w:rPr/>
        <w:t>年度公司利润分配预案如下：以截止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 </w:t>
      </w:r>
      <w:r>
        <w:rPr>
          <w:rFonts w:ascii="Times New Roman" w:hAnsi="Times New Roman" w:cs="Times New Roman" w:eastAsia="Times New Roman" w:hint="default"/>
        </w:rPr>
        <w:t>142,720,000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元人民币（含税）；同时进行资本公积金转增股本， </w:t>
      </w:r>
      <w:r>
        <w:rPr>
          <w:spacing w:val="-1"/>
        </w:rPr>
        <w:t>以公司总股本</w:t>
      </w:r>
      <w:r>
        <w:rPr>
          <w:rFonts w:ascii="Times New Roman" w:hAnsi="Times New Roman" w:cs="Times New Roman" w:eastAsia="Times New Roman" w:hint="default"/>
          <w:spacing w:val="-1"/>
        </w:rPr>
        <w:t>142,720,000</w:t>
      </w:r>
      <w:r>
        <w:rPr>
          <w:spacing w:val="-1"/>
        </w:rPr>
        <w:t>股为基数，向全体股东每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股，转增后公司总股本将增加至</w:t>
      </w:r>
      <w:r>
        <w:rPr>
          <w:rFonts w:ascii="Times New Roman" w:hAnsi="Times New Roman" w:cs="Times New Roman" w:eastAsia="Times New Roman" w:hint="default"/>
          <w:spacing w:val="-1"/>
        </w:rPr>
        <w:t>285,440,000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股。</w:t>
      </w:r>
    </w:p>
    <w:p>
      <w:pPr>
        <w:pStyle w:val="BodyText"/>
        <w:spacing w:line="408" w:lineRule="auto" w:before="61"/>
        <w:ind w:right="0" w:firstLine="420"/>
        <w:jc w:val="left"/>
      </w:pPr>
      <w:r>
        <w:rPr>
          <w:spacing w:val="-1"/>
        </w:rPr>
        <w:t>公司第三届董事会第八次会议及第三届监事会第七次会议审议通过上述预案，独立董事均发表了明确</w:t>
      </w:r>
      <w:r>
        <w:rPr/>
        <w:t> 的同意意见。该预案尚需提交公司</w:t>
      </w:r>
      <w:r>
        <w:rPr>
          <w:rFonts w:ascii="Times New Roman" w:hAnsi="Times New Roman" w:cs="Times New Roman" w:eastAsia="Times New Roman" w:hint="default"/>
        </w:rPr>
        <w:t>2014</w:t>
      </w:r>
      <w:r>
        <w:rPr/>
        <w:t>年度股东大会审议。</w:t>
      </w:r>
    </w:p>
    <w:p>
      <w:pPr>
        <w:spacing w:before="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0"/>
        <w:gridCol w:w="2416"/>
        <w:gridCol w:w="2380"/>
        <w:gridCol w:w="2392"/>
      </w:tblGrid>
      <w:tr>
        <w:trPr>
          <w:trHeight w:val="317" w:hRule="exact"/>
        </w:trPr>
        <w:tc>
          <w:tcPr>
            <w:tcW w:w="2380" w:type="dxa"/>
            <w:tcBorders>
              <w:top w:val="single" w:sz="4" w:space="0" w:color="000000"/>
              <w:left w:val="single" w:sz="4" w:space="0" w:color="000000"/>
              <w:bottom w:val="nil" w:sz="6" w:space="0" w:color="auto"/>
              <w:right w:val="single" w:sz="4" w:space="0" w:color="000000"/>
            </w:tcBorders>
            <w:shd w:val="clear" w:color="auto" w:fill="D3D3D3"/>
          </w:tcPr>
          <w:p>
            <w:pPr/>
          </w:p>
        </w:tc>
        <w:tc>
          <w:tcPr>
            <w:tcW w:w="2416"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8" w:right="109"/>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80"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317" w:hRule="exact"/>
        </w:trPr>
        <w:tc>
          <w:tcPr>
            <w:tcW w:w="2380" w:type="dxa"/>
            <w:tcBorders>
              <w:top w:val="nil" w:sz="6" w:space="0" w:color="auto"/>
              <w:left w:val="single" w:sz="4" w:space="0" w:color="000000"/>
              <w:bottom w:val="single" w:sz="4" w:space="0" w:color="000000"/>
              <w:right w:val="single" w:sz="4" w:space="0" w:color="000000"/>
            </w:tcBorders>
            <w:shd w:val="clear" w:color="auto" w:fill="D3D3D3"/>
          </w:tcPr>
          <w:p>
            <w:pPr/>
          </w:p>
        </w:tc>
        <w:tc>
          <w:tcPr>
            <w:tcW w:w="2416" w:type="dxa"/>
            <w:tcBorders>
              <w:top w:val="nil" w:sz="6" w:space="0" w:color="auto"/>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14,272,000.00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37,756,702.33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8,920,000.00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24,696,036.39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36.12%</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8,920,000.00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42,133,555.90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21.17%</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六、内幕信息知情人管理制度的建立和执行情况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jc w:val="left"/>
      </w:pPr>
      <w:r>
        <w:rPr/>
        <w:t>（一）内幕信息知情人管理制度的建设情况 </w:t>
      </w:r>
      <w:r>
        <w:rPr>
          <w:spacing w:val="-1"/>
        </w:rPr>
        <w:t>为规范公司的内幕信息管理，加强内幕信息保密工作，以维护信息披露的公开、公平、公正原则，保</w:t>
      </w:r>
    </w:p>
    <w:p>
      <w:pPr>
        <w:pStyle w:val="BodyText"/>
        <w:spacing w:line="408" w:lineRule="auto"/>
        <w:ind w:left="153" w:right="148"/>
        <w:jc w:val="both"/>
      </w:pPr>
      <w:r>
        <w:rPr>
          <w:spacing w:val="-1"/>
        </w:rPr>
        <w:t>护广大投资者的合法权益，根据《公司法》、《证券法》、《上市公司信息披露管理办法》、《深圳证券</w:t>
      </w:r>
      <w:r>
        <w:rPr>
          <w:spacing w:val="-84"/>
        </w:rPr>
        <w:t> </w:t>
      </w:r>
      <w:r>
        <w:rPr>
          <w:spacing w:val="-84"/>
        </w:rPr>
      </w:r>
      <w:r>
        <w:rPr>
          <w:spacing w:val="-5"/>
        </w:rPr>
        <w:t>交易所创业板股票上市规则》、《深圳证券交易所创业板上市公司规范运作指引》及有关法律、法规和《公</w:t>
      </w:r>
      <w:r>
        <w:rPr/>
        <w:t> </w:t>
      </w:r>
      <w:r>
        <w:rPr>
          <w:spacing w:val="-1"/>
        </w:rPr>
        <w:t>司章程》等有关规定，公司制定了《内幕信息知情人管理制度》、《特定对象来访接待管理制度》、《重</w:t>
      </w:r>
      <w:r>
        <w:rPr>
          <w:spacing w:val="-84"/>
        </w:rPr>
        <w:t> </w:t>
      </w:r>
      <w:r>
        <w:rPr>
          <w:spacing w:val="-84"/>
        </w:rPr>
      </w:r>
      <w:r>
        <w:rPr>
          <w:spacing w:val="-1"/>
        </w:rPr>
        <w:t>大信息内部报告制度》、《董事、监事和高级管理人员所持本公司股份及其变动管理制度》、《投资者关</w:t>
      </w:r>
      <w:r>
        <w:rPr>
          <w:spacing w:val="-85"/>
        </w:rPr>
        <w:t> </w:t>
      </w:r>
      <w:r>
        <w:rPr>
          <w:spacing w:val="-85"/>
        </w:rPr>
      </w:r>
      <w:r>
        <w:rPr>
          <w:spacing w:val="-1"/>
        </w:rPr>
        <w:t>系管理制度》、《信息披露管理制度》、《外部信息报送和使用管理制度》等一系列信息管理及证券事务</w:t>
      </w:r>
      <w:r>
        <w:rPr>
          <w:spacing w:val="-85"/>
        </w:rPr>
        <w:t> </w:t>
      </w:r>
      <w:r>
        <w:rPr>
          <w:spacing w:val="-85"/>
        </w:rPr>
      </w:r>
      <w:r>
        <w:rPr/>
        <w:t>制度。为进一步规范公司内幕信息管理，加强内幕信息保密工作。</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574" w:right="532"/>
        <w:jc w:val="left"/>
      </w:pPr>
      <w:r>
        <w:rPr/>
        <w:t>（二）内幕信息知情人管理制度的执行情况</w:t>
      </w:r>
    </w:p>
    <w:p>
      <w:pPr>
        <w:spacing w:line="240" w:lineRule="auto" w:before="10"/>
        <w:rPr>
          <w:rFonts w:ascii="宋体" w:hAnsi="宋体" w:cs="宋体" w:eastAsia="宋体" w:hint="default"/>
          <w:sz w:val="14"/>
          <w:szCs w:val="14"/>
        </w:rPr>
      </w:pPr>
    </w:p>
    <w:p>
      <w:pPr>
        <w:pStyle w:val="BodyText"/>
        <w:spacing w:line="386" w:lineRule="auto" w:before="0"/>
        <w:ind w:left="574" w:right="95" w:hanging="1"/>
        <w:jc w:val="left"/>
      </w:pPr>
      <w:r>
        <w:rPr>
          <w:rFonts w:ascii="Times New Roman" w:hAnsi="Times New Roman" w:cs="Times New Roman" w:eastAsia="Times New Roman" w:hint="default"/>
        </w:rPr>
        <w:t>1</w:t>
      </w:r>
      <w:r>
        <w:rPr/>
        <w:t>、定期报告披露期间的信息保密工作 </w:t>
      </w:r>
      <w:r>
        <w:rPr>
          <w:spacing w:val="-1"/>
        </w:rPr>
        <w:t>报告期内，公司严格执行内幕信息保密制度，严格规范信息传递流程，在定期报告披露期间，对于未</w:t>
      </w:r>
    </w:p>
    <w:p>
      <w:pPr>
        <w:pStyle w:val="BodyText"/>
        <w:spacing w:line="408" w:lineRule="auto" w:before="65"/>
        <w:ind w:right="104"/>
        <w:jc w:val="both"/>
      </w:pPr>
      <w:r>
        <w:rPr>
          <w:spacing w:val="-3"/>
        </w:rPr>
        <w:t>公开信息，公司证券事务部都严格控制知情人范围并向相关内幕信息知情人提供《禁止内幕交易告知书》，</w:t>
      </w:r>
      <w:r>
        <w:rPr>
          <w:spacing w:val="-90"/>
        </w:rPr>
        <w:t> </w:t>
      </w:r>
      <w:r>
        <w:rPr>
          <w:spacing w:val="-90"/>
        </w:rPr>
      </w:r>
      <w:r>
        <w:rPr>
          <w:spacing w:val="-3"/>
        </w:rPr>
        <w:t>组织填写《内幕信息知情人登记表》并签署《内幕信息知情人保密协议》。经公司证券事务部核实无误后，</w:t>
      </w:r>
      <w:r>
        <w:rPr>
          <w:spacing w:val="-94"/>
        </w:rPr>
        <w:t> </w:t>
      </w:r>
      <w:r>
        <w:rPr>
          <w:spacing w:val="-94"/>
        </w:rPr>
      </w:r>
      <w:r>
        <w:rPr/>
        <w:t>按照相关法规规定在向深交所和河南证监局报送定期报告相关资料的同时报备内幕信息知情人登记情况。</w:t>
      </w:r>
    </w:p>
    <w:p>
      <w:pPr>
        <w:pStyle w:val="BodyText"/>
        <w:spacing w:line="386" w:lineRule="auto"/>
        <w:ind w:left="574" w:right="95" w:hanging="1"/>
        <w:jc w:val="left"/>
      </w:pPr>
      <w:r>
        <w:rPr>
          <w:rFonts w:ascii="Times New Roman" w:hAnsi="Times New Roman" w:cs="Times New Roman" w:eastAsia="Times New Roman" w:hint="default"/>
        </w:rPr>
        <w:t>2</w:t>
      </w:r>
      <w:r>
        <w:rPr/>
        <w:t>、投资者调研期间的信息保密工作 </w:t>
      </w:r>
      <w:r>
        <w:rPr>
          <w:spacing w:val="-1"/>
        </w:rPr>
        <w:t>在定期报告及重大事项披露期间，公司均尽量避免接待投资者的调研，努力做好定期报告及重大事项</w:t>
      </w:r>
    </w:p>
    <w:p>
      <w:pPr>
        <w:pStyle w:val="BodyText"/>
        <w:spacing w:line="408" w:lineRule="auto" w:before="65"/>
        <w:ind w:right="101"/>
        <w:jc w:val="left"/>
      </w:pPr>
      <w:r>
        <w:rPr>
          <w:spacing w:val="-3"/>
        </w:rPr>
        <w:t>披露期间的信息保密工作。在日常接待投资者调研时，公司证券事务部负责履行相关的信息保密工作程序。</w:t>
      </w:r>
      <w:r>
        <w:rPr>
          <w:spacing w:val="-92"/>
        </w:rPr>
        <w:t> </w:t>
      </w:r>
      <w:r>
        <w:rPr>
          <w:spacing w:val="-92"/>
        </w:rPr>
      </w:r>
      <w:r>
        <w:rPr/>
        <w:t>在投资者进行调研前，先对调研人员的个人信息进行备案，同时要求签署投资者（机构）调研登记表与保</w:t>
      </w:r>
      <w:r>
        <w:rPr/>
        <w:t> 密承诺书，并承诺在对外出具报告前需经公司认可。在调研过程中，证券事务部人员认真做好相关会议记 录并形成书面文件，要求调研人员与被调研人员查阅后共同签署，并按照相关法规规定向深交所报备。</w:t>
      </w:r>
    </w:p>
    <w:p>
      <w:pPr>
        <w:pStyle w:val="BodyText"/>
        <w:spacing w:line="386" w:lineRule="auto"/>
        <w:ind w:left="574" w:right="95" w:hanging="1"/>
        <w:jc w:val="left"/>
      </w:pPr>
      <w:r>
        <w:rPr>
          <w:rFonts w:ascii="Times New Roman" w:hAnsi="Times New Roman" w:cs="Times New Roman" w:eastAsia="Times New Roman" w:hint="default"/>
        </w:rPr>
        <w:t>3</w:t>
      </w:r>
      <w:r>
        <w:rPr/>
        <w:t>、其他重大事件的信息保密工作 </w:t>
      </w:r>
      <w:r>
        <w:rPr>
          <w:spacing w:val="-1"/>
        </w:rPr>
        <w:t>在其他重大事项（如对外投资等）未披露前，公司均严格控制知情人范围并向相关内幕信息知情人提</w:t>
      </w:r>
    </w:p>
    <w:p>
      <w:pPr>
        <w:pStyle w:val="BodyText"/>
        <w:spacing w:line="408" w:lineRule="auto" w:before="65"/>
        <w:ind w:right="188"/>
        <w:jc w:val="both"/>
      </w:pPr>
      <w:r>
        <w:rPr/>
        <w:t>供《禁止内幕交易告知书》，组织填写《内幕信息知情人登记表》并签署《内幕信息知情人保密协议》， 以保证信息处于可控范围。</w:t>
      </w:r>
    </w:p>
    <w:p>
      <w:pPr>
        <w:pStyle w:val="BodyText"/>
        <w:spacing w:line="386" w:lineRule="auto"/>
        <w:ind w:left="574" w:right="95" w:hanging="1"/>
        <w:jc w:val="left"/>
      </w:pPr>
      <w:r>
        <w:rPr>
          <w:rFonts w:ascii="Times New Roman" w:hAnsi="Times New Roman" w:cs="Times New Roman" w:eastAsia="Times New Roman" w:hint="default"/>
        </w:rPr>
        <w:t>4</w:t>
      </w:r>
      <w:r>
        <w:rPr/>
        <w:t>、外部信息报送和使用 </w:t>
      </w:r>
      <w:r>
        <w:rPr>
          <w:spacing w:val="-3"/>
        </w:rPr>
        <w:t>为进一步加强公司定期报告、临时报告及重大事项在编制、审议和披露期间的外部信息使用人的管理，</w:t>
      </w:r>
    </w:p>
    <w:p>
      <w:pPr>
        <w:pStyle w:val="BodyText"/>
        <w:spacing w:line="408" w:lineRule="auto" w:before="65"/>
        <w:ind w:right="188"/>
        <w:jc w:val="both"/>
      </w:pPr>
      <w:r>
        <w:rPr>
          <w:spacing w:val="-1"/>
        </w:rPr>
        <w:t>规范外部信息报送管理事务，杜绝泄露内幕信息、内幕交易等违法违规行为，公司制定了《外部信息报送</w:t>
      </w:r>
      <w:r>
        <w:rPr>
          <w:spacing w:val="-82"/>
        </w:rPr>
        <w:t> </w:t>
      </w:r>
      <w:r>
        <w:rPr>
          <w:spacing w:val="-82"/>
        </w:rPr>
      </w:r>
      <w:r>
        <w:rPr/>
        <w:t>和使用管理制度》。公司依据法律法规的要求对外报送信息前，经办人员填写对《外信息报送审批表》， </w:t>
      </w:r>
      <w:r>
        <w:rPr>
          <w:spacing w:val="-1"/>
        </w:rPr>
        <w:t>经逐级批准后方可对外报送。公司将对外报送的未公开信息作为内幕信息，并向信息使用人出具书面《保</w:t>
      </w:r>
      <w:r>
        <w:rPr>
          <w:spacing w:val="-83"/>
        </w:rPr>
        <w:t> </w:t>
      </w:r>
      <w:r>
        <w:rPr>
          <w:spacing w:val="-83"/>
        </w:rPr>
      </w:r>
      <w:r>
        <w:rPr>
          <w:spacing w:val="-1"/>
        </w:rPr>
        <w:t>密提示函》提示报送的外部单位及相关人员认真履行《证券法》、《上市公司信息披露管理办法》等有关</w:t>
      </w:r>
      <w:r>
        <w:rPr>
          <w:spacing w:val="-83"/>
        </w:rPr>
        <w:t> </w:t>
      </w:r>
      <w:r>
        <w:rPr>
          <w:spacing w:val="-83"/>
        </w:rPr>
      </w:r>
      <w:r>
        <w:rPr/>
        <w:t>法律法规规定的保密义务和禁止内幕交易的义务，并要求接收方签署《回函》。经办人将《保密提示函》 </w:t>
      </w:r>
      <w:r>
        <w:rPr>
          <w:spacing w:val="-1"/>
        </w:rPr>
        <w:t>和《回函》复印件留本部门备查，原件交由公司证券事务部存档。除上述要求外，公司对外报送未公开重</w:t>
      </w:r>
      <w:r>
        <w:rPr>
          <w:spacing w:val="-83"/>
        </w:rPr>
        <w:t> </w:t>
      </w:r>
      <w:r>
        <w:rPr>
          <w:spacing w:val="-83"/>
        </w:rPr>
      </w:r>
      <w:r>
        <w:rPr/>
        <w:t>大信息时，首先进行备案登记，并要求接收方签署《保密承诺函》。</w:t>
      </w:r>
    </w:p>
    <w:p>
      <w:pPr>
        <w:pStyle w:val="BodyText"/>
        <w:spacing w:line="444" w:lineRule="auto"/>
        <w:ind w:left="574" w:right="170"/>
        <w:jc w:val="left"/>
      </w:pPr>
      <w:r>
        <w:rPr/>
        <w:t>（三）报告期内自查内幕信息知情人涉嫌内幕交易以及监管部门的查处和整改情况 报告期内，公司董事、监事及高级管理人员和其他相关知情人严格遵守了内幕信息知情人管理制度，</w:t>
      </w:r>
    </w:p>
    <w:p>
      <w:pPr>
        <w:pStyle w:val="BodyText"/>
        <w:spacing w:line="410" w:lineRule="auto" w:before="13"/>
        <w:ind w:right="95"/>
        <w:jc w:val="left"/>
      </w:pPr>
      <w:r>
        <w:rPr>
          <w:spacing w:val="-1"/>
        </w:rPr>
        <w:t>未发现有内幕信息知情人利用内幕信息买卖本公司股份的情况。报告期内公司也未发生受到监管部门查处</w:t>
      </w:r>
      <w:r>
        <w:rPr>
          <w:spacing w:val="-81"/>
        </w:rPr>
        <w:t> </w:t>
      </w:r>
      <w:r>
        <w:rPr>
          <w:spacing w:val="-81"/>
        </w:rPr>
      </w:r>
      <w:r>
        <w:rPr/>
        <w:t>和整改的情形。</w:t>
      </w:r>
    </w:p>
    <w:p>
      <w:pPr>
        <w:spacing w:after="0" w:line="410" w:lineRule="auto"/>
        <w:jc w:val="left"/>
        <w:sectPr>
          <w:pgSz w:w="11910" w:h="16840"/>
          <w:pgMar w:header="877" w:footer="982" w:top="1100" w:bottom="1180" w:left="980" w:right="920"/>
        </w:sectPr>
      </w:pPr>
    </w:p>
    <w:p>
      <w:pPr>
        <w:spacing w:line="240" w:lineRule="auto" w:before="12"/>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before="26"/>
        <w:ind w:left="159" w:right="0"/>
        <w:jc w:val="left"/>
        <w:rPr>
          <w:b w:val="0"/>
          <w:bCs w:val="0"/>
        </w:rPr>
      </w:pPr>
      <w:r>
        <w:rPr/>
        <w:t>七、报告期内接待调研、沟通、采访等活动登记表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494"/>
        <w:gridCol w:w="1496"/>
        <w:gridCol w:w="1498"/>
        <w:gridCol w:w="1496"/>
        <w:gridCol w:w="3229"/>
        <w:gridCol w:w="4848"/>
      </w:tblGrid>
      <w:tr>
        <w:trPr>
          <w:trHeight w:val="401"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4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47"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363"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3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上海申银万国证券研究所有限公司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p>
        </w:tc>
        <w:tc>
          <w:tcPr>
            <w:tcW w:w="4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年整体财务情况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公司在移动支付业务领域的业务情</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中投证券</w:t>
            </w:r>
            <w:r>
              <w:rPr>
                <w:rFonts w:ascii="Times New Roman" w:hAnsi="Times New Roman" w:cs="Times New Roman" w:eastAsia="Times New Roman" w:hint="default"/>
                <w:sz w:val="18"/>
                <w:szCs w:val="18"/>
              </w:rPr>
              <w:t>;</w:t>
            </w:r>
            <w:r>
              <w:rPr>
                <w:rFonts w:ascii="宋体" w:hAnsi="宋体" w:cs="宋体" w:eastAsia="宋体" w:hint="default"/>
                <w:sz w:val="18"/>
                <w:szCs w:val="18"/>
              </w:rPr>
              <w:t>西部证券股份有限公司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恒泰证</w:t>
            </w:r>
          </w:p>
        </w:tc>
        <w:tc>
          <w:tcPr>
            <w:tcW w:w="4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卡应用的推广情况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公司一卡通系统在校园领</w:t>
            </w:r>
          </w:p>
        </w:tc>
      </w:tr>
      <w:tr>
        <w:trPr>
          <w:trHeight w:val="350"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3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平安证券有限责任公司</w:t>
            </w:r>
          </w:p>
        </w:tc>
        <w:tc>
          <w:tcPr>
            <w:tcW w:w="4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域的发展情况以及未来的拓展思路</w:t>
            </w:r>
          </w:p>
        </w:tc>
      </w:tr>
      <w:tr>
        <w:trPr>
          <w:trHeight w:val="363"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3229" w:type="dxa"/>
            <w:tcBorders>
              <w:top w:val="single" w:sz="4" w:space="0" w:color="000000"/>
              <w:left w:val="single" w:sz="4" w:space="0" w:color="000000"/>
              <w:bottom w:val="nil" w:sz="6" w:space="0" w:color="auto"/>
              <w:right w:val="single" w:sz="4" w:space="0" w:color="000000"/>
            </w:tcBorders>
          </w:tcPr>
          <w:p>
            <w:pPr/>
          </w:p>
        </w:tc>
        <w:tc>
          <w:tcPr>
            <w:tcW w:w="4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年净利润下降的主要原因</w:t>
            </w:r>
            <w:r>
              <w:rPr>
                <w:rFonts w:ascii="Times New Roman" w:hAnsi="Times New Roman" w:cs="Times New Roman" w:eastAsia="Times New Roman" w:hint="default"/>
                <w:sz w:val="18"/>
                <w:szCs w:val="18"/>
              </w:rPr>
              <w:t>;</w:t>
            </w:r>
            <w:r>
              <w:rPr>
                <w:rFonts w:ascii="宋体" w:hAnsi="宋体" w:cs="宋体" w:eastAsia="宋体" w:hint="default"/>
                <w:sz w:val="18"/>
                <w:szCs w:val="18"/>
              </w:rPr>
              <w:t>移动支付标准的确定是否</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4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会对公司一卡通业务造成影响，公司有没有积极调整业务模</w:t>
            </w:r>
          </w:p>
        </w:tc>
      </w:tr>
      <w:tr>
        <w:trPr>
          <w:trHeight w:val="350"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3229" w:type="dxa"/>
            <w:tcBorders>
              <w:top w:val="nil" w:sz="6" w:space="0" w:color="auto"/>
              <w:left w:val="single" w:sz="4" w:space="0" w:color="000000"/>
              <w:bottom w:val="single" w:sz="4" w:space="0" w:color="000000"/>
              <w:right w:val="single" w:sz="4" w:space="0" w:color="000000"/>
            </w:tcBorders>
          </w:tcPr>
          <w:p>
            <w:pPr/>
          </w:p>
        </w:tc>
        <w:tc>
          <w:tcPr>
            <w:tcW w:w="4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公司在校园一卡通业务领域业务未来的发展思路及方向</w:t>
            </w:r>
            <w:r>
              <w:rPr>
                <w:rFonts w:ascii="Times New Roman" w:hAnsi="Times New Roman" w:cs="Times New Roman" w:eastAsia="Times New Roman" w:hint="default"/>
                <w:sz w:val="18"/>
                <w:szCs w:val="18"/>
              </w:rPr>
              <w:t>;</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中航证券有限公司</w:t>
            </w:r>
          </w:p>
        </w:tc>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公司的战略规划及校园一卡通的市场情况</w:t>
            </w:r>
          </w:p>
        </w:tc>
      </w:tr>
      <w:tr>
        <w:trPr>
          <w:trHeight w:val="363"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3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深圳市景元天成</w:t>
            </w:r>
          </w:p>
        </w:tc>
        <w:tc>
          <w:tcPr>
            <w:tcW w:w="4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公司校园一卡通的市场情况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公司在移动支付业务领域的业务</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投资顾问有限公司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东莞天盛投资管理咨</w:t>
            </w:r>
          </w:p>
        </w:tc>
        <w:tc>
          <w:tcPr>
            <w:tcW w:w="4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情况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在移动互联网时代，公司能做的有哪些</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年公司整体</w:t>
            </w:r>
          </w:p>
        </w:tc>
      </w:tr>
      <w:tr>
        <w:trPr>
          <w:trHeight w:val="350"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3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询有限公司</w:t>
            </w:r>
          </w:p>
        </w:tc>
        <w:tc>
          <w:tcPr>
            <w:tcW w:w="4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的业务规划</w:t>
            </w:r>
          </w:p>
        </w:tc>
      </w:tr>
      <w:tr>
        <w:trPr>
          <w:trHeight w:val="363"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3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国泰君安证券</w:t>
            </w:r>
            <w:r>
              <w:rPr>
                <w:rFonts w:ascii="Times New Roman" w:hAnsi="Times New Roman" w:cs="Times New Roman" w:eastAsia="Times New Roman" w:hint="default"/>
                <w:sz w:val="18"/>
                <w:szCs w:val="18"/>
              </w:rPr>
              <w:t>;</w:t>
            </w:r>
            <w:r>
              <w:rPr>
                <w:rFonts w:ascii="宋体" w:hAnsi="宋体" w:cs="宋体" w:eastAsia="宋体" w:hint="default"/>
                <w:sz w:val="18"/>
                <w:szCs w:val="18"/>
              </w:rPr>
              <w:t>信达证券股份有限公司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p>
        </w:tc>
        <w:tc>
          <w:tcPr>
            <w:tcW w:w="4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移动支付业务领域的业务情况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公司的移动互联网</w:t>
            </w:r>
          </w:p>
        </w:tc>
      </w:tr>
      <w:tr>
        <w:trPr>
          <w:trHeight w:val="624"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9"/>
              <w:jc w:val="left"/>
              <w:rPr>
                <w:rFonts w:ascii="宋体" w:hAnsi="宋体" w:cs="宋体" w:eastAsia="宋体" w:hint="default"/>
                <w:sz w:val="18"/>
                <w:szCs w:val="18"/>
              </w:rPr>
            </w:pPr>
            <w:r>
              <w:rPr>
                <w:rFonts w:ascii="宋体" w:hAnsi="宋体" w:cs="宋体" w:eastAsia="宋体" w:hint="default"/>
                <w:sz w:val="18"/>
                <w:szCs w:val="18"/>
              </w:rPr>
              <w:t>国银河投资管理有限公司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新华基金管理 有限公司</w:t>
            </w: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资本投资顾问（北京）有</w:t>
            </w:r>
          </w:p>
        </w:tc>
        <w:tc>
          <w:tcPr>
            <w:tcW w:w="4848"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2"/>
              <w:jc w:val="left"/>
              <w:rPr>
                <w:rFonts w:ascii="宋体" w:hAnsi="宋体" w:cs="宋体" w:eastAsia="宋体" w:hint="default"/>
                <w:sz w:val="18"/>
                <w:szCs w:val="18"/>
              </w:rPr>
            </w:pPr>
            <w:r>
              <w:rPr>
                <w:rFonts w:ascii="宋体" w:hAnsi="宋体" w:cs="宋体" w:eastAsia="宋体" w:hint="default"/>
                <w:sz w:val="18"/>
                <w:szCs w:val="18"/>
              </w:rPr>
              <w:t>业务的开展情况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公司对投资上海微令信息科技有限公司的情 况</w:t>
            </w:r>
            <w:r>
              <w:rPr>
                <w:rFonts w:ascii="Times New Roman" w:hAnsi="Times New Roman" w:cs="Times New Roman" w:eastAsia="Times New Roman" w:hint="default"/>
                <w:sz w:val="18"/>
                <w:szCs w:val="18"/>
              </w:rPr>
              <w:t>;</w:t>
            </w:r>
            <w:r>
              <w:rPr>
                <w:rFonts w:ascii="宋体" w:hAnsi="宋体" w:cs="宋体" w:eastAsia="宋体" w:hint="default"/>
                <w:sz w:val="18"/>
                <w:szCs w:val="18"/>
              </w:rPr>
              <w:t>福建新开普子公司业务是否和母公司业务一致</w:t>
            </w:r>
            <w:r>
              <w:rPr>
                <w:rFonts w:ascii="Times New Roman" w:hAnsi="Times New Roman" w:cs="Times New Roman" w:eastAsia="Times New Roman" w:hint="default"/>
                <w:sz w:val="18"/>
                <w:szCs w:val="18"/>
              </w:rPr>
              <w:t>;</w:t>
            </w:r>
            <w:r>
              <w:rPr>
                <w:rFonts w:ascii="宋体" w:hAnsi="宋体" w:cs="宋体" w:eastAsia="宋体" w:hint="default"/>
                <w:sz w:val="18"/>
                <w:szCs w:val="18"/>
              </w:rPr>
              <w:t>公司校园一</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3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4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卡通业务的拓展思路</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4"/>
              <w:jc w:val="both"/>
              <w:rPr>
                <w:rFonts w:ascii="宋体" w:hAnsi="宋体" w:cs="宋体" w:eastAsia="宋体" w:hint="default"/>
                <w:sz w:val="18"/>
                <w:szCs w:val="18"/>
              </w:rPr>
            </w:pPr>
            <w:r>
              <w:rPr>
                <w:rFonts w:ascii="宋体" w:hAnsi="宋体" w:cs="宋体" w:eastAsia="宋体" w:hint="default"/>
                <w:sz w:val="18"/>
                <w:szCs w:val="18"/>
              </w:rPr>
              <w:t>华泰证券股份有限公司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海通证券股份有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上海玖歌投资管理有限公司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圆信 永丰基金管理有限公司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中银基金管理有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中银基金管理有限公司</w:t>
            </w:r>
          </w:p>
        </w:tc>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3"/>
              <w:jc w:val="both"/>
              <w:rPr>
                <w:rFonts w:ascii="宋体" w:hAnsi="宋体" w:cs="宋体" w:eastAsia="宋体" w:hint="default"/>
                <w:sz w:val="18"/>
                <w:szCs w:val="18"/>
              </w:rPr>
            </w:pPr>
            <w:r>
              <w:rPr>
                <w:rFonts w:ascii="宋体" w:hAnsi="宋体" w:cs="宋体" w:eastAsia="宋体" w:hint="default"/>
                <w:sz w:val="18"/>
                <w:szCs w:val="18"/>
              </w:rPr>
              <w:t>公司校园一卡通的市场情况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公司毛利率一直未见明显减少原 因</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移动支付业务及移动互联网业务领域的发展情 况</w:t>
            </w:r>
          </w:p>
        </w:tc>
      </w:tr>
      <w:tr>
        <w:trPr>
          <w:trHeight w:val="354"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3229" w:type="dxa"/>
            <w:tcBorders>
              <w:top w:val="single" w:sz="4" w:space="0" w:color="000000"/>
              <w:left w:val="single" w:sz="4" w:space="0" w:color="000000"/>
              <w:bottom w:val="nil" w:sz="6" w:space="0" w:color="auto"/>
              <w:right w:val="single" w:sz="4" w:space="0" w:color="000000"/>
            </w:tcBorders>
          </w:tcPr>
          <w:p>
            <w:pPr/>
          </w:p>
        </w:tc>
        <w:tc>
          <w:tcPr>
            <w:tcW w:w="4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移动支付业务领域的发展情况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公司在移动互联网</w:t>
            </w:r>
          </w:p>
        </w:tc>
      </w:tr>
      <w:tr>
        <w:trPr>
          <w:trHeight w:val="321"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中国银河证券</w:t>
            </w:r>
            <w:r>
              <w:rPr>
                <w:rFonts w:ascii="Times New Roman" w:hAnsi="Times New Roman" w:cs="Times New Roman" w:eastAsia="Times New Roman" w:hint="default"/>
                <w:sz w:val="18"/>
                <w:szCs w:val="18"/>
              </w:rPr>
              <w:t>;</w:t>
            </w:r>
            <w:r>
              <w:rPr>
                <w:rFonts w:ascii="宋体" w:hAnsi="宋体" w:cs="宋体" w:eastAsia="宋体" w:hint="default"/>
                <w:sz w:val="18"/>
                <w:szCs w:val="18"/>
              </w:rPr>
              <w:t>民生证券股份有限公司</w:t>
            </w:r>
          </w:p>
        </w:tc>
        <w:tc>
          <w:tcPr>
            <w:tcW w:w="4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业务领域的发展思路</w:t>
            </w:r>
            <w:r>
              <w:rPr>
                <w:rFonts w:ascii="Times New Roman" w:hAnsi="Times New Roman" w:cs="Times New Roman" w:eastAsia="Times New Roman" w:hint="default"/>
                <w:sz w:val="18"/>
                <w:szCs w:val="18"/>
              </w:rPr>
              <w:t>;</w:t>
            </w:r>
            <w:r>
              <w:rPr>
                <w:rFonts w:ascii="宋体" w:hAnsi="宋体" w:cs="宋体" w:eastAsia="宋体" w:hint="default"/>
                <w:sz w:val="18"/>
                <w:szCs w:val="18"/>
              </w:rPr>
              <w:t>一卡通系统在校园领域的发展历程及公</w:t>
            </w:r>
          </w:p>
        </w:tc>
      </w:tr>
      <w:tr>
        <w:trPr>
          <w:trHeight w:val="312"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3229" w:type="dxa"/>
            <w:tcBorders>
              <w:top w:val="nil" w:sz="6" w:space="0" w:color="auto"/>
              <w:left w:val="single" w:sz="4" w:space="0" w:color="000000"/>
              <w:bottom w:val="single" w:sz="4" w:space="0" w:color="000000"/>
              <w:right w:val="single" w:sz="4" w:space="0" w:color="000000"/>
            </w:tcBorders>
          </w:tcPr>
          <w:p>
            <w:pPr/>
          </w:p>
        </w:tc>
        <w:tc>
          <w:tcPr>
            <w:tcW w:w="4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司校园一卡通的市场发展开拓情况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年的主要发展思</w:t>
            </w:r>
          </w:p>
        </w:tc>
      </w:tr>
    </w:tbl>
    <w:p>
      <w:pPr>
        <w:spacing w:after="0" w:line="240" w:lineRule="auto"/>
        <w:jc w:val="left"/>
        <w:rPr>
          <w:rFonts w:ascii="宋体" w:hAnsi="宋体" w:cs="宋体" w:eastAsia="宋体" w:hint="default"/>
          <w:sz w:val="18"/>
          <w:szCs w:val="18"/>
        </w:rPr>
        <w:sectPr>
          <w:headerReference w:type="default" r:id="rId31"/>
          <w:footerReference w:type="default" r:id="rId32"/>
          <w:pgSz w:w="16840" w:h="11910" w:orient="landscape"/>
          <w:pgMar w:header="867" w:footer="978" w:top="1060" w:bottom="1160" w:left="1280" w:right="1280"/>
          <w:pgNumType w:start="59"/>
        </w:sectPr>
      </w:pPr>
    </w:p>
    <w:p>
      <w:pPr>
        <w:spacing w:line="240" w:lineRule="auto" w:before="4"/>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94"/>
        <w:gridCol w:w="1496"/>
        <w:gridCol w:w="1498"/>
        <w:gridCol w:w="1496"/>
        <w:gridCol w:w="3229"/>
        <w:gridCol w:w="4848"/>
      </w:tblGrid>
      <w:tr>
        <w:trPr>
          <w:trHeight w:val="377" w:hRule="exact"/>
        </w:trPr>
        <w:tc>
          <w:tcPr>
            <w:tcW w:w="1494" w:type="dxa"/>
            <w:tcBorders>
              <w:top w:val="single" w:sz="15" w:space="0" w:color="000000"/>
              <w:left w:val="single" w:sz="4" w:space="0" w:color="000000"/>
              <w:bottom w:val="single" w:sz="4" w:space="0" w:color="000000"/>
              <w:right w:val="single" w:sz="4" w:space="0" w:color="000000"/>
            </w:tcBorders>
          </w:tcPr>
          <w:p>
            <w:pPr/>
          </w:p>
        </w:tc>
        <w:tc>
          <w:tcPr>
            <w:tcW w:w="1496"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c>
          <w:tcPr>
            <w:tcW w:w="1496" w:type="dxa"/>
            <w:tcBorders>
              <w:top w:val="single" w:sz="15" w:space="0" w:color="000000"/>
              <w:left w:val="single" w:sz="4" w:space="0" w:color="000000"/>
              <w:bottom w:val="single" w:sz="4" w:space="0" w:color="000000"/>
              <w:right w:val="single" w:sz="4" w:space="0" w:color="000000"/>
            </w:tcBorders>
          </w:tcPr>
          <w:p>
            <w:pPr/>
          </w:p>
        </w:tc>
        <w:tc>
          <w:tcPr>
            <w:tcW w:w="3229" w:type="dxa"/>
            <w:tcBorders>
              <w:top w:val="single" w:sz="15" w:space="0" w:color="000000"/>
              <w:left w:val="single" w:sz="4" w:space="0" w:color="000000"/>
              <w:bottom w:val="single" w:sz="4" w:space="0" w:color="000000"/>
              <w:right w:val="single" w:sz="4" w:space="0" w:color="000000"/>
            </w:tcBorders>
          </w:tcPr>
          <w:p>
            <w:pPr/>
          </w:p>
        </w:tc>
        <w:tc>
          <w:tcPr>
            <w:tcW w:w="48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路及规划</w:t>
            </w:r>
          </w:p>
        </w:tc>
      </w:tr>
      <w:tr>
        <w:trPr>
          <w:trHeight w:val="362"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3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南方基金</w:t>
            </w:r>
            <w:r>
              <w:rPr>
                <w:rFonts w:ascii="Times New Roman" w:hAnsi="Times New Roman" w:cs="Times New Roman" w:eastAsia="Times New Roman" w:hint="default"/>
                <w:sz w:val="18"/>
                <w:szCs w:val="18"/>
              </w:rPr>
              <w:t>;</w:t>
            </w:r>
            <w:r>
              <w:rPr>
                <w:rFonts w:ascii="宋体" w:hAnsi="宋体" w:cs="宋体" w:eastAsia="宋体" w:hint="default"/>
                <w:sz w:val="18"/>
                <w:szCs w:val="18"/>
              </w:rPr>
              <w:t>北京君</w:t>
            </w:r>
          </w:p>
        </w:tc>
        <w:tc>
          <w:tcPr>
            <w:tcW w:w="484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94"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合泰达投资管理有限公司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中国国际金融</w:t>
            </w:r>
          </w:p>
        </w:tc>
        <w:tc>
          <w:tcPr>
            <w:tcW w:w="4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银华基金管理有限公司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宏源证</w:t>
            </w:r>
          </w:p>
        </w:tc>
        <w:tc>
          <w:tcPr>
            <w:tcW w:w="4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宝盈基金管理有限公司</w:t>
            </w:r>
            <w:r>
              <w:rPr>
                <w:rFonts w:ascii="Times New Roman" w:hAnsi="Times New Roman" w:cs="Times New Roman" w:eastAsia="Times New Roman" w:hint="default"/>
                <w:sz w:val="18"/>
                <w:szCs w:val="18"/>
              </w:rPr>
              <w:t>;</w:t>
            </w:r>
          </w:p>
        </w:tc>
        <w:tc>
          <w:tcPr>
            <w:tcW w:w="4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北京龙鼎投资管理有限公司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华商基金管</w:t>
            </w:r>
          </w:p>
        </w:tc>
        <w:tc>
          <w:tcPr>
            <w:tcW w:w="484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北京邮电大学科技 大厦第五会议室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北京勤益科技投资管理有限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华融证券股份有限公司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百年人寿保 险股份有限公司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长城证券有限责任公司</w:t>
            </w:r>
            <w:r>
              <w:rPr>
                <w:rFonts w:ascii="Times New Roman" w:hAnsi="Times New Roman" w:cs="Times New Roman" w:eastAsia="Times New Roman" w:hint="default"/>
                <w:sz w:val="18"/>
                <w:szCs w:val="18"/>
              </w:rPr>
              <w:t>;</w:t>
            </w:r>
          </w:p>
        </w:tc>
        <w:tc>
          <w:tcPr>
            <w:tcW w:w="48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产品线介绍</w:t>
            </w:r>
            <w:r>
              <w:rPr>
                <w:rFonts w:ascii="Times New Roman" w:hAnsi="Times New Roman" w:cs="Times New Roman" w:eastAsia="Times New Roman" w:hint="default"/>
                <w:sz w:val="18"/>
                <w:szCs w:val="18"/>
              </w:rPr>
              <w:t>;</w:t>
            </w:r>
            <w:r>
              <w:rPr>
                <w:rFonts w:ascii="宋体" w:hAnsi="宋体" w:cs="宋体" w:eastAsia="宋体" w:hint="default"/>
                <w:sz w:val="18"/>
                <w:szCs w:val="18"/>
              </w:rPr>
              <w:t>玩校产品介绍</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国信证券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广发证券股份有限公司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上海鼎</w:t>
            </w:r>
          </w:p>
        </w:tc>
        <w:tc>
          <w:tcPr>
            <w:tcW w:w="4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锋资产管理有限公司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北京鼎萨投资有限</w:t>
            </w:r>
          </w:p>
        </w:tc>
        <w:tc>
          <w:tcPr>
            <w:tcW w:w="4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日信证券有限责任公司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民生证券</w:t>
            </w:r>
            <w:r>
              <w:rPr>
                <w:rFonts w:ascii="Times New Roman" w:hAnsi="Times New Roman" w:cs="Times New Roman" w:eastAsia="Times New Roman" w:hint="default"/>
                <w:sz w:val="18"/>
                <w:szCs w:val="18"/>
              </w:rPr>
              <w:t>;</w:t>
            </w:r>
          </w:p>
        </w:tc>
        <w:tc>
          <w:tcPr>
            <w:tcW w:w="484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长江证券</w:t>
            </w:r>
            <w:r>
              <w:rPr>
                <w:rFonts w:ascii="Times New Roman" w:hAnsi="Times New Roman" w:cs="Times New Roman" w:eastAsia="Times New Roman" w:hint="default"/>
                <w:sz w:val="18"/>
                <w:szCs w:val="18"/>
              </w:rPr>
              <w:t>;</w:t>
            </w:r>
            <w:r>
              <w:rPr>
                <w:rFonts w:ascii="宋体" w:hAnsi="宋体" w:cs="宋体" w:eastAsia="宋体" w:hint="default"/>
                <w:sz w:val="18"/>
                <w:szCs w:val="18"/>
              </w:rPr>
              <w:t>华创证券有限责任公司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东方证</w:t>
            </w:r>
          </w:p>
        </w:tc>
        <w:tc>
          <w:tcPr>
            <w:tcW w:w="484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3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券股份有限公司</w:t>
            </w:r>
          </w:p>
        </w:tc>
        <w:tc>
          <w:tcPr>
            <w:tcW w:w="484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3229" w:type="dxa"/>
            <w:tcBorders>
              <w:top w:val="single" w:sz="4" w:space="0" w:color="000000"/>
              <w:left w:val="single" w:sz="4" w:space="0" w:color="000000"/>
              <w:bottom w:val="nil" w:sz="6" w:space="0" w:color="auto"/>
              <w:right w:val="single" w:sz="4" w:space="0" w:color="000000"/>
            </w:tcBorders>
          </w:tcPr>
          <w:p>
            <w:pPr/>
          </w:p>
        </w:tc>
        <w:tc>
          <w:tcPr>
            <w:tcW w:w="4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公司对投资上海微令信息科技有限公司的情况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移</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4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动支付业务领域的发展情况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公司在移动互联网业务领域的发</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3229" w:type="dxa"/>
            <w:tcBorders>
              <w:top w:val="nil" w:sz="6" w:space="0" w:color="auto"/>
              <w:left w:val="single" w:sz="4" w:space="0" w:color="000000"/>
              <w:bottom w:val="single" w:sz="4" w:space="0" w:color="000000"/>
              <w:right w:val="single" w:sz="4" w:space="0" w:color="000000"/>
            </w:tcBorders>
          </w:tcPr>
          <w:p>
            <w:pPr/>
          </w:p>
        </w:tc>
        <w:tc>
          <w:tcPr>
            <w:tcW w:w="4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展思路及</w:t>
            </w:r>
            <w:r>
              <w:rPr>
                <w:rFonts w:ascii="Times New Roman" w:hAnsi="Times New Roman" w:cs="Times New Roman" w:eastAsia="Times New Roman" w:hint="default"/>
                <w:sz w:val="18"/>
                <w:szCs w:val="18"/>
              </w:rPr>
              <w:t>“</w:t>
            </w:r>
            <w:r>
              <w:rPr>
                <w:rFonts w:ascii="宋体" w:hAnsi="宋体" w:cs="宋体" w:eastAsia="宋体" w:hint="default"/>
                <w:sz w:val="18"/>
                <w:szCs w:val="18"/>
              </w:rPr>
              <w:t>玩校</w:t>
            </w:r>
            <w:r>
              <w:rPr>
                <w:rFonts w:ascii="Times New Roman" w:hAnsi="Times New Roman" w:cs="Times New Roman" w:eastAsia="Times New Roman" w:hint="default"/>
                <w:sz w:val="18"/>
                <w:szCs w:val="18"/>
              </w:rPr>
              <w:t>”</w:t>
            </w:r>
            <w:r>
              <w:rPr>
                <w:rFonts w:ascii="宋体" w:hAnsi="宋体" w:cs="宋体" w:eastAsia="宋体" w:hint="default"/>
                <w:sz w:val="18"/>
                <w:szCs w:val="18"/>
              </w:rPr>
              <w:t>产品的推广运营情况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4"/>
                <w:sz w:val="18"/>
                <w:szCs w:val="18"/>
              </w:rPr>
              <w:t>海通证券股份有限公司；中信证券股份有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限公司；光大证券股份有限公司；汇丰晋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信基金管理有限公司；广发证券；银华基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金管理有限公司；业森资本</w:t>
            </w:r>
          </w:p>
        </w:tc>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宋体" w:hAnsi="宋体" w:cs="宋体" w:eastAsia="宋体" w:hint="default"/>
                <w:sz w:val="18"/>
                <w:szCs w:val="18"/>
              </w:rPr>
              <w:t>公司在移动互联网业务发展情况及</w:t>
            </w:r>
            <w:r>
              <w:rPr>
                <w:rFonts w:ascii="Times New Roman" w:hAnsi="Times New Roman" w:cs="Times New Roman" w:eastAsia="Times New Roman" w:hint="default"/>
                <w:sz w:val="18"/>
                <w:szCs w:val="18"/>
              </w:rPr>
              <w:t>“</w:t>
            </w:r>
            <w:r>
              <w:rPr>
                <w:rFonts w:ascii="宋体" w:hAnsi="宋体" w:cs="宋体" w:eastAsia="宋体" w:hint="default"/>
                <w:sz w:val="18"/>
                <w:szCs w:val="18"/>
              </w:rPr>
              <w:t>玩校</w:t>
            </w:r>
            <w:r>
              <w:rPr>
                <w:rFonts w:ascii="Times New Roman" w:hAnsi="Times New Roman" w:cs="Times New Roman" w:eastAsia="Times New Roman" w:hint="default"/>
                <w:sz w:val="18"/>
                <w:szCs w:val="18"/>
              </w:rPr>
              <w:t>”</w:t>
            </w:r>
            <w:r>
              <w:rPr>
                <w:rFonts w:ascii="宋体" w:hAnsi="宋体" w:cs="宋体" w:eastAsia="宋体" w:hint="default"/>
                <w:sz w:val="18"/>
                <w:szCs w:val="18"/>
              </w:rPr>
              <w:t>产品的推广运营情 况；公司在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移动支付业务发展情况；公司三至五年的主 要发展思路及规划</w:t>
            </w:r>
          </w:p>
        </w:tc>
      </w:tr>
    </w:tbl>
    <w:p>
      <w:pPr>
        <w:spacing w:after="0" w:line="300" w:lineRule="auto"/>
        <w:jc w:val="left"/>
        <w:rPr>
          <w:rFonts w:ascii="宋体" w:hAnsi="宋体" w:cs="宋体" w:eastAsia="宋体" w:hint="default"/>
          <w:sz w:val="18"/>
          <w:szCs w:val="18"/>
        </w:rPr>
        <w:sectPr>
          <w:pgSz w:w="16840" w:h="11910" w:orient="landscape"/>
          <w:pgMar w:header="867" w:footer="978" w:top="1060" w:bottom="1160" w:left="1280" w:right="12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Heading1"/>
        <w:spacing w:line="240" w:lineRule="auto"/>
        <w:ind w:left="5897" w:right="5977"/>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39"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5892"/>
        <w:gridCol w:w="1100"/>
        <w:gridCol w:w="1282"/>
        <w:gridCol w:w="966"/>
        <w:gridCol w:w="1412"/>
        <w:gridCol w:w="1282"/>
        <w:gridCol w:w="1096"/>
        <w:gridCol w:w="1032"/>
      </w:tblGrid>
      <w:tr>
        <w:trPr>
          <w:trHeight w:val="714" w:hRule="exact"/>
        </w:trPr>
        <w:tc>
          <w:tcPr>
            <w:tcW w:w="5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4" w:right="22" w:hanging="342"/>
              <w:jc w:val="left"/>
              <w:rPr>
                <w:rFonts w:ascii="宋体" w:hAnsi="宋体" w:cs="宋体" w:eastAsia="宋体" w:hint="default"/>
                <w:sz w:val="18"/>
                <w:szCs w:val="18"/>
              </w:rPr>
            </w:pPr>
            <w:r>
              <w:rPr>
                <w:rFonts w:ascii="宋体" w:hAnsi="宋体" w:cs="宋体" w:eastAsia="宋体" w:hint="default"/>
                <w:spacing w:val="-6"/>
                <w:sz w:val="18"/>
                <w:szCs w:val="18"/>
              </w:rPr>
              <w:t>涉案金额（万</w:t>
            </w:r>
            <w:r>
              <w:rPr>
                <w:rFonts w:ascii="宋体" w:hAnsi="宋体" w:cs="宋体" w:eastAsia="宋体" w:hint="default"/>
                <w:sz w:val="18"/>
                <w:szCs w:val="18"/>
              </w:rPr>
              <w:t> 元）</w:t>
            </w:r>
          </w:p>
        </w:tc>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55" w:right="9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97" w:right="5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50" w:right="10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76" w:right="3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5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北京盛世远景科技发展有限公司将凯里通卡公司（第一被告）及四川泽祥 </w:t>
            </w:r>
            <w:r>
              <w:rPr>
                <w:rFonts w:ascii="宋体" w:hAnsi="宋体" w:cs="宋体" w:eastAsia="宋体" w:hint="default"/>
                <w:spacing w:val="-4"/>
                <w:sz w:val="18"/>
                <w:szCs w:val="18"/>
              </w:rPr>
              <w:t>电子技术有限公司（第二被告，凯里通卡公司控股股东）、新开普（第三被</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告，凯里通卡公司股东）起诉至贵州省凯里市人民法院，要求第一被告支 付原告设计布展施工费用及违约金暂共计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万元；要求被告二、被告</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三在未出资的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万元范围内对上述全部款项承担连带补充赔偿责任等</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46"/>
              <w:jc w:val="left"/>
              <w:rPr>
                <w:rFonts w:ascii="Times New Roman" w:hAnsi="Times New Roman" w:cs="Times New Roman" w:eastAsia="Times New Roman" w:hint="default"/>
                <w:sz w:val="18"/>
                <w:szCs w:val="18"/>
              </w:rPr>
            </w:pPr>
            <w:r>
              <w:rPr>
                <w:rFonts w:ascii="Times New Roman"/>
                <w:sz w:val="18"/>
              </w:rPr>
              <w:t>http://www.c ninfo.com.cn</w:t>
            </w:r>
          </w:p>
          <w:p>
            <w:pPr>
              <w:pStyle w:val="TableParagraph"/>
              <w:spacing w:line="362" w:lineRule="auto" w:before="5"/>
              <w:ind w:left="22" w:right="46"/>
              <w:jc w:val="left"/>
              <w:rPr>
                <w:rFonts w:ascii="Times New Roman" w:hAnsi="Times New Roman" w:cs="Times New Roman" w:eastAsia="Times New Roman" w:hint="default"/>
                <w:sz w:val="18"/>
                <w:szCs w:val="18"/>
              </w:rPr>
            </w:pPr>
            <w:r>
              <w:rPr>
                <w:rFonts w:ascii="Times New Roman"/>
                <w:sz w:val="18"/>
              </w:rPr>
              <w:t>/finalpage/20 15-01-28/12</w:t>
            </w:r>
          </w:p>
          <w:p>
            <w:pPr>
              <w:pStyle w:val="TableParagraph"/>
              <w:spacing w:line="362" w:lineRule="auto" w:before="3"/>
              <w:ind w:left="22" w:right="131"/>
              <w:jc w:val="left"/>
              <w:rPr>
                <w:rFonts w:ascii="Times New Roman" w:hAnsi="Times New Roman" w:cs="Times New Roman" w:eastAsia="Times New Roman" w:hint="default"/>
                <w:sz w:val="18"/>
                <w:szCs w:val="18"/>
              </w:rPr>
            </w:pPr>
            <w:r>
              <w:rPr>
                <w:rFonts w:ascii="Times New Roman"/>
                <w:sz w:val="18"/>
              </w:rPr>
              <w:t>00584141.P DF</w:t>
            </w:r>
          </w:p>
        </w:tc>
      </w:tr>
    </w:tbl>
    <w:p>
      <w:pPr>
        <w:spacing w:after="0" w:line="362"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2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36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公司报告期不存在上市公司发生控股股东及其关联方非经营性占用资金情况。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公司报告期未收购资产。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公司报告期未出售资产。</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line="240" w:lineRule="auto" w:before="1"/>
        <w:rPr>
          <w:rFonts w:ascii="宋体" w:hAnsi="宋体" w:cs="宋体" w:eastAsia="宋体" w:hint="default"/>
          <w:sz w:val="21"/>
          <w:szCs w:val="21"/>
        </w:rPr>
      </w:pPr>
    </w:p>
    <w:p>
      <w:pPr>
        <w:pStyle w:val="Heading3"/>
        <w:spacing w:line="259"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after="0" w:line="338" w:lineRule="auto"/>
        <w:jc w:val="left"/>
        <w:rPr>
          <w:rFonts w:ascii="宋体" w:hAnsi="宋体" w:cs="宋体" w:eastAsia="宋体" w:hint="default"/>
          <w:sz w:val="18"/>
          <w:szCs w:val="18"/>
        </w:rPr>
        <w:sectPr>
          <w:headerReference w:type="default" r:id="rId33"/>
          <w:footerReference w:type="default" r:id="rId34"/>
          <w:pgSz w:w="11910" w:h="16840"/>
          <w:pgMar w:header="877" w:footer="982" w:top="1100" w:bottom="1180" w:left="980" w:right="980"/>
          <w:pgNumType w:start="62"/>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公司报告期未发生共同对外投资的重大关联交易。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86" w:lineRule="auto" w:before="93"/>
        <w:ind w:left="153" w:right="88" w:firstLine="420"/>
        <w:jc w:val="left"/>
      </w:pPr>
      <w:r>
        <w:rPr>
          <w:rFonts w:ascii="Times New Roman" w:hAnsi="Times New Roman" w:cs="Times New Roman" w:eastAsia="Times New Roman" w:hint="default"/>
        </w:rPr>
        <w:t>1</w:t>
      </w:r>
      <w:r>
        <w:rPr/>
        <w:t>、经公司第三届董事会第七次会议及第三届监事会第六次会议审议通过，公司同意将位于郑州高新 技术产业开发区翠竹街</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863</w:t>
      </w:r>
      <w:r>
        <w:rPr/>
        <w:t>国家软件基地</w:t>
      </w:r>
      <w:r>
        <w:rPr>
          <w:rFonts w:ascii="Times New Roman" w:hAnsi="Times New Roman" w:cs="Times New Roman" w:eastAsia="Times New Roman" w:hint="default"/>
        </w:rPr>
        <w:t>10</w:t>
      </w:r>
      <w:r>
        <w:rPr/>
        <w:t>号楼房产整体向郑州罗曼达酒店管理有限公司进行出租，并 签署《房屋租赁合同》，租赁期限自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日止共计</w:t>
      </w:r>
      <w:r>
        <w:rPr>
          <w:rFonts w:ascii="Times New Roman" w:hAnsi="Times New Roman" w:cs="Times New Roman" w:eastAsia="Times New Roman" w:hint="default"/>
        </w:rPr>
        <w:t>15</w:t>
      </w:r>
      <w:r>
        <w:rPr/>
        <w:t>年。双方约定自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日起，年租金为</w:t>
      </w:r>
      <w:r>
        <w:rPr>
          <w:rFonts w:ascii="Times New Roman" w:hAnsi="Times New Roman" w:cs="Times New Roman" w:eastAsia="Times New Roman" w:hint="default"/>
        </w:rPr>
        <w:t>339</w:t>
      </w:r>
      <w:r>
        <w:rPr/>
        <w:t>万元</w:t>
      </w:r>
      <w:r>
        <w:rPr>
          <w:rFonts w:ascii="Times New Roman" w:hAnsi="Times New Roman" w:cs="Times New Roman" w:eastAsia="Times New Roman" w:hint="default"/>
        </w:rPr>
        <w:t>/</w:t>
      </w:r>
      <w:r>
        <w:rPr/>
        <w:t>年；第</w:t>
      </w:r>
      <w:r>
        <w:rPr>
          <w:rFonts w:ascii="Times New Roman" w:hAnsi="Times New Roman" w:cs="Times New Roman" w:eastAsia="Times New Roman" w:hint="default"/>
        </w:rPr>
        <w:t>5</w:t>
      </w:r>
      <w:r>
        <w:rPr/>
        <w:t>个租赁年度内（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日）开始租金在第一年的基础上递增</w:t>
      </w:r>
      <w:r>
        <w:rPr>
          <w:rFonts w:ascii="Times New Roman" w:hAnsi="Times New Roman" w:cs="Times New Roman" w:eastAsia="Times New Roman" w:hint="default"/>
        </w:rPr>
        <w:t>5%</w:t>
      </w:r>
      <w:r>
        <w:rPr/>
        <w:t>，</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right="95" w:hanging="1"/>
        <w:jc w:val="left"/>
      </w:pPr>
      <w:r>
        <w:rPr/>
        <w:t>为</w:t>
      </w:r>
      <w:r>
        <w:rPr>
          <w:rFonts w:ascii="Times New Roman" w:hAnsi="Times New Roman" w:cs="Times New Roman" w:eastAsia="Times New Roman" w:hint="default"/>
        </w:rPr>
        <w:t>355.95</w:t>
      </w:r>
      <w:r>
        <w:rPr/>
        <w:t>万元</w:t>
      </w:r>
      <w:r>
        <w:rPr>
          <w:rFonts w:ascii="Times New Roman" w:hAnsi="Times New Roman" w:cs="Times New Roman" w:eastAsia="Times New Roman" w:hint="default"/>
        </w:rPr>
        <w:t>/</w:t>
      </w:r>
      <w:r>
        <w:rPr/>
        <w:t>年，之后五年不变；第</w:t>
      </w:r>
      <w:r>
        <w:rPr>
          <w:rFonts w:ascii="Times New Roman" w:hAnsi="Times New Roman" w:cs="Times New Roman" w:eastAsia="Times New Roman" w:hint="default"/>
        </w:rPr>
        <w:t>10</w:t>
      </w:r>
      <w:r>
        <w:rPr/>
        <w:t>个租赁年度（</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日）开始的最后租赁期内，年租金在上年 度租金的基础上递增，比例为</w:t>
      </w:r>
      <w:r>
        <w:rPr>
          <w:rFonts w:ascii="Times New Roman" w:hAnsi="Times New Roman" w:cs="Times New Roman" w:eastAsia="Times New Roman" w:hint="default"/>
        </w:rPr>
        <w:t>5%</w:t>
      </w:r>
      <w:r>
        <w:rPr/>
        <w:t>－</w:t>
      </w:r>
      <w:r>
        <w:rPr>
          <w:rFonts w:ascii="Times New Roman" w:hAnsi="Times New Roman" w:cs="Times New Roman" w:eastAsia="Times New Roman" w:hint="default"/>
        </w:rPr>
        <w:t>10%</w:t>
      </w:r>
      <w:r>
        <w:rPr/>
        <w:t>，具体金额由双方根据营利情况、市场租金变化情况，友好协商。</w:t>
      </w:r>
    </w:p>
    <w:p>
      <w:pPr>
        <w:pStyle w:val="BodyText"/>
        <w:spacing w:line="386" w:lineRule="auto" w:before="35"/>
        <w:ind w:left="153" w:right="168" w:firstLine="420"/>
        <w:jc w:val="both"/>
      </w:pPr>
      <w:r>
        <w:rPr>
          <w:rFonts w:ascii="Times New Roman" w:hAnsi="Times New Roman" w:cs="Times New Roman" w:eastAsia="Times New Roman" w:hint="default"/>
        </w:rPr>
        <w:t>2</w:t>
      </w:r>
      <w:r>
        <w:rPr/>
        <w:t>、经公司第三届董事会第七次会议及第三届监事会第六次会议审议通过，拟对目前郑州高新技术产 开发区迎春街</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1</w:t>
      </w:r>
      <w:r>
        <w:rPr/>
        <w:t>号楼临金梭路</w:t>
      </w:r>
      <w:r>
        <w:rPr>
          <w:rFonts w:ascii="Times New Roman" w:hAnsi="Times New Roman" w:cs="Times New Roman" w:eastAsia="Times New Roman" w:hint="default"/>
        </w:rPr>
        <w:t>1-2</w:t>
      </w:r>
      <w:r>
        <w:rPr/>
        <w:t>层（金梭路西、迎春街北），共计建筑面积</w:t>
      </w:r>
      <w:r>
        <w:rPr>
          <w:rFonts w:ascii="Times New Roman" w:hAnsi="Times New Roman" w:cs="Times New Roman" w:eastAsia="Times New Roman" w:hint="default"/>
        </w:rPr>
        <w:t>1,117.7</w:t>
      </w:r>
      <w:r>
        <w:rPr/>
        <w:t>平方米房屋对外出 租。董事会经审议授权总经理负责后续出租事宜。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日，公司与中信银行股份有限公司郑州分 </w:t>
      </w:r>
      <w:r>
        <w:rPr>
          <w:spacing w:val="-6"/>
        </w:rPr>
        <w:t>行签署《房屋租赁合同》，将前述房屋共计</w:t>
      </w:r>
      <w:r>
        <w:rPr>
          <w:rFonts w:ascii="Times New Roman" w:hAnsi="Times New Roman" w:cs="Times New Roman" w:eastAsia="Times New Roman" w:hint="default"/>
          <w:spacing w:val="-6"/>
        </w:rPr>
        <w:t>1,100</w:t>
      </w:r>
      <w:r>
        <w:rPr>
          <w:spacing w:val="-6"/>
        </w:rPr>
        <w:t>平方租赁给中信银行股份有限公司郑州分行。租赁期为</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日，租金价格：第</w:t>
      </w:r>
      <w:r>
        <w:rPr>
          <w:rFonts w:ascii="Times New Roman" w:hAnsi="Times New Roman" w:cs="Times New Roman" w:eastAsia="Times New Roman" w:hint="default"/>
          <w:spacing w:val="-2"/>
        </w:rPr>
        <w:t>1</w:t>
      </w:r>
      <w:r>
        <w:rPr>
          <w:spacing w:val="-2"/>
        </w:rPr>
        <w:t>年至第</w:t>
      </w:r>
      <w:r>
        <w:rPr>
          <w:rFonts w:ascii="Times New Roman" w:hAnsi="Times New Roman" w:cs="Times New Roman" w:eastAsia="Times New Roman" w:hint="default"/>
          <w:spacing w:val="-2"/>
        </w:rPr>
        <w:t>5</w:t>
      </w:r>
      <w:r>
        <w:rPr>
          <w:spacing w:val="-2"/>
        </w:rPr>
        <w:t>年，每年租金总额</w:t>
      </w:r>
      <w:r>
        <w:rPr>
          <w:rFonts w:ascii="Times New Roman" w:hAnsi="Times New Roman" w:cs="Times New Roman" w:eastAsia="Times New Roman" w:hint="default"/>
          <w:spacing w:val="-2"/>
        </w:rPr>
        <w:t>126.72</w:t>
      </w:r>
      <w:r>
        <w:rPr>
          <w:spacing w:val="-2"/>
        </w:rPr>
        <w:t>万元，第</w:t>
      </w:r>
      <w:r>
        <w:rPr>
          <w:rFonts w:ascii="Times New Roman" w:hAnsi="Times New Roman" w:cs="Times New Roman" w:eastAsia="Times New Roman" w:hint="default"/>
          <w:spacing w:val="-2"/>
        </w:rPr>
        <w:t>6</w:t>
      </w:r>
      <w:r>
        <w:rPr>
          <w:spacing w:val="-2"/>
        </w:rPr>
        <w:t>年至第</w:t>
      </w:r>
      <w:r>
        <w:rPr>
          <w:rFonts w:ascii="Times New Roman" w:hAnsi="Times New Roman" w:cs="Times New Roman" w:eastAsia="Times New Roman" w:hint="default"/>
          <w:spacing w:val="-2"/>
        </w:rPr>
        <w:t>8</w:t>
      </w:r>
      <w:r>
        <w:rPr>
          <w:spacing w:val="-2"/>
        </w:rPr>
        <w:t>年，每年租</w:t>
      </w:r>
      <w:r>
        <w:rPr>
          <w:spacing w:val="-85"/>
        </w:rPr>
        <w:t> </w:t>
      </w:r>
      <w:r>
        <w:rPr>
          <w:spacing w:val="-85"/>
        </w:rPr>
      </w:r>
      <w:r>
        <w:rPr/>
        <w:t>金总额</w:t>
      </w:r>
      <w:r>
        <w:rPr>
          <w:rFonts w:ascii="Times New Roman" w:hAnsi="Times New Roman" w:cs="Times New Roman" w:eastAsia="Times New Roman" w:hint="default"/>
        </w:rPr>
        <w:t>130.52</w:t>
      </w:r>
      <w:r>
        <w:rPr/>
        <w:t>万元，第</w:t>
      </w:r>
      <w:r>
        <w:rPr>
          <w:rFonts w:ascii="Times New Roman" w:hAnsi="Times New Roman" w:cs="Times New Roman" w:eastAsia="Times New Roman" w:hint="default"/>
        </w:rPr>
        <w:t>9</w:t>
      </w:r>
      <w:r>
        <w:rPr/>
        <w:t>年至第</w:t>
      </w:r>
      <w:r>
        <w:rPr>
          <w:rFonts w:ascii="Times New Roman" w:hAnsi="Times New Roman" w:cs="Times New Roman" w:eastAsia="Times New Roman" w:hint="default"/>
        </w:rPr>
        <w:t>10</w:t>
      </w:r>
      <w:r>
        <w:rPr/>
        <w:t>年，每年租金总额</w:t>
      </w:r>
      <w:r>
        <w:rPr>
          <w:rFonts w:ascii="Times New Roman" w:hAnsi="Times New Roman" w:cs="Times New Roman" w:eastAsia="Times New Roman" w:hint="default"/>
        </w:rPr>
        <w:t>134.43</w:t>
      </w:r>
      <w:r>
        <w:rPr/>
        <w:t>万元。</w:t>
      </w:r>
    </w:p>
    <w:p>
      <w:pPr>
        <w:spacing w:before="23"/>
        <w:ind w:left="154" w:right="9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95"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3"/>
        <w:spacing w:line="240" w:lineRule="auto"/>
        <w:ind w:right="95"/>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95"/>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95"/>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pStyle w:val="Heading3"/>
        <w:spacing w:line="240" w:lineRule="auto"/>
        <w:ind w:right="95"/>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95"/>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0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after="0" w:line="338" w:lineRule="auto"/>
        <w:jc w:val="left"/>
        <w:rPr>
          <w:rFonts w:ascii="宋体" w:hAnsi="宋体" w:cs="宋体" w:eastAsia="宋体" w:hint="default"/>
          <w:sz w:val="18"/>
          <w:szCs w:val="18"/>
        </w:rPr>
        <w:sectPr>
          <w:pgSz w:w="11910" w:h="16840"/>
          <w:pgMar w:header="877" w:footer="982" w:top="1100" w:bottom="1180" w:left="980" w:right="96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before="26"/>
        <w:ind w:left="139"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9"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116"/>
        <w:gridCol w:w="2408"/>
        <w:gridCol w:w="5627"/>
        <w:gridCol w:w="1277"/>
        <w:gridCol w:w="1278"/>
        <w:gridCol w:w="1268"/>
      </w:tblGrid>
      <w:tr>
        <w:trPr>
          <w:trHeight w:val="402" w:hRule="exact"/>
        </w:trPr>
        <w:tc>
          <w:tcPr>
            <w:tcW w:w="2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5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71"/>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408" w:type="dxa"/>
            <w:tcBorders>
              <w:top w:val="single" w:sz="4" w:space="0" w:color="000000"/>
              <w:left w:val="single" w:sz="13" w:space="0" w:color="D3D3D3"/>
              <w:bottom w:val="single" w:sz="4" w:space="0" w:color="000000"/>
              <w:right w:val="single" w:sz="4" w:space="0" w:color="000000"/>
            </w:tcBorders>
          </w:tcPr>
          <w:p>
            <w:pPr/>
          </w:p>
        </w:tc>
        <w:tc>
          <w:tcPr>
            <w:tcW w:w="56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3"/>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2408" w:type="dxa"/>
            <w:tcBorders>
              <w:top w:val="single" w:sz="4" w:space="0" w:color="000000"/>
              <w:left w:val="single" w:sz="13" w:space="0" w:color="D3D3D3"/>
              <w:bottom w:val="single" w:sz="4" w:space="0" w:color="000000"/>
              <w:right w:val="single" w:sz="4" w:space="0" w:color="000000"/>
            </w:tcBorders>
          </w:tcPr>
          <w:p>
            <w:pPr/>
          </w:p>
        </w:tc>
        <w:tc>
          <w:tcPr>
            <w:tcW w:w="56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408" w:type="dxa"/>
            <w:tcBorders>
              <w:top w:val="single" w:sz="4" w:space="0" w:color="000000"/>
              <w:left w:val="single" w:sz="13" w:space="0" w:color="D3D3D3"/>
              <w:bottom w:val="single" w:sz="4" w:space="0" w:color="000000"/>
              <w:right w:val="single" w:sz="4" w:space="0" w:color="000000"/>
            </w:tcBorders>
          </w:tcPr>
          <w:p>
            <w:pPr/>
          </w:p>
        </w:tc>
        <w:tc>
          <w:tcPr>
            <w:tcW w:w="56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116" w:type="dxa"/>
            <w:vMerge w:val="restart"/>
            <w:tcBorders>
              <w:top w:val="single" w:sz="4" w:space="0" w:color="000000"/>
              <w:left w:val="single" w:sz="4" w:space="0" w:color="000000"/>
              <w:right w:val="single" w:sz="4" w:space="0" w:color="000000"/>
            </w:tcBorders>
            <w:shd w:val="clear" w:color="auto" w:fill="D3D3D3"/>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56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2"/>
              <w:jc w:val="both"/>
              <w:rPr>
                <w:rFonts w:ascii="宋体" w:hAnsi="宋体" w:cs="宋体" w:eastAsia="宋体" w:hint="default"/>
                <w:sz w:val="18"/>
                <w:szCs w:val="18"/>
              </w:rPr>
            </w:pPr>
            <w:r>
              <w:rPr>
                <w:rFonts w:ascii="宋体" w:hAnsi="宋体" w:cs="宋体" w:eastAsia="宋体" w:hint="default"/>
                <w:sz w:val="18"/>
                <w:szCs w:val="18"/>
              </w:rPr>
              <w:t>公司的所有募集资金将存放于专户管理，并用于公司主营业务。对于尚 没有具体使用项目的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，本公司最晚于 募集资金到帐后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个月内，根据公司的发展规划及实际生产经营需求， 妥善安排该部分资金的使用计划，提交董事会审议通过后及时披露。公 司实际使用该部分资金前，将履行相应的董事会或股东大会审议程序， 并及时披露。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2"/>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截至报告期末， 承诺人严格信 </w:t>
            </w:r>
            <w:r>
              <w:rPr>
                <w:rFonts w:ascii="宋体" w:hAnsi="宋体" w:cs="宋体" w:eastAsia="宋体" w:hint="default"/>
                <w:spacing w:val="-7"/>
                <w:sz w:val="18"/>
                <w:szCs w:val="18"/>
              </w:rPr>
              <w:t>守承诺，未发生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r>
        <w:trPr>
          <w:trHeight w:val="298" w:hRule="exact"/>
        </w:trPr>
        <w:tc>
          <w:tcPr>
            <w:tcW w:w="2116" w:type="dxa"/>
            <w:vMerge/>
            <w:tcBorders>
              <w:left w:val="single" w:sz="4" w:space="0" w:color="000000"/>
              <w:bottom w:val="nil" w:sz="6" w:space="0" w:color="auto"/>
              <w:right w:val="single" w:sz="4" w:space="0" w:color="000000"/>
            </w:tcBorders>
            <w:shd w:val="clear" w:color="auto" w:fill="D3D3D3"/>
          </w:tcPr>
          <w:p>
            <w:pPr/>
          </w:p>
        </w:tc>
        <w:tc>
          <w:tcPr>
            <w:tcW w:w="2408" w:type="dxa"/>
            <w:vMerge w:val="restart"/>
            <w:tcBorders>
              <w:top w:val="single" w:sz="4" w:space="0" w:color="000000"/>
              <w:left w:val="single" w:sz="9" w:space="0" w:color="D3D3D3"/>
              <w:right w:val="single" w:sz="4" w:space="0" w:color="000000"/>
            </w:tcBorders>
          </w:tcPr>
          <w:p>
            <w:pPr>
              <w:pStyle w:val="TableParagraph"/>
              <w:spacing w:line="314" w:lineRule="auto" w:before="52"/>
              <w:ind w:left="16" w:right="34"/>
              <w:jc w:val="left"/>
              <w:rPr>
                <w:rFonts w:ascii="宋体" w:hAnsi="宋体" w:cs="宋体" w:eastAsia="宋体" w:hint="default"/>
                <w:sz w:val="18"/>
                <w:szCs w:val="18"/>
              </w:rPr>
            </w:pPr>
            <w:r>
              <w:rPr>
                <w:rFonts w:ascii="宋体" w:hAnsi="宋体" w:cs="宋体" w:eastAsia="宋体" w:hint="default"/>
                <w:sz w:val="18"/>
                <w:szCs w:val="18"/>
              </w:rPr>
              <w:t>公司控股股东暨实际控制人杨 维国及其一致行动人尚卫国、 付秋生、赵利宾、华梦阳、傅 常顺、刘恩臣、郎金文、杜建 平、葛晓阁等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 东。</w:t>
            </w:r>
          </w:p>
        </w:tc>
        <w:tc>
          <w:tcPr>
            <w:tcW w:w="56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自发行人股票上市之日起三十六个月内，不转让或者委托他人管理本次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发行前本人已持有的发行人股份，也不由发行人回购该部分股份。</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319"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日该承诺履行 </w:t>
            </w:r>
            <w:r>
              <w:rPr>
                <w:rFonts w:ascii="宋体" w:hAnsi="宋体" w:cs="宋体" w:eastAsia="宋体" w:hint="default"/>
                <w:spacing w:val="-7"/>
                <w:sz w:val="18"/>
                <w:szCs w:val="18"/>
              </w:rPr>
              <w:t>完毕，上述承诺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人严格信守承 </w:t>
            </w:r>
            <w:r>
              <w:rPr>
                <w:rFonts w:ascii="宋体" w:hAnsi="宋体" w:cs="宋体" w:eastAsia="宋体" w:hint="default"/>
                <w:spacing w:val="-7"/>
                <w:sz w:val="18"/>
                <w:szCs w:val="18"/>
              </w:rPr>
              <w:t>诺，未发生违反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承诺的情况。</w:t>
            </w:r>
          </w:p>
        </w:tc>
      </w:tr>
      <w:tr>
        <w:trPr>
          <w:trHeight w:val="704" w:hRule="exact"/>
        </w:trPr>
        <w:tc>
          <w:tcPr>
            <w:tcW w:w="21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2408" w:type="dxa"/>
            <w:vMerge/>
            <w:tcBorders>
              <w:left w:val="single" w:sz="9" w:space="0" w:color="D3D3D3"/>
              <w:right w:val="single" w:sz="4" w:space="0" w:color="000000"/>
            </w:tcBorders>
          </w:tcPr>
          <w:p>
            <w:pPr/>
          </w:p>
        </w:tc>
        <w:tc>
          <w:tcPr>
            <w:tcW w:w="562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960" w:hRule="exact"/>
        </w:trPr>
        <w:tc>
          <w:tcPr>
            <w:tcW w:w="2116" w:type="dxa"/>
            <w:vMerge w:val="restart"/>
            <w:tcBorders>
              <w:top w:val="nil" w:sz="6" w:space="0" w:color="auto"/>
              <w:left w:val="single" w:sz="4" w:space="0" w:color="000000"/>
              <w:right w:val="single" w:sz="4" w:space="0" w:color="000000"/>
            </w:tcBorders>
            <w:shd w:val="clear" w:color="auto" w:fill="D3D3D3"/>
          </w:tcPr>
          <w:p>
            <w:pPr/>
          </w:p>
        </w:tc>
        <w:tc>
          <w:tcPr>
            <w:tcW w:w="2408" w:type="dxa"/>
            <w:vMerge/>
            <w:tcBorders>
              <w:left w:val="single" w:sz="9" w:space="0" w:color="D3D3D3"/>
              <w:bottom w:val="single" w:sz="4" w:space="0" w:color="000000"/>
              <w:right w:val="single" w:sz="4" w:space="0" w:color="000000"/>
            </w:tcBorders>
          </w:tcPr>
          <w:p>
            <w:pPr/>
          </w:p>
        </w:tc>
        <w:tc>
          <w:tcPr>
            <w:tcW w:w="562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1298" w:hRule="exact"/>
        </w:trPr>
        <w:tc>
          <w:tcPr>
            <w:tcW w:w="2116" w:type="dxa"/>
            <w:vMerge/>
            <w:tcBorders>
              <w:left w:val="single" w:sz="4" w:space="0" w:color="000000"/>
              <w:bottom w:val="single" w:sz="4" w:space="0" w:color="000000"/>
              <w:right w:val="single" w:sz="4" w:space="0" w:color="000000"/>
            </w:tcBorders>
            <w:shd w:val="clear" w:color="auto" w:fill="D3D3D3"/>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34"/>
              <w:jc w:val="both"/>
              <w:rPr>
                <w:rFonts w:ascii="宋体" w:hAnsi="宋体" w:cs="宋体" w:eastAsia="宋体" w:hint="default"/>
                <w:sz w:val="18"/>
                <w:szCs w:val="18"/>
              </w:rPr>
            </w:pPr>
            <w:r>
              <w:rPr>
                <w:rFonts w:ascii="宋体" w:hAnsi="宋体" w:cs="宋体" w:eastAsia="宋体" w:hint="default"/>
                <w:sz w:val="18"/>
                <w:szCs w:val="18"/>
              </w:rPr>
              <w:t>杨维国、尚卫国、付秋生、赵 利宾、华梦阳、刘恩臣、王葆 玲等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名自然人股东。</w:t>
            </w:r>
          </w:p>
        </w:tc>
        <w:tc>
          <w:tcPr>
            <w:tcW w:w="5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1"/>
                <w:sz w:val="18"/>
                <w:szCs w:val="18"/>
              </w:rPr>
              <w:t>严格遵守《公司法》和深圳证券交易所关于上市公司董事、监事与高级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管理人员买卖本公司股份行为的相关规定，在任职期间每年转让的股份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不超过本人所持有发行人股份总数的百分之二十五；所持发行人股份自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发行人股票上市交易之日起十二个月内不得转让；在公司首次公开发行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截至报告期末， 上述承诺人严 </w:t>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发生违反承诺</w:t>
            </w:r>
          </w:p>
        </w:tc>
      </w:tr>
    </w:tbl>
    <w:p>
      <w:pPr>
        <w:spacing w:after="0" w:line="316" w:lineRule="auto"/>
        <w:jc w:val="left"/>
        <w:rPr>
          <w:rFonts w:ascii="宋体" w:hAnsi="宋体" w:cs="宋体" w:eastAsia="宋体" w:hint="default"/>
          <w:sz w:val="18"/>
          <w:szCs w:val="18"/>
        </w:rPr>
        <w:sectPr>
          <w:headerReference w:type="default" r:id="rId35"/>
          <w:footerReference w:type="default" r:id="rId36"/>
          <w:pgSz w:w="16840" w:h="11910" w:orient="landscape"/>
          <w:pgMar w:header="867" w:footer="978" w:top="1060" w:bottom="1160" w:left="1300" w:right="1300"/>
          <w:pgNumType w:start="65"/>
        </w:sectPr>
      </w:pPr>
    </w:p>
    <w:p>
      <w:pPr>
        <w:spacing w:line="240" w:lineRule="auto" w:before="4"/>
        <w:rPr>
          <w:rFonts w:ascii="Times New Roman" w:hAnsi="Times New Roman" w:cs="Times New Roman" w:eastAsia="Times New Roman" w:hint="default"/>
          <w:sz w:val="3"/>
          <w:szCs w:val="3"/>
        </w:rPr>
      </w:pPr>
      <w:r>
        <w:rPr/>
        <w:pict>
          <v:group style="position:absolute;margin-left:581.5pt;margin-top:137.699997pt;width:62.2pt;height:117pt;mso-position-horizontal-relative:page;mso-position-vertical-relative:page;z-index:-998704" coordorigin="11630,2754" coordsize="1244,2340">
            <v:shape style="position:absolute;left:11630;top:2754;width:1244;height:2340" coordorigin="11630,2754" coordsize="1244,2340" path="m11630,2754l11630,5094,12874,5094,12874,2754,11630,2754xe" filled="true" fillcolor="#ffffff" stroked="false">
              <v:path arrowok="t"/>
              <v:fill type="solid"/>
            </v:shape>
            <w10:wrap type="none"/>
          </v:group>
        </w:pict>
      </w:r>
      <w:r>
        <w:rPr/>
        <w:pict>
          <v:group style="position:absolute;margin-left:581.5pt;margin-top:407.399994pt;width:62.2pt;height:45.8pt;mso-position-horizontal-relative:page;mso-position-vertical-relative:page;z-index:-998680" coordorigin="11630,8148" coordsize="1244,916">
            <v:shape style="position:absolute;left:11630;top:8148;width:1244;height:916" coordorigin="11630,8148" coordsize="1244,916" path="m11630,8148l11630,9064,12874,9064,12874,8148,11630,8148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2409"/>
        <w:gridCol w:w="5638"/>
        <w:gridCol w:w="1265"/>
        <w:gridCol w:w="1278"/>
        <w:gridCol w:w="1268"/>
      </w:tblGrid>
      <w:tr>
        <w:trPr>
          <w:trHeight w:val="332"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2409" w:type="dxa"/>
            <w:vMerge w:val="restart"/>
            <w:tcBorders>
              <w:top w:val="single" w:sz="15" w:space="0" w:color="000000"/>
              <w:left w:val="single" w:sz="4" w:space="0" w:color="000000"/>
              <w:right w:val="single" w:sz="4" w:space="0" w:color="000000"/>
            </w:tcBorders>
          </w:tcPr>
          <w:p>
            <w:pPr/>
          </w:p>
        </w:tc>
        <w:tc>
          <w:tcPr>
            <w:tcW w:w="563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股票上市之日起六个月内申报离职的，自申报离职之日起十八个月内不</w:t>
            </w:r>
          </w:p>
        </w:tc>
        <w:tc>
          <w:tcPr>
            <w:tcW w:w="1265" w:type="dxa"/>
            <w:vMerge w:val="restart"/>
            <w:tcBorders>
              <w:top w:val="single" w:sz="15" w:space="0" w:color="000000"/>
              <w:left w:val="single" w:sz="4" w:space="0" w:color="000000"/>
              <w:right w:val="single" w:sz="4" w:space="0" w:color="000000"/>
            </w:tcBorders>
          </w:tcPr>
          <w:p>
            <w:pPr/>
          </w:p>
        </w:tc>
        <w:tc>
          <w:tcPr>
            <w:tcW w:w="1278" w:type="dxa"/>
            <w:vMerge w:val="restart"/>
            <w:tcBorders>
              <w:top w:val="single" w:sz="15" w:space="0" w:color="000000"/>
              <w:left w:val="single" w:sz="4" w:space="0" w:color="000000"/>
              <w:right w:val="single" w:sz="4" w:space="0" w:color="000000"/>
            </w:tcBorders>
          </w:tcPr>
          <w:p>
            <w:pPr/>
          </w:p>
        </w:tc>
        <w:tc>
          <w:tcPr>
            <w:tcW w:w="126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1"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转让本人直接持有的发行人股份；在公司首次公开发行股票上市之日起</w:t>
            </w:r>
          </w:p>
        </w:tc>
        <w:tc>
          <w:tcPr>
            <w:tcW w:w="1265"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第七个月至第十二个月之间申报离职的，自申报离职之日起十二个月内</w:t>
            </w:r>
          </w:p>
        </w:tc>
        <w:tc>
          <w:tcPr>
            <w:tcW w:w="1265"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不转让本人直接持有的发行人股份；在离职后六个月内，不转让本人所</w:t>
            </w:r>
          </w:p>
        </w:tc>
        <w:tc>
          <w:tcPr>
            <w:tcW w:w="1265"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bottom w:val="single" w:sz="4" w:space="0" w:color="000000"/>
              <w:right w:val="single" w:sz="4" w:space="0" w:color="000000"/>
            </w:tcBorders>
          </w:tcPr>
          <w:p>
            <w:pPr/>
          </w:p>
        </w:tc>
        <w:tc>
          <w:tcPr>
            <w:tcW w:w="5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持有的发行人股份。</w:t>
            </w:r>
          </w:p>
        </w:tc>
        <w:tc>
          <w:tcPr>
            <w:tcW w:w="1265"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2409" w:type="dxa"/>
            <w:tcBorders>
              <w:top w:val="single" w:sz="4" w:space="0" w:color="000000"/>
              <w:left w:val="single" w:sz="4" w:space="0" w:color="000000"/>
              <w:bottom w:val="nil" w:sz="6" w:space="0" w:color="auto"/>
              <w:right w:val="single" w:sz="4" w:space="0" w:color="000000"/>
            </w:tcBorders>
          </w:tcPr>
          <w:p>
            <w:pPr/>
          </w:p>
        </w:tc>
        <w:tc>
          <w:tcPr>
            <w:tcW w:w="5638"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、截至本承诺函出具日，本人未控制任何与新开普存在有相同或类似</w:t>
            </w:r>
          </w:p>
        </w:tc>
        <w:tc>
          <w:tcPr>
            <w:tcW w:w="1265" w:type="dxa"/>
            <w:tcBorders>
              <w:top w:val="single" w:sz="4" w:space="0" w:color="000000"/>
              <w:left w:val="single" w:sz="13" w:space="0" w:color="FFFFFF"/>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业务的公司、企业或其他经营实体，未经营也没有为他人经营与新开普</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相同或类似的产品或业务；本人与新开普不存在同业竞争。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、本人保</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证自本承诺函出具日起，将不在中国境内外投资、收购、兼并、经营与</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新开普生产、经营存在有相同或类似业务的公司、企业或其他经营实体</w:t>
            </w:r>
          </w:p>
        </w:tc>
        <w:tc>
          <w:tcPr>
            <w:tcW w:w="1265"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不在中国境内外从事任何与新开普业务直接竞争或可能竞争的任何活</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动，以避免对新开普的生产经营构成直接或间接的业务竞争。</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截至报告期末，</w:t>
            </w:r>
          </w:p>
        </w:tc>
      </w:tr>
      <w:tr>
        <w:trPr>
          <w:trHeight w:val="931"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公司控股股东暨实际控制人杨 维国</w:t>
            </w: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309"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承诺不会利用新开普的控股股东和实际控制人地位损害新开普及新开 普其他股东的合法权益。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、本人保证自本承诺函出具日起，若本人控 制的公司、企业或其他经营实体出现与新开普业务有竞争的经营业务情</w:t>
            </w:r>
          </w:p>
        </w:tc>
        <w:tc>
          <w:tcPr>
            <w:tcW w:w="1265"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上述承诺人严 </w:t>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发生违反承诺</w:t>
            </w: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况时，新开普可以采取优先收购或委托经营的方式将相关公司、企业或</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6"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其他经营实体的竞争业务集中到新开普经营。</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、本人保证自本承诺函</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出具日起，若本人控制的公司、企业或其他经营实体在出售或转让与新</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开普主营业务相关的资产、业务或权益时，在同等条件下给予新开普优</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先购买的权利。</w:t>
            </w:r>
            <w:r>
              <w:rPr>
                <w:rFonts w:ascii="Times New Roman" w:hAnsi="Times New Roman" w:cs="Times New Roman" w:eastAsia="Times New Roman" w:hint="default"/>
                <w:sz w:val="18"/>
                <w:szCs w:val="18"/>
              </w:rPr>
              <w:t>6</w:t>
            </w:r>
            <w:r>
              <w:rPr>
                <w:rFonts w:ascii="宋体" w:hAnsi="宋体" w:cs="宋体" w:eastAsia="宋体" w:hint="default"/>
                <w:sz w:val="18"/>
                <w:szCs w:val="18"/>
              </w:rPr>
              <w:t>、如本人及其控制的公司、企业或其他经营实体有任</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何违反上述承诺的事项发生，本人将承担因此给新开普造成的一切损失</w:t>
            </w:r>
          </w:p>
        </w:tc>
        <w:tc>
          <w:tcPr>
            <w:tcW w:w="1265" w:type="dxa"/>
            <w:tcBorders>
              <w:top w:val="nil" w:sz="6" w:space="0" w:color="auto"/>
              <w:left w:val="single" w:sz="13" w:space="0" w:color="FFFFFF"/>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single" w:sz="4" w:space="0" w:color="000000"/>
              <w:right w:val="single" w:sz="4" w:space="0" w:color="000000"/>
            </w:tcBorders>
          </w:tcPr>
          <w:p>
            <w:pPr/>
          </w:p>
        </w:tc>
        <w:tc>
          <w:tcPr>
            <w:tcW w:w="5638" w:type="dxa"/>
            <w:tcBorders>
              <w:top w:val="nil" w:sz="6" w:space="0" w:color="auto"/>
              <w:left w:val="single" w:sz="4" w:space="0" w:color="000000"/>
              <w:bottom w:val="single" w:sz="4" w:space="0" w:color="000000"/>
              <w:right w:val="single" w:sz="13" w:space="0" w:color="FFFFFF"/>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（含直接损失和间接损失</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65" w:type="dxa"/>
            <w:tcBorders>
              <w:top w:val="nil" w:sz="6" w:space="0" w:color="auto"/>
              <w:left w:val="single" w:sz="13" w:space="0" w:color="FFFFFF"/>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2409" w:type="dxa"/>
            <w:tcBorders>
              <w:top w:val="single" w:sz="4" w:space="0" w:color="000000"/>
              <w:left w:val="single" w:sz="4" w:space="0" w:color="000000"/>
              <w:bottom w:val="nil" w:sz="6" w:space="0" w:color="auto"/>
              <w:right w:val="single" w:sz="4" w:space="0" w:color="000000"/>
            </w:tcBorders>
          </w:tcPr>
          <w:p>
            <w:pPr/>
          </w:p>
        </w:tc>
        <w:tc>
          <w:tcPr>
            <w:tcW w:w="5638"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月，郑州新开普电子技术有限公司注册资本由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万元增加至</w:t>
            </w:r>
          </w:p>
        </w:tc>
        <w:tc>
          <w:tcPr>
            <w:tcW w:w="1265" w:type="dxa"/>
            <w:tcBorders>
              <w:top w:val="single" w:sz="4" w:space="0" w:color="000000"/>
              <w:left w:val="single" w:sz="13" w:space="0" w:color="FFFFFF"/>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1866"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Style w:val="TableParagraph"/>
              <w:spacing w:line="316" w:lineRule="auto" w:before="141"/>
              <w:ind w:left="23" w:right="34"/>
              <w:jc w:val="both"/>
              <w:rPr>
                <w:rFonts w:ascii="宋体" w:hAnsi="宋体" w:cs="宋体" w:eastAsia="宋体" w:hint="default"/>
                <w:sz w:val="18"/>
                <w:szCs w:val="18"/>
              </w:rPr>
            </w:pPr>
            <w:r>
              <w:rPr>
                <w:rFonts w:ascii="宋体" w:hAnsi="宋体" w:cs="宋体" w:eastAsia="宋体" w:hint="default"/>
                <w:sz w:val="18"/>
                <w:szCs w:val="18"/>
              </w:rPr>
              <w:t>杨维国、尚卫国、赵利宾、华 梦阳、郎金文、杜建平、傅常 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p>
            <w:pPr>
              <w:pStyle w:val="TableParagraph"/>
              <w:spacing w:line="302"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月郑州新开普电子技 术有限公司增资股东。</w:t>
            </w:r>
          </w:p>
        </w:tc>
        <w:tc>
          <w:tcPr>
            <w:tcW w:w="5638" w:type="dxa"/>
            <w:tcBorders>
              <w:top w:val="nil" w:sz="6" w:space="0" w:color="auto"/>
              <w:left w:val="single" w:sz="4" w:space="0" w:color="000000"/>
              <w:bottom w:val="nil" w:sz="6" w:space="0" w:color="auto"/>
              <w:right w:val="single" w:sz="13" w:space="0" w:color="FFFFFF"/>
            </w:tcBorders>
          </w:tcPr>
          <w:p>
            <w:pPr>
              <w:pStyle w:val="TableParagraph"/>
              <w:spacing w:line="309" w:lineRule="auto" w:before="5"/>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万元，但该次增资并未及时到位，而是于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月前陆续到位</w:t>
            </w:r>
            <w:r>
              <w:rPr>
                <w:rFonts w:ascii="宋体" w:hAnsi="宋体" w:cs="宋体" w:eastAsia="宋体" w:hint="default"/>
                <w:spacing w:val="-84"/>
                <w:sz w:val="18"/>
                <w:szCs w:val="18"/>
              </w:rPr>
              <w:t> </w:t>
            </w:r>
            <w:r>
              <w:rPr>
                <w:rFonts w:ascii="宋体" w:hAnsi="宋体" w:cs="宋体" w:eastAsia="宋体" w:hint="default"/>
                <w:sz w:val="18"/>
                <w:szCs w:val="18"/>
              </w:rPr>
              <w:t>为此，杨维国、尚卫国、赵利宾、华梦阳、郎金文、杜建平、傅常顺、 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名增资股东于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日共同作出书面承</w:t>
            </w:r>
          </w:p>
          <w:p>
            <w:pPr>
              <w:pStyle w:val="TableParagraph"/>
              <w:spacing w:line="309" w:lineRule="auto" w:before="5"/>
              <w:ind w:left="22" w:right="20"/>
              <w:jc w:val="both"/>
              <w:rPr>
                <w:rFonts w:ascii="宋体" w:hAnsi="宋体" w:cs="宋体" w:eastAsia="宋体" w:hint="default"/>
                <w:sz w:val="18"/>
                <w:szCs w:val="18"/>
              </w:rPr>
            </w:pPr>
            <w:r>
              <w:rPr>
                <w:rFonts w:ascii="宋体" w:hAnsi="宋体" w:cs="宋体" w:eastAsia="宋体" w:hint="default"/>
                <w:spacing w:val="-7"/>
                <w:sz w:val="18"/>
                <w:szCs w:val="18"/>
              </w:rPr>
              <w:t>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月增资时，增资股东用于出资的资金和实 物资产均系增资股东自筹资金或自有实物资产，前述资金和实物资产来 源真实合法，不存在违法违规的情形，不存在被有关部门收缴、追索等</w:t>
            </w:r>
          </w:p>
        </w:tc>
        <w:tc>
          <w:tcPr>
            <w:tcW w:w="1265"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9" w:lineRule="auto" w:before="141"/>
              <w:ind w:left="22" w:right="-24"/>
              <w:jc w:val="left"/>
              <w:rPr>
                <w:rFonts w:ascii="宋体" w:hAnsi="宋体" w:cs="宋体" w:eastAsia="宋体" w:hint="default"/>
                <w:sz w:val="18"/>
                <w:szCs w:val="18"/>
              </w:rPr>
            </w:pPr>
            <w:r>
              <w:rPr>
                <w:rFonts w:ascii="宋体" w:hAnsi="宋体" w:cs="宋体" w:eastAsia="宋体" w:hint="default"/>
                <w:sz w:val="18"/>
                <w:szCs w:val="18"/>
              </w:rPr>
              <w:t>截至报告期末， 上述承诺人严 </w:t>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发生违反承诺 的情况。</w:t>
            </w: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single" w:sz="4" w:space="0" w:color="000000"/>
              <w:right w:val="single" w:sz="4" w:space="0" w:color="000000"/>
            </w:tcBorders>
          </w:tcPr>
          <w:p>
            <w:pPr/>
          </w:p>
        </w:tc>
        <w:tc>
          <w:tcPr>
            <w:tcW w:w="5638" w:type="dxa"/>
            <w:tcBorders>
              <w:top w:val="nil" w:sz="6" w:space="0" w:color="auto"/>
              <w:left w:val="single" w:sz="4" w:space="0" w:color="000000"/>
              <w:bottom w:val="single" w:sz="4" w:space="0" w:color="000000"/>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法律风险；如因前述资金和实物资产来源而引起的一切法律责任由杨维</w:t>
            </w:r>
          </w:p>
        </w:tc>
        <w:tc>
          <w:tcPr>
            <w:tcW w:w="1265" w:type="dxa"/>
            <w:tcBorders>
              <w:top w:val="nil" w:sz="6" w:space="0" w:color="auto"/>
              <w:left w:val="single" w:sz="13" w:space="0" w:color="FFFFFF"/>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27"/>
        <w:gridCol w:w="2409"/>
        <w:gridCol w:w="5627"/>
        <w:gridCol w:w="1277"/>
        <w:gridCol w:w="1278"/>
        <w:gridCol w:w="1268"/>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2409" w:type="dxa"/>
            <w:vMerge w:val="restart"/>
            <w:tcBorders>
              <w:top w:val="single" w:sz="15" w:space="0" w:color="000000"/>
              <w:left w:val="single" w:sz="4" w:space="0" w:color="000000"/>
              <w:right w:val="single" w:sz="4" w:space="0" w:color="000000"/>
            </w:tcBorders>
          </w:tcPr>
          <w:p>
            <w:pPr/>
          </w:p>
        </w:tc>
        <w:tc>
          <w:tcPr>
            <w:tcW w:w="562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国、尚卫国、赵利宾、华梦阳、郎金文、杜建平、傅常顺、葛晓阁和刘</w:t>
            </w:r>
          </w:p>
        </w:tc>
        <w:tc>
          <w:tcPr>
            <w:tcW w:w="1277" w:type="dxa"/>
            <w:vMerge w:val="restart"/>
            <w:tcBorders>
              <w:top w:val="single" w:sz="15" w:space="0" w:color="000000"/>
              <w:left w:val="single" w:sz="4" w:space="0" w:color="000000"/>
              <w:right w:val="single" w:sz="4" w:space="0" w:color="000000"/>
            </w:tcBorders>
          </w:tcPr>
          <w:p>
            <w:pPr/>
          </w:p>
        </w:tc>
        <w:tc>
          <w:tcPr>
            <w:tcW w:w="1278" w:type="dxa"/>
            <w:vMerge w:val="restart"/>
            <w:tcBorders>
              <w:top w:val="single" w:sz="15" w:space="0" w:color="000000"/>
              <w:left w:val="single" w:sz="4" w:space="0" w:color="000000"/>
              <w:right w:val="single" w:sz="4" w:space="0" w:color="000000"/>
            </w:tcBorders>
          </w:tcPr>
          <w:p>
            <w:pPr/>
          </w:p>
        </w:tc>
        <w:tc>
          <w:tcPr>
            <w:tcW w:w="1268" w:type="dxa"/>
            <w:vMerge w:val="restart"/>
            <w:tcBorders>
              <w:top w:val="single" w:sz="15" w:space="0" w:color="000000"/>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宋体" w:hAnsi="宋体" w:cs="宋体" w:eastAsia="宋体" w:hint="default"/>
                <w:spacing w:val="1"/>
                <w:sz w:val="18"/>
                <w:szCs w:val="18"/>
              </w:rPr>
              <w:t>承</w:t>
            </w:r>
            <w:r>
              <w:rPr>
                <w:rFonts w:ascii="宋体" w:hAnsi="宋体" w:cs="宋体" w:eastAsia="宋体" w:hint="default"/>
                <w:sz w:val="18"/>
                <w:szCs w:val="18"/>
              </w:rPr>
              <w:t>担</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）各增资股东对前述有限公司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月增资时</w:t>
            </w:r>
          </w:p>
        </w:tc>
        <w:tc>
          <w:tcPr>
            <w:tcW w:w="1277"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其他增资股东的出资方式和出资金额均无任何争议，也不存在任何纠纷</w:t>
            </w:r>
          </w:p>
        </w:tc>
        <w:tc>
          <w:tcPr>
            <w:tcW w:w="1277"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或潜在纠纷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）若因前述有限公司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月增资时股东出资没有</w:t>
            </w:r>
          </w:p>
        </w:tc>
        <w:tc>
          <w:tcPr>
            <w:tcW w:w="1277"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及时全额到位的问题，致使郑州新开普电子股份有限公司遭受任何处</w:t>
            </w:r>
          </w:p>
        </w:tc>
        <w:tc>
          <w:tcPr>
            <w:tcW w:w="1277"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罚，杨维国、尚卫国、赵利宾、华梦阳、郎金文、杜建平、傅常顺、葛</w:t>
            </w:r>
          </w:p>
        </w:tc>
        <w:tc>
          <w:tcPr>
            <w:tcW w:w="1277"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晓阁和刘恩臣等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人将无条件全额承担因此而产生的任何费用支出、经</w:t>
            </w:r>
          </w:p>
        </w:tc>
        <w:tc>
          <w:tcPr>
            <w:tcW w:w="1277"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2" w:hRule="exact"/>
        </w:trPr>
        <w:tc>
          <w:tcPr>
            <w:tcW w:w="2127" w:type="dxa"/>
            <w:vMerge/>
            <w:tcBorders>
              <w:left w:val="single" w:sz="4" w:space="0" w:color="000000"/>
              <w:right w:val="single" w:sz="4" w:space="0" w:color="000000"/>
            </w:tcBorders>
            <w:shd w:val="clear" w:color="auto" w:fill="D3D3D3"/>
          </w:tcPr>
          <w:p>
            <w:pPr/>
          </w:p>
        </w:tc>
        <w:tc>
          <w:tcPr>
            <w:tcW w:w="2409" w:type="dxa"/>
            <w:vMerge/>
            <w:tcBorders>
              <w:left w:val="single" w:sz="4" w:space="0" w:color="000000"/>
              <w:bottom w:val="single" w:sz="4" w:space="0" w:color="000000"/>
              <w:right w:val="single" w:sz="4" w:space="0" w:color="000000"/>
            </w:tcBorders>
          </w:tcPr>
          <w:p>
            <w:pPr/>
          </w:p>
        </w:tc>
        <w:tc>
          <w:tcPr>
            <w:tcW w:w="56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济赔偿或其他损失。</w:t>
            </w:r>
          </w:p>
        </w:tc>
        <w:tc>
          <w:tcPr>
            <w:tcW w:w="1277"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1962" w:hRule="exact"/>
        </w:trPr>
        <w:tc>
          <w:tcPr>
            <w:tcW w:w="2127" w:type="dxa"/>
            <w:vMerge/>
            <w:tcBorders>
              <w:left w:val="single" w:sz="4" w:space="0" w:color="000000"/>
              <w:right w:val="single" w:sz="4" w:space="0" w:color="000000"/>
            </w:tcBorders>
            <w:shd w:val="clear" w:color="auto" w:fill="D3D3D3"/>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公司控股股东暨实际控制人杨 维国</w:t>
            </w:r>
          </w:p>
        </w:tc>
        <w:tc>
          <w:tcPr>
            <w:tcW w:w="5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
                <w:sz w:val="18"/>
                <w:szCs w:val="18"/>
              </w:rPr>
              <w:t>若根据有权部门的要求或决定，郑州新开普电子股份有限公司及其控股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子公司需要为员工补缴社会保险金或住房公积金，或因未足额缴纳社会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保险金或住房公积金需承担任何罚款或损失，本人将足额补偿郑州新开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普电子股份有限公司及其控股子公司因此发生的支出或所受损失，且在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承担后不向郑州新开普电子股份有限公司或其控股子公司追偿，确保郑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州新开普电子股份有限公司及其控股子公司不会因此遭受任何损失。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截至报告期末， 上述承诺人严 </w:t>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发生违反承诺 的情况。</w:t>
            </w: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2409" w:type="dxa"/>
            <w:tcBorders>
              <w:top w:val="single" w:sz="4" w:space="0" w:color="000000"/>
              <w:left w:val="single" w:sz="4" w:space="0" w:color="000000"/>
              <w:bottom w:val="nil" w:sz="6" w:space="0" w:color="auto"/>
              <w:right w:val="single" w:sz="4" w:space="0" w:color="000000"/>
            </w:tcBorders>
          </w:tcPr>
          <w:p>
            <w:pPr/>
          </w:p>
        </w:tc>
        <w:tc>
          <w:tcPr>
            <w:tcW w:w="56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严格遵守《公司法》和深圳证券交易所关于上市公司董事、监事与高级</w:t>
            </w:r>
          </w:p>
        </w:tc>
        <w:tc>
          <w:tcPr>
            <w:tcW w:w="1277"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管理人员买卖本公司股份行为的相关规定，在任职期间每年转让的股份</w:t>
            </w:r>
          </w:p>
        </w:tc>
        <w:tc>
          <w:tcPr>
            <w:tcW w:w="1277"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不超过本人所持有发行人股份总数的百分之二十五；所持发行人股份自</w:t>
            </w:r>
          </w:p>
        </w:tc>
        <w:tc>
          <w:tcPr>
            <w:tcW w:w="1277"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截至报告期末，</w:t>
            </w:r>
          </w:p>
        </w:tc>
      </w:tr>
      <w:tr>
        <w:trPr>
          <w:trHeight w:val="935"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3" w:right="35"/>
              <w:jc w:val="left"/>
              <w:rPr>
                <w:rFonts w:ascii="宋体" w:hAnsi="宋体" w:cs="宋体" w:eastAsia="宋体" w:hint="default"/>
                <w:sz w:val="18"/>
                <w:szCs w:val="18"/>
              </w:rPr>
            </w:pPr>
            <w:r>
              <w:rPr>
                <w:rFonts w:ascii="宋体" w:hAnsi="宋体" w:cs="宋体" w:eastAsia="宋体" w:hint="default"/>
                <w:sz w:val="18"/>
                <w:szCs w:val="18"/>
              </w:rPr>
              <w:t>傅常顺、杜建平等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 股东</w:t>
            </w: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1"/>
                <w:sz w:val="18"/>
                <w:szCs w:val="18"/>
              </w:rPr>
              <w:t>发行人股票上市交易之日起十二个月内不得转让；在公司首次公开发行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股票上市之日起六个月内申报离职的，自申报离职之日起十八个月内不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转让本人直接持有的发行人股份；在公司首次公开发行股票上市之日起</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上述承诺人严 </w:t>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发生违反承诺</w:t>
            </w: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第七个月至第十二个月之间申报离职的，自申报离职之日起十二个月内</w:t>
            </w:r>
          </w:p>
        </w:tc>
        <w:tc>
          <w:tcPr>
            <w:tcW w:w="1277"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nil" w:sz="6" w:space="0" w:color="auto"/>
              <w:right w:val="single" w:sz="4" w:space="0" w:color="000000"/>
            </w:tcBorders>
          </w:tcPr>
          <w:p>
            <w:pP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不转让本人直接持有的发行人股份；在离职后六个月内，不转让本人所</w:t>
            </w:r>
          </w:p>
        </w:tc>
        <w:tc>
          <w:tcPr>
            <w:tcW w:w="1277"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single" w:sz="4" w:space="0" w:color="000000"/>
              <w:right w:val="single" w:sz="4" w:space="0" w:color="000000"/>
            </w:tcBorders>
          </w:tcPr>
          <w:p>
            <w:pPr/>
          </w:p>
        </w:tc>
        <w:tc>
          <w:tcPr>
            <w:tcW w:w="56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持有的发行人股份。</w:t>
            </w:r>
          </w:p>
        </w:tc>
        <w:tc>
          <w:tcPr>
            <w:tcW w:w="1277"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21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9" w:type="dxa"/>
            <w:tcBorders>
              <w:top w:val="single" w:sz="4" w:space="0" w:color="000000"/>
              <w:left w:val="single" w:sz="4" w:space="0" w:color="000000"/>
              <w:bottom w:val="nil" w:sz="6" w:space="0" w:color="auto"/>
              <w:right w:val="single" w:sz="4" w:space="0" w:color="000000"/>
            </w:tcBorders>
          </w:tcPr>
          <w:p>
            <w:pPr/>
          </w:p>
        </w:tc>
        <w:tc>
          <w:tcPr>
            <w:tcW w:w="56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日，公司第二届董事会第十七次会议审议通过了《关于</w:t>
            </w:r>
          </w:p>
        </w:tc>
        <w:tc>
          <w:tcPr>
            <w:tcW w:w="1277"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1243"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24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w:t>
            </w:r>
          </w:p>
        </w:tc>
        <w:tc>
          <w:tcPr>
            <w:tcW w:w="562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58"/>
              <w:jc w:val="left"/>
              <w:rPr>
                <w:rFonts w:ascii="宋体" w:hAnsi="宋体" w:cs="宋体" w:eastAsia="宋体" w:hint="default"/>
                <w:sz w:val="18"/>
                <w:szCs w:val="18"/>
              </w:rPr>
            </w:pPr>
            <w:r>
              <w:rPr>
                <w:rFonts w:ascii="宋体" w:hAnsi="宋体" w:cs="宋体" w:eastAsia="宋体" w:hint="default"/>
                <w:spacing w:val="-3"/>
                <w:sz w:val="18"/>
                <w:szCs w:val="18"/>
              </w:rPr>
              <w:t>继续使用部分闲置募集资金暂时补充流动资金的议案》，全体董事一致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同意公司继续使用闲置募集资金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万元暂时补充流动资金，使用期</w:t>
            </w:r>
          </w:p>
          <w:p>
            <w:pPr>
              <w:pStyle w:val="TableParagraph"/>
              <w:spacing w:line="300" w:lineRule="auto"/>
              <w:ind w:left="22" w:right="22"/>
              <w:jc w:val="left"/>
              <w:rPr>
                <w:rFonts w:ascii="宋体" w:hAnsi="宋体" w:cs="宋体" w:eastAsia="宋体" w:hint="default"/>
                <w:sz w:val="18"/>
                <w:szCs w:val="18"/>
              </w:rPr>
            </w:pPr>
            <w:r>
              <w:rPr>
                <w:rFonts w:ascii="宋体" w:hAnsi="宋体" w:cs="宋体" w:eastAsia="宋体" w:hint="default"/>
                <w:sz w:val="18"/>
                <w:szCs w:val="18"/>
              </w:rPr>
              <w:t>限为自董事会批准之日起不超过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个月。到期公司将及时、足额将上述 </w:t>
            </w:r>
            <w:r>
              <w:rPr>
                <w:rFonts w:ascii="宋体" w:hAnsi="宋体" w:cs="宋体" w:eastAsia="宋体" w:hint="default"/>
                <w:spacing w:val="-1"/>
                <w:sz w:val="18"/>
                <w:szCs w:val="18"/>
              </w:rPr>
              <w:t>资金归还至募集资金专户。公司承诺在本次使用部分闲置募集资金暂时</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7"/>
                <w:sz w:val="18"/>
                <w:szCs w:val="18"/>
              </w:rPr>
              <w:t>日，该承诺履行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完毕，承诺人严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发生违反承诺</w:t>
            </w:r>
          </w:p>
        </w:tc>
      </w:tr>
      <w:tr>
        <w:trPr>
          <w:trHeight w:val="347" w:hRule="exact"/>
        </w:trPr>
        <w:tc>
          <w:tcPr>
            <w:tcW w:w="21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single" w:sz="4" w:space="0" w:color="000000"/>
              <w:right w:val="single" w:sz="4" w:space="0" w:color="000000"/>
            </w:tcBorders>
          </w:tcPr>
          <w:p>
            <w:pPr/>
          </w:p>
        </w:tc>
        <w:tc>
          <w:tcPr>
            <w:tcW w:w="56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补充流动资金后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个月内不从事证券投资等高风险投资。</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277"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20" w:right="1300"/>
        </w:sectPr>
      </w:pPr>
    </w:p>
    <w:p>
      <w:pPr>
        <w:spacing w:line="240" w:lineRule="auto" w:before="4"/>
        <w:rPr>
          <w:rFonts w:ascii="Times New Roman" w:hAnsi="Times New Roman" w:cs="Times New Roman" w:eastAsia="Times New Roman" w:hint="default"/>
          <w:sz w:val="3"/>
          <w:szCs w:val="3"/>
        </w:rPr>
      </w:pPr>
      <w:r>
        <w:rPr/>
        <w:pict>
          <v:shape style="position:absolute;margin-left:421.189911pt;margin-top:57.18pt;width:222.55pt;height:48.85pt;mso-position-horizontal-relative:page;mso-position-vertical-relative:page;z-index:-99863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人民币一次性归还至公司募集资金专户，</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27"/>
        <w:gridCol w:w="2409"/>
        <w:gridCol w:w="5627"/>
        <w:gridCol w:w="1277"/>
        <w:gridCol w:w="1278"/>
        <w:gridCol w:w="1268"/>
      </w:tblGrid>
      <w:tr>
        <w:trPr>
          <w:trHeight w:val="100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2409" w:type="dxa"/>
            <w:tcBorders>
              <w:top w:val="single" w:sz="15" w:space="0" w:color="000000"/>
              <w:left w:val="single" w:sz="4" w:space="0" w:color="000000"/>
              <w:bottom w:val="single" w:sz="4" w:space="0" w:color="000000"/>
              <w:right w:val="single" w:sz="4" w:space="0" w:color="000000"/>
            </w:tcBorders>
          </w:tcPr>
          <w:p>
            <w:pPr/>
          </w:p>
        </w:tc>
        <w:tc>
          <w:tcPr>
            <w:tcW w:w="56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公司已将合计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302" w:lineRule="auto" w:before="63"/>
              <w:ind w:left="22" w:right="109"/>
              <w:jc w:val="left"/>
              <w:rPr>
                <w:rFonts w:ascii="宋体" w:hAnsi="宋体" w:cs="宋体" w:eastAsia="宋体" w:hint="default"/>
                <w:sz w:val="18"/>
                <w:szCs w:val="18"/>
              </w:rPr>
            </w:pPr>
            <w:r>
              <w:rPr>
                <w:rFonts w:ascii="宋体" w:hAnsi="宋体" w:cs="宋体" w:eastAsia="宋体" w:hint="default"/>
                <w:sz w:val="18"/>
                <w:szCs w:val="18"/>
              </w:rPr>
              <w:t>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日发布了《关于继续使用闲置募集资金暂时补 </w:t>
            </w:r>
            <w:r>
              <w:rPr>
                <w:rFonts w:ascii="宋体" w:hAnsi="宋体" w:cs="宋体" w:eastAsia="宋体" w:hint="default"/>
                <w:spacing w:val="-7"/>
                <w:sz w:val="18"/>
                <w:szCs w:val="18"/>
              </w:rPr>
              <w:t>充流动资金到期归还的公告》。</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9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63.4pt;height:48.85pt;mso-position-horizontal-relative:char;mso-position-vertical-relative:line" coordorigin="0,0" coordsize="1268,977">
                  <v:group style="position:absolute;left:0;top:0;width:1268;height:977" coordorigin="0,0" coordsize="1268,977">
                    <v:shape style="position:absolute;left:0;top:0;width:1268;height:977" coordorigin="0,0" coordsize="1268,977" path="m0,0l0,977,1267,977,1267,0,0,0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278" w:type="dxa"/>
            <w:tcBorders>
              <w:top w:val="single" w:sz="15" w:space="0" w:color="000000"/>
              <w:left w:val="single" w:sz="4" w:space="0" w:color="000000"/>
              <w:bottom w:val="single" w:sz="4" w:space="0" w:color="000000"/>
              <w:right w:val="single" w:sz="4" w:space="0" w:color="000000"/>
            </w:tcBorders>
          </w:tcPr>
          <w:p>
            <w:pPr/>
          </w:p>
        </w:tc>
        <w:tc>
          <w:tcPr>
            <w:tcW w:w="1268" w:type="dxa"/>
            <w:tcBorders>
              <w:top w:val="single" w:sz="15" w:space="0" w:color="000000"/>
              <w:left w:val="single" w:sz="4" w:space="0" w:color="000000"/>
              <w:bottom w:val="single" w:sz="4" w:space="0" w:color="000000"/>
              <w:right w:val="single" w:sz="4" w:space="0" w:color="000000"/>
            </w:tcBorders>
          </w:tcPr>
          <w:p>
            <w:pPr/>
          </w:p>
        </w:tc>
      </w:tr>
      <w:tr>
        <w:trPr>
          <w:trHeight w:val="1962" w:hRule="exact"/>
        </w:trPr>
        <w:tc>
          <w:tcPr>
            <w:tcW w:w="2127" w:type="dxa"/>
            <w:vMerge/>
            <w:tcBorders>
              <w:left w:val="single" w:sz="4" w:space="0" w:color="000000"/>
              <w:right w:val="single" w:sz="4" w:space="0" w:color="000000"/>
            </w:tcBorders>
            <w:shd w:val="clear" w:color="auto" w:fill="D3D3D3"/>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w:t>
            </w:r>
          </w:p>
        </w:tc>
        <w:tc>
          <w:tcPr>
            <w:tcW w:w="56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日，公司第二届董事会第十九次会议审议通过了《关于</w:t>
            </w:r>
            <w:r>
              <w:rPr>
                <w:rFonts w:ascii="宋体" w:hAnsi="宋体" w:cs="宋体" w:eastAsia="宋体" w:hint="default"/>
                <w:sz w:val="18"/>
                <w:szCs w:val="18"/>
              </w:rPr>
              <w:t> </w:t>
            </w:r>
            <w:r>
              <w:rPr>
                <w:rFonts w:ascii="宋体" w:hAnsi="宋体" w:cs="宋体" w:eastAsia="宋体" w:hint="default"/>
                <w:spacing w:val="-3"/>
                <w:sz w:val="18"/>
                <w:szCs w:val="18"/>
              </w:rPr>
              <w:t>使用部分超募资金永久补充流动资金的议案》，全体董事一致同意公司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使用超募资金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万元永久补充流动资金。该事项已经由公司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年第三次临时股东大会审议通过。公司承诺</w:t>
            </w:r>
          </w:p>
          <w:p>
            <w:pPr>
              <w:pStyle w:val="TableParagraph"/>
              <w:spacing w:line="302" w:lineRule="auto" w:before="63"/>
              <w:ind w:left="22" w:right="58"/>
              <w:jc w:val="left"/>
              <w:rPr>
                <w:rFonts w:ascii="宋体" w:hAnsi="宋体" w:cs="宋体" w:eastAsia="宋体" w:hint="default"/>
                <w:sz w:val="18"/>
                <w:szCs w:val="18"/>
              </w:rPr>
            </w:pPr>
            <w:r>
              <w:rPr>
                <w:rFonts w:ascii="宋体" w:hAnsi="宋体" w:cs="宋体" w:eastAsia="宋体" w:hint="default"/>
                <w:sz w:val="18"/>
                <w:szCs w:val="18"/>
              </w:rPr>
              <w:t>在补充流动资金后的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个月内不进行证券投资等高风险投资以及为他 人提供财务资助。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319"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日该承诺履行 </w:t>
            </w:r>
            <w:r>
              <w:rPr>
                <w:rFonts w:ascii="宋体" w:hAnsi="宋体" w:cs="宋体" w:eastAsia="宋体" w:hint="default"/>
                <w:spacing w:val="-7"/>
                <w:sz w:val="18"/>
                <w:szCs w:val="18"/>
              </w:rPr>
              <w:t>完毕，承诺人严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发生违反承诺 的情况。</w:t>
            </w:r>
          </w:p>
        </w:tc>
      </w:tr>
      <w:tr>
        <w:trPr>
          <w:trHeight w:val="1962"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5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日，公司发布了《关于终止筹划重大资产重组事项暨公司</w:t>
            </w:r>
            <w:r>
              <w:rPr>
                <w:rFonts w:ascii="宋体" w:hAnsi="宋体" w:cs="宋体" w:eastAsia="宋体" w:hint="default"/>
                <w:sz w:val="18"/>
                <w:szCs w:val="18"/>
              </w:rPr>
              <w:t> </w:t>
            </w:r>
            <w:r>
              <w:rPr>
                <w:rFonts w:ascii="宋体" w:hAnsi="宋体" w:cs="宋体" w:eastAsia="宋体" w:hint="default"/>
                <w:spacing w:val="-3"/>
                <w:sz w:val="18"/>
                <w:szCs w:val="18"/>
              </w:rPr>
              <w:t>股票复牌公告》，终止了筹划中的重大资产重组事项，公司股票于当日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复牌，并承诺自本次股票复牌之日起六个月内不再筹划重大资产重组事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9" w:lineRule="auto" w:before="61"/>
              <w:ind w:left="22" w:right="20"/>
              <w:jc w:val="left"/>
              <w:rPr>
                <w:rFonts w:ascii="宋体" w:hAnsi="宋体" w:cs="宋体" w:eastAsia="宋体" w:hint="default"/>
                <w:sz w:val="18"/>
                <w:szCs w:val="18"/>
              </w:rPr>
            </w:pPr>
            <w:r>
              <w:rPr>
                <w:rFonts w:ascii="宋体" w:hAnsi="宋体" w:cs="宋体" w:eastAsia="宋体" w:hint="default"/>
                <w:spacing w:val="-7"/>
                <w:sz w:val="18"/>
                <w:szCs w:val="18"/>
              </w:rPr>
              <w:t>日，该承诺履行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完毕，承诺人严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发生违反承诺 的情况。</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18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下一步计划（如有）</w:t>
            </w:r>
          </w:p>
        </w:tc>
        <w:tc>
          <w:tcPr>
            <w:tcW w:w="118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20" w:right="1300"/>
        </w:sectPr>
      </w:pPr>
    </w:p>
    <w:p>
      <w:pPr>
        <w:spacing w:line="240" w:lineRule="auto" w:before="7"/>
        <w:rPr>
          <w:rFonts w:ascii="Times New Roman" w:hAnsi="Times New Roman" w:cs="Times New Roman" w:eastAsia="Times New Roman" w:hint="default"/>
          <w:sz w:val="23"/>
          <w:szCs w:val="23"/>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刘金进、李洪勇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left="153" w:right="13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42"/>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0"/>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公司股东及其一致行动人在报告期内未提出或实施股份增持计划。</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十二、董事、监事、高级管理人员、持股</w:t>
      </w:r>
      <w:r>
        <w:rPr>
          <w:spacing w:val="-62"/>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37"/>
          <w:footerReference w:type="default" r:id="rId38"/>
          <w:pgSz w:w="11910" w:h="16840"/>
          <w:pgMar w:header="877" w:footer="982" w:top="1100" w:bottom="1180" w:left="980" w:right="980"/>
          <w:pgNumType w:start="69"/>
        </w:sectPr>
      </w:pPr>
    </w:p>
    <w:p>
      <w:pPr>
        <w:spacing w:line="240" w:lineRule="auto" w:before="13"/>
        <w:rPr>
          <w:rFonts w:ascii="宋体" w:hAnsi="宋体" w:cs="宋体" w:eastAsia="宋体" w:hint="default"/>
          <w:sz w:val="21"/>
          <w:szCs w:val="21"/>
        </w:rPr>
      </w:pPr>
    </w:p>
    <w:p>
      <w:pPr>
        <w:spacing w:before="44"/>
        <w:ind w:left="153" w:right="532" w:firstLine="0"/>
        <w:jc w:val="left"/>
        <w:rPr>
          <w:rFonts w:ascii="宋体" w:hAnsi="宋体" w:cs="宋体" w:eastAsia="宋体" w:hint="default"/>
          <w:sz w:val="18"/>
          <w:szCs w:val="18"/>
        </w:rPr>
      </w:pPr>
      <w:r>
        <w:rPr>
          <w:rFonts w:ascii="宋体" w:hAnsi="宋体" w:cs="宋体" w:eastAsia="宋体" w:hint="default"/>
          <w:sz w:val="18"/>
          <w:szCs w:val="18"/>
        </w:rPr>
        <w:t>公司报告期不存在需要说明的其他重大事项。</w:t>
      </w:r>
    </w:p>
    <w:p>
      <w:pPr>
        <w:spacing w:line="240" w:lineRule="auto" w:before="13"/>
        <w:rPr>
          <w:rFonts w:ascii="宋体" w:hAnsi="宋体" w:cs="宋体" w:eastAsia="宋体" w:hint="default"/>
          <w:sz w:val="24"/>
          <w:szCs w:val="24"/>
        </w:rPr>
      </w:pPr>
    </w:p>
    <w:p>
      <w:pPr>
        <w:pStyle w:val="Heading2"/>
        <w:spacing w:line="240" w:lineRule="auto"/>
        <w:ind w:right="532"/>
        <w:jc w:val="left"/>
        <w:rPr>
          <w:b w:val="0"/>
          <w:bCs w:val="0"/>
        </w:rPr>
      </w:pPr>
      <w:r>
        <w:rPr/>
        <w:t>十五、控股子公司重要事项</w:t>
      </w:r>
      <w:r>
        <w:rPr>
          <w:b w:val="0"/>
          <w:bCs w:val="0"/>
        </w:rPr>
      </w:r>
    </w:p>
    <w:p>
      <w:pPr>
        <w:spacing w:line="240" w:lineRule="auto" w:before="9"/>
        <w:rPr>
          <w:rFonts w:ascii="宋体" w:hAnsi="宋体" w:cs="宋体" w:eastAsia="宋体" w:hint="default"/>
          <w:b/>
          <w:bCs/>
          <w:sz w:val="26"/>
          <w:szCs w:val="26"/>
        </w:rPr>
      </w:pPr>
    </w:p>
    <w:p>
      <w:pPr>
        <w:spacing w:before="0"/>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95" w:hanging="420"/>
        <w:jc w:val="left"/>
      </w:pPr>
      <w:r>
        <w:rPr/>
        <w:t>郑州正普软件科技有限公司 </w:t>
      </w:r>
      <w:r>
        <w:rPr>
          <w:spacing w:val="-1"/>
        </w:rPr>
        <w:t>正普软件设立时，定位于从事与智能一卡通行业相关联的纯软件系统的研究与开发，以扩大公司业务</w:t>
      </w:r>
    </w:p>
    <w:p>
      <w:pPr>
        <w:pStyle w:val="BodyText"/>
        <w:spacing w:line="398" w:lineRule="auto"/>
        <w:ind w:left="153" w:right="95"/>
        <w:jc w:val="left"/>
      </w:pPr>
      <w:r>
        <w:rPr/>
        <w:t>范围、提高软件研发技术水平，并主要承担了数字化集成平台的研发工作。为实现公司软、硬件核心模块 的集成与融合，节约管理成本，提高管理效率和运作效率，更有效地统筹资金及人力资源，经公司第二届 董事会第十八次会议及</w:t>
      </w:r>
      <w:r>
        <w:rPr>
          <w:rFonts w:ascii="Times New Roman" w:hAnsi="Times New Roman" w:cs="Times New Roman" w:eastAsia="Times New Roman" w:hint="default"/>
        </w:rPr>
        <w:t>2013</w:t>
      </w:r>
      <w:r>
        <w:rPr/>
        <w:t>年第二次临时股东大会审议通过，公司拟决定清算并注销正普软件。正普软件 注销后，虽然对本公司合并报表的范围有所改变，但其资产、资源全部转入了本公司，对本公司整体业务 </w:t>
      </w:r>
      <w:r>
        <w:rPr>
          <w:spacing w:val="-1"/>
        </w:rPr>
        <w:t>发展和盈利水平都无大的影响。</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月，公司收到郑州市工商行政管理局出具的注销登记核准通知书，</w:t>
      </w:r>
      <w:r>
        <w:rPr>
          <w:spacing w:val="-82"/>
        </w:rPr>
        <w:t> </w:t>
      </w:r>
      <w:r>
        <w:rPr>
          <w:spacing w:val="-82"/>
        </w:rPr>
      </w:r>
      <w:r>
        <w:rPr>
          <w:spacing w:val="-2"/>
        </w:rPr>
        <w:t>正普软件完成清算注销程序，母公司实现投资收益</w:t>
      </w:r>
      <w:r>
        <w:rPr>
          <w:rFonts w:ascii="Times New Roman" w:hAnsi="Times New Roman" w:cs="Times New Roman" w:eastAsia="Times New Roman" w:hint="default"/>
          <w:spacing w:val="-2"/>
        </w:rPr>
        <w:t>3,883,275.99</w:t>
      </w:r>
      <w:r>
        <w:rPr>
          <w:spacing w:val="-2"/>
        </w:rPr>
        <w:t>元，同时在报表合并时对正普软件自成立至</w:t>
      </w:r>
      <w:r>
        <w:rPr>
          <w:spacing w:val="-83"/>
        </w:rPr>
        <w:t> </w:t>
      </w:r>
      <w:r>
        <w:rPr>
          <w:spacing w:val="-83"/>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日的收益进行还原。</w:t>
      </w:r>
    </w:p>
    <w:p>
      <w:pPr>
        <w:pStyle w:val="BodyText"/>
        <w:spacing w:line="240" w:lineRule="auto" w:before="24"/>
        <w:ind w:left="574" w:right="532"/>
        <w:jc w:val="left"/>
      </w:pPr>
      <w:r>
        <w:rPr/>
        <w:t>关于上述事项的详细情况，请参阅中国证监会指定创业板信息披露网站相关文件。</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4433"/>
        <w:gridCol w:w="1880"/>
        <w:gridCol w:w="2958"/>
      </w:tblGrid>
      <w:tr>
        <w:trPr>
          <w:trHeight w:val="348" w:hRule="exact"/>
        </w:trPr>
        <w:tc>
          <w:tcPr>
            <w:tcW w:w="443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8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95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751" w:right="0"/>
              <w:jc w:val="left"/>
              <w:rPr>
                <w:rFonts w:ascii="宋体" w:hAnsi="宋体" w:cs="宋体" w:eastAsia="宋体" w:hint="default"/>
                <w:sz w:val="18"/>
                <w:szCs w:val="18"/>
              </w:rPr>
            </w:pPr>
            <w:r>
              <w:rPr>
                <w:rFonts w:ascii="宋体" w:hAnsi="宋体" w:cs="宋体" w:eastAsia="宋体" w:hint="default"/>
                <w:sz w:val="18"/>
                <w:szCs w:val="18"/>
              </w:rPr>
              <w:t>临时公告网站链接</w:t>
            </w:r>
          </w:p>
        </w:tc>
      </w:tr>
      <w:tr>
        <w:trPr>
          <w:trHeight w:val="659" w:hRule="exact"/>
        </w:trPr>
        <w:tc>
          <w:tcPr>
            <w:tcW w:w="4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第二届董事会第十八次会议决议公告</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2013-08-17</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2" w:right="3"/>
              <w:jc w:val="left"/>
              <w:rPr>
                <w:rFonts w:ascii="Times New Roman" w:hAnsi="Times New Roman" w:cs="Times New Roman" w:eastAsia="Times New Roman" w:hint="default"/>
                <w:sz w:val="18"/>
                <w:szCs w:val="18"/>
              </w:rPr>
            </w:pPr>
            <w:hyperlink r:id="rId39">
              <w:r>
                <w:rPr>
                  <w:rFonts w:ascii="Times New Roman"/>
                  <w:sz w:val="18"/>
                </w:rPr>
                <w:t>http://www.cninfo.com.cn/finalpage/201</w:t>
              </w:r>
            </w:hyperlink>
            <w:r>
              <w:rPr>
                <w:rFonts w:ascii="Times New Roman"/>
                <w:spacing w:val="-1"/>
                <w:sz w:val="18"/>
              </w:rPr>
              <w:t> </w:t>
            </w:r>
            <w:r>
              <w:rPr>
                <w:rFonts w:ascii="Times New Roman"/>
                <w:sz w:val="18"/>
              </w:rPr>
              <w:t>3-08-17/62953976.PDF</w:t>
            </w:r>
          </w:p>
        </w:tc>
      </w:tr>
      <w:tr>
        <w:trPr>
          <w:trHeight w:val="659" w:hRule="exact"/>
        </w:trPr>
        <w:tc>
          <w:tcPr>
            <w:tcW w:w="4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关于注销全资子公司郑州正普软件科技有限公司的公告</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2013-08-17</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2" w:right="3"/>
              <w:jc w:val="left"/>
              <w:rPr>
                <w:rFonts w:ascii="Times New Roman" w:hAnsi="Times New Roman" w:cs="Times New Roman" w:eastAsia="Times New Roman" w:hint="default"/>
                <w:sz w:val="18"/>
                <w:szCs w:val="18"/>
              </w:rPr>
            </w:pPr>
            <w:hyperlink r:id="rId39">
              <w:r>
                <w:rPr>
                  <w:rFonts w:ascii="Times New Roman"/>
                  <w:sz w:val="18"/>
                </w:rPr>
                <w:t>http://www.cninfo.com.cn/finalpage/201</w:t>
              </w:r>
            </w:hyperlink>
            <w:r>
              <w:rPr>
                <w:rFonts w:ascii="Times New Roman"/>
                <w:spacing w:val="-1"/>
                <w:sz w:val="18"/>
              </w:rPr>
              <w:t> </w:t>
            </w:r>
            <w:r>
              <w:rPr>
                <w:rFonts w:ascii="Times New Roman"/>
                <w:sz w:val="18"/>
              </w:rPr>
              <w:t>3-08-17/62953986.PDF</w:t>
            </w:r>
          </w:p>
        </w:tc>
      </w:tr>
      <w:tr>
        <w:trPr>
          <w:trHeight w:val="660" w:hRule="exact"/>
        </w:trPr>
        <w:tc>
          <w:tcPr>
            <w:tcW w:w="4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年第二次临时股东大会决议公告</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2013-09-04</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2" w:right="3"/>
              <w:jc w:val="left"/>
              <w:rPr>
                <w:rFonts w:ascii="Times New Roman" w:hAnsi="Times New Roman" w:cs="Times New Roman" w:eastAsia="Times New Roman" w:hint="default"/>
                <w:sz w:val="18"/>
                <w:szCs w:val="18"/>
              </w:rPr>
            </w:pPr>
            <w:hyperlink r:id="rId39">
              <w:r>
                <w:rPr>
                  <w:rFonts w:ascii="Times New Roman"/>
                  <w:sz w:val="18"/>
                </w:rPr>
                <w:t>http://www.cninfo.com.cn/finalpage/201</w:t>
              </w:r>
            </w:hyperlink>
            <w:r>
              <w:rPr>
                <w:rFonts w:ascii="Times New Roman"/>
                <w:spacing w:val="-1"/>
                <w:sz w:val="18"/>
              </w:rPr>
              <w:t> </w:t>
            </w:r>
            <w:r>
              <w:rPr>
                <w:rFonts w:ascii="Times New Roman"/>
                <w:sz w:val="18"/>
              </w:rPr>
              <w:t>3-09-04/63049217.PDF</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532"/>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532"/>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3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0"/>
        <w:gridCol w:w="845"/>
        <w:gridCol w:w="844"/>
        <w:gridCol w:w="844"/>
        <w:gridCol w:w="844"/>
        <w:gridCol w:w="842"/>
        <w:gridCol w:w="844"/>
        <w:gridCol w:w="842"/>
        <w:gridCol w:w="815"/>
        <w:gridCol w:w="814"/>
      </w:tblGrid>
      <w:tr>
        <w:trPr>
          <w:trHeight w:val="40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020" w:type="dxa"/>
            <w:vMerge/>
            <w:tcBorders>
              <w:left w:val="single" w:sz="4" w:space="0" w:color="000000"/>
              <w:bottom w:val="nil" w:sz="6" w:space="0" w:color="auto"/>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1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020"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61.72%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33,033,00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-30,632,00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2,401,000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57,456,00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40.26%</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61.72%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33,033,00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-30,632,00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2,401,000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57,456,00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40.26%</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61.72%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33,033,00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-30,632,00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2,401,000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57,456,00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40.26%</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34,145,00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38.28%</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30,632,00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85,264,00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59.74%</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34,145,00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38.28%</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30,632,00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85,264,00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59.74%</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142,720,0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51"/>
        <w:ind w:left="154" w:right="53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4" w:lineRule="auto" w:before="153"/>
        <w:ind w:left="153" w:right="95" w:firstLine="471"/>
        <w:jc w:val="left"/>
        <w:rPr>
          <w:sz w:val="18"/>
          <w:szCs w:val="18"/>
        </w:rPr>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2013</w:t>
      </w:r>
      <w:r>
        <w:rPr/>
        <w:t>年年度股东大会审议通过了《关于审议郑州新开普电子股份有限公</w:t>
      </w:r>
      <w:r>
        <w:rPr>
          <w:spacing w:val="1"/>
        </w:rPr>
        <w:t> </w:t>
      </w:r>
      <w:r>
        <w:rPr/>
        <w:t>司</w:t>
      </w:r>
      <w:r>
        <w:rPr>
          <w:rFonts w:ascii="Times New Roman" w:hAnsi="Times New Roman" w:cs="Times New Roman" w:eastAsia="Times New Roman" w:hint="default"/>
        </w:rPr>
        <w:t>2013</w:t>
      </w:r>
      <w:r>
        <w:rPr/>
        <w:t>年度利润分配及资本公积金转增股本预案的议案》。与会股东同意以截止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 本</w:t>
      </w:r>
      <w:r>
        <w:rPr>
          <w:rFonts w:ascii="Times New Roman" w:hAnsi="Times New Roman" w:cs="Times New Roman" w:eastAsia="Times New Roman" w:hint="default"/>
        </w:rPr>
        <w:t>89,200,000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元人民币（含税）；同时进行资本公积金转增股本， </w:t>
      </w:r>
      <w:r>
        <w:rPr>
          <w:spacing w:val="-3"/>
        </w:rPr>
        <w:t>以公司总股本</w:t>
      </w:r>
      <w:r>
        <w:rPr>
          <w:rFonts w:ascii="Times New Roman" w:hAnsi="Times New Roman" w:cs="Times New Roman" w:eastAsia="Times New Roman" w:hint="default"/>
          <w:spacing w:val="-3"/>
        </w:rPr>
        <w:t>89,200,000</w:t>
      </w:r>
      <w:r>
        <w:rPr>
          <w:spacing w:val="-3"/>
        </w:rPr>
        <w:t>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股，转增后公司总股本将增加至</w:t>
      </w:r>
      <w:r>
        <w:rPr>
          <w:rFonts w:ascii="Times New Roman" w:hAnsi="Times New Roman" w:cs="Times New Roman" w:eastAsia="Times New Roman" w:hint="default"/>
          <w:spacing w:val="-3"/>
        </w:rPr>
        <w:t>142,720,000</w:t>
      </w:r>
      <w:r>
        <w:rPr>
          <w:spacing w:val="-3"/>
        </w:rPr>
        <w:t>股。</w:t>
      </w:r>
      <w:r>
        <w:rPr>
          <w:spacing w:val="-63"/>
        </w:rPr>
        <w:t> </w:t>
      </w:r>
      <w:r>
        <w:rPr>
          <w:sz w:val="18"/>
          <w:szCs w:val="18"/>
        </w:rPr>
        <w:t>股份变动的批准情况</w:t>
      </w:r>
    </w:p>
    <w:p>
      <w:pPr>
        <w:spacing w:before="9"/>
        <w:ind w:left="153"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4" w:lineRule="auto" w:before="153"/>
        <w:ind w:left="153" w:right="95" w:firstLine="420"/>
        <w:jc w:val="left"/>
        <w:rPr>
          <w:sz w:val="18"/>
          <w:szCs w:val="18"/>
        </w:rPr>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2013</w:t>
      </w:r>
      <w:r>
        <w:rPr/>
        <w:t>年年度股东大会审议通过了《关于审议郑州新开普电子股份有限公 司</w:t>
      </w:r>
      <w:r>
        <w:rPr>
          <w:rFonts w:ascii="Times New Roman" w:hAnsi="Times New Roman" w:cs="Times New Roman" w:eastAsia="Times New Roman" w:hint="default"/>
        </w:rPr>
        <w:t>2013</w:t>
      </w:r>
      <w:r>
        <w:rPr/>
        <w:t>年度利润分配及资本公积金转增股本预案的议案》。与会股东同意以截止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 本</w:t>
      </w:r>
      <w:r>
        <w:rPr>
          <w:rFonts w:ascii="Times New Roman" w:hAnsi="Times New Roman" w:cs="Times New Roman" w:eastAsia="Times New Roman" w:hint="default"/>
        </w:rPr>
        <w:t>89,200,000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元人民币（含税）；同时进行资本公积金转增股本， </w:t>
      </w:r>
      <w:r>
        <w:rPr>
          <w:spacing w:val="-3"/>
        </w:rPr>
        <w:t>以公司总股本</w:t>
      </w:r>
      <w:r>
        <w:rPr>
          <w:rFonts w:ascii="Times New Roman" w:hAnsi="Times New Roman" w:cs="Times New Roman" w:eastAsia="Times New Roman" w:hint="default"/>
          <w:spacing w:val="-3"/>
        </w:rPr>
        <w:t>89,200,000</w:t>
      </w:r>
      <w:r>
        <w:rPr>
          <w:spacing w:val="-3"/>
        </w:rPr>
        <w:t>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股，转增后公司总股本将增加至</w:t>
      </w:r>
      <w:r>
        <w:rPr>
          <w:rFonts w:ascii="Times New Roman" w:hAnsi="Times New Roman" w:cs="Times New Roman" w:eastAsia="Times New Roman" w:hint="default"/>
          <w:spacing w:val="-3"/>
        </w:rPr>
        <w:t>142,720,000</w:t>
      </w:r>
      <w:r>
        <w:rPr>
          <w:spacing w:val="-3"/>
        </w:rPr>
        <w:t>股。</w:t>
      </w:r>
      <w:r>
        <w:rPr>
          <w:spacing w:val="-63"/>
        </w:rPr>
        <w:t> </w:t>
      </w:r>
      <w:r>
        <w:rPr>
          <w:sz w:val="18"/>
          <w:szCs w:val="18"/>
        </w:rPr>
        <w:t>股份变动的过户情况</w:t>
      </w:r>
    </w:p>
    <w:p>
      <w:pPr>
        <w:spacing w:after="0" w:line="384" w:lineRule="auto"/>
        <w:jc w:val="left"/>
        <w:rPr>
          <w:sz w:val="18"/>
          <w:szCs w:val="18"/>
        </w:rPr>
        <w:sectPr>
          <w:pgSz w:w="11910" w:h="16840"/>
          <w:pgMar w:header="877" w:footer="982" w:top="1100" w:bottom="1180" w:left="980" w:right="920"/>
        </w:sectPr>
      </w:pPr>
    </w:p>
    <w:p>
      <w:pPr>
        <w:spacing w:line="240" w:lineRule="auto" w:before="13"/>
        <w:rPr>
          <w:rFonts w:ascii="宋体" w:hAnsi="宋体" w:cs="宋体" w:eastAsia="宋体" w:hint="default"/>
          <w:sz w:val="21"/>
          <w:szCs w:val="21"/>
        </w:rPr>
      </w:pPr>
    </w:p>
    <w:p>
      <w:pPr>
        <w:spacing w:before="44"/>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日，公司在《巨潮资讯网》上刊登了《</w:t>
      </w:r>
      <w:r>
        <w:rPr>
          <w:rFonts w:ascii="Times New Roman" w:hAnsi="Times New Roman" w:cs="Times New Roman" w:eastAsia="Times New Roman" w:hint="default"/>
        </w:rPr>
        <w:t>2013</w:t>
      </w:r>
      <w:r>
        <w:rPr/>
        <w:t>年年度权益分派实施公告》，截至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p>
    <w:p>
      <w:pPr>
        <w:pStyle w:val="BodyText"/>
        <w:spacing w:line="386" w:lineRule="auto" w:before="177"/>
        <w:ind w:right="150"/>
        <w:jc w:val="both"/>
      </w:pPr>
      <w:r>
        <w:rPr>
          <w:rFonts w:ascii="Times New Roman" w:hAnsi="Times New Roman" w:cs="Times New Roman" w:eastAsia="Times New Roman" w:hint="default"/>
          <w:spacing w:val="-1"/>
        </w:rPr>
        <w:t>19</w:t>
      </w:r>
      <w:r>
        <w:rPr>
          <w:spacing w:val="-1"/>
        </w:rPr>
        <w:t>日，公司</w:t>
      </w:r>
      <w:r>
        <w:rPr>
          <w:rFonts w:ascii="Times New Roman" w:hAnsi="Times New Roman" w:cs="Times New Roman" w:eastAsia="Times New Roman" w:hint="default"/>
          <w:spacing w:val="-1"/>
        </w:rPr>
        <w:t>2013</w:t>
      </w:r>
      <w:r>
        <w:rPr>
          <w:spacing w:val="-1"/>
        </w:rPr>
        <w:t>年年度权益分派已实施完毕。</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4</w:t>
      </w:r>
      <w:r>
        <w:rPr>
          <w:spacing w:val="-1"/>
        </w:rPr>
        <w:t>日，立信会计师事务所（特殊普通合伙）出具了</w:t>
      </w:r>
      <w:r>
        <w:rPr>
          <w:spacing w:val="-85"/>
        </w:rPr>
        <w:t> </w:t>
      </w:r>
      <w:r>
        <w:rPr>
          <w:spacing w:val="-85"/>
        </w:rPr>
      </w:r>
      <w:r>
        <w:rPr>
          <w:spacing w:val="-11"/>
        </w:rPr>
        <w:t>编号为</w:t>
      </w:r>
      <w:r>
        <w:rPr>
          <w:rFonts w:ascii="Times New Roman" w:hAnsi="Times New Roman" w:cs="Times New Roman" w:eastAsia="Times New Roman" w:hint="default"/>
          <w:spacing w:val="-11"/>
        </w:rPr>
        <w:t>“</w:t>
      </w:r>
      <w:r>
        <w:rPr>
          <w:spacing w:val="-11"/>
        </w:rPr>
        <w:t>信会师报字【</w:t>
      </w:r>
      <w:r>
        <w:rPr>
          <w:rFonts w:ascii="Times New Roman" w:hAnsi="Times New Roman" w:cs="Times New Roman" w:eastAsia="Times New Roman" w:hint="default"/>
          <w:spacing w:val="-11"/>
        </w:rPr>
        <w:t>2014</w:t>
      </w:r>
      <w:r>
        <w:rPr>
          <w:spacing w:val="-11"/>
        </w:rPr>
        <w:t>】第</w:t>
      </w:r>
      <w:r>
        <w:rPr>
          <w:rFonts w:ascii="Times New Roman" w:hAnsi="Times New Roman" w:cs="Times New Roman" w:eastAsia="Times New Roman" w:hint="default"/>
          <w:spacing w:val="-11"/>
        </w:rPr>
        <w:t>710997</w:t>
      </w:r>
      <w:r>
        <w:rPr>
          <w:spacing w:val="-11"/>
        </w:rPr>
        <w:t>号</w:t>
      </w:r>
      <w:r>
        <w:rPr>
          <w:rFonts w:ascii="Times New Roman" w:hAnsi="Times New Roman" w:cs="Times New Roman" w:eastAsia="Times New Roman" w:hint="default"/>
          <w:spacing w:val="-11"/>
        </w:rPr>
        <w:t>”</w:t>
      </w:r>
      <w:r>
        <w:rPr>
          <w:spacing w:val="-11"/>
        </w:rPr>
        <w:t>的《验资报告》，验证截至</w:t>
      </w:r>
      <w:r>
        <w:rPr>
          <w:rFonts w:ascii="Times New Roman" w:hAnsi="Times New Roman" w:cs="Times New Roman" w:eastAsia="Times New Roman" w:hint="default"/>
          <w:spacing w:val="-11"/>
        </w:rPr>
        <w:t>2014</w:t>
      </w:r>
      <w:r>
        <w:rPr>
          <w:spacing w:val="-11"/>
        </w:rPr>
        <w:t>年</w:t>
      </w:r>
      <w:r>
        <w:rPr>
          <w:rFonts w:ascii="Times New Roman" w:hAnsi="Times New Roman" w:cs="Times New Roman" w:eastAsia="Times New Roman" w:hint="default"/>
          <w:spacing w:val="-11"/>
        </w:rPr>
        <w:t>5</w:t>
      </w:r>
      <w:r>
        <w:rPr>
          <w:spacing w:val="-11"/>
        </w:rPr>
        <w:t>月</w:t>
      </w:r>
      <w:r>
        <w:rPr>
          <w:rFonts w:ascii="Times New Roman" w:hAnsi="Times New Roman" w:cs="Times New Roman" w:eastAsia="Times New Roman" w:hint="default"/>
          <w:spacing w:val="-11"/>
        </w:rPr>
        <w:t>19</w:t>
      </w:r>
      <w:r>
        <w:rPr>
          <w:spacing w:val="-11"/>
        </w:rPr>
        <w:t>日，公司已将资本公积</w:t>
      </w:r>
      <w:r>
        <w:rPr>
          <w:rFonts w:ascii="Times New Roman" w:hAnsi="Times New Roman" w:cs="Times New Roman" w:eastAsia="Times New Roman" w:hint="default"/>
          <w:spacing w:val="-11"/>
        </w:rPr>
        <w:t>5,352.00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万元转增股本；变更后累计实收资本（股本）为</w:t>
      </w:r>
      <w:r>
        <w:rPr>
          <w:rFonts w:ascii="Times New Roman" w:hAnsi="Times New Roman" w:cs="Times New Roman" w:eastAsia="Times New Roman" w:hint="default"/>
        </w:rPr>
        <w:t>14,272.00</w:t>
      </w:r>
      <w:r>
        <w:rPr/>
        <w:t>万元。</w:t>
      </w:r>
    </w:p>
    <w:p>
      <w:pPr>
        <w:spacing w:line="240" w:lineRule="auto" w:before="9"/>
        <w:rPr>
          <w:rFonts w:ascii="宋体" w:hAnsi="宋体" w:cs="宋体" w:eastAsia="宋体" w:hint="default"/>
          <w:sz w:val="28"/>
          <w:szCs w:val="2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233" w:firstLine="419"/>
        <w:jc w:val="both"/>
      </w:pPr>
      <w:r>
        <w:rPr/>
        <w:t>报告期内，公司于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月份进行了资本公积金转增股本，每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股，共计增加股本</w:t>
      </w:r>
      <w:r>
        <w:rPr>
          <w:rFonts w:ascii="Times New Roman" w:hAnsi="Times New Roman" w:cs="Times New Roman" w:eastAsia="Times New Roman" w:hint="default"/>
        </w:rPr>
        <w:t>5,352.00</w:t>
      </w:r>
      <w:r>
        <w:rPr>
          <w:rFonts w:ascii="Times New Roman" w:hAnsi="Times New Roman" w:cs="Times New Roman" w:eastAsia="Times New Roman" w:hint="default"/>
          <w:spacing w:val="-1"/>
        </w:rPr>
        <w:t> </w:t>
      </w:r>
      <w:r>
        <w:rPr/>
        <w:t>万股，使股份由上年期末</w:t>
      </w:r>
      <w:r>
        <w:rPr>
          <w:rFonts w:ascii="Times New Roman" w:hAnsi="Times New Roman" w:cs="Times New Roman" w:eastAsia="Times New Roman" w:hint="default"/>
        </w:rPr>
        <w:t>8,920.00</w:t>
      </w:r>
      <w:r>
        <w:rPr/>
        <w:t>万股增加至</w:t>
      </w:r>
      <w:r>
        <w:rPr>
          <w:rFonts w:ascii="Times New Roman" w:hAnsi="Times New Roman" w:cs="Times New Roman" w:eastAsia="Times New Roman" w:hint="default"/>
        </w:rPr>
        <w:t>14,272.00</w:t>
      </w:r>
      <w:r>
        <w:rPr/>
        <w:t>万股，从而摊薄了报告期末的基本每收益。本报告 期调整后的每股收益为</w:t>
      </w:r>
      <w:r>
        <w:rPr>
          <w:rFonts w:ascii="Times New Roman" w:hAnsi="Times New Roman" w:cs="Times New Roman" w:eastAsia="Times New Roman" w:hint="default"/>
        </w:rPr>
        <w:t>0.26</w:t>
      </w:r>
      <w:r>
        <w:rPr/>
        <w:t>元，上年同期调整后的每股收益为</w:t>
      </w:r>
      <w:r>
        <w:rPr>
          <w:rFonts w:ascii="Times New Roman" w:hAnsi="Times New Roman" w:cs="Times New Roman" w:eastAsia="Times New Roman" w:hint="default"/>
        </w:rPr>
        <w:t>0.17</w:t>
      </w:r>
      <w:r>
        <w:rPr/>
        <w:t>元，如不实施转增股本方案，本报告期 为</w:t>
      </w:r>
      <w:r>
        <w:rPr>
          <w:rFonts w:ascii="Times New Roman" w:hAnsi="Times New Roman" w:cs="Times New Roman" w:eastAsia="Times New Roman" w:hint="default"/>
        </w:rPr>
        <w:t>0.42</w:t>
      </w:r>
      <w:r>
        <w:rPr/>
        <w:t>元，上年同期为</w:t>
      </w:r>
      <w:r>
        <w:rPr>
          <w:rFonts w:ascii="Times New Roman" w:hAnsi="Times New Roman" w:cs="Times New Roman" w:eastAsia="Times New Roman" w:hint="default"/>
        </w:rPr>
        <w:t>0.28</w:t>
      </w:r>
      <w:r>
        <w:rPr/>
        <w:t>元。</w:t>
      </w:r>
    </w:p>
    <w:p>
      <w:pPr>
        <w:spacing w:before="23"/>
        <w:ind w:left="154"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3"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21,200,000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8,480,000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12,720,000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25,440,000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3"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4,371,000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1,748,400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2,622,600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5,245,200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3"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4,209,000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1,683,600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2,525,400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5,050,800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日任职期间每年</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986"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转让的股份不超 过其所持有公司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5,760,000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2,160,000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1,440,000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2,160,000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4,320,000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5,760,000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2,160,000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1,440,000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2,160,000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4,320,000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1,440,000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2,160,000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4,320,000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93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1,440,000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2,160,000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4,320,000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首发承诺高管锁 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both"/>
              <w:rPr>
                <w:rFonts w:ascii="宋体" w:hAnsi="宋体" w:cs="宋体" w:eastAsia="宋体" w:hint="default"/>
                <w:sz w:val="18"/>
                <w:szCs w:val="18"/>
              </w:rPr>
            </w:pPr>
            <w:r>
              <w:rPr>
                <w:rFonts w:ascii="宋体" w:hAnsi="宋体" w:cs="宋体" w:eastAsia="宋体" w:hint="default"/>
                <w:sz w:val="18"/>
                <w:szCs w:val="18"/>
              </w:rPr>
              <w:t>日任职期间每年 转让的股份不超 过其所持有公司</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30,632,000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33,033,000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57,456,000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532"/>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32"/>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spacing w:before="0"/>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53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left="153" w:right="104" w:firstLine="471"/>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2013</w:t>
      </w:r>
      <w:r>
        <w:rPr/>
        <w:t>年年度股东大会审议通过了《关于审议郑州新开普电子股份有限公</w:t>
      </w:r>
      <w:r>
        <w:rPr>
          <w:spacing w:val="1"/>
        </w:rPr>
        <w:t> </w:t>
      </w:r>
      <w:r>
        <w:rPr/>
        <w:t>司</w:t>
      </w:r>
      <w:r>
        <w:rPr>
          <w:rFonts w:ascii="Times New Roman" w:hAnsi="Times New Roman" w:cs="Times New Roman" w:eastAsia="Times New Roman" w:hint="default"/>
        </w:rPr>
        <w:t>2013</w:t>
      </w:r>
      <w:r>
        <w:rPr/>
        <w:t>年度利润分配及资本公积金转增股本预案的议案》。与会股东同意以截止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 本</w:t>
      </w:r>
      <w:r>
        <w:rPr>
          <w:rFonts w:ascii="Times New Roman" w:hAnsi="Times New Roman" w:cs="Times New Roman" w:eastAsia="Times New Roman" w:hint="default"/>
        </w:rPr>
        <w:t>89,200,000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元人民币（含税）；同时进行资本公积金转增股本， </w:t>
      </w:r>
      <w:r>
        <w:rPr>
          <w:spacing w:val="-3"/>
        </w:rPr>
        <w:t>以公司总股本</w:t>
      </w:r>
      <w:r>
        <w:rPr>
          <w:rFonts w:ascii="Times New Roman" w:hAnsi="Times New Roman" w:cs="Times New Roman" w:eastAsia="Times New Roman" w:hint="default"/>
          <w:spacing w:val="-3"/>
        </w:rPr>
        <w:t>89,200,000</w:t>
      </w:r>
      <w:r>
        <w:rPr>
          <w:spacing w:val="-3"/>
        </w:rPr>
        <w:t>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股，转增后公司总股本将增加至</w:t>
      </w:r>
      <w:r>
        <w:rPr>
          <w:rFonts w:ascii="Times New Roman" w:hAnsi="Times New Roman" w:cs="Times New Roman" w:eastAsia="Times New Roman" w:hint="default"/>
          <w:spacing w:val="-3"/>
        </w:rPr>
        <w:t>142,720,000</w:t>
      </w:r>
      <w:r>
        <w:rPr>
          <w:spacing w:val="-3"/>
        </w:rPr>
        <w:t>股。</w:t>
      </w:r>
      <w:r>
        <w:rPr/>
      </w:r>
    </w:p>
    <w:p>
      <w:pPr>
        <w:pStyle w:val="BodyText"/>
        <w:spacing w:line="386" w:lineRule="auto" w:before="76"/>
        <w:ind w:left="153" w:right="208" w:firstLine="336"/>
        <w:jc w:val="both"/>
      </w:pP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日，公司</w:t>
      </w:r>
      <w:r>
        <w:rPr>
          <w:rFonts w:ascii="Times New Roman" w:hAnsi="Times New Roman" w:cs="Times New Roman" w:eastAsia="Times New Roman" w:hint="default"/>
          <w:spacing w:val="-2"/>
        </w:rPr>
        <w:t>2013</w:t>
      </w:r>
      <w:r>
        <w:rPr>
          <w:spacing w:val="-2"/>
        </w:rPr>
        <w:t>年年度权益分派已实施完毕。</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日，立信会计师事务所（特殊</w:t>
      </w:r>
      <w:r>
        <w:rPr/>
        <w:t> </w:t>
      </w:r>
      <w:r>
        <w:rPr>
          <w:spacing w:val="-3"/>
        </w:rPr>
        <w:t>普通合伙）出具了编号为</w:t>
      </w:r>
      <w:r>
        <w:rPr>
          <w:rFonts w:ascii="Times New Roman" w:hAnsi="Times New Roman" w:cs="Times New Roman" w:eastAsia="Times New Roman" w:hint="default"/>
          <w:spacing w:val="-3"/>
        </w:rPr>
        <w:t>“</w:t>
      </w:r>
      <w:r>
        <w:rPr>
          <w:spacing w:val="-3"/>
        </w:rPr>
        <w:t>信会师报字【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710997</w:t>
      </w:r>
      <w:r>
        <w:rPr>
          <w:spacing w:val="-3"/>
        </w:rPr>
        <w:t>号</w:t>
      </w:r>
      <w:r>
        <w:rPr>
          <w:rFonts w:ascii="Times New Roman" w:hAnsi="Times New Roman" w:cs="Times New Roman" w:eastAsia="Times New Roman" w:hint="default"/>
          <w:spacing w:val="-3"/>
        </w:rPr>
        <w:t>”</w:t>
      </w:r>
      <w:r>
        <w:rPr>
          <w:spacing w:val="-3"/>
        </w:rPr>
        <w:t>的《验资报告》，验证截至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19</w:t>
      </w:r>
      <w:r>
        <w:rPr>
          <w:spacing w:val="-3"/>
        </w:rPr>
        <w:t>日，公</w:t>
      </w:r>
      <w:r>
        <w:rPr>
          <w:spacing w:val="-54"/>
        </w:rPr>
        <w:t> </w:t>
      </w:r>
      <w:r>
        <w:rPr>
          <w:spacing w:val="-54"/>
        </w:rPr>
      </w:r>
      <w:r>
        <w:rPr/>
        <w:t>司已将资本公积</w:t>
      </w:r>
      <w:r>
        <w:rPr>
          <w:rFonts w:ascii="Times New Roman" w:hAnsi="Times New Roman" w:cs="Times New Roman" w:eastAsia="Times New Roman" w:hint="default"/>
        </w:rPr>
        <w:t>5,352.00</w:t>
      </w:r>
      <w:r>
        <w:rPr/>
        <w:t>万元转增股本；变更后累计实收资本（股本）为</w:t>
      </w:r>
      <w:r>
        <w:rPr>
          <w:rFonts w:ascii="Times New Roman" w:hAnsi="Times New Roman" w:cs="Times New Roman" w:eastAsia="Times New Roman" w:hint="default"/>
        </w:rPr>
        <w:t>14,272.00</w:t>
      </w:r>
      <w:r>
        <w:rPr/>
        <w:t>万元。</w:t>
      </w:r>
    </w:p>
    <w:p>
      <w:pPr>
        <w:spacing w:line="240" w:lineRule="auto" w:before="11"/>
        <w:rPr>
          <w:rFonts w:ascii="宋体" w:hAnsi="宋体" w:cs="宋体" w:eastAsia="宋体" w:hint="default"/>
          <w:sz w:val="17"/>
          <w:szCs w:val="17"/>
        </w:rPr>
      </w:pPr>
    </w:p>
    <w:p>
      <w:pPr>
        <w:pStyle w:val="Heading2"/>
        <w:spacing w:line="240" w:lineRule="auto"/>
        <w:ind w:right="532"/>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3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6" w:type="dxa"/>
            <w:gridSpan w:val="2"/>
            <w:tcBorders>
              <w:top w:val="single" w:sz="4" w:space="0" w:color="000000"/>
              <w:left w:val="single" w:sz="9" w:space="0" w:color="D3D3D3"/>
              <w:bottom w:val="single" w:sz="4" w:space="0" w:color="000000"/>
              <w:right w:val="single" w:sz="9" w:space="0" w:color="D3D3D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4,933</w:t>
            </w:r>
          </w:p>
        </w:tc>
        <w:tc>
          <w:tcPr>
            <w:tcW w:w="3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4,892</w:t>
            </w:r>
          </w:p>
        </w:tc>
      </w:tr>
      <w:tr>
        <w:trPr>
          <w:trHeight w:val="401"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2" w:hRule="exact"/>
        </w:trPr>
        <w:tc>
          <w:tcPr>
            <w:tcW w:w="1247" w:type="dxa"/>
            <w:vMerge w:val="restart"/>
            <w:tcBorders>
              <w:top w:val="single" w:sz="4" w:space="0" w:color="000000"/>
              <w:left w:val="single" w:sz="4" w:space="0" w:color="000000"/>
              <w:right w:val="single" w:sz="4" w:space="0" w:color="000000"/>
            </w:tcBorders>
            <w:shd w:val="clear" w:color="auto" w:fill="D3D3D3"/>
          </w:tcPr>
          <w:p>
            <w:pPr/>
          </w:p>
        </w:tc>
        <w:tc>
          <w:tcPr>
            <w:tcW w:w="1380" w:type="dxa"/>
            <w:vMerge w:val="restart"/>
            <w:tcBorders>
              <w:top w:val="single" w:sz="4" w:space="0" w:color="000000"/>
              <w:left w:val="single" w:sz="4" w:space="0" w:color="000000"/>
              <w:right w:val="single" w:sz="4" w:space="0" w:color="000000"/>
            </w:tcBorders>
            <w:shd w:val="clear" w:color="auto" w:fill="D3D3D3"/>
          </w:tcPr>
          <w:p>
            <w:pPr/>
          </w:p>
        </w:tc>
        <w:tc>
          <w:tcPr>
            <w:tcW w:w="882" w:type="dxa"/>
            <w:vMerge w:val="restart"/>
            <w:tcBorders>
              <w:top w:val="single" w:sz="4" w:space="0" w:color="000000"/>
              <w:left w:val="single" w:sz="4" w:space="0" w:color="000000"/>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8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5"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3D3D3"/>
          </w:tcPr>
          <w:p>
            <w:pPr/>
          </w:p>
        </w:tc>
        <w:tc>
          <w:tcPr>
            <w:tcW w:w="1380" w:type="dxa"/>
            <w:vMerge/>
            <w:tcBorders>
              <w:left w:val="single" w:sz="4" w:space="0" w:color="000000"/>
              <w:bottom w:val="nil" w:sz="6" w:space="0" w:color="auto"/>
              <w:right w:val="single" w:sz="4" w:space="0" w:color="000000"/>
            </w:tcBorders>
            <w:shd w:val="clear" w:color="auto" w:fill="D3D3D3"/>
          </w:tcPr>
          <w:p>
            <w:pPr/>
          </w:p>
        </w:tc>
        <w:tc>
          <w:tcPr>
            <w:tcW w:w="882" w:type="dxa"/>
            <w:vMerge/>
            <w:tcBorders>
              <w:left w:val="single" w:sz="4" w:space="0" w:color="000000"/>
              <w:bottom w:val="nil" w:sz="6" w:space="0" w:color="auto"/>
              <w:right w:val="single" w:sz="4" w:space="0" w:color="000000"/>
            </w:tcBorders>
            <w:shd w:val="clear" w:color="auto" w:fill="D3D3D3"/>
          </w:tcPr>
          <w:p>
            <w:pPr/>
          </w:p>
        </w:tc>
        <w:tc>
          <w:tcPr>
            <w:tcW w:w="81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862" w:type="dxa"/>
            <w:vMerge/>
            <w:tcBorders>
              <w:left w:val="single" w:sz="4" w:space="0" w:color="000000"/>
              <w:right w:val="single" w:sz="4" w:space="0" w:color="000000"/>
            </w:tcBorders>
            <w:shd w:val="clear" w:color="auto" w:fill="D3D3D3"/>
          </w:tcPr>
          <w:p>
            <w:pPr/>
          </w:p>
        </w:tc>
        <w:tc>
          <w:tcPr>
            <w:tcW w:w="2772" w:type="dxa"/>
            <w:gridSpan w:val="3"/>
            <w:vMerge/>
            <w:tcBorders>
              <w:left w:val="single" w:sz="4" w:space="0" w:color="000000"/>
              <w:right w:val="single" w:sz="4" w:space="0" w:color="000000"/>
            </w:tcBorders>
            <w:shd w:val="clear" w:color="auto" w:fill="D3D3D3"/>
          </w:tcPr>
          <w:p>
            <w:pPr/>
          </w:p>
        </w:tc>
      </w:tr>
      <w:tr>
        <w:trPr>
          <w:trHeight w:val="141" w:hRule="exact"/>
        </w:trPr>
        <w:tc>
          <w:tcPr>
            <w:tcW w:w="124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3D3D3"/>
          </w:tcPr>
          <w:p>
            <w:pPr/>
          </w:p>
        </w:tc>
        <w:tc>
          <w:tcPr>
            <w:tcW w:w="803"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862" w:type="dxa"/>
            <w:vMerge/>
            <w:tcBorders>
              <w:left w:val="single" w:sz="4" w:space="0" w:color="000000"/>
              <w:right w:val="single" w:sz="4" w:space="0" w:color="000000"/>
            </w:tcBorders>
            <w:shd w:val="clear" w:color="auto" w:fill="D3D3D3"/>
          </w:tcPr>
          <w:p>
            <w:pPr/>
          </w:p>
        </w:tc>
        <w:tc>
          <w:tcPr>
            <w:tcW w:w="2772" w:type="dxa"/>
            <w:gridSpan w:val="3"/>
            <w:vMerge/>
            <w:tcBorders>
              <w:left w:val="single" w:sz="4" w:space="0" w:color="000000"/>
              <w:bottom w:val="single" w:sz="4" w:space="0" w:color="000000"/>
              <w:right w:val="single" w:sz="4" w:space="0" w:color="000000"/>
            </w:tcBorders>
            <w:shd w:val="clear" w:color="auto" w:fill="D3D3D3"/>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3D3D3"/>
          </w:tcPr>
          <w:p>
            <w:pPr/>
          </w:p>
        </w:tc>
        <w:tc>
          <w:tcPr>
            <w:tcW w:w="1380" w:type="dxa"/>
            <w:vMerge/>
            <w:tcBorders>
              <w:left w:val="single" w:sz="4" w:space="0" w:color="000000"/>
              <w:bottom w:val="nil" w:sz="6" w:space="0" w:color="auto"/>
              <w:right w:val="single" w:sz="4" w:space="0" w:color="000000"/>
            </w:tcBorders>
            <w:shd w:val="clear" w:color="auto" w:fill="D3D3D3"/>
          </w:tcPr>
          <w:p>
            <w:pPr/>
          </w:p>
        </w:tc>
        <w:tc>
          <w:tcPr>
            <w:tcW w:w="882" w:type="dxa"/>
            <w:vMerge/>
            <w:tcBorders>
              <w:left w:val="single" w:sz="4" w:space="0" w:color="000000"/>
              <w:bottom w:val="nil" w:sz="6" w:space="0" w:color="auto"/>
              <w:right w:val="single" w:sz="4" w:space="0" w:color="000000"/>
            </w:tcBorders>
            <w:shd w:val="clear" w:color="auto" w:fill="D3D3D3"/>
          </w:tcPr>
          <w:p>
            <w:pPr/>
          </w:p>
        </w:tc>
        <w:tc>
          <w:tcPr>
            <w:tcW w:w="815" w:type="dxa"/>
            <w:vMerge/>
            <w:tcBorders>
              <w:left w:val="single" w:sz="4" w:space="0" w:color="000000"/>
              <w:right w:val="single" w:sz="4" w:space="0" w:color="000000"/>
            </w:tcBorders>
            <w:shd w:val="clear" w:color="auto" w:fill="D3D3D3"/>
          </w:tcPr>
          <w:p>
            <w:pPr/>
          </w:p>
        </w:tc>
        <w:tc>
          <w:tcPr>
            <w:tcW w:w="803"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862" w:type="dxa"/>
            <w:vMerge/>
            <w:tcBorders>
              <w:left w:val="single" w:sz="4" w:space="0" w:color="000000"/>
              <w:right w:val="single" w:sz="4" w:space="0" w:color="000000"/>
            </w:tcBorders>
            <w:shd w:val="clear" w:color="auto" w:fill="D3D3D3"/>
          </w:tcPr>
          <w:p>
            <w:pPr/>
          </w:p>
        </w:tc>
        <w:tc>
          <w:tcPr>
            <w:tcW w:w="138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3D3D3"/>
          </w:tcPr>
          <w:p>
            <w:pPr/>
          </w:p>
        </w:tc>
        <w:tc>
          <w:tcPr>
            <w:tcW w:w="1380" w:type="dxa"/>
            <w:vMerge w:val="restart"/>
            <w:tcBorders>
              <w:top w:val="nil" w:sz="6" w:space="0" w:color="auto"/>
              <w:left w:val="single" w:sz="4" w:space="0" w:color="000000"/>
              <w:right w:val="single" w:sz="4" w:space="0" w:color="000000"/>
            </w:tcBorders>
            <w:shd w:val="clear" w:color="auto" w:fill="D3D3D3"/>
          </w:tcPr>
          <w:p>
            <w:pPr/>
          </w:p>
        </w:tc>
        <w:tc>
          <w:tcPr>
            <w:tcW w:w="882" w:type="dxa"/>
            <w:vMerge w:val="restart"/>
            <w:tcBorders>
              <w:top w:val="nil" w:sz="6" w:space="0" w:color="auto"/>
              <w:left w:val="single" w:sz="4" w:space="0" w:color="000000"/>
              <w:right w:val="single" w:sz="4" w:space="0" w:color="000000"/>
            </w:tcBorders>
            <w:shd w:val="clear" w:color="auto" w:fill="D3D3D3"/>
          </w:tcPr>
          <w:p>
            <w:pPr/>
          </w:p>
        </w:tc>
        <w:tc>
          <w:tcPr>
            <w:tcW w:w="815" w:type="dxa"/>
            <w:vMerge/>
            <w:tcBorders>
              <w:left w:val="single" w:sz="4" w:space="0" w:color="000000"/>
              <w:bottom w:val="nil" w:sz="6" w:space="0" w:color="auto"/>
              <w:right w:val="single" w:sz="4" w:space="0" w:color="000000"/>
            </w:tcBorders>
            <w:shd w:val="clear" w:color="auto" w:fill="D3D3D3"/>
          </w:tcPr>
          <w:p>
            <w:pPr/>
          </w:p>
        </w:tc>
        <w:tc>
          <w:tcPr>
            <w:tcW w:w="803"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862" w:type="dxa"/>
            <w:vMerge/>
            <w:tcBorders>
              <w:left w:val="single" w:sz="4" w:space="0" w:color="000000"/>
              <w:right w:val="single" w:sz="4" w:space="0" w:color="000000"/>
            </w:tcBorders>
            <w:shd w:val="clear" w:color="auto" w:fill="D3D3D3"/>
          </w:tcPr>
          <w:p>
            <w:pPr/>
          </w:p>
        </w:tc>
        <w:tc>
          <w:tcPr>
            <w:tcW w:w="1387" w:type="dxa"/>
            <w:gridSpan w:val="2"/>
            <w:vMerge/>
            <w:tcBorders>
              <w:left w:val="single" w:sz="4" w:space="0" w:color="000000"/>
              <w:right w:val="single" w:sz="4" w:space="0" w:color="000000"/>
            </w:tcBorders>
            <w:shd w:val="clear" w:color="auto" w:fill="D3D3D3"/>
          </w:tcPr>
          <w:p>
            <w:pPr/>
          </w:p>
        </w:tc>
        <w:tc>
          <w:tcPr>
            <w:tcW w:w="1385" w:type="dxa"/>
            <w:vMerge/>
            <w:tcBorders>
              <w:left w:val="single" w:sz="4" w:space="0" w:color="000000"/>
              <w:right w:val="single" w:sz="4" w:space="0" w:color="000000"/>
            </w:tcBorders>
            <w:shd w:val="clear" w:color="auto" w:fill="D3D3D3"/>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3D3D3"/>
          </w:tcPr>
          <w:p>
            <w:pPr/>
          </w:p>
        </w:tc>
        <w:tc>
          <w:tcPr>
            <w:tcW w:w="1380"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03"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c>
          <w:tcPr>
            <w:tcW w:w="1387" w:type="dxa"/>
            <w:gridSpan w:val="2"/>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33,920,00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8,480,000</w:t>
            </w:r>
          </w:p>
        </w:tc>
        <w:tc>
          <w:tcPr>
            <w:tcW w:w="1387" w:type="dxa"/>
            <w:gridSpan w:val="2"/>
            <w:tcBorders>
              <w:top w:val="single" w:sz="45" w:space="0" w:color="D3D3D3"/>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3D3D3"/>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5,337,000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6,993,600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5,245,200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1,748,400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6,734,400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5,050,800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1,683,600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5,760,000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5,760,000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5,760,000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5,760,000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5,760,000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1,150,000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5,760,000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3"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5,460,000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5,460,000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414" w:lineRule="exact"/>
        <w:ind w:left="279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5.15pt;height:20.75pt;mso-position-horizontal-relative:char;mso-position-vertical-relative:line" coordorigin="0,0" coordsize="6903,415">
            <v:group style="position:absolute;left:11;top:11;width:2;height:392" coordorigin="11,11" coordsize="2,392">
              <v:shape style="position:absolute;left:11;top:11;width:2;height:392" coordorigin="11,11" coordsize="0,392" path="m11,11l11,403e" filled="false" stroked="true" strokeweight="1.140pt" strokecolor="#ffffff">
                <v:path arrowok="t"/>
              </v:shape>
            </v:group>
            <v:group style="position:absolute;left:23;top:11;width:6880;height:393" coordorigin="23,11" coordsize="6880,393">
              <v:shape style="position:absolute;left:23;top:11;width:6880;height:393" coordorigin="23,11" coordsize="6880,393" path="m23,403l6902,403,6902,11,23,11,23,403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24"/>
          <w:szCs w:val="24"/>
        </w:rPr>
      </w:pPr>
    </w:p>
    <w:p>
      <w:pPr>
        <w:spacing w:before="44"/>
        <w:ind w:left="0" w:right="160" w:firstLine="0"/>
        <w:jc w:val="right"/>
        <w:rPr>
          <w:rFonts w:ascii="宋体" w:hAnsi="宋体" w:cs="宋体" w:eastAsia="宋体" w:hint="default"/>
          <w:sz w:val="18"/>
          <w:szCs w:val="18"/>
        </w:rPr>
      </w:pPr>
      <w:r>
        <w:rPr/>
        <w:pict>
          <v:shape style="position:absolute;margin-left:56.459999pt;margin-top:-72.248039pt;width:479.1pt;height:62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1380"/>
                    <w:gridCol w:w="882"/>
                    <w:gridCol w:w="809"/>
                    <w:gridCol w:w="809"/>
                    <w:gridCol w:w="808"/>
                    <w:gridCol w:w="862"/>
                    <w:gridCol w:w="1387"/>
                    <w:gridCol w:w="1385"/>
                  </w:tblGrid>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3.79%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5,410,000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4,320,000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1,090,000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429,000</w:t>
                        </w:r>
                      </w:p>
                    </w:tc>
                  </w:tr>
                  <w:tr>
                    <w:trPr>
                      <w:trHeight w:val="1026"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11"/>
                            <w:sz w:val="18"/>
                            <w:szCs w:val="18"/>
                          </w:rPr>
                          <w:t>名股东的情况（如有</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4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1" w:right="0"/>
                          <w:jc w:val="left"/>
                          <w:rPr>
                            <w:rFonts w:ascii="宋体" w:hAnsi="宋体" w:cs="宋体" w:eastAsia="宋体" w:hint="default"/>
                            <w:sz w:val="18"/>
                            <w:szCs w:val="18"/>
                          </w:rPr>
                        </w:pPr>
                        <w:r>
                          <w:rPr>
                            <w:rFonts w:ascii="宋体" w:hAnsi="宋体" w:cs="宋体" w:eastAsia="宋体" w:hint="default"/>
                            <w:spacing w:val="-14"/>
                            <w:sz w:val="18"/>
                            <w:szCs w:val="18"/>
                          </w:rPr>
                          <w:t>）不适用。</w:t>
                        </w:r>
                      </w:p>
                    </w:tc>
                  </w:tr>
                  <w:tr>
                    <w:trPr>
                      <w:trHeight w:val="473" w:hRule="exact"/>
                    </w:trPr>
                    <w:tc>
                      <w:tcPr>
                        <w:tcW w:w="2627"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940" w:type="dxa"/>
                        <w:gridSpan w:val="7"/>
                        <w:vMerge w:val="restart"/>
                        <w:tcBorders>
                          <w:top w:val="single" w:sz="4" w:space="0" w:color="000000"/>
                          <w:left w:val="single" w:sz="9" w:space="0" w:color="D3D3D3"/>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名股东中，杨维国与尚卫国、付秋生、傅常顺、葛晓阁、赵利宾、郎金文、杜建平</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华梦阳及刘恩臣等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w:t>
                        </w:r>
                        <w:r>
                          <w:rPr>
                            <w:rFonts w:ascii="宋体" w:hAnsi="宋体" w:cs="宋体" w:eastAsia="宋体" w:hint="default"/>
                            <w:spacing w:val="1"/>
                            <w:sz w:val="18"/>
                            <w:szCs w:val="18"/>
                          </w:rPr>
                          <w:t>然</w:t>
                        </w:r>
                        <w:r>
                          <w:rPr>
                            <w:rFonts w:ascii="宋体" w:hAnsi="宋体" w:cs="宋体" w:eastAsia="宋体" w:hint="default"/>
                            <w:sz w:val="18"/>
                            <w:szCs w:val="18"/>
                          </w:rPr>
                          <w:t>人股东于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签署《一致行动协议书</w:t>
                        </w:r>
                        <w:r>
                          <w:rPr>
                            <w:rFonts w:ascii="宋体" w:hAnsi="宋体" w:cs="宋体" w:eastAsia="宋体" w:hint="default"/>
                            <w:spacing w:val="-90"/>
                            <w:sz w:val="18"/>
                            <w:szCs w:val="18"/>
                          </w:rPr>
                          <w:t>》</w:t>
                        </w:r>
                        <w:r>
                          <w:rPr>
                            <w:rFonts w:ascii="宋体" w:hAnsi="宋体" w:cs="宋体" w:eastAsia="宋体" w:hint="default"/>
                            <w:sz w:val="18"/>
                            <w:szCs w:val="18"/>
                          </w:rPr>
                          <w:t>，系一</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致行动人。该协议自各方签署之日起生效，在公司首次公开发行股票并上市交易起</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pacing w:val="-3"/>
                            <w:sz w:val="18"/>
                            <w:szCs w:val="18"/>
                          </w:rPr>
                          <w:t>月内均有效。</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日，前述《一致行动协议书》履行完毕。</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w:t>
                        </w:r>
                        <w:r>
                          <w:rPr>
                            <w:rFonts w:ascii="宋体" w:hAnsi="宋体" w:cs="宋体" w:eastAsia="宋体" w:hint="default"/>
                            <w:spacing w:val="1"/>
                            <w:sz w:val="18"/>
                            <w:szCs w:val="18"/>
                          </w:rPr>
                          <w:t>然</w:t>
                        </w:r>
                        <w:r>
                          <w:rPr>
                            <w:rFonts w:ascii="宋体" w:hAnsi="宋体" w:cs="宋体" w:eastAsia="宋体" w:hint="default"/>
                            <w:sz w:val="18"/>
                            <w:szCs w:val="18"/>
                          </w:rPr>
                          <w:t>人股东新签署了《一致行动人协议</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04" w:hRule="exact"/>
                    </w:trPr>
                    <w:tc>
                      <w:tcPr>
                        <w:tcW w:w="2627"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0" w:type="dxa"/>
                        <w:gridSpan w:val="7"/>
                        <w:vMerge/>
                        <w:tcBorders>
                          <w:left w:val="single" w:sz="9" w:space="0" w:color="D3D3D3"/>
                          <w:right w:val="single" w:sz="4" w:space="0" w:color="000000"/>
                        </w:tcBorders>
                      </w:tcPr>
                      <w:p>
                        <w:pPr/>
                      </w:p>
                    </w:tc>
                  </w:tr>
                  <w:tr>
                    <w:trPr>
                      <w:trHeight w:val="473" w:hRule="exact"/>
                    </w:trPr>
                    <w:tc>
                      <w:tcPr>
                        <w:tcW w:w="2627"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940" w:type="dxa"/>
                        <w:gridSpan w:val="7"/>
                        <w:vMerge/>
                        <w:tcBorders>
                          <w:left w:val="single" w:sz="9" w:space="0" w:color="D3D3D3"/>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7" w:hRule="exact"/>
                    </w:trPr>
                    <w:tc>
                      <w:tcPr>
                        <w:tcW w:w="2627"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68"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7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5" w:hRule="exact"/>
                    </w:trPr>
                    <w:tc>
                      <w:tcPr>
                        <w:tcW w:w="262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8"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627" w:type="dxa"/>
                        <w:gridSpan w:val="2"/>
                        <w:vMerge/>
                        <w:tcBorders>
                          <w:left w:val="single" w:sz="4" w:space="0" w:color="000000"/>
                          <w:bottom w:val="nil" w:sz="6" w:space="0" w:color="auto"/>
                          <w:right w:val="single" w:sz="4" w:space="0" w:color="000000"/>
                        </w:tcBorders>
                        <w:shd w:val="clear" w:color="auto" w:fill="D3D3D3"/>
                      </w:tcPr>
                      <w:p>
                        <w:pPr/>
                      </w:p>
                    </w:tc>
                    <w:tc>
                      <w:tcPr>
                        <w:tcW w:w="4168" w:type="dxa"/>
                        <w:gridSpan w:val="5"/>
                        <w:vMerge/>
                        <w:tcBorders>
                          <w:left w:val="single" w:sz="4" w:space="0" w:color="000000"/>
                          <w:bottom w:val="nil" w:sz="6" w:space="0" w:color="auto"/>
                          <w:right w:val="single" w:sz="4" w:space="0" w:color="000000"/>
                        </w:tcBorders>
                        <w:shd w:val="clear" w:color="auto" w:fill="D3D3D3"/>
                      </w:tcPr>
                      <w:p>
                        <w:pPr/>
                      </w:p>
                    </w:tc>
                    <w:tc>
                      <w:tcPr>
                        <w:tcW w:w="13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627"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68"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87" w:type="dxa"/>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8,480,000</w:t>
                        </w:r>
                      </w:p>
                    </w:tc>
                  </w:tr>
                  <w:tr>
                    <w:trPr>
                      <w:trHeight w:val="402"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5,760,000</w:t>
                        </w:r>
                      </w:p>
                    </w:tc>
                  </w:tr>
                  <w:tr>
                    <w:trPr>
                      <w:trHeight w:val="402"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5,460,000</w:t>
                        </w:r>
                      </w:p>
                    </w:tc>
                  </w:tr>
                  <w:tr>
                    <w:trPr>
                      <w:trHeight w:val="402"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4,244,800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4,244,800</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中国农业银行－华夏复兴股票型 证券投资基金</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3,717,447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3,717,447</w:t>
                        </w:r>
                      </w:p>
                    </w:tc>
                  </w:tr>
                  <w:tr>
                    <w:trPr>
                      <w:trHeight w:val="402"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1,748,400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1,748,400</w:t>
                        </w:r>
                      </w:p>
                    </w:tc>
                  </w:tr>
                  <w:tr>
                    <w:trPr>
                      <w:trHeight w:val="402"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1,683,600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1,683,600</w:t>
                        </w:r>
                      </w:p>
                    </w:tc>
                  </w:tr>
                  <w:tr>
                    <w:trPr>
                      <w:trHeight w:val="1026"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华润深国投信托有限公司－迪瑞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号结构化证券投资集合资金信 托计划</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1,552,497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1,552,497</w:t>
                        </w:r>
                      </w:p>
                    </w:tc>
                  </w:tr>
                  <w:tr>
                    <w:trPr>
                      <w:trHeight w:val="1026"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华润深国投信托有限公司－赛福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期结构式证券投资集合资金信 托</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1,536,846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1,536,846</w:t>
                        </w:r>
                      </w:p>
                    </w:tc>
                  </w:tr>
                  <w:tr>
                    <w:trPr>
                      <w:trHeight w:val="1026" w:hRule="exact"/>
                    </w:trPr>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华润深国投信托有限公司－迪瑞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号结构化证券投资集合资金信 托计划</w:t>
                        </w:r>
                      </w:p>
                    </w:tc>
                    <w:tc>
                      <w:tcPr>
                        <w:tcW w:w="41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1,535,476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1,535,476</w:t>
                        </w:r>
                      </w:p>
                    </w:tc>
                  </w:tr>
                  <w:tr>
                    <w:trPr>
                      <w:trHeight w:val="133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4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名无限售条件股东中，杨维国、葛晓阁、郎金文、尚卫国、付秋生等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名自然</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人股东的一致行动关系详见前述说明，上述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名股东与其他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名无限售条件股东不存在</w:t>
                        </w:r>
                      </w:p>
                      <w:p>
                        <w:pPr>
                          <w:pStyle w:val="TableParagraph"/>
                          <w:spacing w:line="302" w:lineRule="auto" w:before="63"/>
                          <w:ind w:left="21" w:right="60"/>
                          <w:jc w:val="left"/>
                          <w:rPr>
                            <w:rFonts w:ascii="宋体" w:hAnsi="宋体" w:cs="宋体" w:eastAsia="宋体" w:hint="default"/>
                            <w:sz w:val="18"/>
                            <w:szCs w:val="18"/>
                          </w:rPr>
                        </w:pPr>
                        <w:r>
                          <w:rPr>
                            <w:rFonts w:ascii="宋体" w:hAnsi="宋体" w:cs="宋体" w:eastAsia="宋体" w:hint="default"/>
                            <w:sz w:val="18"/>
                            <w:szCs w:val="18"/>
                          </w:rPr>
                          <w:t>关联关系，公司未知除杨维国、葛晓阁、郎金文、尚卫国、付秋生之外的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 件股东之间是否存在关联关系，也未知其间是否存在一致行动人之情形。</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60" w:firstLine="0"/>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line="338" w:lineRule="auto" w:before="117"/>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公司股东在报告期内未进行约定购回交易。</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杨维国先生简历请见本报告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第七节</w:t>
            </w:r>
            <w:r>
              <w:rPr>
                <w:rFonts w:ascii="宋体" w:hAnsi="宋体" w:cs="宋体" w:eastAsia="宋体" w:hint="default"/>
                <w:spacing w:val="-12"/>
                <w:sz w:val="18"/>
                <w:szCs w:val="18"/>
              </w:rPr>
              <w:t> </w:t>
            </w:r>
            <w:r>
              <w:rPr>
                <w:rFonts w:ascii="宋体" w:hAnsi="宋体" w:cs="宋体" w:eastAsia="宋体" w:hint="default"/>
                <w:sz w:val="18"/>
                <w:szCs w:val="18"/>
              </w:rPr>
              <w:t>董事、监事、高级管理人员和员工情况</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杨维国先生简历请见本报告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第七节 董事、监事、高级管理人员和员工情况</w:t>
            </w:r>
            <w:r>
              <w:rPr>
                <w:rFonts w:ascii="Times New Roman" w:hAnsi="Times New Roman" w:cs="Times New Roman" w:eastAsia="Times New Roman" w:hint="default"/>
                <w:sz w:val="18"/>
                <w:szCs w:val="18"/>
              </w:rPr>
              <w:t>” </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2"/>
        <w:rPr>
          <w:rFonts w:ascii="宋体" w:hAnsi="宋体" w:cs="宋体" w:eastAsia="宋体" w:hint="default"/>
          <w:sz w:val="25"/>
          <w:szCs w:val="25"/>
        </w:rPr>
      </w:pPr>
    </w:p>
    <w:p>
      <w:pPr>
        <w:spacing w:line="3450" w:lineRule="exact"/>
        <w:ind w:left="1356"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590142" cy="2190750"/>
            <wp:effectExtent l="0" t="0" r="0" b="0"/>
            <wp:docPr id="35" name="image13.jpeg" descr=""/>
            <wp:cNvGraphicFramePr>
              <a:graphicFrameLocks noChangeAspect="1"/>
            </wp:cNvGraphicFramePr>
            <a:graphic>
              <a:graphicData uri="http://schemas.openxmlformats.org/drawingml/2006/picture">
                <pic:pic>
                  <pic:nvPicPr>
                    <pic:cNvPr id="36" name="image13.jpeg"/>
                    <pic:cNvPicPr/>
                  </pic:nvPicPr>
                  <pic:blipFill>
                    <a:blip r:embed="rId40" cstate="print"/>
                    <a:stretch>
                      <a:fillRect/>
                    </a:stretch>
                  </pic:blipFill>
                  <pic:spPr>
                    <a:xfrm>
                      <a:off x="0" y="0"/>
                      <a:ext cx="4590142" cy="2190750"/>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1680" w:right="353"/>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2536"/>
        <w:jc w:val="left"/>
        <w:rPr>
          <w:b w:val="0"/>
          <w:bCs w:val="0"/>
        </w:rPr>
      </w:pP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536"/>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37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659"/>
        <w:gridCol w:w="683"/>
        <w:gridCol w:w="684"/>
        <w:gridCol w:w="683"/>
        <w:gridCol w:w="758"/>
        <w:gridCol w:w="761"/>
        <w:gridCol w:w="683"/>
        <w:gridCol w:w="760"/>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94" w:right="102"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4" w:right="104"/>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94" w:right="103"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39"/>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常 务副总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2,525,40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38"/>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6,993,60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38"/>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9"/>
              <w:jc w:val="left"/>
              <w:rPr>
                <w:rFonts w:ascii="宋体" w:hAnsi="宋体" w:cs="宋体" w:eastAsia="宋体" w:hint="default"/>
                <w:sz w:val="18"/>
                <w:szCs w:val="18"/>
              </w:rPr>
            </w:pPr>
            <w:r>
              <w:rPr>
                <w:rFonts w:ascii="宋体" w:hAnsi="宋体" w:cs="宋体" w:eastAsia="宋体" w:hint="default"/>
                <w:sz w:val="18"/>
                <w:szCs w:val="18"/>
              </w:rPr>
              <w:t>资本公 积转增</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7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04"/>
        <w:gridCol w:w="659"/>
        <w:gridCol w:w="683"/>
        <w:gridCol w:w="684"/>
        <w:gridCol w:w="683"/>
        <w:gridCol w:w="758"/>
        <w:gridCol w:w="761"/>
        <w:gridCol w:w="683"/>
        <w:gridCol w:w="760"/>
        <w:gridCol w:w="684"/>
        <w:gridCol w:w="684"/>
        <w:gridCol w:w="684"/>
        <w:gridCol w:w="684"/>
        <w:gridCol w:w="684"/>
      </w:tblGrid>
      <w:tr>
        <w:trPr>
          <w:trHeight w:val="986"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9"/>
              <w:jc w:val="both"/>
              <w:rPr>
                <w:rFonts w:ascii="宋体" w:hAnsi="宋体" w:cs="宋体" w:eastAsia="宋体" w:hint="default"/>
                <w:sz w:val="18"/>
                <w:szCs w:val="18"/>
              </w:rPr>
            </w:pPr>
            <w:r>
              <w:rPr>
                <w:rFonts w:ascii="宋体" w:hAnsi="宋体" w:cs="宋体" w:eastAsia="宋体" w:hint="default"/>
                <w:sz w:val="18"/>
                <w:szCs w:val="18"/>
              </w:rPr>
              <w:t>股本； 市场投 资减持</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股本； 市场投 资减持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董事会 秘书</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76,165,0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二、任职情况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376" w:lineRule="auto" w:before="75"/>
        <w:ind w:left="489" w:right="353" w:firstLine="84"/>
        <w:jc w:val="left"/>
      </w:pPr>
      <w:r>
        <w:rPr/>
        <w:t>（一）董事会成员 公司现有董事会成员</w:t>
      </w:r>
      <w:r>
        <w:rPr>
          <w:rFonts w:ascii="Times New Roman" w:hAnsi="Times New Roman" w:cs="Times New Roman" w:eastAsia="Times New Roman" w:hint="default"/>
        </w:rPr>
        <w:t>9</w:t>
      </w:r>
      <w:r>
        <w:rPr/>
        <w:t>人，其中董事</w:t>
      </w:r>
      <w:r>
        <w:rPr>
          <w:rFonts w:ascii="Times New Roman" w:hAnsi="Times New Roman" w:cs="Times New Roman" w:eastAsia="Times New Roman" w:hint="default"/>
        </w:rPr>
        <w:t>5</w:t>
      </w:r>
      <w:r>
        <w:rPr/>
        <w:t>人，独立董事</w:t>
      </w:r>
      <w:r>
        <w:rPr>
          <w:rFonts w:ascii="Times New Roman" w:hAnsi="Times New Roman" w:cs="Times New Roman" w:eastAsia="Times New Roman" w:hint="default"/>
        </w:rPr>
        <w:t>4</w:t>
      </w:r>
      <w:r>
        <w:rPr/>
        <w:t>人。公司第二届董事会已于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日任期届</w:t>
      </w:r>
    </w:p>
    <w:p>
      <w:pPr>
        <w:pStyle w:val="BodyText"/>
        <w:spacing w:line="417" w:lineRule="auto"/>
        <w:ind w:left="574" w:right="353" w:hanging="421"/>
        <w:jc w:val="left"/>
      </w:pPr>
      <w:r>
        <w:rPr/>
        <w:t>满，目前第三届董事会已经选举产生，任期至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日止，成员具体情况如下： 杨维国先生，男，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11</w:t>
      </w:r>
      <w:r>
        <w:rPr/>
        <w:t>月出生，</w:t>
      </w:r>
      <w:r>
        <w:rPr>
          <w:rFonts w:ascii="Times New Roman" w:hAnsi="Times New Roman" w:cs="Times New Roman" w:eastAsia="Times New Roman" w:hint="default"/>
        </w:rPr>
        <w:t>EMBA</w:t>
      </w:r>
      <w:r>
        <w:rPr/>
        <w:t>，高级经济师、工程师，河南省软件行业协会常务理事、</w:t>
      </w:r>
    </w:p>
    <w:p>
      <w:pPr>
        <w:pStyle w:val="BodyText"/>
        <w:spacing w:line="386" w:lineRule="auto" w:before="5"/>
        <w:ind w:right="371"/>
        <w:jc w:val="both"/>
      </w:pPr>
      <w:r>
        <w:rPr>
          <w:spacing w:val="-1"/>
        </w:rPr>
        <w:t>河南省工商业联合会常委。</w:t>
      </w:r>
      <w:r>
        <w:rPr>
          <w:rFonts w:ascii="Times New Roman" w:hAnsi="Times New Roman" w:cs="Times New Roman" w:eastAsia="Times New Roman" w:hint="default"/>
          <w:spacing w:val="-1"/>
        </w:rPr>
        <w:t>1985</w:t>
      </w:r>
      <w:r>
        <w:rPr>
          <w:spacing w:val="-1"/>
        </w:rPr>
        <w:t>年毕业于郑州工学院电机系，获工学学士学位；</w:t>
      </w:r>
      <w:r>
        <w:rPr>
          <w:rFonts w:ascii="Times New Roman" w:hAnsi="Times New Roman" w:cs="Times New Roman" w:eastAsia="Times New Roman" w:hint="default"/>
          <w:spacing w:val="-1"/>
        </w:rPr>
        <w:t>1994</w:t>
      </w:r>
      <w:r>
        <w:rPr>
          <w:spacing w:val="-1"/>
        </w:rPr>
        <w:t>年毕业于西安交通大</w:t>
      </w:r>
      <w:r>
        <w:rPr>
          <w:spacing w:val="-86"/>
        </w:rPr>
        <w:t> </w:t>
      </w:r>
      <w:r>
        <w:rPr>
          <w:spacing w:val="-86"/>
        </w:rPr>
      </w:r>
      <w:r>
        <w:rPr>
          <w:spacing w:val="-1"/>
        </w:rPr>
        <w:t>学，获法学学士学位。</w:t>
      </w:r>
      <w:r>
        <w:rPr>
          <w:rFonts w:ascii="Times New Roman" w:hAnsi="Times New Roman" w:cs="Times New Roman" w:eastAsia="Times New Roman" w:hint="default"/>
          <w:spacing w:val="-1"/>
        </w:rPr>
        <w:t>1985</w:t>
      </w:r>
      <w:r>
        <w:rPr>
          <w:spacing w:val="-1"/>
        </w:rPr>
        <w:t>年至</w:t>
      </w:r>
      <w:r>
        <w:rPr>
          <w:rFonts w:ascii="Times New Roman" w:hAnsi="Times New Roman" w:cs="Times New Roman" w:eastAsia="Times New Roman" w:hint="default"/>
          <w:spacing w:val="-1"/>
        </w:rPr>
        <w:t>1994</w:t>
      </w:r>
      <w:r>
        <w:rPr>
          <w:spacing w:val="-1"/>
        </w:rPr>
        <w:t>年，在郑州工学院（</w:t>
      </w:r>
      <w:r>
        <w:rPr>
          <w:rFonts w:ascii="Times New Roman" w:hAnsi="Times New Roman" w:cs="Times New Roman" w:eastAsia="Times New Roman" w:hint="default"/>
          <w:spacing w:val="-1"/>
        </w:rPr>
        <w:t>1996</w:t>
      </w:r>
      <w:r>
        <w:rPr>
          <w:spacing w:val="-1"/>
        </w:rPr>
        <w:t>年更名为郑州工业大学，</w:t>
      </w:r>
      <w:r>
        <w:rPr>
          <w:rFonts w:ascii="Times New Roman" w:hAnsi="Times New Roman" w:cs="Times New Roman" w:eastAsia="Times New Roman" w:hint="default"/>
          <w:spacing w:val="-1"/>
        </w:rPr>
        <w:t>2000</w:t>
      </w:r>
      <w:r>
        <w:rPr>
          <w:spacing w:val="-1"/>
        </w:rPr>
        <w:t>年与原郑州大</w:t>
      </w:r>
      <w:r>
        <w:rPr>
          <w:spacing w:val="-85"/>
        </w:rPr>
        <w:t> </w:t>
      </w:r>
      <w:r>
        <w:rPr>
          <w:spacing w:val="-85"/>
        </w:rPr>
      </w:r>
      <w:r>
        <w:rPr>
          <w:spacing w:val="-1"/>
        </w:rPr>
        <w:t>学、河南医科大学合并组建新郑州大学）计算机与自动化系政治辅导员、兼课教师，历任校团委干事、分</w:t>
      </w:r>
    </w:p>
    <w:p>
      <w:pPr>
        <w:spacing w:after="0" w:line="386" w:lineRule="auto"/>
        <w:jc w:val="both"/>
        <w:sectPr>
          <w:pgSz w:w="11910" w:h="16840"/>
          <w:pgMar w:header="877" w:footer="982" w:top="1100" w:bottom="1180" w:left="980" w:right="760"/>
        </w:sectPr>
      </w:pPr>
    </w:p>
    <w:p>
      <w:pPr>
        <w:spacing w:line="240" w:lineRule="auto" w:before="8"/>
        <w:rPr>
          <w:rFonts w:ascii="宋体" w:hAnsi="宋体" w:cs="宋体" w:eastAsia="宋体" w:hint="default"/>
          <w:sz w:val="26"/>
          <w:szCs w:val="26"/>
        </w:rPr>
      </w:pPr>
    </w:p>
    <w:p>
      <w:pPr>
        <w:pStyle w:val="BodyText"/>
        <w:spacing w:line="391" w:lineRule="auto" w:before="35"/>
        <w:ind w:left="153" w:right="95"/>
        <w:jc w:val="left"/>
      </w:pPr>
      <w:r>
        <w:rPr/>
        <w:t>团委书记、计算机与自动化系主任助理；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2000</w:t>
      </w:r>
      <w:r>
        <w:rPr/>
        <w:t>年，任郑州工学院科技开发公司副总经理，兼任郑 州工学院开普电子技术公司（成立于</w:t>
      </w:r>
      <w:r>
        <w:rPr>
          <w:rFonts w:ascii="Times New Roman" w:hAnsi="Times New Roman" w:cs="Times New Roman" w:eastAsia="Times New Roman" w:hint="default"/>
        </w:rPr>
        <w:t>1992</w:t>
      </w:r>
      <w:r>
        <w:rPr/>
        <w:t>年，系郑州工学院校办企业，</w:t>
      </w:r>
      <w:r>
        <w:rPr>
          <w:rFonts w:ascii="Times New Roman" w:hAnsi="Times New Roman" w:cs="Times New Roman" w:eastAsia="Times New Roman" w:hint="default"/>
        </w:rPr>
        <w:t>1996</w:t>
      </w:r>
      <w:r>
        <w:rPr/>
        <w:t>年更名为郑州工业大学开普电 子技术公司，已于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月注销）总经理；</w:t>
      </w:r>
      <w:r>
        <w:rPr>
          <w:rFonts w:ascii="Times New Roman" w:hAnsi="Times New Roman" w:cs="Times New Roman" w:eastAsia="Times New Roman" w:hint="default"/>
        </w:rPr>
        <w:t>2000</w:t>
      </w:r>
      <w:r>
        <w:rPr/>
        <w:t>年至今在公司工作，历任本公司董事长兼总经理，现任 公司董事长兼总经理。杨维国先生为公司控股股东，目前持有公司股份</w:t>
      </w:r>
      <w:r>
        <w:rPr>
          <w:rFonts w:ascii="Times New Roman" w:hAnsi="Times New Roman" w:cs="Times New Roman" w:eastAsia="Times New Roman" w:hint="default"/>
        </w:rPr>
        <w:t>3,392</w:t>
      </w:r>
      <w:r>
        <w:rPr/>
        <w:t>万股，与其他持有公司</w:t>
      </w:r>
      <w:r>
        <w:rPr>
          <w:rFonts w:ascii="Times New Roman" w:hAnsi="Times New Roman" w:cs="Times New Roman" w:eastAsia="Times New Roman" w:hint="default"/>
        </w:rPr>
        <w:t>5%</w:t>
      </w:r>
      <w:r>
        <w:rPr/>
        <w:t>以 上股份的股东、其他董事、监事、高级管理人员不存在关联关系，未受过中国证监会及其他有关部门的处 </w:t>
      </w:r>
      <w:r>
        <w:rPr>
          <w:spacing w:val="-1"/>
        </w:rPr>
        <w:t>罚和证券交易所惩戒，任职资格符合《公司法》及《公司章程》的相关规定，不存在《公司法》第</w:t>
      </w:r>
      <w:r>
        <w:rPr>
          <w:rFonts w:ascii="Times New Roman" w:hAnsi="Times New Roman" w:cs="Times New Roman" w:eastAsia="Times New Roman" w:hint="default"/>
          <w:spacing w:val="-1"/>
        </w:rPr>
        <w:t>147</w:t>
      </w:r>
      <w:r>
        <w:rPr>
          <w:spacing w:val="-1"/>
        </w:rPr>
        <w:t>条、</w:t>
      </w:r>
      <w:r>
        <w:rPr/>
      </w:r>
    </w:p>
    <w:p>
      <w:pPr>
        <w:pStyle w:val="BodyText"/>
        <w:spacing w:line="386" w:lineRule="auto" w:before="30"/>
        <w:ind w:left="573" w:right="95" w:hanging="420"/>
        <w:jc w:val="left"/>
      </w:pPr>
      <w:r>
        <w:rPr/>
        <w:t>《深圳证券交易所创业板上市公司规范运作指引》第</w:t>
      </w:r>
      <w:r>
        <w:rPr>
          <w:rFonts w:ascii="Times New Roman" w:hAnsi="Times New Roman" w:cs="Times New Roman" w:eastAsia="Times New Roman" w:hint="default"/>
        </w:rPr>
        <w:t>3.1.3</w:t>
      </w:r>
      <w:r>
        <w:rPr/>
        <w:t>条所规定的情形。 </w:t>
      </w:r>
      <w:r>
        <w:rPr>
          <w:spacing w:val="-1"/>
        </w:rPr>
        <w:t>付秋生先生，</w:t>
      </w:r>
      <w:r>
        <w:rPr>
          <w:rFonts w:ascii="Times New Roman" w:hAnsi="Times New Roman" w:cs="Times New Roman" w:eastAsia="Times New Roman" w:hint="default"/>
          <w:spacing w:val="-1"/>
        </w:rPr>
        <w:t>1963</w:t>
      </w:r>
      <w:r>
        <w:rPr>
          <w:spacing w:val="-1"/>
        </w:rPr>
        <w:t>年</w:t>
      </w:r>
      <w:r>
        <w:rPr>
          <w:rFonts w:ascii="Times New Roman" w:hAnsi="Times New Roman" w:cs="Times New Roman" w:eastAsia="Times New Roman" w:hint="default"/>
          <w:spacing w:val="-1"/>
        </w:rPr>
        <w:t>11</w:t>
      </w:r>
      <w:r>
        <w:rPr>
          <w:spacing w:val="-1"/>
        </w:rPr>
        <w:t>月出生，研究生学历，高级工程师。</w:t>
      </w:r>
      <w:r>
        <w:rPr>
          <w:rFonts w:ascii="Times New Roman" w:hAnsi="Times New Roman" w:cs="Times New Roman" w:eastAsia="Times New Roman" w:hint="default"/>
          <w:spacing w:val="-1"/>
        </w:rPr>
        <w:t>1985</w:t>
      </w:r>
      <w:r>
        <w:rPr>
          <w:spacing w:val="-1"/>
        </w:rPr>
        <w:t>年毕业于上海理工大学计算机应用专</w:t>
      </w:r>
    </w:p>
    <w:p>
      <w:pPr>
        <w:pStyle w:val="BodyText"/>
        <w:spacing w:line="396" w:lineRule="auto" w:before="35"/>
        <w:ind w:left="153" w:right="203"/>
        <w:jc w:val="left"/>
      </w:pPr>
      <w:r>
        <w:rPr/>
        <w:t>业，获学士学位；</w:t>
      </w:r>
      <w:r>
        <w:rPr>
          <w:rFonts w:ascii="Times New Roman" w:hAnsi="Times New Roman" w:cs="Times New Roman" w:eastAsia="Times New Roman" w:hint="default"/>
        </w:rPr>
        <w:t>1988</w:t>
      </w:r>
      <w:r>
        <w:rPr/>
        <w:t>年毕业于上海理工大学计算机控制专业，获硕士学位。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5</w:t>
      </w:r>
      <w:r>
        <w:rPr/>
        <w:t>月参加工作，在郑 </w:t>
      </w:r>
      <w:r>
        <w:rPr>
          <w:spacing w:val="-1"/>
        </w:rPr>
        <w:t>州工学院计算机自动化系任教；</w:t>
      </w:r>
      <w:r>
        <w:rPr>
          <w:rFonts w:ascii="Times New Roman" w:hAnsi="Times New Roman" w:cs="Times New Roman" w:eastAsia="Times New Roman" w:hint="default"/>
          <w:spacing w:val="-1"/>
        </w:rPr>
        <w:t>1996</w:t>
      </w:r>
      <w:r>
        <w:rPr>
          <w:spacing w:val="-1"/>
        </w:rPr>
        <w:t>年任河南省计算技术研究所所长助理；</w:t>
      </w:r>
      <w:r>
        <w:rPr>
          <w:rFonts w:ascii="Times New Roman" w:hAnsi="Times New Roman" w:cs="Times New Roman" w:eastAsia="Times New Roman" w:hint="default"/>
          <w:spacing w:val="-1"/>
        </w:rPr>
        <w:t>1998</w:t>
      </w:r>
      <w:r>
        <w:rPr>
          <w:spacing w:val="-1"/>
        </w:rPr>
        <w:t>年进入河南思达高科技股</w:t>
      </w:r>
      <w:r>
        <w:rPr>
          <w:spacing w:val="-84"/>
        </w:rPr>
        <w:t> </w:t>
      </w:r>
      <w:r>
        <w:rPr>
          <w:spacing w:val="-84"/>
        </w:rPr>
      </w:r>
      <w:r>
        <w:rPr>
          <w:spacing w:val="-1"/>
        </w:rPr>
        <w:t>份有限公司，历任系统集成分公司经理，副总经理、总经理；</w:t>
      </w:r>
      <w:r>
        <w:rPr>
          <w:rFonts w:ascii="Times New Roman" w:hAnsi="Times New Roman" w:cs="Times New Roman" w:eastAsia="Times New Roman" w:hint="default"/>
          <w:spacing w:val="-1"/>
        </w:rPr>
        <w:t>2003</w:t>
      </w:r>
      <w:r>
        <w:rPr>
          <w:spacing w:val="-1"/>
        </w:rPr>
        <w:t>年任河南思达科技发展股份有限公司副</w:t>
      </w:r>
      <w:r>
        <w:rPr>
          <w:spacing w:val="-83"/>
        </w:rPr>
        <w:t> </w:t>
      </w:r>
      <w:r>
        <w:rPr>
          <w:spacing w:val="-83"/>
        </w:rPr>
      </w:r>
      <w:r>
        <w:rPr>
          <w:spacing w:val="-1"/>
        </w:rPr>
        <w:t>总裁；</w:t>
      </w:r>
      <w:r>
        <w:rPr>
          <w:rFonts w:ascii="Times New Roman" w:hAnsi="Times New Roman" w:cs="Times New Roman" w:eastAsia="Times New Roman" w:hint="default"/>
          <w:spacing w:val="-1"/>
        </w:rPr>
        <w:t>2006</w:t>
      </w:r>
      <w:r>
        <w:rPr>
          <w:spacing w:val="-1"/>
        </w:rPr>
        <w:t>年至今在公司工作，历任本公司董事、副总经理，现任公司董事、常务副总经理，系公司核心</w:t>
      </w:r>
      <w:r>
        <w:rPr>
          <w:spacing w:val="-83"/>
        </w:rPr>
        <w:t> </w:t>
      </w:r>
      <w:r>
        <w:rPr>
          <w:spacing w:val="-83"/>
        </w:rPr>
      </w:r>
      <w:r>
        <w:rPr>
          <w:spacing w:val="-1"/>
        </w:rPr>
        <w:t>技术人员，主要负责公司研发、生产、客服和营销等部门及业务的管理和协调，以及公司产品战略规划和</w:t>
      </w:r>
      <w:r>
        <w:rPr>
          <w:spacing w:val="-82"/>
        </w:rPr>
        <w:t> </w:t>
      </w:r>
      <w:r>
        <w:rPr>
          <w:spacing w:val="-82"/>
        </w:rPr>
      </w:r>
      <w:r>
        <w:rPr>
          <w:spacing w:val="-1"/>
        </w:rPr>
        <w:t>重要产品评审决策。曾主持开发新开普一卡通管理系统、智能集中电控系统、预付费电能表等产品，负责</w:t>
      </w:r>
      <w:r>
        <w:rPr>
          <w:spacing w:val="-82"/>
        </w:rPr>
        <w:t> </w:t>
      </w:r>
      <w:r>
        <w:rPr>
          <w:spacing w:val="-82"/>
        </w:rPr>
      </w:r>
      <w:r>
        <w:rPr>
          <w:spacing w:val="-1"/>
        </w:rPr>
        <w:t>设计和实施的《河南省高级法院办公自动化系统》、《罗山县化肥厂氢氮比自动控制系统》曾获河南省科</w:t>
      </w:r>
      <w:r>
        <w:rPr>
          <w:spacing w:val="-83"/>
        </w:rPr>
        <w:t> </w:t>
      </w:r>
      <w:r>
        <w:rPr>
          <w:spacing w:val="-83"/>
        </w:rPr>
      </w:r>
      <w:r>
        <w:rPr>
          <w:spacing w:val="-1"/>
        </w:rPr>
        <w:t>技进步三等奖。付秋生先生目前持有公司股份</w:t>
      </w:r>
      <w:r>
        <w:rPr>
          <w:rFonts w:ascii="Times New Roman" w:hAnsi="Times New Roman" w:cs="Times New Roman" w:eastAsia="Times New Roman" w:hint="default"/>
          <w:spacing w:val="-1"/>
        </w:rPr>
        <w:t>673.44</w:t>
      </w:r>
      <w:r>
        <w:rPr>
          <w:spacing w:val="-1"/>
        </w:rPr>
        <w:t>万股，与其他持有公司</w:t>
      </w:r>
      <w:r>
        <w:rPr>
          <w:rFonts w:ascii="Times New Roman" w:hAnsi="Times New Roman" w:cs="Times New Roman" w:eastAsia="Times New Roman" w:hint="default"/>
          <w:spacing w:val="-1"/>
        </w:rPr>
        <w:t>5%</w:t>
      </w:r>
      <w:r>
        <w:rPr>
          <w:spacing w:val="-1"/>
        </w:rPr>
        <w:t>以上股份的股东、实际控制</w:t>
      </w:r>
      <w:r>
        <w:rPr>
          <w:spacing w:val="-102"/>
        </w:rPr>
        <w:t> </w:t>
      </w:r>
      <w:r>
        <w:rPr>
          <w:spacing w:val="-102"/>
        </w:rPr>
      </w:r>
      <w:r>
        <w:rPr>
          <w:spacing w:val="-1"/>
        </w:rPr>
        <w:t>人、其他董事、监事、高级管理人员不存在关联关系，未受过中国证监会及其他有关部门的处罚和证券交</w:t>
      </w:r>
      <w:r>
        <w:rPr>
          <w:spacing w:val="-82"/>
        </w:rPr>
        <w:t> </w:t>
      </w:r>
      <w:r>
        <w:rPr>
          <w:spacing w:val="-82"/>
        </w:rPr>
      </w:r>
      <w:r>
        <w:rPr/>
        <w:t>易所惩戒，任职资格符合《公司法》及《公司章程》的相关规定，不存在《公司法》第</w:t>
      </w:r>
      <w:r>
        <w:rPr>
          <w:rFonts w:ascii="Times New Roman" w:hAnsi="Times New Roman" w:cs="Times New Roman" w:eastAsia="Times New Roman" w:hint="default"/>
        </w:rPr>
        <w:t>147</w:t>
      </w:r>
      <w:r>
        <w:rPr/>
        <w:t>条、《深圳证 券交易所创业板上市公司规范运作指引》第</w:t>
      </w:r>
      <w:r>
        <w:rPr>
          <w:rFonts w:ascii="Times New Roman" w:hAnsi="Times New Roman" w:cs="Times New Roman" w:eastAsia="Times New Roman" w:hint="default"/>
        </w:rPr>
        <w:t>3.1.3</w:t>
      </w:r>
      <w:r>
        <w:rPr/>
        <w:t>条所规定的情形。</w:t>
      </w:r>
    </w:p>
    <w:p>
      <w:pPr>
        <w:pStyle w:val="BodyText"/>
        <w:spacing w:line="391" w:lineRule="auto" w:before="26"/>
        <w:ind w:left="153" w:right="95" w:firstLine="420"/>
        <w:jc w:val="left"/>
      </w:pPr>
      <w:r>
        <w:rPr>
          <w:spacing w:val="-5"/>
        </w:rPr>
        <w:t>尚卫国先生，男，</w:t>
      </w:r>
      <w:r>
        <w:rPr>
          <w:rFonts w:ascii="Times New Roman" w:hAnsi="Times New Roman" w:cs="Times New Roman" w:eastAsia="Times New Roman" w:hint="default"/>
          <w:spacing w:val="-5"/>
        </w:rPr>
        <w:t>1963</w:t>
      </w:r>
      <w:r>
        <w:rPr>
          <w:spacing w:val="-5"/>
        </w:rPr>
        <w:t>年</w:t>
      </w:r>
      <w:r>
        <w:rPr>
          <w:rFonts w:ascii="Times New Roman" w:hAnsi="Times New Roman" w:cs="Times New Roman" w:eastAsia="Times New Roman" w:hint="default"/>
          <w:spacing w:val="-5"/>
        </w:rPr>
        <w:t>10</w:t>
      </w:r>
      <w:r>
        <w:rPr>
          <w:spacing w:val="-5"/>
        </w:rPr>
        <w:t>月出生，专科学历，工程师。</w:t>
      </w:r>
      <w:r>
        <w:rPr>
          <w:rFonts w:ascii="Times New Roman" w:hAnsi="Times New Roman" w:cs="Times New Roman" w:eastAsia="Times New Roman" w:hint="default"/>
          <w:spacing w:val="-5"/>
        </w:rPr>
        <w:t>1983</w:t>
      </w:r>
      <w:r>
        <w:rPr>
          <w:spacing w:val="-5"/>
        </w:rPr>
        <w:t>年毕业于河南省公安高等专科学校；</w:t>
      </w:r>
      <w:r>
        <w:rPr>
          <w:rFonts w:ascii="Times New Roman" w:hAnsi="Times New Roman" w:cs="Times New Roman" w:eastAsia="Times New Roman" w:hint="default"/>
          <w:spacing w:val="-5"/>
        </w:rPr>
        <w:t>1984</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1986</w:t>
      </w:r>
      <w:r>
        <w:rPr/>
        <w:t>年在郑州大学法律系学习。</w:t>
      </w:r>
      <w:r>
        <w:rPr>
          <w:rFonts w:ascii="Times New Roman" w:hAnsi="Times New Roman" w:cs="Times New Roman" w:eastAsia="Times New Roman" w:hint="default"/>
        </w:rPr>
        <w:t>1983</w:t>
      </w:r>
      <w:r>
        <w:rPr/>
        <w:t>年至</w:t>
      </w:r>
      <w:r>
        <w:rPr>
          <w:rFonts w:ascii="Times New Roman" w:hAnsi="Times New Roman" w:cs="Times New Roman" w:eastAsia="Times New Roman" w:hint="default"/>
        </w:rPr>
        <w:t>1995</w:t>
      </w:r>
      <w:r>
        <w:rPr/>
        <w:t>年，任郑州工学院机关干部；</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2000</w:t>
      </w:r>
      <w:r>
        <w:rPr/>
        <w:t>年任郑州工 </w:t>
      </w:r>
      <w:r>
        <w:rPr>
          <w:spacing w:val="-3"/>
        </w:rPr>
        <w:t>学院开普电子技术公司管理部经理；</w:t>
      </w:r>
      <w:r>
        <w:rPr>
          <w:rFonts w:ascii="Times New Roman" w:hAnsi="Times New Roman" w:cs="Times New Roman" w:eastAsia="Times New Roman" w:hint="default"/>
          <w:spacing w:val="-3"/>
        </w:rPr>
        <w:t>2000</w:t>
      </w:r>
      <w:r>
        <w:rPr>
          <w:spacing w:val="-3"/>
        </w:rPr>
        <w:t>年至今在公司工作，历任本公司董事、副总经理，现任公司董事、</w:t>
      </w:r>
      <w:r>
        <w:rPr>
          <w:spacing w:val="-91"/>
        </w:rPr>
        <w:t> </w:t>
      </w:r>
      <w:r>
        <w:rPr>
          <w:spacing w:val="-91"/>
        </w:rPr>
      </w:r>
      <w:r>
        <w:rPr/>
        <w:t>副总经理。尚卫国先生目前持有公司股份</w:t>
      </w:r>
      <w:r>
        <w:rPr>
          <w:rFonts w:ascii="Times New Roman" w:hAnsi="Times New Roman" w:cs="Times New Roman" w:eastAsia="Times New Roman" w:hint="default"/>
        </w:rPr>
        <w:t>699.36</w:t>
      </w:r>
      <w:r>
        <w:rPr/>
        <w:t>万股，与其他持有公司</w:t>
      </w:r>
      <w:r>
        <w:rPr>
          <w:rFonts w:ascii="Times New Roman" w:hAnsi="Times New Roman" w:cs="Times New Roman" w:eastAsia="Times New Roman" w:hint="default"/>
        </w:rPr>
        <w:t>5%</w:t>
      </w:r>
      <w:r>
        <w:rPr/>
        <w:t>以上股份的股东、实际控制人、 其他董事、监事、高级管理人员不存在关联关系，未受过中国证监会及其他有关部门的处罚和证券交易所 惩戒，任职资格符合《公司法》及《公司章程》的相关规定，不存在《公司法》第</w:t>
      </w:r>
      <w:r>
        <w:rPr>
          <w:rFonts w:ascii="Times New Roman" w:hAnsi="Times New Roman" w:cs="Times New Roman" w:eastAsia="Times New Roman" w:hint="default"/>
        </w:rPr>
        <w:t>147</w:t>
      </w:r>
      <w:r>
        <w:rPr/>
        <w:t>条、《深圳证券交 易所创业板上市公司规范运作指引》第</w:t>
      </w:r>
      <w:r>
        <w:rPr>
          <w:rFonts w:ascii="Times New Roman" w:hAnsi="Times New Roman" w:cs="Times New Roman" w:eastAsia="Times New Roman" w:hint="default"/>
        </w:rPr>
        <w:t>3.1.3</w:t>
      </w:r>
      <w:r>
        <w:rPr/>
        <w:t>条所规定的情形。</w:t>
      </w:r>
    </w:p>
    <w:p>
      <w:pPr>
        <w:pStyle w:val="BodyText"/>
        <w:spacing w:line="386" w:lineRule="auto" w:before="30"/>
        <w:ind w:left="153" w:right="95" w:firstLine="420"/>
        <w:jc w:val="left"/>
      </w:pPr>
      <w:r>
        <w:rPr/>
        <w:t>赵利宾先生，男，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5</w:t>
      </w:r>
      <w:r>
        <w:rPr/>
        <w:t>月出生，专科学历，会计师。</w:t>
      </w:r>
      <w:r>
        <w:rPr>
          <w:rFonts w:ascii="Times New Roman" w:hAnsi="Times New Roman" w:cs="Times New Roman" w:eastAsia="Times New Roman" w:hint="default"/>
        </w:rPr>
        <w:t>1985</w:t>
      </w:r>
      <w:r>
        <w:rPr/>
        <w:t>年至</w:t>
      </w:r>
      <w:r>
        <w:rPr>
          <w:rFonts w:ascii="Times New Roman" w:hAnsi="Times New Roman" w:cs="Times New Roman" w:eastAsia="Times New Roman" w:hint="default"/>
        </w:rPr>
        <w:t>1987</w:t>
      </w:r>
      <w:r>
        <w:rPr/>
        <w:t>年在重庆石油专科学校学习会 </w:t>
      </w:r>
      <w:r>
        <w:rPr>
          <w:spacing w:val="-1"/>
        </w:rPr>
        <w:t>计学专业；</w:t>
      </w:r>
      <w:r>
        <w:rPr>
          <w:rFonts w:ascii="Times New Roman" w:hAnsi="Times New Roman" w:cs="Times New Roman" w:eastAsia="Times New Roman" w:hint="default"/>
          <w:spacing w:val="-1"/>
        </w:rPr>
        <w:t>1994</w:t>
      </w:r>
      <w:r>
        <w:rPr>
          <w:spacing w:val="-1"/>
        </w:rPr>
        <w:t>年毕业于河南财经学院财务会计专业，专科学历。</w:t>
      </w:r>
      <w:r>
        <w:rPr>
          <w:rFonts w:ascii="Times New Roman" w:hAnsi="Times New Roman" w:cs="Times New Roman" w:eastAsia="Times New Roman" w:hint="default"/>
          <w:spacing w:val="-1"/>
        </w:rPr>
        <w:t>1987</w:t>
      </w:r>
      <w:r>
        <w:rPr>
          <w:spacing w:val="-1"/>
        </w:rPr>
        <w:t>年至</w:t>
      </w:r>
      <w:r>
        <w:rPr>
          <w:rFonts w:ascii="Times New Roman" w:hAnsi="Times New Roman" w:cs="Times New Roman" w:eastAsia="Times New Roman" w:hint="default"/>
          <w:spacing w:val="-1"/>
        </w:rPr>
        <w:t>1990</w:t>
      </w:r>
      <w:r>
        <w:rPr>
          <w:spacing w:val="-1"/>
        </w:rPr>
        <w:t>年，任中原油田钻井四公</w:t>
      </w:r>
      <w:r>
        <w:rPr>
          <w:spacing w:val="-84"/>
        </w:rPr>
        <w:t> </w:t>
      </w:r>
      <w:r>
        <w:rPr>
          <w:spacing w:val="-84"/>
        </w:rPr>
      </w:r>
      <w:r>
        <w:rPr>
          <w:spacing w:val="-1"/>
        </w:rPr>
        <w:t>司财务科会计；</w:t>
      </w:r>
      <w:r>
        <w:rPr>
          <w:rFonts w:ascii="Times New Roman" w:hAnsi="Times New Roman" w:cs="Times New Roman" w:eastAsia="Times New Roman" w:hint="default"/>
          <w:spacing w:val="-1"/>
        </w:rPr>
        <w:t>1990</w:t>
      </w:r>
      <w:r>
        <w:rPr>
          <w:spacing w:val="-1"/>
        </w:rPr>
        <w:t>年至</w:t>
      </w:r>
      <w:r>
        <w:rPr>
          <w:rFonts w:ascii="Times New Roman" w:hAnsi="Times New Roman" w:cs="Times New Roman" w:eastAsia="Times New Roman" w:hint="default"/>
          <w:spacing w:val="-1"/>
        </w:rPr>
        <w:t>1994</w:t>
      </w:r>
      <w:r>
        <w:rPr>
          <w:spacing w:val="-1"/>
        </w:rPr>
        <w:t>年，在郑州工学院财务处工作；</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1997</w:t>
      </w:r>
      <w:r>
        <w:rPr>
          <w:spacing w:val="-1"/>
        </w:rPr>
        <w:t>年任郑州工学院开普电子技术</w:t>
      </w:r>
      <w:r>
        <w:rPr>
          <w:spacing w:val="-86"/>
        </w:rPr>
        <w:t> </w:t>
      </w:r>
      <w:r>
        <w:rPr>
          <w:spacing w:val="-86"/>
        </w:rPr>
      </w:r>
      <w:r>
        <w:rPr>
          <w:spacing w:val="-1"/>
        </w:rPr>
        <w:t>公司财务经理；</w:t>
      </w:r>
      <w:r>
        <w:rPr>
          <w:rFonts w:ascii="Times New Roman" w:hAnsi="Times New Roman" w:cs="Times New Roman" w:eastAsia="Times New Roman" w:hint="default"/>
          <w:spacing w:val="-1"/>
        </w:rPr>
        <w:t>2000</w:t>
      </w:r>
      <w:r>
        <w:rPr>
          <w:spacing w:val="-1"/>
        </w:rPr>
        <w:t>年至今在本公司工作，历任本公司董事、副总经理，现任公司董事、副总经理。赵利</w:t>
      </w:r>
    </w:p>
    <w:p>
      <w:pPr>
        <w:spacing w:after="0" w:line="386" w:lineRule="auto"/>
        <w:jc w:val="left"/>
        <w:sectPr>
          <w:footerReference w:type="default" r:id="rId41"/>
          <w:pgSz w:w="11910" w:h="16840"/>
          <w:pgMar w:footer="982" w:header="877" w:top="1100" w:bottom="1180" w:left="980" w:right="920"/>
          <w:pgNumType w:start="80"/>
        </w:sectPr>
      </w:pPr>
    </w:p>
    <w:p>
      <w:pPr>
        <w:spacing w:line="240" w:lineRule="auto" w:before="8"/>
        <w:rPr>
          <w:rFonts w:ascii="宋体" w:hAnsi="宋体" w:cs="宋体" w:eastAsia="宋体" w:hint="default"/>
          <w:sz w:val="26"/>
          <w:szCs w:val="26"/>
        </w:rPr>
      </w:pPr>
    </w:p>
    <w:p>
      <w:pPr>
        <w:pStyle w:val="BodyText"/>
        <w:spacing w:line="393" w:lineRule="auto" w:before="35"/>
        <w:ind w:left="153" w:right="206"/>
        <w:jc w:val="left"/>
      </w:pPr>
      <w:r>
        <w:rPr/>
        <w:t>宾先生目前持有公司股份</w:t>
      </w:r>
      <w:r>
        <w:rPr>
          <w:rFonts w:ascii="Times New Roman" w:hAnsi="Times New Roman" w:cs="Times New Roman" w:eastAsia="Times New Roman" w:hint="default"/>
        </w:rPr>
        <w:t>576</w:t>
      </w:r>
      <w:r>
        <w:rPr/>
        <w:t>万股，与其他持有公司</w:t>
      </w:r>
      <w:r>
        <w:rPr>
          <w:rFonts w:ascii="Times New Roman" w:hAnsi="Times New Roman" w:cs="Times New Roman" w:eastAsia="Times New Roman" w:hint="default"/>
        </w:rPr>
        <w:t>5%</w:t>
      </w:r>
      <w:r>
        <w:rPr/>
        <w:t>以上股份的股东、实际控制人、其他董事、监事、 </w:t>
      </w:r>
      <w:r>
        <w:rPr>
          <w:spacing w:val="-1"/>
        </w:rPr>
        <w:t>高级管理人员不存在关联关系，未受过中国证监会及其他有关部门的处罚和证券交易所惩戒，任职资格符</w:t>
      </w:r>
      <w:r>
        <w:rPr>
          <w:spacing w:val="-81"/>
        </w:rPr>
        <w:t> </w:t>
      </w:r>
      <w:r>
        <w:rPr>
          <w:spacing w:val="-81"/>
        </w:rPr>
      </w:r>
      <w:r>
        <w:rPr/>
        <w:t>合《公司法》及《公司章程》的相关规定，不存在《公司法》第</w:t>
      </w:r>
      <w:r>
        <w:rPr>
          <w:rFonts w:ascii="Times New Roman" w:hAnsi="Times New Roman" w:cs="Times New Roman" w:eastAsia="Times New Roman" w:hint="default"/>
        </w:rPr>
        <w:t>147</w:t>
      </w:r>
      <w:r>
        <w:rPr/>
        <w:t>条、《深圳证券交易所创业板上市公 司规范运作指引》第</w:t>
      </w:r>
      <w:r>
        <w:rPr>
          <w:rFonts w:ascii="Times New Roman" w:hAnsi="Times New Roman" w:cs="Times New Roman" w:eastAsia="Times New Roman" w:hint="default"/>
        </w:rPr>
        <w:t>3.1.3</w:t>
      </w:r>
      <w:r>
        <w:rPr/>
        <w:t>条所规定的情形。</w:t>
      </w:r>
    </w:p>
    <w:p>
      <w:pPr>
        <w:pStyle w:val="BodyText"/>
        <w:spacing w:line="391" w:lineRule="auto" w:before="28"/>
        <w:ind w:left="153" w:right="95" w:firstLine="420"/>
        <w:jc w:val="left"/>
      </w:pPr>
      <w:r>
        <w:rPr/>
        <w:t>罗会军先生，男，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4</w:t>
      </w:r>
      <w:r>
        <w:rPr/>
        <w:t>月出生，研究生学历，中华全国青年联合会委员、河南省青年联合会副主 席。</w:t>
      </w:r>
      <w:r>
        <w:rPr>
          <w:rFonts w:ascii="Times New Roman" w:hAnsi="Times New Roman" w:cs="Times New Roman" w:eastAsia="Times New Roman" w:hint="default"/>
        </w:rPr>
        <w:t>1995</w:t>
      </w:r>
      <w:r>
        <w:rPr/>
        <w:t>年毕业于郑州大学法律系，获法学学士学位；</w:t>
      </w:r>
      <w:r>
        <w:rPr>
          <w:rFonts w:ascii="Times New Roman" w:hAnsi="Times New Roman" w:cs="Times New Roman" w:eastAsia="Times New Roman" w:hint="default"/>
        </w:rPr>
        <w:t>2004</w:t>
      </w:r>
      <w:r>
        <w:rPr/>
        <w:t>年毕业于郑州大学商学院，获工商管理硕士学 位；</w:t>
      </w:r>
      <w:r>
        <w:rPr>
          <w:rFonts w:ascii="Times New Roman" w:hAnsi="Times New Roman" w:cs="Times New Roman" w:eastAsia="Times New Roman" w:hint="default"/>
        </w:rPr>
        <w:t>2011</w:t>
      </w:r>
      <w:r>
        <w:rPr/>
        <w:t>年毕业于长江商学院，获高级管理人员工商管理硕士学位；现就读于武汉大学经济与管理学院管 </w:t>
      </w:r>
      <w:r>
        <w:rPr>
          <w:spacing w:val="-3"/>
        </w:rPr>
        <w:t>理科学与工程专业，攻读博士学位。</w:t>
      </w:r>
      <w:r>
        <w:rPr>
          <w:rFonts w:ascii="Times New Roman" w:hAnsi="Times New Roman" w:cs="Times New Roman" w:eastAsia="Times New Roman" w:hint="default"/>
          <w:spacing w:val="-3"/>
        </w:rPr>
        <w:t>1995</w:t>
      </w:r>
      <w:r>
        <w:rPr>
          <w:spacing w:val="-3"/>
        </w:rPr>
        <w:t>年至</w:t>
      </w:r>
      <w:r>
        <w:rPr>
          <w:rFonts w:ascii="Times New Roman" w:hAnsi="Times New Roman" w:cs="Times New Roman" w:eastAsia="Times New Roman" w:hint="default"/>
          <w:spacing w:val="-3"/>
        </w:rPr>
        <w:t>1998</w:t>
      </w:r>
      <w:r>
        <w:rPr>
          <w:spacing w:val="-3"/>
        </w:rPr>
        <w:t>年，就职于北京新大地生物制品有限公司，任业务经理；</w:t>
      </w:r>
      <w:r>
        <w:rPr>
          <w:spacing w:val="-88"/>
        </w:rPr>
        <w:t> </w:t>
      </w:r>
      <w:r>
        <w:rPr>
          <w:spacing w:val="-88"/>
        </w:rPr>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2002</w:t>
      </w:r>
      <w:r>
        <w:rPr/>
        <w:t>年就职于吉林抚松制药股份有限公司，任业务经理；自</w:t>
      </w:r>
      <w:r>
        <w:rPr>
          <w:rFonts w:ascii="Times New Roman" w:hAnsi="Times New Roman" w:cs="Times New Roman" w:eastAsia="Times New Roman" w:hint="default"/>
        </w:rPr>
        <w:t>2003</w:t>
      </w:r>
      <w:r>
        <w:rPr/>
        <w:t>年起至今任黑龙江福瑞堂医药有 限公司董事长、郑州福瑞堂制药有限公司执行董事兼总经理、北京福瑞堂投资有限公司执行董事、焦作福 瑞堂制药有限公司董事长，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月起担任本公司董事。罗会军先生未持有公司股份，与公司及公司实 </w:t>
      </w:r>
      <w:r>
        <w:rPr>
          <w:spacing w:val="-2"/>
        </w:rPr>
        <w:t>际控制人、持有公司</w:t>
      </w:r>
      <w:r>
        <w:rPr>
          <w:rFonts w:ascii="Times New Roman" w:hAnsi="Times New Roman" w:cs="Times New Roman" w:eastAsia="Times New Roman" w:hint="default"/>
          <w:spacing w:val="-2"/>
        </w:rPr>
        <w:t>5%</w:t>
      </w:r>
      <w:r>
        <w:rPr>
          <w:spacing w:val="-2"/>
        </w:rPr>
        <w:t>以上股份的股东、其他董事、监事、高级管理人员不存在关联关系，未受过中国证</w:t>
      </w:r>
      <w:r>
        <w:rPr/>
        <w:t> 监会及其他有关部门的处罚和证券交易所惩戒，不存在《深圳证券交易所创业板上市公司规范运作指引》 第</w:t>
      </w:r>
      <w:r>
        <w:rPr>
          <w:rFonts w:ascii="Times New Roman" w:hAnsi="Times New Roman" w:cs="Times New Roman" w:eastAsia="Times New Roman" w:hint="default"/>
        </w:rPr>
        <w:t>3.1.3</w:t>
      </w:r>
      <w:r>
        <w:rPr/>
        <w:t>条所规定的情形。</w:t>
      </w:r>
    </w:p>
    <w:p>
      <w:pPr>
        <w:pStyle w:val="BodyText"/>
        <w:spacing w:line="386" w:lineRule="auto" w:before="30"/>
        <w:ind w:left="153" w:right="195" w:firstLine="420"/>
        <w:jc w:val="left"/>
      </w:pPr>
      <w:r>
        <w:rPr/>
        <w:t>甘勇先生，男，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5</w:t>
      </w:r>
      <w:r>
        <w:rPr/>
        <w:t>月出生，博士、教授。</w:t>
      </w:r>
      <w:r>
        <w:rPr>
          <w:rFonts w:ascii="Times New Roman" w:hAnsi="Times New Roman" w:cs="Times New Roman" w:eastAsia="Times New Roman" w:hint="default"/>
        </w:rPr>
        <w:t>1989</w:t>
      </w:r>
      <w:r>
        <w:rPr/>
        <w:t>年起在郑州轻工业学院任教，先后担任控制工程 </w:t>
      </w:r>
      <w:r>
        <w:rPr>
          <w:spacing w:val="-2"/>
        </w:rPr>
        <w:t>系副主任、计算机科学与工程系副主任、计算机与通信工程学院院长。曾荣获</w:t>
      </w:r>
      <w:r>
        <w:rPr>
          <w:rFonts w:ascii="Times New Roman" w:hAnsi="Times New Roman" w:cs="Times New Roman" w:eastAsia="Times New Roman" w:hint="default"/>
          <w:spacing w:val="-2"/>
        </w:rPr>
        <w:t>“</w:t>
      </w:r>
      <w:r>
        <w:rPr>
          <w:spacing w:val="-2"/>
        </w:rPr>
        <w:t>河南省优秀专家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河南省</w:t>
      </w:r>
      <w:r>
        <w:rPr>
          <w:spacing w:val="-102"/>
        </w:rPr>
        <w:t> </w:t>
      </w:r>
      <w:r>
        <w:rPr>
          <w:spacing w:val="-2"/>
        </w:rPr>
        <w:t>教学名师</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河南省优秀教师</w:t>
      </w:r>
      <w:r>
        <w:rPr>
          <w:rFonts w:ascii="Times New Roman" w:hAnsi="Times New Roman" w:cs="Times New Roman" w:eastAsia="Times New Roman" w:hint="default"/>
          <w:spacing w:val="-2"/>
        </w:rPr>
        <w:t>”</w:t>
      </w:r>
      <w:r>
        <w:rPr>
          <w:spacing w:val="-2"/>
        </w:rPr>
        <w:t>等荣誉称号，现任公司独立董事。甘勇先生未持有公司股份，与其他持有公</w:t>
      </w:r>
      <w:r>
        <w:rPr>
          <w:spacing w:val="-102"/>
        </w:rPr>
        <w:t> </w:t>
      </w:r>
      <w:r>
        <w:rPr>
          <w:spacing w:val="-102"/>
        </w:rPr>
      </w:r>
      <w:r>
        <w:rPr>
          <w:spacing w:val="-2"/>
        </w:rPr>
        <w:t>司</w:t>
      </w:r>
      <w:r>
        <w:rPr>
          <w:rFonts w:ascii="Times New Roman" w:hAnsi="Times New Roman" w:cs="Times New Roman" w:eastAsia="Times New Roman" w:hint="default"/>
          <w:spacing w:val="-2"/>
        </w:rPr>
        <w:t>5%</w:t>
      </w:r>
      <w:r>
        <w:rPr>
          <w:spacing w:val="-2"/>
        </w:rPr>
        <w:t>以上股份的股东、实际控制人、其他董事、监事、高级管理人员不存在关联关系，未受过中国证监会</w:t>
      </w:r>
      <w:r>
        <w:rPr/>
        <w:t> </w:t>
      </w:r>
      <w:r>
        <w:rPr>
          <w:spacing w:val="-5"/>
        </w:rPr>
        <w:t>及其他有关部门的处罚和证券交易所惩戒，不存在《深圳证券交易所创业板上市公司规范运作指引》第</w:t>
      </w:r>
      <w:r>
        <w:rPr>
          <w:rFonts w:ascii="Times New Roman" w:hAnsi="Times New Roman" w:cs="Times New Roman" w:eastAsia="Times New Roman" w:hint="default"/>
          <w:spacing w:val="-5"/>
        </w:rPr>
        <w:t>3.1.3</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条所规定的情形。</w:t>
      </w:r>
    </w:p>
    <w:p>
      <w:pPr>
        <w:pStyle w:val="BodyText"/>
        <w:spacing w:line="391" w:lineRule="auto" w:before="65"/>
        <w:ind w:left="153" w:right="101" w:firstLine="420"/>
        <w:jc w:val="left"/>
      </w:pPr>
      <w:r>
        <w:rPr/>
        <w:t>谷建全先生，男，</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7</w:t>
      </w:r>
      <w:r>
        <w:rPr/>
        <w:t>月出生，经济学博士、博士生导师。</w:t>
      </w:r>
      <w:r>
        <w:rPr>
          <w:rFonts w:ascii="Times New Roman" w:hAnsi="Times New Roman" w:cs="Times New Roman" w:eastAsia="Times New Roman" w:hint="default"/>
        </w:rPr>
        <w:t>1984</w:t>
      </w:r>
      <w:r>
        <w:rPr/>
        <w:t>年至</w:t>
      </w:r>
      <w:r>
        <w:rPr>
          <w:rFonts w:ascii="Times New Roman" w:hAnsi="Times New Roman" w:cs="Times New Roman" w:eastAsia="Times New Roman" w:hint="default"/>
        </w:rPr>
        <w:t>1992</w:t>
      </w:r>
      <w:r>
        <w:rPr/>
        <w:t>年，在河南省社会科学 院情报研究所工作；</w:t>
      </w:r>
      <w:r>
        <w:rPr>
          <w:rFonts w:ascii="Times New Roman" w:hAnsi="Times New Roman" w:cs="Times New Roman" w:eastAsia="Times New Roman" w:hint="default"/>
        </w:rPr>
        <w:t>1992</w:t>
      </w:r>
      <w:r>
        <w:rPr/>
        <w:t>至</w:t>
      </w:r>
      <w:r>
        <w:rPr>
          <w:rFonts w:ascii="Times New Roman" w:hAnsi="Times New Roman" w:cs="Times New Roman" w:eastAsia="Times New Roman" w:hint="default"/>
        </w:rPr>
        <w:t>1994</w:t>
      </w:r>
      <w:r>
        <w:rPr/>
        <w:t>年，在郑州市金水区委挂职锻炼；</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2008</w:t>
      </w:r>
      <w:r>
        <w:rPr/>
        <w:t>年，在河南省社会科学院 </w:t>
      </w:r>
      <w:r>
        <w:rPr>
          <w:spacing w:val="-3"/>
        </w:rPr>
        <w:t>经济研究所工作，历任副所长、所长；</w:t>
      </w:r>
      <w:r>
        <w:rPr>
          <w:rFonts w:ascii="Times New Roman" w:hAnsi="Times New Roman" w:cs="Times New Roman" w:eastAsia="Times New Roman" w:hint="default"/>
          <w:spacing w:val="-3"/>
        </w:rPr>
        <w:t>2008</w:t>
      </w:r>
      <w:r>
        <w:rPr>
          <w:spacing w:val="-3"/>
        </w:rPr>
        <w:t>年至</w:t>
      </w:r>
      <w:r>
        <w:rPr>
          <w:rFonts w:ascii="Times New Roman" w:hAnsi="Times New Roman" w:cs="Times New Roman" w:eastAsia="Times New Roman" w:hint="default"/>
          <w:spacing w:val="-3"/>
        </w:rPr>
        <w:t>2009</w:t>
      </w:r>
      <w:r>
        <w:rPr>
          <w:spacing w:val="-3"/>
        </w:rPr>
        <w:t>年，任河南省社会科学院经济研究所所长兼院办主任；</w:t>
      </w:r>
      <w:r>
        <w:rPr>
          <w:spacing w:val="-89"/>
        </w:rPr>
        <w:t> </w:t>
      </w:r>
      <w:r>
        <w:rPr>
          <w:spacing w:val="-89"/>
        </w:rPr>
      </w:r>
      <w:r>
        <w:rPr>
          <w:rFonts w:ascii="Times New Roman" w:hAnsi="Times New Roman" w:cs="Times New Roman" w:eastAsia="Times New Roman" w:hint="default"/>
        </w:rPr>
        <w:t>2009</w:t>
      </w:r>
      <w:r>
        <w:rPr/>
        <w:t>年至今任河南省社会科学院副院长兼经济研究所所长，现任公司独立董事。谷建全先生未持有公司股 份，与其他持有公司</w:t>
      </w:r>
      <w:r>
        <w:rPr>
          <w:rFonts w:ascii="Times New Roman" w:hAnsi="Times New Roman" w:cs="Times New Roman" w:eastAsia="Times New Roman" w:hint="default"/>
        </w:rPr>
        <w:t>5%</w:t>
      </w:r>
      <w:r>
        <w:rPr/>
        <w:t>以上股份的股东、实际控制人、其他董事、监事、高级管理人员不存在关联关系， 未受过中国证监会及其他有关部门的处罚和证券交易所惩戒，不存在《深圳证券交易所创业板上市公司规 范运作指引》第</w:t>
      </w:r>
      <w:r>
        <w:rPr>
          <w:rFonts w:ascii="Times New Roman" w:hAnsi="Times New Roman" w:cs="Times New Roman" w:eastAsia="Times New Roman" w:hint="default"/>
        </w:rPr>
        <w:t>3.1.3</w:t>
      </w:r>
      <w:r>
        <w:rPr/>
        <w:t>条所规定的情形。</w:t>
      </w:r>
    </w:p>
    <w:p>
      <w:pPr>
        <w:pStyle w:val="BodyText"/>
        <w:spacing w:line="386" w:lineRule="auto" w:before="30"/>
        <w:ind w:left="153" w:right="211" w:firstLine="420"/>
        <w:jc w:val="both"/>
      </w:pPr>
      <w:r>
        <w:rPr/>
        <w:t>王世卿先生</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男，</w:t>
      </w:r>
      <w:r>
        <w:rPr>
          <w:rFonts w:ascii="Times New Roman" w:hAnsi="Times New Roman" w:cs="Times New Roman" w:eastAsia="Times New Roman" w:hint="default"/>
        </w:rPr>
        <w:t>1951</w:t>
      </w:r>
      <w:r>
        <w:rPr/>
        <w:t>年</w:t>
      </w:r>
      <w:r>
        <w:rPr>
          <w:rFonts w:ascii="Times New Roman" w:hAnsi="Times New Roman" w:cs="Times New Roman" w:eastAsia="Times New Roman" w:hint="default"/>
        </w:rPr>
        <w:t>11</w:t>
      </w:r>
      <w:r>
        <w:rPr/>
        <w:t>月出生，博士、教授。</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1995</w:t>
      </w:r>
      <w:r>
        <w:rPr/>
        <w:t>年，任职于郑州大学，历任讲师、副 </w:t>
      </w:r>
      <w:r>
        <w:rPr>
          <w:spacing w:val="-1"/>
        </w:rPr>
        <w:t>教授、教授；</w:t>
      </w:r>
      <w:r>
        <w:rPr>
          <w:rFonts w:ascii="Times New Roman" w:hAnsi="Times New Roman" w:cs="Times New Roman" w:eastAsia="Times New Roman" w:hint="default"/>
          <w:spacing w:val="-1"/>
        </w:rPr>
        <w:t>1996</w:t>
      </w:r>
      <w:r>
        <w:rPr>
          <w:spacing w:val="-1"/>
        </w:rPr>
        <w:t>至</w:t>
      </w:r>
      <w:r>
        <w:rPr>
          <w:rFonts w:ascii="Times New Roman" w:hAnsi="Times New Roman" w:cs="Times New Roman" w:eastAsia="Times New Roman" w:hint="default"/>
          <w:spacing w:val="-1"/>
        </w:rPr>
        <w:t>2004</w:t>
      </w:r>
      <w:r>
        <w:rPr>
          <w:spacing w:val="-1"/>
        </w:rPr>
        <w:t>年，任郑州大学计算机系主任、信息工程学院常务副院长；</w:t>
      </w:r>
      <w:r>
        <w:rPr>
          <w:rFonts w:ascii="Times New Roman" w:hAnsi="Times New Roman" w:cs="Times New Roman" w:eastAsia="Times New Roman" w:hint="default"/>
          <w:spacing w:val="-1"/>
        </w:rPr>
        <w:t>2005</w:t>
      </w:r>
      <w:r>
        <w:rPr>
          <w:spacing w:val="-1"/>
        </w:rPr>
        <w:t>年至</w:t>
      </w:r>
      <w:r>
        <w:rPr>
          <w:rFonts w:ascii="Times New Roman" w:hAnsi="Times New Roman" w:cs="Times New Roman" w:eastAsia="Times New Roman" w:hint="default"/>
          <w:spacing w:val="-1"/>
        </w:rPr>
        <w:t>2008</w:t>
      </w:r>
      <w:r>
        <w:rPr>
          <w:spacing w:val="-1"/>
        </w:rPr>
        <w:t>年，任</w:t>
      </w:r>
      <w:r>
        <w:rPr>
          <w:spacing w:val="-86"/>
        </w:rPr>
        <w:t> </w:t>
      </w:r>
      <w:r>
        <w:rPr>
          <w:spacing w:val="-86"/>
        </w:rPr>
      </w:r>
      <w:r>
        <w:rPr>
          <w:spacing w:val="-1"/>
        </w:rPr>
        <w:t>郑州大学软件学院院长；现已被延聘为郑州大学教授、博士研究生导师，现任公司独立董事。王世卿先生</w:t>
      </w:r>
    </w:p>
    <w:p>
      <w:pPr>
        <w:spacing w:after="0" w:line="386" w:lineRule="auto"/>
        <w:jc w:val="both"/>
        <w:sectPr>
          <w:footerReference w:type="default" r:id="rId42"/>
          <w:pgSz w:w="11910" w:h="16840"/>
          <w:pgMar w:footer="982" w:header="877" w:top="1100" w:bottom="1180" w:left="980" w:right="920"/>
          <w:pgNumType w:start="81"/>
        </w:sectPr>
      </w:pPr>
    </w:p>
    <w:p>
      <w:pPr>
        <w:spacing w:line="240" w:lineRule="auto" w:before="8"/>
        <w:rPr>
          <w:rFonts w:ascii="宋体" w:hAnsi="宋体" w:cs="宋体" w:eastAsia="宋体" w:hint="default"/>
          <w:sz w:val="26"/>
          <w:szCs w:val="26"/>
        </w:rPr>
      </w:pPr>
    </w:p>
    <w:p>
      <w:pPr>
        <w:pStyle w:val="BodyText"/>
        <w:spacing w:line="398" w:lineRule="auto" w:before="35"/>
        <w:ind w:right="208"/>
        <w:jc w:val="both"/>
      </w:pPr>
      <w:r>
        <w:rPr>
          <w:spacing w:val="-2"/>
        </w:rPr>
        <w:t>未持有公司股份，与其他持有公司</w:t>
      </w:r>
      <w:r>
        <w:rPr>
          <w:rFonts w:ascii="Times New Roman" w:hAnsi="Times New Roman" w:cs="Times New Roman" w:eastAsia="Times New Roman" w:hint="default"/>
          <w:spacing w:val="-2"/>
        </w:rPr>
        <w:t>5%</w:t>
      </w:r>
      <w:r>
        <w:rPr>
          <w:spacing w:val="-2"/>
        </w:rPr>
        <w:t>以上股份的股东、实际控制人、其他董事、监事、高级管理人员不存</w:t>
      </w:r>
      <w:r>
        <w:rPr>
          <w:spacing w:val="-102"/>
        </w:rPr>
        <w:t> </w:t>
      </w:r>
      <w:r>
        <w:rPr>
          <w:spacing w:val="-102"/>
        </w:rPr>
      </w:r>
      <w:r>
        <w:rPr>
          <w:spacing w:val="-1"/>
        </w:rPr>
        <w:t>在关联关系，未受过中国证监会及其他有关部门的处罚和证券交易所惩戒，不存在《深圳证券交易所创业</w:t>
      </w:r>
      <w:r>
        <w:rPr>
          <w:spacing w:val="-83"/>
        </w:rPr>
        <w:t> </w:t>
      </w:r>
      <w:r>
        <w:rPr>
          <w:spacing w:val="-83"/>
        </w:rPr>
      </w:r>
      <w:r>
        <w:rPr/>
        <w:t>板上市公司规范运作指引》第</w:t>
      </w:r>
      <w:r>
        <w:rPr>
          <w:rFonts w:ascii="Times New Roman" w:hAnsi="Times New Roman" w:cs="Times New Roman" w:eastAsia="Times New Roman" w:hint="default"/>
        </w:rPr>
        <w:t>3.1.3</w:t>
      </w:r>
      <w:r>
        <w:rPr/>
        <w:t>条所规定的情形。</w:t>
      </w:r>
    </w:p>
    <w:p>
      <w:pPr>
        <w:pStyle w:val="BodyText"/>
        <w:spacing w:line="391" w:lineRule="auto" w:before="24"/>
        <w:ind w:left="153" w:right="95" w:firstLine="420"/>
        <w:jc w:val="left"/>
      </w:pPr>
      <w:r>
        <w:rPr/>
        <w:t>祝田山先生，男，</w:t>
      </w:r>
      <w:r>
        <w:rPr>
          <w:rFonts w:ascii="Times New Roman" w:hAnsi="Times New Roman" w:cs="Times New Roman" w:eastAsia="Times New Roman" w:hint="default"/>
        </w:rPr>
        <w:t>1962</w:t>
      </w:r>
      <w:r>
        <w:rPr/>
        <w:t>年出生，本科学历，高级会计师，注册会计师。</w:t>
      </w:r>
      <w:r>
        <w:rPr>
          <w:rFonts w:ascii="Times New Roman" w:hAnsi="Times New Roman" w:cs="Times New Roman" w:eastAsia="Times New Roman" w:hint="default"/>
        </w:rPr>
        <w:t>1983</w:t>
      </w:r>
      <w:r>
        <w:rPr/>
        <w:t>年至</w:t>
      </w:r>
      <w:r>
        <w:rPr>
          <w:rFonts w:ascii="Times New Roman" w:hAnsi="Times New Roman" w:cs="Times New Roman" w:eastAsia="Times New Roman" w:hint="default"/>
        </w:rPr>
        <w:t>1993</w:t>
      </w:r>
      <w:r>
        <w:rPr/>
        <w:t>年，在河南财政 </w:t>
      </w:r>
      <w:r>
        <w:rPr>
          <w:spacing w:val="-5"/>
        </w:rPr>
        <w:t>科学研究所任职；</w:t>
      </w:r>
      <w:r>
        <w:rPr>
          <w:rFonts w:ascii="Times New Roman" w:hAnsi="Times New Roman" w:cs="Times New Roman" w:eastAsia="Times New Roman" w:hint="default"/>
          <w:spacing w:val="-5"/>
        </w:rPr>
        <w:t>1993</w:t>
      </w:r>
      <w:r>
        <w:rPr>
          <w:spacing w:val="-5"/>
        </w:rPr>
        <w:t>年至</w:t>
      </w:r>
      <w:r>
        <w:rPr>
          <w:rFonts w:ascii="Times New Roman" w:hAnsi="Times New Roman" w:cs="Times New Roman" w:eastAsia="Times New Roman" w:hint="default"/>
          <w:spacing w:val="-5"/>
        </w:rPr>
        <w:t>1997</w:t>
      </w:r>
      <w:r>
        <w:rPr>
          <w:spacing w:val="-5"/>
        </w:rPr>
        <w:t>年，任亚太会计集团副总经理、首席会计师兼亚太会计师事务所所长；</w:t>
      </w:r>
      <w:r>
        <w:rPr>
          <w:rFonts w:ascii="Times New Roman" w:hAnsi="Times New Roman" w:cs="Times New Roman" w:eastAsia="Times New Roman" w:hint="default"/>
          <w:spacing w:val="-5"/>
        </w:rPr>
        <w:t>1997</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年至</w:t>
      </w:r>
      <w:r>
        <w:rPr>
          <w:rFonts w:ascii="Times New Roman" w:hAnsi="Times New Roman" w:cs="Times New Roman" w:eastAsia="Times New Roman" w:hint="default"/>
        </w:rPr>
        <w:t>2002</w:t>
      </w:r>
      <w:r>
        <w:rPr/>
        <w:t>年，任河南莲花味精集团公司高级顾问、河南莲花味精股份有限公司董事、董事会秘书；</w:t>
      </w:r>
      <w:r>
        <w:rPr>
          <w:rFonts w:ascii="Times New Roman" w:hAnsi="Times New Roman" w:cs="Times New Roman" w:eastAsia="Times New Roman" w:hint="default"/>
        </w:rPr>
        <w:t>1990</w:t>
      </w:r>
      <w:r>
        <w:rPr/>
        <w:t>年 至</w:t>
      </w:r>
      <w:r>
        <w:rPr>
          <w:rFonts w:ascii="Times New Roman" w:hAnsi="Times New Roman" w:cs="Times New Roman" w:eastAsia="Times New Roman" w:hint="default"/>
        </w:rPr>
        <w:t>2006</w:t>
      </w:r>
      <w:r>
        <w:rPr/>
        <w:t>年，任河南省会计学会副秘书长；</w:t>
      </w:r>
      <w:r>
        <w:rPr>
          <w:rFonts w:ascii="Times New Roman" w:hAnsi="Times New Roman" w:cs="Times New Roman" w:eastAsia="Times New Roman" w:hint="default"/>
        </w:rPr>
        <w:t>2002</w:t>
      </w:r>
      <w:r>
        <w:rPr/>
        <w:t>至</w:t>
      </w:r>
      <w:r>
        <w:rPr>
          <w:rFonts w:ascii="Times New Roman" w:hAnsi="Times New Roman" w:cs="Times New Roman" w:eastAsia="Times New Roman" w:hint="default"/>
        </w:rPr>
        <w:t>2005</w:t>
      </w:r>
      <w:r>
        <w:rPr/>
        <w:t>年，任加拿大爱德生物（中国）有限公司财务总监； </w:t>
      </w:r>
      <w:r>
        <w:rPr>
          <w:rFonts w:ascii="Times New Roman" w:hAnsi="Times New Roman" w:cs="Times New Roman" w:eastAsia="Times New Roman" w:hint="default"/>
          <w:spacing w:val="-1"/>
        </w:rPr>
        <w:t>2006</w:t>
      </w:r>
      <w:r>
        <w:rPr>
          <w:spacing w:val="-1"/>
        </w:rPr>
        <w:t>年至</w:t>
      </w:r>
      <w:r>
        <w:rPr>
          <w:rFonts w:ascii="Times New Roman" w:hAnsi="Times New Roman" w:cs="Times New Roman" w:eastAsia="Times New Roman" w:hint="default"/>
          <w:spacing w:val="-1"/>
        </w:rPr>
        <w:t>2008</w:t>
      </w:r>
      <w:r>
        <w:rPr>
          <w:spacing w:val="-1"/>
        </w:rPr>
        <w:t>年，任新乡新亚纸业集团股份有限公司副总经理、财务总监；</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月至今任亚太（河南）</w:t>
      </w:r>
      <w:r>
        <w:rPr>
          <w:spacing w:val="-83"/>
        </w:rPr>
        <w:t> </w:t>
      </w:r>
      <w:r>
        <w:rPr>
          <w:spacing w:val="-83"/>
        </w:rPr>
      </w:r>
      <w:r>
        <w:rPr/>
        <w:t>投资咨询公司首席咨询师，现任公司独立董事，目前还担任河南金博士种业股份有限公司的独立董事。祝</w:t>
      </w:r>
      <w:r>
        <w:rPr/>
        <w:t> </w:t>
      </w:r>
      <w:r>
        <w:rPr>
          <w:spacing w:val="-2"/>
        </w:rPr>
        <w:t>田山先生未持有公司股份，与其他持有公司</w:t>
      </w:r>
      <w:r>
        <w:rPr>
          <w:rFonts w:ascii="Times New Roman" w:hAnsi="Times New Roman" w:cs="Times New Roman" w:eastAsia="Times New Roman" w:hint="default"/>
          <w:spacing w:val="-2"/>
        </w:rPr>
        <w:t>5%</w:t>
      </w:r>
      <w:r>
        <w:rPr>
          <w:spacing w:val="-2"/>
        </w:rPr>
        <w:t>以上股份的股东、实际控制人、其他董事、监事、高级管理</w:t>
      </w:r>
      <w:r>
        <w:rPr>
          <w:spacing w:val="-102"/>
        </w:rPr>
        <w:t> </w:t>
      </w:r>
      <w:r>
        <w:rPr>
          <w:spacing w:val="-102"/>
        </w:rPr>
      </w:r>
      <w:r>
        <w:rPr/>
        <w:t>人员不存在关联关系，未受过中国证监会及其他有关部门的处罚和证券交易所惩戒，不存在《深圳证券交</w:t>
      </w:r>
      <w:r>
        <w:rPr/>
        <w:t> 易所创业板上市公司规范运作指引》第</w:t>
      </w:r>
      <w:r>
        <w:rPr>
          <w:rFonts w:ascii="Times New Roman" w:hAnsi="Times New Roman" w:cs="Times New Roman" w:eastAsia="Times New Roman" w:hint="default"/>
        </w:rPr>
        <w:t>3.1.3</w:t>
      </w:r>
      <w:r>
        <w:rPr/>
        <w:t>条所规定的情形。</w:t>
      </w:r>
    </w:p>
    <w:p>
      <w:pPr>
        <w:pStyle w:val="BodyText"/>
        <w:spacing w:line="444" w:lineRule="auto" w:before="30"/>
        <w:ind w:left="489" w:right="95" w:firstLine="84"/>
        <w:jc w:val="left"/>
      </w:pPr>
      <w:r>
        <w:rPr/>
        <w:t>（二）监事会成员 </w:t>
      </w:r>
      <w:r>
        <w:rPr>
          <w:spacing w:val="-2"/>
        </w:rPr>
        <w:t>公司监事会由</w:t>
      </w:r>
      <w:r>
        <w:rPr>
          <w:rFonts w:ascii="Times New Roman" w:hAnsi="Times New Roman" w:cs="Times New Roman" w:eastAsia="Times New Roman" w:hint="default"/>
          <w:spacing w:val="-2"/>
        </w:rPr>
        <w:t>3</w:t>
      </w:r>
      <w:r>
        <w:rPr>
          <w:spacing w:val="-2"/>
        </w:rPr>
        <w:t>人组成，其中职工代表监事</w:t>
      </w:r>
      <w:r>
        <w:rPr>
          <w:rFonts w:ascii="Times New Roman" w:hAnsi="Times New Roman" w:cs="Times New Roman" w:eastAsia="Times New Roman" w:hint="default"/>
          <w:spacing w:val="-2"/>
        </w:rPr>
        <w:t>1</w:t>
      </w:r>
      <w:r>
        <w:rPr>
          <w:spacing w:val="-2"/>
        </w:rPr>
        <w:t>人。公司第二届监事会已于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日任期届满，目前</w:t>
      </w:r>
    </w:p>
    <w:p>
      <w:pPr>
        <w:pStyle w:val="BodyText"/>
        <w:spacing w:line="270" w:lineRule="exact" w:before="0"/>
        <w:ind w:left="153" w:right="0"/>
        <w:jc w:val="both"/>
      </w:pPr>
      <w:r>
        <w:rPr/>
        <w:t>第三届监事会已经选举产生，任期至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日止，成员具体情况如下：</w:t>
      </w:r>
    </w:p>
    <w:p>
      <w:pPr>
        <w:spacing w:line="240" w:lineRule="auto" w:before="8"/>
        <w:rPr>
          <w:rFonts w:ascii="宋体" w:hAnsi="宋体" w:cs="宋体" w:eastAsia="宋体" w:hint="default"/>
          <w:sz w:val="16"/>
          <w:szCs w:val="16"/>
        </w:rPr>
      </w:pPr>
    </w:p>
    <w:p>
      <w:pPr>
        <w:pStyle w:val="BodyText"/>
        <w:spacing w:line="388" w:lineRule="auto" w:before="0"/>
        <w:ind w:left="153" w:right="189" w:firstLine="336"/>
        <w:jc w:val="both"/>
      </w:pPr>
      <w:r>
        <w:rPr>
          <w:spacing w:val="-1"/>
        </w:rPr>
        <w:t>刘恩臣先生，男，</w:t>
      </w:r>
      <w:r>
        <w:rPr>
          <w:rFonts w:ascii="Times New Roman" w:hAnsi="Times New Roman" w:cs="Times New Roman" w:eastAsia="Times New Roman" w:hint="default"/>
          <w:spacing w:val="-1"/>
        </w:rPr>
        <w:t>1963</w:t>
      </w:r>
      <w:r>
        <w:rPr>
          <w:spacing w:val="-1"/>
        </w:rPr>
        <w:t>年</w:t>
      </w:r>
      <w:r>
        <w:rPr>
          <w:rFonts w:ascii="Times New Roman" w:hAnsi="Times New Roman" w:cs="Times New Roman" w:eastAsia="Times New Roman" w:hint="default"/>
          <w:spacing w:val="-1"/>
        </w:rPr>
        <w:t>2</w:t>
      </w:r>
      <w:r>
        <w:rPr>
          <w:spacing w:val="-1"/>
        </w:rPr>
        <w:t>月出生，研究生学历，高级工程师。</w:t>
      </w:r>
      <w:r>
        <w:rPr>
          <w:rFonts w:ascii="Times New Roman" w:hAnsi="Times New Roman" w:cs="Times New Roman" w:eastAsia="Times New Roman" w:hint="default"/>
          <w:spacing w:val="-1"/>
        </w:rPr>
        <w:t>1984</w:t>
      </w:r>
      <w:r>
        <w:rPr>
          <w:spacing w:val="-1"/>
        </w:rPr>
        <w:t>年毕业于四川大学物理系半导体专</w:t>
      </w:r>
      <w:r>
        <w:rPr/>
        <w:t> </w:t>
      </w:r>
      <w:r>
        <w:rPr>
          <w:spacing w:val="-1"/>
        </w:rPr>
        <w:t>业，获学士学位；</w:t>
      </w:r>
      <w:r>
        <w:rPr>
          <w:rFonts w:ascii="Times New Roman" w:hAnsi="Times New Roman" w:cs="Times New Roman" w:eastAsia="Times New Roman" w:hint="default"/>
          <w:spacing w:val="-1"/>
        </w:rPr>
        <w:t>1991</w:t>
      </w:r>
      <w:r>
        <w:rPr>
          <w:spacing w:val="-1"/>
        </w:rPr>
        <w:t>年至</w:t>
      </w:r>
      <w:r>
        <w:rPr>
          <w:rFonts w:ascii="Times New Roman" w:hAnsi="Times New Roman" w:cs="Times New Roman" w:eastAsia="Times New Roman" w:hint="default"/>
          <w:spacing w:val="-1"/>
        </w:rPr>
        <w:t>1992</w:t>
      </w:r>
      <w:r>
        <w:rPr>
          <w:spacing w:val="-1"/>
        </w:rPr>
        <w:t>年，赴美国学习；</w:t>
      </w:r>
      <w:r>
        <w:rPr>
          <w:rFonts w:ascii="Times New Roman" w:hAnsi="Times New Roman" w:cs="Times New Roman" w:eastAsia="Times New Roman" w:hint="default"/>
          <w:spacing w:val="-1"/>
        </w:rPr>
        <w:t>2014</w:t>
      </w:r>
      <w:r>
        <w:rPr>
          <w:spacing w:val="-1"/>
        </w:rPr>
        <w:t>年毕业于郑州大学商学院，获高级管理人员工商管</w:t>
      </w:r>
      <w:r>
        <w:rPr>
          <w:spacing w:val="-85"/>
        </w:rPr>
        <w:t> </w:t>
      </w:r>
      <w:r>
        <w:rPr>
          <w:spacing w:val="-85"/>
        </w:rPr>
      </w:r>
      <w:r>
        <w:rPr>
          <w:spacing w:val="-1"/>
        </w:rPr>
        <w:t>理硕士学位。</w:t>
      </w:r>
      <w:r>
        <w:rPr>
          <w:rFonts w:ascii="Times New Roman" w:hAnsi="Times New Roman" w:cs="Times New Roman" w:eastAsia="Times New Roman" w:hint="default"/>
          <w:spacing w:val="-1"/>
        </w:rPr>
        <w:t>1984</w:t>
      </w:r>
      <w:r>
        <w:rPr>
          <w:spacing w:val="-1"/>
        </w:rPr>
        <w:t>年至</w:t>
      </w:r>
      <w:r>
        <w:rPr>
          <w:rFonts w:ascii="Times New Roman" w:hAnsi="Times New Roman" w:cs="Times New Roman" w:eastAsia="Times New Roman" w:hint="default"/>
          <w:spacing w:val="-1"/>
        </w:rPr>
        <w:t>1991</w:t>
      </w:r>
      <w:r>
        <w:rPr>
          <w:spacing w:val="-1"/>
        </w:rPr>
        <w:t>年，在郑州工学院太阳能研究室工作；</w:t>
      </w:r>
      <w:r>
        <w:rPr>
          <w:rFonts w:ascii="Times New Roman" w:hAnsi="Times New Roman" w:cs="Times New Roman" w:eastAsia="Times New Roman" w:hint="default"/>
          <w:spacing w:val="-1"/>
        </w:rPr>
        <w:t>1992</w:t>
      </w:r>
      <w:r>
        <w:rPr>
          <w:spacing w:val="-1"/>
        </w:rPr>
        <w:t>年至</w:t>
      </w:r>
      <w:r>
        <w:rPr>
          <w:rFonts w:ascii="Times New Roman" w:hAnsi="Times New Roman" w:cs="Times New Roman" w:eastAsia="Times New Roman" w:hint="default"/>
          <w:spacing w:val="-1"/>
        </w:rPr>
        <w:t>1995</w:t>
      </w:r>
      <w:r>
        <w:rPr>
          <w:spacing w:val="-1"/>
        </w:rPr>
        <w:t>年，任郑州工业大学太阳</w:t>
      </w:r>
      <w:r>
        <w:rPr>
          <w:spacing w:val="-83"/>
        </w:rPr>
        <w:t> </w:t>
      </w:r>
      <w:r>
        <w:rPr>
          <w:spacing w:val="-83"/>
        </w:rPr>
      </w:r>
      <w:r>
        <w:rPr/>
        <w:t>能研究室工程师；</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2000</w:t>
      </w:r>
      <w:r>
        <w:rPr/>
        <w:t>年任郑州工学院开普电子技术公司主任工程师；</w:t>
      </w:r>
      <w:r>
        <w:rPr>
          <w:rFonts w:ascii="Times New Roman" w:hAnsi="Times New Roman" w:cs="Times New Roman" w:eastAsia="Times New Roman" w:hint="default"/>
        </w:rPr>
        <w:t>2000</w:t>
      </w:r>
      <w:r>
        <w:rPr/>
        <w:t>年至今在公司工作， 现任公司监事会主席，系公司核心技术人员。刘恩臣先生目前持有公司股份</w:t>
      </w:r>
      <w:r>
        <w:rPr>
          <w:rFonts w:ascii="Times New Roman" w:hAnsi="Times New Roman" w:cs="Times New Roman" w:eastAsia="Times New Roman" w:hint="default"/>
        </w:rPr>
        <w:t>532</w:t>
      </w:r>
      <w:r>
        <w:rPr/>
        <w:t>万股，与其他持有公司</w:t>
      </w: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spacing w:val="-1"/>
        </w:rPr>
        <w:t>以上股份的股东、实际控制人、其他董事、监事、高级管理人员不存在关联关系，未受过中国证监会及其</w:t>
      </w:r>
      <w:r>
        <w:rPr>
          <w:spacing w:val="-83"/>
        </w:rPr>
        <w:t> </w:t>
      </w:r>
      <w:r>
        <w:rPr>
          <w:spacing w:val="-83"/>
        </w:rPr>
      </w:r>
      <w:r>
        <w:rPr>
          <w:spacing w:val="-1"/>
        </w:rPr>
        <w:t>他有关部门的处罚和证券交易所惩戒，不存在《深圳证券交易所创业板上市公司规范运作指引》第</w:t>
      </w:r>
      <w:r>
        <w:rPr>
          <w:rFonts w:ascii="Times New Roman" w:hAnsi="Times New Roman" w:cs="Times New Roman" w:eastAsia="Times New Roman" w:hint="default"/>
          <w:spacing w:val="-1"/>
        </w:rPr>
        <w:t>3.1.3</w:t>
      </w:r>
      <w:r>
        <w:rPr>
          <w:spacing w:val="-1"/>
        </w:rPr>
        <w:t>条</w:t>
      </w:r>
      <w:r>
        <w:rPr>
          <w:spacing w:val="-82"/>
        </w:rPr>
        <w:t> </w:t>
      </w:r>
      <w:r>
        <w:rPr/>
        <w:t>所规定的情形。</w:t>
      </w:r>
    </w:p>
    <w:p>
      <w:pPr>
        <w:pStyle w:val="BodyText"/>
        <w:spacing w:line="391" w:lineRule="auto" w:before="101"/>
        <w:ind w:right="208" w:firstLine="419"/>
        <w:jc w:val="both"/>
      </w:pPr>
      <w:r>
        <w:rPr>
          <w:spacing w:val="-1"/>
        </w:rPr>
        <w:t>王葆玲女士，女，</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5</w:t>
      </w:r>
      <w:r>
        <w:rPr>
          <w:spacing w:val="-1"/>
        </w:rPr>
        <w:t>月出生，专科学历。</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7</w:t>
      </w:r>
      <w:r>
        <w:rPr>
          <w:spacing w:val="-1"/>
        </w:rPr>
        <w:t>月毕业于河南财经学院会计专业。</w:t>
      </w:r>
      <w:r>
        <w:rPr>
          <w:rFonts w:ascii="Times New Roman" w:hAnsi="Times New Roman" w:cs="Times New Roman" w:eastAsia="Times New Roman" w:hint="default"/>
          <w:spacing w:val="-1"/>
        </w:rPr>
        <w:t>1995</w:t>
      </w:r>
      <w:r>
        <w:rPr>
          <w:spacing w:val="-1"/>
        </w:rPr>
        <w:t>至</w:t>
      </w:r>
      <w:r>
        <w:rPr>
          <w:rFonts w:ascii="Times New Roman" w:hAnsi="Times New Roman" w:cs="Times New Roman" w:eastAsia="Times New Roman" w:hint="default"/>
          <w:spacing w:val="-1"/>
        </w:rPr>
        <w:t>2000</w:t>
      </w:r>
      <w:r>
        <w:rPr>
          <w:rFonts w:ascii="Times New Roman" w:hAnsi="Times New Roman" w:cs="Times New Roman" w:eastAsia="Times New Roman" w:hint="default"/>
        </w:rPr>
        <w:t> </w:t>
      </w:r>
      <w:r>
        <w:rPr>
          <w:spacing w:val="-1"/>
        </w:rPr>
        <w:t>年在郑州工学院开普电子技术公司工作，历任银行出纳、会计、主管会计。</w:t>
      </w:r>
      <w:r>
        <w:rPr>
          <w:rFonts w:ascii="Times New Roman" w:hAnsi="Times New Roman" w:cs="Times New Roman" w:eastAsia="Times New Roman" w:hint="default"/>
          <w:spacing w:val="-1"/>
        </w:rPr>
        <w:t>2000</w:t>
      </w:r>
      <w:r>
        <w:rPr>
          <w:spacing w:val="-1"/>
        </w:rPr>
        <w:t>年至今在本公司工作，历</w:t>
      </w:r>
      <w:r>
        <w:rPr>
          <w:spacing w:val="-83"/>
        </w:rPr>
        <w:t> </w:t>
      </w:r>
      <w:r>
        <w:rPr>
          <w:spacing w:val="-83"/>
        </w:rPr>
      </w:r>
      <w:r>
        <w:rPr/>
        <w:t>任公司职工代表监事，现任公司监事、审计部经理。王葆玲女士目前持有公司股份</w:t>
      </w:r>
      <w:r>
        <w:rPr>
          <w:rFonts w:ascii="Times New Roman" w:hAnsi="Times New Roman" w:cs="Times New Roman" w:eastAsia="Times New Roman" w:hint="default"/>
        </w:rPr>
        <w:t>15.7</w:t>
      </w:r>
      <w:r>
        <w:rPr/>
        <w:t>万股，与其他持有 </w:t>
      </w:r>
      <w:r>
        <w:rPr>
          <w:spacing w:val="-2"/>
        </w:rPr>
        <w:t>公司</w:t>
      </w:r>
      <w:r>
        <w:rPr>
          <w:rFonts w:ascii="Times New Roman" w:hAnsi="Times New Roman" w:cs="Times New Roman" w:eastAsia="Times New Roman" w:hint="default"/>
          <w:spacing w:val="-2"/>
        </w:rPr>
        <w:t>5%</w:t>
      </w:r>
      <w:r>
        <w:rPr>
          <w:spacing w:val="-2"/>
        </w:rPr>
        <w:t>以上股份的股东、实际控制人、其他董事、监事、高级管理人员不存在关联关系，未受过中国证监</w:t>
      </w:r>
      <w:r>
        <w:rPr/>
        <w:t> </w:t>
      </w:r>
      <w:r>
        <w:rPr>
          <w:spacing w:val="-1"/>
        </w:rPr>
        <w:t>会及其他有关部门的处罚和证券交易所惩戒，不存在《深圳证券交易所创业板上市公司规范运作指引》第</w:t>
      </w:r>
      <w:r>
        <w:rPr>
          <w:spacing w:val="-83"/>
        </w:rPr>
        <w:t> </w:t>
      </w:r>
      <w:r>
        <w:rPr>
          <w:spacing w:val="-83"/>
        </w:rPr>
      </w:r>
      <w:r>
        <w:rPr>
          <w:rFonts w:ascii="Times New Roman" w:hAnsi="Times New Roman" w:cs="Times New Roman" w:eastAsia="Times New Roman" w:hint="default"/>
        </w:rPr>
        <w:t>3.1.3</w:t>
      </w:r>
      <w:r>
        <w:rPr/>
        <w:t>条所规定的情形。</w:t>
      </w:r>
    </w:p>
    <w:p>
      <w:pPr>
        <w:spacing w:after="0" w:line="391" w:lineRule="auto"/>
        <w:jc w:val="both"/>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398" w:lineRule="auto" w:before="35"/>
        <w:ind w:right="208" w:firstLine="335"/>
        <w:jc w:val="both"/>
      </w:pPr>
      <w:r>
        <w:rPr>
          <w:spacing w:val="-3"/>
        </w:rPr>
        <w:t>张建英女士，女，</w:t>
      </w:r>
      <w:r>
        <w:rPr>
          <w:rFonts w:ascii="Times New Roman" w:hAnsi="Times New Roman" w:cs="Times New Roman" w:eastAsia="Times New Roman" w:hint="default"/>
          <w:spacing w:val="-3"/>
        </w:rPr>
        <w:t>1975</w:t>
      </w:r>
      <w:r>
        <w:rPr>
          <w:spacing w:val="-3"/>
        </w:rPr>
        <w:t>年</w:t>
      </w:r>
      <w:r>
        <w:rPr>
          <w:rFonts w:ascii="Times New Roman" w:hAnsi="Times New Roman" w:cs="Times New Roman" w:eastAsia="Times New Roman" w:hint="default"/>
          <w:spacing w:val="-3"/>
        </w:rPr>
        <w:t>4</w:t>
      </w:r>
      <w:r>
        <w:rPr>
          <w:spacing w:val="-3"/>
        </w:rPr>
        <w:t>月出生，本科学历。</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7</w:t>
      </w:r>
      <w:r>
        <w:rPr>
          <w:spacing w:val="-3"/>
        </w:rPr>
        <w:t>月毕业于中央广播电视大学工商管理专业。</w:t>
      </w:r>
      <w:r>
        <w:rPr>
          <w:rFonts w:ascii="Times New Roman" w:hAnsi="Times New Roman" w:cs="Times New Roman" w:eastAsia="Times New Roman" w:hint="default"/>
          <w:spacing w:val="-3"/>
        </w:rPr>
        <w:t>2000</w:t>
      </w:r>
      <w:r>
        <w:rPr>
          <w:rFonts w:ascii="Times New Roman" w:hAnsi="Times New Roman" w:cs="Times New Roman" w:eastAsia="Times New Roman" w:hint="default"/>
        </w:rPr>
        <w:t> </w:t>
      </w:r>
      <w:r>
        <w:rPr>
          <w:spacing w:val="-1"/>
        </w:rPr>
        <w:t>年至今在公司工作，历任生产人员、采购员、采购主管，现任公司职工代表监事、生产制造部经理。张建</w:t>
      </w:r>
      <w:r>
        <w:rPr>
          <w:spacing w:val="-83"/>
        </w:rPr>
        <w:t> </w:t>
      </w:r>
      <w:r>
        <w:rPr>
          <w:spacing w:val="-83"/>
        </w:rPr>
      </w:r>
      <w:r>
        <w:rPr>
          <w:spacing w:val="-2"/>
        </w:rPr>
        <w:t>英女士目前未持有公司股份，与其他持有公司</w:t>
      </w:r>
      <w:r>
        <w:rPr>
          <w:rFonts w:ascii="Times New Roman" w:hAnsi="Times New Roman" w:cs="Times New Roman" w:eastAsia="Times New Roman" w:hint="default"/>
          <w:spacing w:val="-2"/>
        </w:rPr>
        <w:t>5%</w:t>
      </w:r>
      <w:r>
        <w:rPr>
          <w:spacing w:val="-2"/>
        </w:rPr>
        <w:t>以上股份的股东、实际控制人、其他董事、监事、高级管</w:t>
      </w:r>
      <w:r>
        <w:rPr>
          <w:spacing w:val="-102"/>
        </w:rPr>
        <w:t> </w:t>
      </w:r>
      <w:r>
        <w:rPr>
          <w:spacing w:val="-102"/>
        </w:rPr>
      </w:r>
      <w:r>
        <w:rPr>
          <w:spacing w:val="-1"/>
        </w:rPr>
        <w:t>理人员不存在关联关系，未受过中国证监会及其他有关部门的处罚和证券交易所惩戒，不存在《深圳证券</w:t>
      </w:r>
      <w:r>
        <w:rPr>
          <w:spacing w:val="-83"/>
        </w:rPr>
        <w:t> </w:t>
      </w:r>
      <w:r>
        <w:rPr>
          <w:spacing w:val="-83"/>
        </w:rPr>
      </w:r>
      <w:r>
        <w:rPr/>
        <w:t>交易所创业板上市公司规范运作指引》第</w:t>
      </w:r>
      <w:r>
        <w:rPr>
          <w:rFonts w:ascii="Times New Roman" w:hAnsi="Times New Roman" w:cs="Times New Roman" w:eastAsia="Times New Roman" w:hint="default"/>
        </w:rPr>
        <w:t>3.1.3</w:t>
      </w:r>
      <w:r>
        <w:rPr/>
        <w:t>条所规定的情形。</w:t>
      </w:r>
    </w:p>
    <w:p>
      <w:pPr>
        <w:pStyle w:val="BodyText"/>
        <w:spacing w:line="444" w:lineRule="auto" w:before="63"/>
        <w:ind w:left="574" w:right="5525"/>
        <w:jc w:val="left"/>
      </w:pPr>
      <w:r>
        <w:rPr/>
        <w:t>（三）高级管理人员 公司高级管理人员共</w:t>
      </w:r>
      <w:r>
        <w:rPr>
          <w:rFonts w:ascii="Times New Roman" w:hAnsi="Times New Roman" w:cs="Times New Roman" w:eastAsia="Times New Roman" w:hint="default"/>
        </w:rPr>
        <w:t>8</w:t>
      </w:r>
      <w:r>
        <w:rPr/>
        <w:t>人，具体情况如下：</w:t>
      </w:r>
    </w:p>
    <w:p>
      <w:pPr>
        <w:pStyle w:val="BodyText"/>
        <w:spacing w:line="270" w:lineRule="exact" w:before="0"/>
        <w:ind w:left="574" w:right="532"/>
        <w:jc w:val="left"/>
      </w:pPr>
      <w:r>
        <w:rPr/>
        <w:t>杨维国先生：本公司董事长、总经理，简历详见本节之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386" w:lineRule="auto" w:before="177"/>
        <w:ind w:left="574" w:right="275"/>
        <w:jc w:val="left"/>
      </w:pPr>
      <w:r>
        <w:rPr/>
        <w:t>付秋生先生：本公司董事、常务副总经理，简历详见本节之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尚卫国先生：本公司董事、副总经理，简历详见本节之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赵利宾先生：本公司董事、副总经理，简历详见本节之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华梦阳先生，男，</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月出生，大学学历。</w:t>
      </w:r>
      <w:r>
        <w:rPr>
          <w:rFonts w:ascii="Times New Roman" w:hAnsi="Times New Roman" w:cs="Times New Roman" w:eastAsia="Times New Roman" w:hint="default"/>
        </w:rPr>
        <w:t>1992</w:t>
      </w:r>
      <w:r>
        <w:rPr/>
        <w:t>年毕业于郑州工学院计算机与自动化系。</w:t>
      </w:r>
      <w:r>
        <w:rPr>
          <w:rFonts w:ascii="Times New Roman" w:hAnsi="Times New Roman" w:cs="Times New Roman" w:eastAsia="Times New Roman" w:hint="default"/>
        </w:rPr>
        <w:t>1992</w:t>
      </w:r>
      <w:r>
        <w:rPr/>
        <w:t>年</w:t>
      </w:r>
    </w:p>
    <w:p>
      <w:pPr>
        <w:pStyle w:val="BodyText"/>
        <w:spacing w:line="388" w:lineRule="auto" w:before="35"/>
        <w:ind w:right="93"/>
        <w:jc w:val="left"/>
      </w:pPr>
      <w:r>
        <w:rPr/>
        <w:t>至</w:t>
      </w:r>
      <w:r>
        <w:rPr>
          <w:rFonts w:ascii="Times New Roman" w:hAnsi="Times New Roman" w:cs="Times New Roman" w:eastAsia="Times New Roman" w:hint="default"/>
        </w:rPr>
        <w:t>1995</w:t>
      </w:r>
      <w:r>
        <w:rPr/>
        <w:t>年，任河南天地实业有限公司计算机事业部经理；</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2000</w:t>
      </w:r>
      <w:r>
        <w:rPr/>
        <w:t>年，在郑州工学院开普电子技术公 司工作，历任电脑经营部副经理、经理及市场部经理。</w:t>
      </w:r>
      <w:r>
        <w:rPr>
          <w:rFonts w:ascii="Times New Roman" w:hAnsi="Times New Roman" w:cs="Times New Roman" w:eastAsia="Times New Roman" w:hint="default"/>
        </w:rPr>
        <w:t>2000</w:t>
      </w:r>
      <w:r>
        <w:rPr/>
        <w:t>年进入公司工作，现任公司董事会秘书、副总 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月参加深圳证券交易所创业板上市公司第三期董事会秘书培训班并取得董事会秘书资格证 </w:t>
      </w:r>
      <w:r>
        <w:rPr>
          <w:spacing w:val="-2"/>
        </w:rPr>
        <w:t>书。华梦阳先生目前持有公司股份</w:t>
      </w:r>
      <w:r>
        <w:rPr>
          <w:rFonts w:ascii="Times New Roman" w:hAnsi="Times New Roman" w:cs="Times New Roman" w:eastAsia="Times New Roman" w:hint="default"/>
          <w:spacing w:val="-2"/>
        </w:rPr>
        <w:t>576</w:t>
      </w:r>
      <w:r>
        <w:rPr>
          <w:spacing w:val="-2"/>
        </w:rPr>
        <w:t>万股，与其他持有公司</w:t>
      </w:r>
      <w:r>
        <w:rPr>
          <w:rFonts w:ascii="Times New Roman" w:hAnsi="Times New Roman" w:cs="Times New Roman" w:eastAsia="Times New Roman" w:hint="default"/>
          <w:spacing w:val="-2"/>
        </w:rPr>
        <w:t>5%</w:t>
      </w:r>
      <w:r>
        <w:rPr>
          <w:spacing w:val="-2"/>
        </w:rPr>
        <w:t>以上股份的股东、实际控制人、其他董事、</w:t>
      </w:r>
      <w:r>
        <w:rPr/>
        <w:t> 监事、高级管理人员不存在关联关系，未受过中国证监会及其他有关部门的处罚和证券交易所惩戒，任职 资格符合《公司法》及《公司章程》的相关规定，不存在《公司法》第</w:t>
      </w:r>
      <w:r>
        <w:rPr>
          <w:rFonts w:ascii="Times New Roman" w:hAnsi="Times New Roman" w:cs="Times New Roman" w:eastAsia="Times New Roman" w:hint="default"/>
        </w:rPr>
        <w:t>147</w:t>
      </w:r>
      <w:r>
        <w:rPr/>
        <w:t>条、《深圳证券交易所创业板 上市公司规范运作指引》第</w:t>
      </w:r>
      <w:r>
        <w:rPr>
          <w:rFonts w:ascii="Times New Roman" w:hAnsi="Times New Roman" w:cs="Times New Roman" w:eastAsia="Times New Roman" w:hint="default"/>
        </w:rPr>
        <w:t>3.1.3</w:t>
      </w:r>
      <w:r>
        <w:rPr/>
        <w:t>条规定的情形，不存在《深圳证券交易所创业板股票上市规则》第</w:t>
      </w:r>
      <w:r>
        <w:rPr>
          <w:rFonts w:ascii="Times New Roman" w:hAnsi="Times New Roman" w:cs="Times New Roman" w:eastAsia="Times New Roman" w:hint="default"/>
        </w:rPr>
        <w:t>3.2.4</w:t>
      </w:r>
      <w:r>
        <w:rPr/>
        <w:t>条 规定的不得担任董事会秘书的情形。</w:t>
      </w:r>
    </w:p>
    <w:p>
      <w:pPr>
        <w:pStyle w:val="BodyText"/>
        <w:spacing w:line="396" w:lineRule="auto" w:before="63"/>
        <w:ind w:right="194" w:firstLine="420"/>
        <w:jc w:val="left"/>
      </w:pPr>
      <w:r>
        <w:rPr/>
        <w:t>李玉玲女士，女，</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11</w:t>
      </w:r>
      <w:r>
        <w:rPr/>
        <w:t>月出生，本科学历，高级会计师，注册会计师，注册税务师。</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 </w:t>
      </w:r>
      <w:r>
        <w:rPr>
          <w:spacing w:val="-1"/>
        </w:rPr>
        <w:t>毕业于河南财政税务高等专科学校会计专业；</w:t>
      </w:r>
      <w:r>
        <w:rPr>
          <w:rFonts w:ascii="Times New Roman" w:hAnsi="Times New Roman" w:cs="Times New Roman" w:eastAsia="Times New Roman" w:hint="default"/>
          <w:spacing w:val="-1"/>
        </w:rPr>
        <w:t>1998</w:t>
      </w:r>
      <w:r>
        <w:rPr>
          <w:spacing w:val="-1"/>
        </w:rPr>
        <w:t>年毕业于河南财经学院会计专业，获本科学历。曾担任</w:t>
      </w:r>
      <w:r>
        <w:rPr>
          <w:spacing w:val="-85"/>
        </w:rPr>
        <w:t> </w:t>
      </w:r>
      <w:r>
        <w:rPr>
          <w:spacing w:val="-85"/>
        </w:rPr>
      </w:r>
      <w:r>
        <w:rPr>
          <w:spacing w:val="-1"/>
        </w:rPr>
        <w:t>河南诚和会计师事务所审计部经理、所长助理，河南省注册会计师协会专业委员会委员，河南海联科技实</w:t>
      </w:r>
      <w:r>
        <w:rPr>
          <w:spacing w:val="-83"/>
        </w:rPr>
        <w:t> </w:t>
      </w:r>
      <w:r>
        <w:rPr>
          <w:spacing w:val="-83"/>
        </w:rPr>
      </w:r>
      <w:r>
        <w:rPr>
          <w:spacing w:val="-1"/>
        </w:rPr>
        <w:t>业有限公司财务经理、郑州星之旅信息传播服务有限公司财务总监，现任本公司财务总监。李玉玲女士目</w:t>
      </w:r>
      <w:r>
        <w:rPr>
          <w:spacing w:val="-83"/>
        </w:rPr>
        <w:t> </w:t>
      </w:r>
      <w:r>
        <w:rPr>
          <w:spacing w:val="-83"/>
        </w:rPr>
      </w:r>
      <w:r>
        <w:rPr>
          <w:spacing w:val="-2"/>
        </w:rPr>
        <w:t>前未持有公司股份，与其他持有公司</w:t>
      </w:r>
      <w:r>
        <w:rPr>
          <w:rFonts w:ascii="Times New Roman" w:hAnsi="Times New Roman" w:cs="Times New Roman" w:eastAsia="Times New Roman" w:hint="default"/>
          <w:spacing w:val="-2"/>
        </w:rPr>
        <w:t>5%</w:t>
      </w:r>
      <w:r>
        <w:rPr>
          <w:spacing w:val="-2"/>
        </w:rPr>
        <w:t>以上股份的股东、实际控制人、其他董事、监事、高级管理人员不</w:t>
      </w:r>
      <w:r>
        <w:rPr/>
        <w:t> </w:t>
      </w:r>
      <w:r>
        <w:rPr>
          <w:spacing w:val="-1"/>
        </w:rPr>
        <w:t>存在关联关系，未受过中国证监会及其他有关部门的处罚和证券交易所惩戒，任职资格符合《公司法》及</w:t>
      </w:r>
    </w:p>
    <w:p>
      <w:pPr>
        <w:pStyle w:val="BodyText"/>
        <w:spacing w:line="386" w:lineRule="auto" w:before="56"/>
        <w:ind w:left="153" w:right="95"/>
        <w:jc w:val="left"/>
      </w:pPr>
      <w:r>
        <w:rPr>
          <w:spacing w:val="-1"/>
        </w:rPr>
        <w:t>《公司章程》的相关规定，不存在《公司法》第</w:t>
      </w:r>
      <w:r>
        <w:rPr>
          <w:rFonts w:ascii="Times New Roman" w:hAnsi="Times New Roman" w:cs="Times New Roman" w:eastAsia="Times New Roman" w:hint="default"/>
          <w:spacing w:val="-1"/>
        </w:rPr>
        <w:t>147</w:t>
      </w:r>
      <w:r>
        <w:rPr>
          <w:spacing w:val="-1"/>
        </w:rPr>
        <w:t>条、《深圳证券交易所创业板上市公司规范运作指引》</w:t>
      </w:r>
      <w:r>
        <w:rPr>
          <w:spacing w:val="-85"/>
        </w:rPr>
        <w:t> </w:t>
      </w:r>
      <w:r>
        <w:rPr>
          <w:spacing w:val="-85"/>
        </w:rPr>
      </w:r>
      <w:r>
        <w:rPr/>
        <w:t>第</w:t>
      </w:r>
      <w:r>
        <w:rPr>
          <w:rFonts w:ascii="Times New Roman" w:hAnsi="Times New Roman" w:cs="Times New Roman" w:eastAsia="Times New Roman" w:hint="default"/>
        </w:rPr>
        <w:t>3.1.3</w:t>
      </w:r>
      <w:r>
        <w:rPr/>
        <w:t>条规定的情形。</w:t>
      </w:r>
    </w:p>
    <w:p>
      <w:pPr>
        <w:pStyle w:val="BodyText"/>
        <w:spacing w:line="240" w:lineRule="auto" w:before="35"/>
        <w:ind w:left="573" w:right="95"/>
        <w:jc w:val="left"/>
      </w:pPr>
      <w:r>
        <w:rPr/>
        <w:t>傅常顺先生，男，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w:t>
      </w:r>
      <w:r>
        <w:rPr/>
        <w:t>月出生，研究生学历，工程师、计算机信息系统集成高级项目经理、信息</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91" w:lineRule="auto" w:before="35"/>
        <w:ind w:left="153" w:right="136"/>
        <w:jc w:val="left"/>
      </w:pPr>
      <w:r>
        <w:rPr>
          <w:spacing w:val="-5"/>
        </w:rPr>
        <w:t>安全系统高级管理员、网络安全管理工程师。</w:t>
      </w:r>
      <w:r>
        <w:rPr>
          <w:rFonts w:ascii="Times New Roman" w:hAnsi="Times New Roman" w:cs="Times New Roman" w:eastAsia="Times New Roman" w:hint="default"/>
          <w:spacing w:val="-5"/>
        </w:rPr>
        <w:t>1994</w:t>
      </w:r>
      <w:r>
        <w:rPr>
          <w:spacing w:val="-5"/>
        </w:rPr>
        <w:t>年毕业于郑州工学院计算机应用专业，获学士学位；</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1"/>
        </w:rPr>
        <w:t>年于郑州大学计算机应用技术专业研究生班进修结业；</w:t>
      </w:r>
      <w:r>
        <w:rPr>
          <w:rFonts w:ascii="Times New Roman" w:hAnsi="Times New Roman" w:cs="Times New Roman" w:eastAsia="Times New Roman" w:hint="default"/>
          <w:spacing w:val="-1"/>
        </w:rPr>
        <w:t>2014</w:t>
      </w:r>
      <w:r>
        <w:rPr>
          <w:spacing w:val="-1"/>
        </w:rPr>
        <w:t>年毕业于郑州大学商学院，获高级管理人员工</w:t>
      </w:r>
      <w:r>
        <w:rPr>
          <w:spacing w:val="-83"/>
        </w:rPr>
        <w:t> </w:t>
      </w:r>
      <w:r>
        <w:rPr>
          <w:spacing w:val="-83"/>
        </w:rPr>
      </w:r>
      <w:r>
        <w:rPr>
          <w:spacing w:val="-1"/>
        </w:rPr>
        <w:t>商管理硕士学位。</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2000</w:t>
      </w:r>
      <w:r>
        <w:rPr>
          <w:spacing w:val="-1"/>
        </w:rPr>
        <w:t>年在郑州工学院开普电子技术公司工作，历任工程部经理、深圳办事处经</w:t>
      </w:r>
      <w:r>
        <w:rPr>
          <w:spacing w:val="-84"/>
        </w:rPr>
        <w:t> </w:t>
      </w:r>
      <w:r>
        <w:rPr>
          <w:spacing w:val="-84"/>
        </w:rPr>
      </w:r>
      <w:r>
        <w:rPr>
          <w:spacing w:val="-1"/>
        </w:rPr>
        <w:t>理、软件开发部经理；</w:t>
      </w:r>
      <w:r>
        <w:rPr>
          <w:rFonts w:ascii="Times New Roman" w:hAnsi="Times New Roman" w:cs="Times New Roman" w:eastAsia="Times New Roman" w:hint="default"/>
          <w:spacing w:val="-1"/>
        </w:rPr>
        <w:t>2000</w:t>
      </w:r>
      <w:r>
        <w:rPr>
          <w:spacing w:val="-1"/>
        </w:rPr>
        <w:t>年进入公司工作，历任公司技术总监、技术研究中心总经理，现任公司副总经</w:t>
      </w:r>
      <w:r>
        <w:rPr>
          <w:spacing w:val="-84"/>
        </w:rPr>
        <w:t> </w:t>
      </w:r>
      <w:r>
        <w:rPr>
          <w:spacing w:val="-84"/>
        </w:rPr>
      </w:r>
      <w:r>
        <w:rPr>
          <w:spacing w:val="-1"/>
        </w:rPr>
        <w:t>理、质控中心总经理、技术总监，并兼任生产中心总经理，系公司核心技术人员。傅常顺先生目前持有公</w:t>
      </w:r>
      <w:r>
        <w:rPr>
          <w:spacing w:val="-83"/>
        </w:rPr>
        <w:t> </w:t>
      </w:r>
      <w:r>
        <w:rPr>
          <w:spacing w:val="-83"/>
        </w:rPr>
      </w:r>
      <w:r>
        <w:rPr/>
        <w:t>司股份</w:t>
      </w:r>
      <w:r>
        <w:rPr>
          <w:rFonts w:ascii="Times New Roman" w:hAnsi="Times New Roman" w:cs="Times New Roman" w:eastAsia="Times New Roman" w:hint="default"/>
        </w:rPr>
        <w:t>576</w:t>
      </w:r>
      <w:r>
        <w:rPr/>
        <w:t>万股，与其他持有公司</w:t>
      </w:r>
      <w:r>
        <w:rPr>
          <w:rFonts w:ascii="Times New Roman" w:hAnsi="Times New Roman" w:cs="Times New Roman" w:eastAsia="Times New Roman" w:hint="default"/>
        </w:rPr>
        <w:t>5%</w:t>
      </w:r>
      <w:r>
        <w:rPr/>
        <w:t>以上股份的股东、实际控制人、其他董事、监事、高级管理人员不存 </w:t>
      </w:r>
      <w:r>
        <w:rPr>
          <w:spacing w:val="-5"/>
        </w:rPr>
        <w:t>在关联关系，未受过中国证监会及其他有关部门的处罚和证券交易所惩戒，任职资格符合《公司法》及《公</w:t>
      </w:r>
      <w:r>
        <w:rPr/>
        <w:t> 司章程》的相关规定，不存在《公司法》第</w:t>
      </w:r>
      <w:r>
        <w:rPr>
          <w:rFonts w:ascii="Times New Roman" w:hAnsi="Times New Roman" w:cs="Times New Roman" w:eastAsia="Times New Roman" w:hint="default"/>
        </w:rPr>
        <w:t>147</w:t>
      </w:r>
      <w:r>
        <w:rPr/>
        <w:t>条、《深圳证券交易所创业板上市公司规范运作指引》第 </w:t>
      </w:r>
      <w:r>
        <w:rPr>
          <w:rFonts w:ascii="Times New Roman" w:hAnsi="Times New Roman" w:cs="Times New Roman" w:eastAsia="Times New Roman" w:hint="default"/>
        </w:rPr>
        <w:t>3.1.3</w:t>
      </w:r>
      <w:r>
        <w:rPr/>
        <w:t>条规定的情形。</w:t>
      </w:r>
    </w:p>
    <w:p>
      <w:pPr>
        <w:pStyle w:val="BodyText"/>
        <w:spacing w:line="393" w:lineRule="auto" w:before="30"/>
        <w:ind w:left="153" w:right="111" w:firstLine="420"/>
        <w:jc w:val="left"/>
      </w:pPr>
      <w:r>
        <w:rPr>
          <w:spacing w:val="-1"/>
        </w:rPr>
        <w:t>杜建平先生，男，</w:t>
      </w:r>
      <w:r>
        <w:rPr>
          <w:rFonts w:ascii="Times New Roman" w:hAnsi="Times New Roman" w:cs="Times New Roman" w:eastAsia="Times New Roman" w:hint="default"/>
          <w:spacing w:val="-1"/>
        </w:rPr>
        <w:t>1972</w:t>
      </w:r>
      <w:r>
        <w:rPr>
          <w:spacing w:val="-1"/>
        </w:rPr>
        <w:t>年</w:t>
      </w:r>
      <w:r>
        <w:rPr>
          <w:rFonts w:ascii="Times New Roman" w:hAnsi="Times New Roman" w:cs="Times New Roman" w:eastAsia="Times New Roman" w:hint="default"/>
          <w:spacing w:val="-1"/>
        </w:rPr>
        <w:t>10</w:t>
      </w:r>
      <w:r>
        <w:rPr>
          <w:spacing w:val="-1"/>
        </w:rPr>
        <w:t>月生，本科学历，计算机信息系统集成高级项目经理。</w:t>
      </w:r>
      <w:r>
        <w:rPr>
          <w:rFonts w:ascii="Times New Roman" w:hAnsi="Times New Roman" w:cs="Times New Roman" w:eastAsia="Times New Roman" w:hint="default"/>
          <w:spacing w:val="-1"/>
        </w:rPr>
        <w:t>1995</w:t>
      </w:r>
      <w:r>
        <w:rPr>
          <w:spacing w:val="-1"/>
        </w:rPr>
        <w:t>年毕业于郑州</w:t>
      </w:r>
      <w:r>
        <w:rPr/>
        <w:t> </w:t>
      </w:r>
      <w:r>
        <w:rPr>
          <w:spacing w:val="-1"/>
        </w:rPr>
        <w:t>工学院计算机与自动化系，获学士学位。</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2000</w:t>
      </w:r>
      <w:r>
        <w:rPr>
          <w:spacing w:val="-1"/>
        </w:rPr>
        <w:t>年在郑州工学院开普电子技术公司工作；</w:t>
      </w:r>
      <w:r>
        <w:rPr>
          <w:rFonts w:ascii="Times New Roman" w:hAnsi="Times New Roman" w:cs="Times New Roman" w:eastAsia="Times New Roman" w:hint="default"/>
          <w:spacing w:val="-1"/>
        </w:rPr>
        <w:t>2000</w:t>
      </w:r>
      <w:r>
        <w:rPr>
          <w:spacing w:val="-1"/>
        </w:rPr>
        <w:t>年进</w:t>
      </w:r>
      <w:r>
        <w:rPr>
          <w:spacing w:val="-87"/>
        </w:rPr>
        <w:t> </w:t>
      </w:r>
      <w:r>
        <w:rPr>
          <w:spacing w:val="-1"/>
        </w:rPr>
        <w:t>入公司工作，历任公司营销中心副总经理，现任公司副总经理、营销中心总经理，主要负责公司销售管理</w:t>
      </w:r>
      <w:r>
        <w:rPr>
          <w:spacing w:val="-82"/>
        </w:rPr>
        <w:t> </w:t>
      </w:r>
      <w:r>
        <w:rPr>
          <w:spacing w:val="-82"/>
        </w:rPr>
      </w:r>
      <w:r>
        <w:rPr/>
        <w:t>工作，包括销售队伍、客户关系和经销商的管理和维护。杜建平先生目前持有公司股份</w:t>
      </w:r>
      <w:r>
        <w:rPr>
          <w:rFonts w:ascii="Times New Roman" w:hAnsi="Times New Roman" w:cs="Times New Roman" w:eastAsia="Times New Roman" w:hint="default"/>
        </w:rPr>
        <w:t>576</w:t>
      </w:r>
      <w:r>
        <w:rPr/>
        <w:t>万股，与其他 </w:t>
      </w:r>
      <w:r>
        <w:rPr>
          <w:spacing w:val="-2"/>
        </w:rPr>
        <w:t>持有公司</w:t>
      </w:r>
      <w:r>
        <w:rPr>
          <w:rFonts w:ascii="Times New Roman" w:hAnsi="Times New Roman" w:cs="Times New Roman" w:eastAsia="Times New Roman" w:hint="default"/>
          <w:spacing w:val="-2"/>
        </w:rPr>
        <w:t>5%</w:t>
      </w:r>
      <w:r>
        <w:rPr>
          <w:spacing w:val="-2"/>
        </w:rPr>
        <w:t>以上股份的股东、实际控制人、其他董事、监事、高级管理人员不存在关联关系，未受过中国</w:t>
      </w:r>
      <w:r>
        <w:rPr>
          <w:spacing w:val="-102"/>
        </w:rPr>
        <w:t> </w:t>
      </w:r>
      <w:r>
        <w:rPr>
          <w:spacing w:val="-102"/>
        </w:rPr>
      </w:r>
      <w:r>
        <w:rPr/>
        <w:t>证监会及其他有关部门的处罚和证券交易所惩戒，任职资格符合《公司法》及《公司章程》的相关规定， 不存在《公司法》第</w:t>
      </w:r>
      <w:r>
        <w:rPr>
          <w:rFonts w:ascii="Times New Roman" w:hAnsi="Times New Roman" w:cs="Times New Roman" w:eastAsia="Times New Roman" w:hint="default"/>
        </w:rPr>
        <w:t>147</w:t>
      </w:r>
      <w:r>
        <w:rPr/>
        <w:t>条、《深圳证券交易所创业板上市公司规范运作指引》第</w:t>
      </w:r>
      <w:r>
        <w:rPr>
          <w:rFonts w:ascii="Times New Roman" w:hAnsi="Times New Roman" w:cs="Times New Roman" w:eastAsia="Times New Roman" w:hint="default"/>
        </w:rPr>
        <w:t>3.1.3</w:t>
      </w:r>
      <w:r>
        <w:rPr/>
        <w:t>条规定的情形。</w:t>
      </w:r>
    </w:p>
    <w:p>
      <w:pPr>
        <w:pStyle w:val="BodyText"/>
        <w:spacing w:line="240" w:lineRule="auto" w:before="28"/>
        <w:ind w:left="573" w:right="0"/>
        <w:jc w:val="left"/>
      </w:pPr>
      <w:r>
        <w:rPr/>
        <w:t>（四）换届卸任的董事及监事</w:t>
      </w:r>
    </w:p>
    <w:p>
      <w:pPr>
        <w:spacing w:line="240" w:lineRule="auto" w:before="10"/>
        <w:rPr>
          <w:rFonts w:ascii="宋体" w:hAnsi="宋体" w:cs="宋体" w:eastAsia="宋体" w:hint="default"/>
          <w:sz w:val="14"/>
          <w:szCs w:val="14"/>
        </w:rPr>
      </w:pPr>
    </w:p>
    <w:p>
      <w:pPr>
        <w:pStyle w:val="BodyText"/>
        <w:spacing w:line="386" w:lineRule="auto" w:before="0"/>
        <w:ind w:left="153" w:right="216"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日，公司召开了</w:t>
      </w:r>
      <w:r>
        <w:rPr>
          <w:rFonts w:ascii="Times New Roman" w:hAnsi="Times New Roman" w:cs="Times New Roman" w:eastAsia="Times New Roman" w:hint="default"/>
        </w:rPr>
        <w:t>2014</w:t>
      </w:r>
      <w:r>
        <w:rPr/>
        <w:t>年第一次临时股东大会选举产生了第三届董事会及监事会成员，第 二届董事会成员高建明先生不再担任公司董事，第二届监事会成员张国庆先生不再担任公司监事。</w:t>
      </w:r>
    </w:p>
    <w:p>
      <w:pPr>
        <w:pStyle w:val="BodyText"/>
        <w:spacing w:line="396" w:lineRule="auto" w:before="65"/>
        <w:ind w:left="153" w:right="150" w:firstLine="420"/>
        <w:jc w:val="both"/>
      </w:pPr>
      <w:r>
        <w:rPr>
          <w:spacing w:val="-1"/>
        </w:rPr>
        <w:t>高建明先生，男，</w:t>
      </w:r>
      <w:r>
        <w:rPr>
          <w:rFonts w:ascii="Times New Roman" w:hAnsi="Times New Roman" w:cs="Times New Roman" w:eastAsia="Times New Roman" w:hint="default"/>
          <w:spacing w:val="-1"/>
        </w:rPr>
        <w:t>1966</w:t>
      </w:r>
      <w:r>
        <w:rPr>
          <w:spacing w:val="-1"/>
        </w:rPr>
        <w:t>年</w:t>
      </w:r>
      <w:r>
        <w:rPr>
          <w:rFonts w:ascii="Times New Roman" w:hAnsi="Times New Roman" w:cs="Times New Roman" w:eastAsia="Times New Roman" w:hint="default"/>
          <w:spacing w:val="-1"/>
        </w:rPr>
        <w:t>10</w:t>
      </w:r>
      <w:r>
        <w:rPr>
          <w:spacing w:val="-1"/>
        </w:rPr>
        <w:t>月出生，经济学博士。曾担任上海财经大学讲师、湖北证券有限责任公司</w:t>
      </w:r>
      <w:r>
        <w:rPr/>
        <w:t> </w:t>
      </w:r>
      <w:r>
        <w:rPr>
          <w:spacing w:val="-1"/>
        </w:rPr>
        <w:t>投资银行上海分部经理、闽发证券有限公司投资银行总部总经理等职务，现任上海弘信股权投资基金管理</w:t>
      </w:r>
      <w:r>
        <w:rPr>
          <w:spacing w:val="-81"/>
        </w:rPr>
        <w:t> </w:t>
      </w:r>
      <w:r>
        <w:rPr>
          <w:spacing w:val="-81"/>
        </w:rPr>
      </w:r>
      <w:r>
        <w:rPr>
          <w:spacing w:val="-1"/>
        </w:rPr>
        <w:t>有限公司执行董事、上海润景投资管理有限公司执行董事、无锡国联卓成创业投资有限公司董事长、北京</w:t>
      </w:r>
      <w:r>
        <w:rPr>
          <w:spacing w:val="-83"/>
        </w:rPr>
        <w:t> </w:t>
      </w:r>
      <w:r>
        <w:rPr>
          <w:spacing w:val="-83"/>
        </w:rPr>
      </w:r>
      <w:r>
        <w:rPr>
          <w:spacing w:val="-1"/>
        </w:rPr>
        <w:t>名仕优翔国际旅行股份有限公司董事。</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月起担任本公司董事，</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月卸任。高建明先生未持有</w:t>
      </w:r>
      <w:r>
        <w:rPr>
          <w:spacing w:val="-86"/>
        </w:rPr>
        <w:t> </w:t>
      </w:r>
      <w:r>
        <w:rPr>
          <w:spacing w:val="-86"/>
        </w:rPr>
      </w:r>
      <w:r>
        <w:rPr>
          <w:spacing w:val="-2"/>
        </w:rPr>
        <w:t>公司股份，与其他持有公司</w:t>
      </w:r>
      <w:r>
        <w:rPr>
          <w:rFonts w:ascii="Times New Roman" w:hAnsi="Times New Roman" w:cs="Times New Roman" w:eastAsia="Times New Roman" w:hint="default"/>
          <w:spacing w:val="-2"/>
        </w:rPr>
        <w:t>5%</w:t>
      </w:r>
      <w:r>
        <w:rPr>
          <w:spacing w:val="-2"/>
        </w:rPr>
        <w:t>以上股份的股东、实际控制人、其他董事、监事、高级管理人员不存在关联</w:t>
      </w:r>
      <w:r>
        <w:rPr/>
        <w:t> 关系，未受过中国证监会及其他有关部门的处罚和证券交易所惩戒。</w:t>
      </w:r>
    </w:p>
    <w:p>
      <w:pPr>
        <w:pStyle w:val="BodyText"/>
        <w:spacing w:line="403" w:lineRule="auto" w:before="56"/>
        <w:ind w:left="153" w:right="0" w:firstLine="420"/>
        <w:jc w:val="left"/>
      </w:pPr>
      <w:r>
        <w:rPr/>
        <w:t>张国庆先生，男，</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10</w:t>
      </w:r>
      <w:r>
        <w:rPr/>
        <w:t>月出生，本科学历。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月毕业于上海交通大学，获国际金融和热能 </w:t>
      </w:r>
      <w:r>
        <w:rPr>
          <w:spacing w:val="-1"/>
        </w:rPr>
        <w:t>工程及动力机械双学士学位。曾担任上海庆安投资有限公司投资部项目经理、朗登科技有限公司投资总监</w:t>
      </w:r>
      <w:r>
        <w:rPr>
          <w:spacing w:val="-81"/>
        </w:rPr>
        <w:t> </w:t>
      </w:r>
      <w:r>
        <w:rPr>
          <w:spacing w:val="-81"/>
        </w:rPr>
      </w:r>
      <w:r>
        <w:rPr>
          <w:spacing w:val="-1"/>
        </w:rPr>
        <w:t>助理、上海铭源实业集团有限公司总裁助理兼投资规划部总经理、中美风险投资集团有限公司投资银行部</w:t>
      </w:r>
      <w:r>
        <w:rPr>
          <w:spacing w:val="-81"/>
        </w:rPr>
        <w:t> </w:t>
      </w:r>
      <w:r>
        <w:rPr>
          <w:spacing w:val="-81"/>
        </w:rPr>
      </w:r>
      <w:r>
        <w:rPr>
          <w:spacing w:val="-1"/>
        </w:rPr>
        <w:t>总经理等职务。现任上海弘信股权投资基金管理有限公司监事、无锡国联卓成创业投资有限公司监事、广</w:t>
      </w:r>
      <w:r>
        <w:rPr>
          <w:spacing w:val="-83"/>
        </w:rPr>
        <w:t> </w:t>
      </w:r>
      <w:r>
        <w:rPr>
          <w:spacing w:val="-83"/>
        </w:rPr>
      </w:r>
      <w:r>
        <w:rPr>
          <w:spacing w:val="-1"/>
        </w:rPr>
        <w:t>州市昊志机电股份有限公司监事、海南中化联合制药工业股份有限公司监事、北京名仕优翔国际旅行股份</w:t>
      </w:r>
    </w:p>
    <w:p>
      <w:pPr>
        <w:spacing w:after="0" w:line="403"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3" w:lineRule="auto" w:before="35"/>
        <w:ind w:right="288"/>
        <w:jc w:val="both"/>
      </w:pPr>
      <w:r>
        <w:rPr>
          <w:spacing w:val="-1"/>
        </w:rPr>
        <w:t>有限公司监事、洛阳新强联回转支承股份有限公司监事、无锡德贝尔光电材料有限公司董事、江苏先特能</w:t>
      </w:r>
      <w:r>
        <w:rPr>
          <w:spacing w:val="-83"/>
        </w:rPr>
        <w:t> </w:t>
      </w:r>
      <w:r>
        <w:rPr>
          <w:spacing w:val="-83"/>
        </w:rPr>
      </w:r>
      <w:r>
        <w:rPr/>
        <w:t>源装备有限公司董事、浙江仙通橡塑股份有限公司董事。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月起担任本公司监事，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月卸任。 </w:t>
      </w:r>
      <w:r>
        <w:rPr>
          <w:spacing w:val="-2"/>
        </w:rPr>
        <w:t>张国庆先生未持有公司股份，与其他持有公司</w:t>
      </w:r>
      <w:r>
        <w:rPr>
          <w:rFonts w:ascii="Times New Roman" w:hAnsi="Times New Roman" w:cs="Times New Roman" w:eastAsia="Times New Roman" w:hint="default"/>
          <w:spacing w:val="-2"/>
        </w:rPr>
        <w:t>5%</w:t>
      </w:r>
      <w:r>
        <w:rPr>
          <w:spacing w:val="-2"/>
        </w:rPr>
        <w:t>以上股份的股东、实际控制人、其他董事、监事、高级管</w:t>
      </w:r>
      <w:r>
        <w:rPr>
          <w:spacing w:val="-102"/>
        </w:rPr>
        <w:t> </w:t>
      </w:r>
      <w:r>
        <w:rPr>
          <w:spacing w:val="-102"/>
        </w:rPr>
      </w:r>
      <w:r>
        <w:rPr/>
        <w:t>理人员不存在关联关系，未受过中国证监会及其他有关部门的处罚和证券交易所惩戒。</w:t>
      </w:r>
    </w:p>
    <w:p>
      <w:pPr>
        <w:spacing w:before="47"/>
        <w:ind w:left="15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83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2756"/>
        <w:gridCol w:w="1062"/>
        <w:gridCol w:w="1722"/>
        <w:gridCol w:w="1495"/>
        <w:gridCol w:w="1595"/>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北京福瑞堂投资有限公司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黑龙江福瑞堂医药有限公司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郑州福瑞堂制药有限公司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焦作福瑞堂制药有限公司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01" w:type="dxa"/>
            <w:tcBorders>
              <w:top w:val="single" w:sz="4" w:space="0" w:color="000000"/>
              <w:left w:val="single" w:sz="4" w:space="0" w:color="000000"/>
              <w:bottom w:val="nil" w:sz="6" w:space="0" w:color="auto"/>
              <w:right w:val="single" w:sz="4" w:space="0" w:color="000000"/>
            </w:tcBorders>
          </w:tcPr>
          <w:p>
            <w:pPr/>
          </w:p>
        </w:tc>
        <w:tc>
          <w:tcPr>
            <w:tcW w:w="275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w:t>
            </w:r>
          </w:p>
        </w:tc>
        <w:tc>
          <w:tcPr>
            <w:tcW w:w="1722" w:type="dxa"/>
            <w:tcBorders>
              <w:top w:val="single" w:sz="4" w:space="0" w:color="000000"/>
              <w:left w:val="single" w:sz="4" w:space="0" w:color="000000"/>
              <w:bottom w:val="nil" w:sz="6" w:space="0" w:color="auto"/>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郑州轻工业学院</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与通信工程</w:t>
            </w:r>
          </w:p>
        </w:tc>
        <w:tc>
          <w:tcPr>
            <w:tcW w:w="17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1" w:hRule="exact"/>
        </w:trPr>
        <w:tc>
          <w:tcPr>
            <w:tcW w:w="1201" w:type="dxa"/>
            <w:tcBorders>
              <w:top w:val="nil" w:sz="6" w:space="0" w:color="auto"/>
              <w:left w:val="single" w:sz="4" w:space="0" w:color="000000"/>
              <w:bottom w:val="single" w:sz="4" w:space="0" w:color="000000"/>
              <w:right w:val="single" w:sz="4" w:space="0" w:color="000000"/>
            </w:tcBorders>
          </w:tcPr>
          <w:p>
            <w:pPr/>
          </w:p>
        </w:tc>
        <w:tc>
          <w:tcPr>
            <w:tcW w:w="275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学院院长</w:t>
            </w:r>
          </w:p>
        </w:tc>
        <w:tc>
          <w:tcPr>
            <w:tcW w:w="1722" w:type="dxa"/>
            <w:tcBorders>
              <w:top w:val="nil" w:sz="6" w:space="0" w:color="auto"/>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01" w:type="dxa"/>
            <w:tcBorders>
              <w:top w:val="single" w:sz="4" w:space="0" w:color="000000"/>
              <w:left w:val="single" w:sz="4" w:space="0" w:color="000000"/>
              <w:bottom w:val="nil" w:sz="6" w:space="0" w:color="auto"/>
              <w:right w:val="single" w:sz="4" w:space="0" w:color="000000"/>
            </w:tcBorders>
          </w:tcPr>
          <w:p>
            <w:pPr/>
          </w:p>
        </w:tc>
        <w:tc>
          <w:tcPr>
            <w:tcW w:w="275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副院长兼经</w:t>
            </w:r>
          </w:p>
        </w:tc>
        <w:tc>
          <w:tcPr>
            <w:tcW w:w="1722" w:type="dxa"/>
            <w:tcBorders>
              <w:top w:val="single" w:sz="4" w:space="0" w:color="000000"/>
              <w:left w:val="single" w:sz="4" w:space="0" w:color="000000"/>
              <w:bottom w:val="nil" w:sz="6" w:space="0" w:color="auto"/>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河南省社会科学院</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济研究所所</w:t>
            </w:r>
          </w:p>
        </w:tc>
        <w:tc>
          <w:tcPr>
            <w:tcW w:w="1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1" w:hRule="exact"/>
        </w:trPr>
        <w:tc>
          <w:tcPr>
            <w:tcW w:w="1201" w:type="dxa"/>
            <w:tcBorders>
              <w:top w:val="nil" w:sz="6" w:space="0" w:color="auto"/>
              <w:left w:val="single" w:sz="4" w:space="0" w:color="000000"/>
              <w:bottom w:val="single" w:sz="4" w:space="0" w:color="000000"/>
              <w:right w:val="single" w:sz="4" w:space="0" w:color="000000"/>
            </w:tcBorders>
          </w:tcPr>
          <w:p>
            <w:pPr/>
          </w:p>
        </w:tc>
        <w:tc>
          <w:tcPr>
            <w:tcW w:w="275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长</w:t>
            </w:r>
          </w:p>
        </w:tc>
        <w:tc>
          <w:tcPr>
            <w:tcW w:w="1722" w:type="dxa"/>
            <w:tcBorders>
              <w:top w:val="nil" w:sz="6" w:space="0" w:color="auto"/>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郑州大学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教授、博士研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究生导师</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郑州天兴软件工程股份有限公司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亚太（河南）投资咨询公司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首席咨询师</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河南金博士种业股份有限公司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8" w:hRule="exact"/>
        </w:trPr>
        <w:tc>
          <w:tcPr>
            <w:tcW w:w="120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30"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福建新开普信息科技有限公司为公司控股子公司，公司董事、副总经理尚卫国兼任福建新开普董事长；公司董</w:t>
            </w:r>
          </w:p>
        </w:tc>
      </w:tr>
      <w:tr>
        <w:trPr>
          <w:trHeight w:val="352" w:hRule="exact"/>
        </w:trPr>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在其他单位任</w:t>
            </w:r>
          </w:p>
        </w:tc>
        <w:tc>
          <w:tcPr>
            <w:tcW w:w="863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事会秘书、副总经理华梦阳兼任福建新开普总经理；</w:t>
            </w:r>
          </w:p>
        </w:tc>
      </w:tr>
      <w:tr>
        <w:trPr>
          <w:trHeight w:val="352" w:hRule="exact"/>
        </w:trPr>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职情况的说明</w:t>
            </w:r>
          </w:p>
        </w:tc>
        <w:tc>
          <w:tcPr>
            <w:tcW w:w="863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凯里智慧城市通卡管理有限公司为公司参股公司，公司董事、常务副总经理付秋生及董事、副总经理赵利宾兼</w:t>
            </w:r>
          </w:p>
        </w:tc>
      </w:tr>
      <w:tr>
        <w:trPr>
          <w:trHeight w:val="356" w:hRule="exact"/>
        </w:trPr>
        <w:tc>
          <w:tcPr>
            <w:tcW w:w="120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30"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任凯里通卡公司董事。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8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before="44"/>
        <w:ind w:left="0" w:right="158" w:firstLine="0"/>
        <w:jc w:val="right"/>
        <w:rPr>
          <w:rFonts w:ascii="宋体" w:hAnsi="宋体" w:cs="宋体" w:eastAsia="宋体" w:hint="default"/>
          <w:sz w:val="18"/>
          <w:szCs w:val="18"/>
        </w:rPr>
      </w:pPr>
      <w:r>
        <w:rPr/>
        <w:pict>
          <v:shape style="position:absolute;margin-left:56.459999pt;margin-top:-47.648037pt;width:479.1pt;height:248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0"/>
                    <w:gridCol w:w="5308"/>
                  </w:tblGrid>
                  <w:tr>
                    <w:trPr>
                      <w:trHeight w:val="2898"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日，公司第一届董事会第十六次会议审议通过了《关 </w:t>
                        </w:r>
                        <w:r>
                          <w:rPr>
                            <w:rFonts w:ascii="宋体" w:hAnsi="宋体" w:cs="宋体" w:eastAsia="宋体" w:hint="default"/>
                            <w:spacing w:val="-3"/>
                            <w:sz w:val="18"/>
                            <w:szCs w:val="18"/>
                          </w:rPr>
                          <w:t>于〈郑州新开普电子股份有限公司董事、监事薪酬制度〉的议案》、</w:t>
                        </w:r>
                      </w:p>
                      <w:p>
                        <w:pPr>
                          <w:pStyle w:val="TableParagraph"/>
                          <w:spacing w:line="314" w:lineRule="auto" w:before="31"/>
                          <w:ind w:left="22" w:right="20"/>
                          <w:jc w:val="both"/>
                          <w:rPr>
                            <w:rFonts w:ascii="宋体" w:hAnsi="宋体" w:cs="宋体" w:eastAsia="宋体" w:hint="default"/>
                            <w:sz w:val="18"/>
                            <w:szCs w:val="18"/>
                          </w:rPr>
                        </w:pPr>
                        <w:r>
                          <w:rPr>
                            <w:rFonts w:ascii="宋体" w:hAnsi="宋体" w:cs="宋体" w:eastAsia="宋体" w:hint="default"/>
                            <w:sz w:val="18"/>
                            <w:szCs w:val="18"/>
                          </w:rPr>
                          <w:t>《关于〈郑州新开普电子股份有限公司高级管理人员薪酬制度〉的 </w:t>
                        </w:r>
                        <w:r>
                          <w:rPr>
                            <w:rFonts w:ascii="宋体" w:hAnsi="宋体" w:cs="宋体" w:eastAsia="宋体" w:hint="default"/>
                            <w:spacing w:val="-8"/>
                            <w:sz w:val="18"/>
                            <w:szCs w:val="18"/>
                          </w:rPr>
                          <w:t>议案》。《关于〈郑州新开普电子股份有限公司董事、监事薪酬制度</w:t>
                        </w:r>
                        <w:r>
                          <w:rPr>
                            <w:rFonts w:ascii="宋体" w:hAnsi="宋体" w:cs="宋体" w:eastAsia="宋体" w:hint="default"/>
                            <w:sz w:val="18"/>
                            <w:szCs w:val="18"/>
                          </w:rPr>
                          <w:t> </w:t>
                        </w:r>
                        <w:r>
                          <w:rPr>
                            <w:rFonts w:ascii="宋体" w:hAnsi="宋体" w:cs="宋体" w:eastAsia="宋体" w:hint="default"/>
                            <w:spacing w:val="-5"/>
                            <w:sz w:val="18"/>
                            <w:szCs w:val="18"/>
                          </w:rPr>
                          <w:t>的议案》经公司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年年度股东大会审议通过。董事报酬经董事会 薪酬与考核委员会审核、董事会审议通过后提交股东大会审议，监 事报酬经监事会审议通过后提交股东大会审议，高级管理人员报酬 经董事会薪酬与考核委员会审核、董事会审议通过后提交股东大会 审议。</w:t>
                        </w:r>
                      </w:p>
                    </w:tc>
                  </w:tr>
                  <w:tr>
                    <w:trPr>
                      <w:trHeight w:val="1338"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董事、监事和高级管理人员的报酬按照《新开普电子股份有限公司 </w:t>
                        </w:r>
                        <w:r>
                          <w:rPr>
                            <w:rFonts w:ascii="宋体" w:hAnsi="宋体" w:cs="宋体" w:eastAsia="宋体" w:hint="default"/>
                            <w:spacing w:val="-12"/>
                            <w:sz w:val="18"/>
                            <w:szCs w:val="18"/>
                          </w:rPr>
                          <w:t>章程》、《新开普电子股份有限公司董事、监事薪酬制度》、《新开普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电子股份有限公司高级管理人员薪酬制度》等规定，结合其职位、 责任、能力、绩效考核情况、市场薪资行等因素确定并发放。</w:t>
                        </w:r>
                      </w:p>
                    </w:tc>
                  </w:tr>
                  <w:tr>
                    <w:trPr>
                      <w:trHeight w:val="714"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董事、监事和高级管理人员的薪酬均已按照确定的薪酬标准全额支 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4"/>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常务副总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19.11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19.11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4"/>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238.16</w:t>
            </w:r>
          </w:p>
        </w:tc>
      </w:tr>
    </w:tbl>
    <w:p>
      <w:pPr>
        <w:spacing w:before="51"/>
        <w:ind w:left="154" w:right="532"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532"/>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任期届满，不再担任董事职务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任期届满，不再担任监事职务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董事会换届，由公司股东大会选举担任公司董事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监事会换届，由公司职工代表大会选举担任公司职工 代表监事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第三届董事会聘任其为公司副总经理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第三届董事会聘任其为公司副总经理</w:t>
            </w:r>
          </w:p>
        </w:tc>
      </w:tr>
    </w:tbl>
    <w:p>
      <w:pPr>
        <w:spacing w:line="240" w:lineRule="auto" w:before="2"/>
        <w:rPr>
          <w:rFonts w:ascii="宋体" w:hAnsi="宋体" w:cs="宋体" w:eastAsia="宋体" w:hint="default"/>
          <w:b/>
          <w:bCs/>
          <w:sz w:val="18"/>
          <w:szCs w:val="18"/>
        </w:rPr>
      </w:pPr>
    </w:p>
    <w:p>
      <w:pPr>
        <w:pStyle w:val="Heading2"/>
        <w:spacing w:line="240" w:lineRule="auto" w:before="26"/>
        <w:ind w:right="532"/>
        <w:jc w:val="left"/>
        <w:rPr>
          <w:b w:val="0"/>
          <w:bCs w:val="0"/>
        </w:rPr>
      </w:pP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490" w:right="532"/>
        <w:jc w:val="left"/>
      </w:pPr>
      <w:r>
        <w:rPr/>
        <w:t>报告期内，公司核心技术团队及关键技术人员未发生变动。</w:t>
      </w:r>
    </w:p>
    <w:p>
      <w:pPr>
        <w:spacing w:line="240" w:lineRule="auto" w:before="1"/>
        <w:rPr>
          <w:rFonts w:ascii="宋体" w:hAnsi="宋体" w:cs="宋体" w:eastAsia="宋体" w:hint="default"/>
          <w:sz w:val="24"/>
          <w:szCs w:val="24"/>
        </w:rPr>
      </w:pPr>
    </w:p>
    <w:p>
      <w:pPr>
        <w:pStyle w:val="Heading2"/>
        <w:spacing w:line="240" w:lineRule="auto"/>
        <w:ind w:right="532"/>
        <w:jc w:val="left"/>
        <w:rPr>
          <w:b w:val="0"/>
          <w:bCs w:val="0"/>
        </w:rPr>
      </w:pPr>
      <w:r>
        <w:rPr/>
        <w:t>六、公司员工情况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95" w:firstLine="480"/>
        <w:jc w:val="left"/>
      </w:pPr>
      <w:r>
        <w:rPr>
          <w:spacing w:val="-5"/>
        </w:rPr>
        <w:t>截至本报告期末，公司员工总数为</w:t>
      </w:r>
      <w:r>
        <w:rPr>
          <w:rFonts w:ascii="Times New Roman" w:hAnsi="Times New Roman" w:cs="Times New Roman" w:eastAsia="Times New Roman" w:hint="default"/>
          <w:spacing w:val="-5"/>
        </w:rPr>
        <w:t>1077</w:t>
      </w:r>
      <w:r>
        <w:rPr>
          <w:spacing w:val="-5"/>
        </w:rPr>
        <w:t>人（含公司及控股子公司）。公司员工的专业结构、教育程度、</w:t>
      </w:r>
      <w:r>
        <w:rPr/>
        <w:t> 年龄结构划分情况如下表：</w:t>
      </w:r>
    </w:p>
    <w:p>
      <w:pPr>
        <w:pStyle w:val="BodyText"/>
        <w:spacing w:line="240" w:lineRule="auto" w:before="65"/>
        <w:ind w:left="634" w:right="532"/>
        <w:jc w:val="left"/>
      </w:pPr>
      <w:r>
        <w:rPr/>
        <w:t>（一）员工专业结构</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119"/>
        <w:gridCol w:w="2868"/>
        <w:gridCol w:w="2869"/>
      </w:tblGrid>
      <w:tr>
        <w:trPr>
          <w:trHeight w:val="490"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573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91"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92</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8.54%</w:t>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1.30%</w:t>
            </w:r>
          </w:p>
        </w:tc>
      </w:tr>
      <w:tr>
        <w:trPr>
          <w:trHeight w:val="444"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300</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27.86%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19"/>
        <w:gridCol w:w="2868"/>
        <w:gridCol w:w="2869"/>
      </w:tblGrid>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83</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7.71%</w:t>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营销人员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263</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24.42%</w:t>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客服人员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325</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30.18%</w:t>
            </w:r>
          </w:p>
        </w:tc>
      </w:tr>
      <w:tr>
        <w:trPr>
          <w:trHeight w:val="444"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1077</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4"/>
        <w:rPr>
          <w:rFonts w:ascii="宋体" w:hAnsi="宋体" w:cs="宋体" w:eastAsia="宋体" w:hint="default"/>
          <w:sz w:val="5"/>
          <w:szCs w:val="5"/>
        </w:rPr>
      </w:pPr>
    </w:p>
    <w:p>
      <w:pPr>
        <w:pStyle w:val="BodyText"/>
        <w:spacing w:line="240" w:lineRule="auto" w:before="35"/>
        <w:ind w:left="634" w:right="0"/>
        <w:jc w:val="left"/>
      </w:pPr>
      <w:r>
        <w:rPr/>
        <w:t>（二）员工受教育程度</w:t>
      </w:r>
    </w:p>
    <w:p>
      <w:pPr>
        <w:spacing w:line="240" w:lineRule="auto" w:before="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167"/>
        <w:gridCol w:w="2836"/>
        <w:gridCol w:w="2881"/>
      </w:tblGrid>
      <w:tr>
        <w:trPr>
          <w:trHeight w:val="491" w:hRule="exact"/>
        </w:trPr>
        <w:tc>
          <w:tcPr>
            <w:tcW w:w="31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571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91"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受教育程度</w:t>
            </w:r>
            <w:r>
              <w:rPr>
                <w:rFonts w:ascii="宋体" w:hAnsi="宋体" w:cs="宋体" w:eastAsia="宋体" w:hint="default"/>
                <w:sz w:val="18"/>
                <w:szCs w:val="18"/>
              </w:rPr>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4"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硕士及以上学历</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1.86%</w:t>
            </w:r>
          </w:p>
        </w:tc>
      </w:tr>
      <w:tr>
        <w:trPr>
          <w:trHeight w:val="443"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本科学历</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510</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47.35%</w:t>
            </w:r>
          </w:p>
        </w:tc>
      </w:tr>
      <w:tr>
        <w:trPr>
          <w:trHeight w:val="443"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Times New Roman" w:hAnsi="Times New Roman" w:cs="Times New Roman" w:eastAsia="Times New Roman" w:hint="default"/>
                <w:sz w:val="22"/>
                <w:szCs w:val="22"/>
              </w:rPr>
            </w:pPr>
            <w:r>
              <w:rPr>
                <w:rFonts w:ascii="Times New Roman"/>
                <w:sz w:val="22"/>
              </w:rPr>
              <w:t>417</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38.72%</w:t>
            </w:r>
          </w:p>
        </w:tc>
      </w:tr>
      <w:tr>
        <w:trPr>
          <w:trHeight w:val="443"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大专以下学历</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130</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12.07%</w:t>
            </w:r>
          </w:p>
        </w:tc>
      </w:tr>
      <w:tr>
        <w:trPr>
          <w:trHeight w:val="444"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1077</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4"/>
        <w:rPr>
          <w:rFonts w:ascii="宋体" w:hAnsi="宋体" w:cs="宋体" w:eastAsia="宋体" w:hint="default"/>
          <w:sz w:val="5"/>
          <w:szCs w:val="5"/>
        </w:rPr>
      </w:pPr>
    </w:p>
    <w:p>
      <w:pPr>
        <w:pStyle w:val="BodyText"/>
        <w:spacing w:line="240" w:lineRule="auto" w:before="35"/>
        <w:ind w:left="634" w:right="0"/>
        <w:jc w:val="left"/>
      </w:pPr>
      <w:r>
        <w:rPr/>
        <w:t>（三）员工年龄分布</w:t>
      </w:r>
    </w:p>
    <w:p>
      <w:pPr>
        <w:spacing w:line="240" w:lineRule="auto" w:before="7"/>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072"/>
        <w:gridCol w:w="2788"/>
        <w:gridCol w:w="3024"/>
      </w:tblGrid>
      <w:tr>
        <w:trPr>
          <w:trHeight w:val="485" w:hRule="exact"/>
        </w:trPr>
        <w:tc>
          <w:tcPr>
            <w:tcW w:w="30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581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91"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年龄分布</w:t>
            </w:r>
            <w:r>
              <w:rPr>
                <w:rFonts w:ascii="宋体" w:hAnsi="宋体" w:cs="宋体" w:eastAsia="宋体" w:hint="default"/>
                <w:sz w:val="18"/>
                <w:szCs w:val="18"/>
              </w:rPr>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3"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w:t>
            </w:r>
          </w:p>
        </w:tc>
      </w:tr>
      <w:tr>
        <w:trPr>
          <w:trHeight w:val="443"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46</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4.27%</w:t>
            </w:r>
          </w:p>
        </w:tc>
      </w:tr>
      <w:tr>
        <w:trPr>
          <w:trHeight w:val="444"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岁</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343</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31.85%</w:t>
            </w:r>
          </w:p>
        </w:tc>
      </w:tr>
      <w:tr>
        <w:trPr>
          <w:trHeight w:val="443"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675</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62.67%</w:t>
            </w:r>
          </w:p>
        </w:tc>
      </w:tr>
      <w:tr>
        <w:trPr>
          <w:trHeight w:val="443"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1077</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591" w:right="3647"/>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532"/>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11" w:firstLine="336"/>
        <w:jc w:val="both"/>
      </w:pPr>
      <w:r>
        <w:rPr/>
        <w:t>报告期内，公司严格按照《公司法》、《证券法》、《上市公司治理准则》、《深圳证券交易所创业 </w:t>
      </w:r>
      <w:r>
        <w:rPr>
          <w:spacing w:val="-1"/>
        </w:rPr>
        <w:t>板股票上市规则》、《创业板上市公司规范运作指引》、《上市公司章程指引》和其他有关法律法规的要</w:t>
      </w:r>
      <w:r>
        <w:rPr>
          <w:spacing w:val="-84"/>
        </w:rPr>
        <w:t> </w:t>
      </w:r>
      <w:r>
        <w:rPr>
          <w:spacing w:val="-84"/>
        </w:rPr>
      </w:r>
      <w:r>
        <w:rPr>
          <w:spacing w:val="-1"/>
        </w:rPr>
        <w:t>求，不断完善公司法人治理结构，建立健全公司内部管理和控制制度，进一步规范公司运作，提升公司的</w:t>
      </w:r>
      <w:r>
        <w:rPr>
          <w:spacing w:val="-82"/>
        </w:rPr>
        <w:t> </w:t>
      </w:r>
      <w:r>
        <w:rPr>
          <w:spacing w:val="-82"/>
        </w:rPr>
      </w:r>
      <w:r>
        <w:rPr>
          <w:spacing w:val="-1"/>
        </w:rPr>
        <w:t>规范化和透明度，努力做好信息披露工作及投资者关系管理，不断提高公司治理水平。截止报告期末，公</w:t>
      </w:r>
      <w:r>
        <w:rPr>
          <w:spacing w:val="-82"/>
        </w:rPr>
        <w:t> </w:t>
      </w:r>
      <w:r>
        <w:rPr>
          <w:spacing w:val="-82"/>
        </w:rPr>
      </w:r>
      <w:r>
        <w:rPr/>
        <w:t>司治理结构的实际情况符合中国证监会发布的有关上市公司治理的规范性文件的要求。</w:t>
      </w:r>
    </w:p>
    <w:p>
      <w:pPr>
        <w:pStyle w:val="BodyText"/>
        <w:spacing w:line="444" w:lineRule="auto"/>
        <w:ind w:left="489" w:right="90" w:firstLine="84"/>
        <w:jc w:val="left"/>
      </w:pPr>
      <w:r>
        <w:rPr/>
        <w:t>（一）独立性 </w:t>
      </w:r>
      <w:r>
        <w:rPr>
          <w:spacing w:val="-1"/>
        </w:rPr>
        <w:t>公司自成立以来严格按照《公司法》、《证券法》等有关法律、法规和《公司章程》的要求规范运作，</w:t>
      </w:r>
    </w:p>
    <w:p>
      <w:pPr>
        <w:pStyle w:val="BodyText"/>
        <w:spacing w:line="410" w:lineRule="auto" w:before="13"/>
        <w:ind w:left="153" w:right="95"/>
        <w:jc w:val="left"/>
      </w:pPr>
      <w:r>
        <w:rPr>
          <w:spacing w:val="-1"/>
        </w:rPr>
        <w:t>在业务、资产、人员、机构和财务等方面与公司股东相互独立，拥有独立完整的采购、生产、销售、研发</w:t>
      </w:r>
      <w:r>
        <w:rPr>
          <w:spacing w:val="-85"/>
        </w:rPr>
        <w:t> </w:t>
      </w:r>
      <w:r>
        <w:rPr>
          <w:spacing w:val="-85"/>
        </w:rPr>
      </w:r>
      <w:r>
        <w:rPr/>
        <w:t>系统，具备面向市场自主经营的能力。</w:t>
      </w:r>
    </w:p>
    <w:p>
      <w:pPr>
        <w:pStyle w:val="BodyText"/>
        <w:spacing w:line="400" w:lineRule="auto" w:before="82"/>
        <w:ind w:left="153" w:right="102" w:firstLine="420"/>
        <w:jc w:val="left"/>
      </w:pPr>
      <w:r>
        <w:rPr>
          <w:rFonts w:ascii="Times New Roman" w:hAnsi="Times New Roman" w:cs="Times New Roman" w:eastAsia="Times New Roman" w:hint="default"/>
        </w:rPr>
        <w:t>1</w:t>
      </w:r>
      <w:r>
        <w:rPr/>
        <w:t>、公司的人员独立。公司的董事、监事均严格按照《公司法》、《公司章程》的有关规定产生，履 </w:t>
      </w:r>
      <w:r>
        <w:rPr>
          <w:spacing w:val="-3"/>
        </w:rPr>
        <w:t>行了合法程序；公司的总经理、副总经理、董事会秘书、财务总监、核心技术人员等人员专职在公司工作，</w:t>
      </w:r>
      <w:r>
        <w:rPr>
          <w:spacing w:val="-94"/>
        </w:rPr>
        <w:t> </w:t>
      </w:r>
      <w:r>
        <w:rPr>
          <w:spacing w:val="-94"/>
        </w:rPr>
      </w:r>
      <w:r>
        <w:rPr/>
        <w:t>并在公司领取薪酬。公司已建立独立的劳动、人事、社会保障体系及工资管理体系，与员工签订了劳动合</w:t>
      </w:r>
      <w:r>
        <w:rPr/>
        <w:t> 同，并按国家规定办理了社会保险。</w:t>
      </w:r>
    </w:p>
    <w:p>
      <w:pPr>
        <w:pStyle w:val="BodyText"/>
        <w:spacing w:line="398" w:lineRule="auto" w:before="52"/>
        <w:ind w:left="153" w:right="171" w:firstLine="420"/>
        <w:jc w:val="left"/>
      </w:pPr>
      <w:r>
        <w:rPr>
          <w:rFonts w:ascii="Times New Roman" w:hAnsi="Times New Roman" w:cs="Times New Roman" w:eastAsia="Times New Roman" w:hint="default"/>
        </w:rPr>
        <w:t>2</w:t>
      </w:r>
      <w:r>
        <w:rPr/>
        <w:t>、公司的资产独立完整、权属清晰。公司具备与生产经营有关的生产系统、辅助生产系统和配套设 施，合法拥有与生产经营有关的土地、厂房、机器设备以及商标、专利、非专利技术的所有权和使用权， 具有独立的原料采购和产品销售系统，与发起人及其他关联方间资产相互独立，其资产具有完整性。</w:t>
      </w:r>
    </w:p>
    <w:p>
      <w:pPr>
        <w:pStyle w:val="BodyText"/>
        <w:spacing w:line="398" w:lineRule="auto" w:before="54"/>
        <w:ind w:right="95" w:firstLine="420"/>
        <w:jc w:val="left"/>
      </w:pPr>
      <w:r>
        <w:rPr>
          <w:rFonts w:ascii="Times New Roman" w:hAnsi="Times New Roman" w:cs="Times New Roman" w:eastAsia="Times New Roman" w:hint="default"/>
        </w:rPr>
        <w:t>3</w:t>
      </w:r>
      <w:r>
        <w:rPr/>
        <w:t>、公司财务独立。公司有独立的财务部门，建立了独立的会计核算体系和财务管理制度；配备了专 </w:t>
      </w:r>
      <w:r>
        <w:rPr>
          <w:spacing w:val="-1"/>
        </w:rPr>
        <w:t>职的财务会计人员，独立进行会计核算和财务决策。公司开设有独立的银行帐号，公司并依法独立进行纳</w:t>
      </w:r>
      <w:r>
        <w:rPr>
          <w:spacing w:val="-83"/>
        </w:rPr>
        <w:t> </w:t>
      </w:r>
      <w:r>
        <w:rPr>
          <w:spacing w:val="-83"/>
        </w:rPr>
      </w:r>
      <w:r>
        <w:rPr/>
        <w:t>税申报和履行纳税义务。</w:t>
      </w:r>
    </w:p>
    <w:p>
      <w:pPr>
        <w:pStyle w:val="BodyText"/>
        <w:spacing w:line="240" w:lineRule="auto" w:before="54"/>
        <w:ind w:left="574" w:right="95"/>
        <w:jc w:val="left"/>
      </w:pPr>
      <w:r>
        <w:rPr>
          <w:rFonts w:ascii="Times New Roman" w:hAnsi="Times New Roman" w:cs="Times New Roman" w:eastAsia="Times New Roman" w:hint="default"/>
          <w:spacing w:val="-6"/>
        </w:rPr>
        <w:t>4</w:t>
      </w:r>
      <w:r>
        <w:rPr>
          <w:spacing w:val="-6"/>
        </w:rPr>
        <w:t>、公司建立健全了独立的股东大会、董事会、监事会、经理的法人治理结构。并严格按照《公司法》、</w:t>
      </w:r>
    </w:p>
    <w:p>
      <w:pPr>
        <w:pStyle w:val="BodyText"/>
        <w:spacing w:line="408" w:lineRule="auto" w:before="177"/>
        <w:ind w:right="95"/>
        <w:jc w:val="left"/>
      </w:pPr>
      <w:r>
        <w:rPr>
          <w:spacing w:val="-1"/>
        </w:rPr>
        <w:t>《公司章程》的规定履行各自的职责；建立了独立的、适应自身发展需要的组织结构，制定了完善的岗位</w:t>
      </w:r>
      <w:r>
        <w:rPr>
          <w:spacing w:val="-82"/>
        </w:rPr>
        <w:t> </w:t>
      </w:r>
      <w:r>
        <w:rPr>
          <w:spacing w:val="-82"/>
        </w:rPr>
      </w:r>
      <w:r>
        <w:rPr/>
        <w:t>职责和管理制度，各部门按照规定的职责独立运作。</w:t>
      </w:r>
    </w:p>
    <w:p>
      <w:pPr>
        <w:pStyle w:val="BodyText"/>
        <w:spacing w:line="398" w:lineRule="auto" w:before="87"/>
        <w:ind w:right="101" w:firstLine="672"/>
        <w:jc w:val="left"/>
      </w:pPr>
      <w:r>
        <w:rPr>
          <w:rFonts w:ascii="Times New Roman" w:hAnsi="Times New Roman" w:cs="Times New Roman" w:eastAsia="Times New Roman" w:hint="default"/>
        </w:rPr>
        <w:t>5</w:t>
      </w:r>
      <w:r>
        <w:rPr/>
        <w:t>、公司业务独立。公司具备独立、完整的产供销系统，拥有独立的决策和执行机构，并拥有独立</w:t>
      </w:r>
      <w:r>
        <w:rPr>
          <w:spacing w:val="1"/>
        </w:rPr>
        <w:t> </w:t>
      </w:r>
      <w:r>
        <w:rPr>
          <w:spacing w:val="-3"/>
        </w:rPr>
        <w:t>的业务系统；独立地对外签署合同，独立采购、生产并销售其生产的产品；具有面向市场的自主经营能力；</w:t>
      </w:r>
      <w:r>
        <w:rPr>
          <w:spacing w:val="-95"/>
        </w:rPr>
        <w:t> </w:t>
      </w:r>
      <w:r>
        <w:rPr>
          <w:spacing w:val="-95"/>
        </w:rPr>
      </w:r>
      <w:r>
        <w:rPr/>
        <w:t>公司股东及其控制的其他企业没有从事与公司相同或相近的业务。</w:t>
      </w:r>
    </w:p>
    <w:p>
      <w:pPr>
        <w:spacing w:after="0" w:line="39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44" w:lineRule="auto" w:before="35"/>
        <w:ind w:left="489" w:right="0" w:firstLine="84"/>
        <w:jc w:val="left"/>
      </w:pPr>
      <w:r>
        <w:rPr/>
        <w:t>（二）股东与股东大会 公司严格按照《创业板上市公司规范运作指引》、《上市公司股东大会规则》、《公司章程》、《公</w:t>
      </w:r>
    </w:p>
    <w:p>
      <w:pPr>
        <w:pStyle w:val="BodyText"/>
        <w:spacing w:line="408" w:lineRule="auto" w:before="13"/>
        <w:ind w:left="153" w:right="150"/>
        <w:jc w:val="both"/>
      </w:pPr>
      <w:r>
        <w:rPr>
          <w:spacing w:val="-1"/>
        </w:rPr>
        <w:t>司股东大会议事规则》等规定的要求，召集、召开股东大会，平等对待所有股东，特别是保证中小股东享</w:t>
      </w:r>
      <w:r>
        <w:rPr>
          <w:spacing w:val="-83"/>
        </w:rPr>
        <w:t> </w:t>
      </w:r>
      <w:r>
        <w:rPr>
          <w:spacing w:val="-83"/>
        </w:rPr>
      </w:r>
      <w:r>
        <w:rPr>
          <w:spacing w:val="-1"/>
        </w:rPr>
        <w:t>有平等地位，并尽可能为股东参加股东大会提供便利，使其充分行使自己的权利。在《公司章程》、《股</w:t>
      </w:r>
      <w:r>
        <w:rPr>
          <w:spacing w:val="-85"/>
        </w:rPr>
        <w:t> </w:t>
      </w:r>
      <w:r>
        <w:rPr>
          <w:spacing w:val="-85"/>
        </w:rPr>
      </w:r>
      <w:r>
        <w:rPr>
          <w:spacing w:val="-1"/>
        </w:rPr>
        <w:t>东大会议事规则》中明确规定了股东大会的召集、召开及表决程序、股东的参会资格和对董事会的授权原</w:t>
      </w:r>
      <w:r>
        <w:rPr>
          <w:spacing w:val="-83"/>
        </w:rPr>
        <w:t> </w:t>
      </w:r>
      <w:r>
        <w:rPr>
          <w:spacing w:val="-83"/>
        </w:rPr>
      </w:r>
      <w:r>
        <w:rPr/>
        <w:t>则等，董事会在报告期内做到认真审议并安排股东大会的审议事项等。</w:t>
      </w:r>
    </w:p>
    <w:p>
      <w:pPr>
        <w:pStyle w:val="BodyText"/>
        <w:spacing w:line="408" w:lineRule="auto" w:before="85"/>
        <w:ind w:left="573" w:right="0"/>
        <w:jc w:val="left"/>
      </w:pPr>
      <w:r>
        <w:rPr/>
        <w:t>（三）公司与控股股东 </w:t>
      </w:r>
      <w:r>
        <w:rPr>
          <w:spacing w:val="-1"/>
        </w:rPr>
        <w:t>公司控股股东严格按照《上市公司治理准则》、《深圳证券交易所创业板股票上市规则》、《公司章</w:t>
      </w:r>
    </w:p>
    <w:p>
      <w:pPr>
        <w:pStyle w:val="BodyText"/>
        <w:spacing w:line="408" w:lineRule="auto"/>
        <w:ind w:left="153" w:right="128"/>
        <w:jc w:val="both"/>
      </w:pPr>
      <w:r>
        <w:rPr>
          <w:spacing w:val="-1"/>
        </w:rPr>
        <w:t>程》规范自己的行为，通过股东大会依法行使出资人的权利，没有采取任何其他方式直接或间接地干预公</w:t>
      </w:r>
      <w:r>
        <w:rPr>
          <w:spacing w:val="-83"/>
        </w:rPr>
        <w:t> </w:t>
      </w:r>
      <w:r>
        <w:rPr>
          <w:spacing w:val="-83"/>
        </w:rPr>
      </w:r>
      <w:r>
        <w:rPr/>
        <w:t>司的决策及依法开展的生产经营活动，没有损害公司及其他股东的利益；公司与控股股东在业务、人员、 </w:t>
      </w:r>
      <w:r>
        <w:rPr>
          <w:spacing w:val="-1"/>
        </w:rPr>
        <w:t>资产、机构和财务方面做到相互独立；公司的重大决策能按照规范的程序由股东大会和董事会作出。控股</w:t>
      </w:r>
      <w:r>
        <w:rPr>
          <w:spacing w:val="-83"/>
        </w:rPr>
        <w:t> </w:t>
      </w:r>
      <w:r>
        <w:rPr>
          <w:spacing w:val="-83"/>
        </w:rPr>
      </w:r>
      <w:r>
        <w:rPr/>
        <w:t>股东与公司之间无关联交易，公司没有为控股股东及其下属企业提供担保。</w:t>
      </w:r>
    </w:p>
    <w:p>
      <w:pPr>
        <w:pStyle w:val="BodyText"/>
        <w:spacing w:line="408" w:lineRule="auto"/>
        <w:ind w:left="573" w:right="0"/>
        <w:jc w:val="left"/>
      </w:pPr>
      <w:r>
        <w:rPr/>
        <w:t>（四）董事与董事会 </w:t>
      </w:r>
      <w:r>
        <w:rPr>
          <w:spacing w:val="-1"/>
        </w:rPr>
        <w:t>公司在《公司章程》、《董事会议事规则》中规定规范、透明的董事选聘程序，并严格执行。公司董</w:t>
      </w:r>
    </w:p>
    <w:p>
      <w:pPr>
        <w:pStyle w:val="BodyText"/>
        <w:spacing w:line="403" w:lineRule="auto"/>
        <w:ind w:left="153" w:right="151"/>
        <w:jc w:val="both"/>
      </w:pPr>
      <w:r>
        <w:rPr>
          <w:spacing w:val="-1"/>
        </w:rPr>
        <w:t>事会设董事</w:t>
      </w:r>
      <w:r>
        <w:rPr>
          <w:rFonts w:ascii="Times New Roman" w:hAnsi="Times New Roman" w:cs="Times New Roman" w:eastAsia="Times New Roman" w:hint="default"/>
          <w:spacing w:val="-1"/>
        </w:rPr>
        <w:t>9</w:t>
      </w:r>
      <w:r>
        <w:rPr>
          <w:spacing w:val="-1"/>
        </w:rPr>
        <w:t>名，其中独立董事</w:t>
      </w:r>
      <w:r>
        <w:rPr>
          <w:rFonts w:ascii="Times New Roman" w:hAnsi="Times New Roman" w:cs="Times New Roman" w:eastAsia="Times New Roman" w:hint="default"/>
          <w:spacing w:val="-1"/>
        </w:rPr>
        <w:t>4</w:t>
      </w:r>
      <w:r>
        <w:rPr>
          <w:spacing w:val="-1"/>
        </w:rPr>
        <w:t>名，董事会的人数及人员构成符合法律、法规和《公司章程》的要求。各</w:t>
      </w:r>
      <w:r>
        <w:rPr>
          <w:spacing w:val="-84"/>
        </w:rPr>
        <w:t> </w:t>
      </w:r>
      <w:r>
        <w:rPr>
          <w:spacing w:val="-84"/>
        </w:rPr>
      </w:r>
      <w:r>
        <w:rPr>
          <w:spacing w:val="-1"/>
        </w:rPr>
        <w:t>位董事能够依据《公司法》、《创业板上市公司规范运作指引》、《公司章程》、《董事会议事规则》等</w:t>
      </w:r>
      <w:r>
        <w:rPr>
          <w:spacing w:val="-86"/>
        </w:rPr>
        <w:t> </w:t>
      </w:r>
      <w:r>
        <w:rPr>
          <w:spacing w:val="-86"/>
        </w:rPr>
      </w:r>
      <w:r>
        <w:rPr>
          <w:spacing w:val="-1"/>
        </w:rPr>
        <w:t>相关法律法规制度开展工作，按时参加会议，勤勉尽责地履行职责和义务，同时积极参加相关培训，熟悉</w:t>
      </w:r>
      <w:r>
        <w:rPr>
          <w:spacing w:val="-82"/>
        </w:rPr>
        <w:t> </w:t>
      </w:r>
      <w:r>
        <w:rPr>
          <w:spacing w:val="-82"/>
        </w:rPr>
      </w:r>
      <w:r>
        <w:rPr>
          <w:spacing w:val="-1"/>
        </w:rPr>
        <w:t>相关法律法规。独立董事能够不受公司主要股东、实际控制人以及其他与公司存在利害关系的单位或个人</w:t>
      </w:r>
      <w:r>
        <w:rPr>
          <w:spacing w:val="-81"/>
        </w:rPr>
        <w:t> </w:t>
      </w:r>
      <w:r>
        <w:rPr>
          <w:spacing w:val="-81"/>
        </w:rPr>
      </w:r>
      <w:r>
        <w:rPr/>
        <w:t>的影响，独立履行职责，对公司的重大事项均能发表独立意见。</w:t>
      </w:r>
    </w:p>
    <w:p>
      <w:pPr>
        <w:pStyle w:val="BodyText"/>
        <w:spacing w:line="408" w:lineRule="auto" w:before="50"/>
        <w:ind w:left="573" w:right="111"/>
        <w:jc w:val="left"/>
      </w:pPr>
      <w:r>
        <w:rPr/>
        <w:t>（五）监事与监事会 公司监事会严格按照《公司法》、《公司章程》和《监事会议事规则》的有关规定，认真履行职责，</w:t>
      </w:r>
    </w:p>
    <w:p>
      <w:pPr>
        <w:pStyle w:val="BodyText"/>
        <w:spacing w:line="400" w:lineRule="auto"/>
        <w:ind w:left="153" w:right="150"/>
        <w:jc w:val="both"/>
      </w:pPr>
      <w:r>
        <w:rPr>
          <w:spacing w:val="-1"/>
        </w:rPr>
        <w:t>对公司财务状况、重大事项以及公司董事、经理和其他高级管理人员履行职责的合法合规性进行监督，维</w:t>
      </w:r>
      <w:r>
        <w:rPr>
          <w:spacing w:val="-83"/>
        </w:rPr>
        <w:t> </w:t>
      </w:r>
      <w:r>
        <w:rPr>
          <w:spacing w:val="-83"/>
        </w:rPr>
      </w:r>
      <w:r>
        <w:rPr>
          <w:spacing w:val="-1"/>
        </w:rPr>
        <w:t>护公司及股东的合法权益。公司监事会设监事</w:t>
      </w:r>
      <w:r>
        <w:rPr>
          <w:rFonts w:ascii="Times New Roman" w:hAnsi="Times New Roman" w:cs="Times New Roman" w:eastAsia="Times New Roman" w:hint="default"/>
          <w:spacing w:val="-1"/>
        </w:rPr>
        <w:t>3</w:t>
      </w:r>
      <w:r>
        <w:rPr>
          <w:spacing w:val="-1"/>
        </w:rPr>
        <w:t>名，其中职工代表监事</w:t>
      </w:r>
      <w:r>
        <w:rPr>
          <w:rFonts w:ascii="Times New Roman" w:hAnsi="Times New Roman" w:cs="Times New Roman" w:eastAsia="Times New Roman" w:hint="default"/>
          <w:spacing w:val="-1"/>
        </w:rPr>
        <w:t>1</w:t>
      </w:r>
      <w:r>
        <w:rPr>
          <w:spacing w:val="-1"/>
        </w:rPr>
        <w:t>名，公司监事会的人数、成员构成</w:t>
      </w:r>
      <w:r>
        <w:rPr>
          <w:spacing w:val="-82"/>
        </w:rPr>
        <w:t> </w:t>
      </w:r>
      <w:r>
        <w:rPr>
          <w:spacing w:val="-82"/>
        </w:rPr>
      </w:r>
      <w:r>
        <w:rPr>
          <w:spacing w:val="-1"/>
        </w:rPr>
        <w:t>及监事的任职资格符合相关法律、法规的要求。监事会能够严格按照《监事会议事规则》的要求召集、召</w:t>
      </w:r>
      <w:r>
        <w:rPr>
          <w:spacing w:val="-83"/>
        </w:rPr>
        <w:t> </w:t>
      </w:r>
      <w:r>
        <w:rPr>
          <w:spacing w:val="-83"/>
        </w:rPr>
      </w:r>
      <w:r>
        <w:rPr/>
        <w:t>开监事会，表决程序符合法律、法规的要求。</w:t>
      </w:r>
    </w:p>
    <w:p>
      <w:pPr>
        <w:pStyle w:val="BodyText"/>
        <w:spacing w:line="408" w:lineRule="auto" w:before="52"/>
        <w:ind w:left="573" w:right="0"/>
        <w:jc w:val="left"/>
      </w:pPr>
      <w:r>
        <w:rPr/>
        <w:t>（六）绩效评价与激励约束机制 </w:t>
      </w:r>
      <w:r>
        <w:rPr>
          <w:spacing w:val="-1"/>
        </w:rPr>
        <w:t>董事会薪酬与考核委员会负责对公司的董事、监事、高级管理人员进行绩效考核，建立并逐步完善公</w:t>
      </w:r>
    </w:p>
    <w:p>
      <w:pPr>
        <w:pStyle w:val="BodyText"/>
        <w:spacing w:line="408" w:lineRule="auto"/>
        <w:ind w:left="153" w:right="151"/>
        <w:jc w:val="both"/>
      </w:pPr>
      <w:r>
        <w:rPr>
          <w:spacing w:val="-1"/>
        </w:rPr>
        <w:t>正、透明的绩效评价标准和激励约束机制。《公司章程》明确规定了高级管理人员的履职行为、权限和职</w:t>
      </w:r>
      <w:r>
        <w:rPr>
          <w:spacing w:val="-83"/>
        </w:rPr>
        <w:t> </w:t>
      </w:r>
      <w:r>
        <w:rPr>
          <w:spacing w:val="-83"/>
        </w:rPr>
      </w:r>
      <w:r>
        <w:rPr>
          <w:spacing w:val="-1"/>
        </w:rPr>
        <w:t>责，高级管理人员的聘任公开、透明，符合有关法律、法规的规定，现有的考核及激励约束机制符合公司</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的发展情况。</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（七）独立董事履职情况 </w:t>
      </w:r>
      <w:r>
        <w:rPr>
          <w:spacing w:val="-1"/>
        </w:rPr>
        <w:t>公司独立董事按照《公司章程》和《独立董事工作制度》等规定，独立、客观、公正地履行职责，出</w:t>
      </w:r>
    </w:p>
    <w:p>
      <w:pPr>
        <w:pStyle w:val="BodyText"/>
        <w:spacing w:line="398" w:lineRule="auto"/>
        <w:ind w:left="153" w:right="151"/>
        <w:jc w:val="both"/>
      </w:pPr>
      <w:r>
        <w:rPr>
          <w:spacing w:val="-1"/>
        </w:rPr>
        <w:t>席和列席了报告期内历次董事会和股东大会，对董事会议案行认真审议，根据相关规定对公司的重大事项</w:t>
      </w:r>
      <w:r>
        <w:rPr>
          <w:spacing w:val="-81"/>
        </w:rPr>
        <w:t> </w:t>
      </w:r>
      <w:r>
        <w:rPr>
          <w:spacing w:val="-81"/>
        </w:rPr>
      </w:r>
      <w:r>
        <w:rPr>
          <w:spacing w:val="-1"/>
        </w:rPr>
        <w:t>发表独立意见。</w:t>
      </w:r>
      <w:r>
        <w:rPr>
          <w:rFonts w:ascii="Times New Roman" w:hAnsi="Times New Roman" w:cs="Times New Roman" w:eastAsia="Times New Roman" w:hint="default"/>
          <w:spacing w:val="-1"/>
        </w:rPr>
        <w:t>2014</w:t>
      </w:r>
      <w:r>
        <w:rPr>
          <w:spacing w:val="-1"/>
        </w:rPr>
        <w:t>年度，独立董事未对董事会审议的各项议案及其他相关事项提出异议。独立董事通过</w:t>
      </w:r>
      <w:r>
        <w:rPr>
          <w:spacing w:val="-84"/>
        </w:rPr>
        <w:t> </w:t>
      </w:r>
      <w:r>
        <w:rPr>
          <w:spacing w:val="-84"/>
        </w:rPr>
      </w:r>
      <w:r>
        <w:rPr/>
        <w:t>实地考察和内外调研，运用其专业知识和经验特长，为公司经营和发展提出合理化意见和建议。</w:t>
      </w:r>
    </w:p>
    <w:p>
      <w:pPr>
        <w:pStyle w:val="BodyText"/>
        <w:spacing w:line="408" w:lineRule="auto" w:before="54"/>
        <w:ind w:left="573" w:right="0"/>
        <w:jc w:val="left"/>
      </w:pPr>
      <w:r>
        <w:rPr/>
        <w:t>（八）相关利益者 </w:t>
      </w:r>
      <w:r>
        <w:rPr>
          <w:spacing w:val="-1"/>
        </w:rPr>
        <w:t>公司能够充分尊重银行及其他债权人、员工、消费者、供应商、经销商等利益相关者的合法权利，与</w:t>
      </w:r>
    </w:p>
    <w:p>
      <w:pPr>
        <w:pStyle w:val="BodyText"/>
        <w:spacing w:line="240" w:lineRule="auto"/>
        <w:ind w:left="153" w:right="0"/>
        <w:jc w:val="both"/>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573" w:right="111"/>
        <w:jc w:val="left"/>
      </w:pPr>
      <w:r>
        <w:rPr/>
        <w:t>（九）关于信息披露与透明度 公司根据《深圳证券交易所创业板股票上市规则》、《上市公司信息披露管理办法》、《公司章程》</w:t>
      </w:r>
    </w:p>
    <w:p>
      <w:pPr>
        <w:pStyle w:val="BodyText"/>
        <w:spacing w:line="398" w:lineRule="auto"/>
        <w:ind w:left="153" w:right="111"/>
        <w:jc w:val="left"/>
      </w:pPr>
      <w:r>
        <w:rPr/>
        <w:t>以及公司《信息披露管理制度》等相关法规制度的规定，认真履行信息披露义务。公司指定《证券时报》 和巨潮资讯网（</w:t>
      </w:r>
      <w:hyperlink r:id="rId43">
        <w:r>
          <w:rPr>
            <w:rFonts w:ascii="Times New Roman" w:hAnsi="Times New Roman" w:cs="Times New Roman" w:eastAsia="Times New Roman" w:hint="default"/>
          </w:rPr>
          <w:t>http://www.cninfo.com.cn</w:t>
        </w:r>
      </w:hyperlink>
      <w:r>
        <w:rPr/>
        <w:t>）为公司信息披露的指定报纸和网站。公司指定董事会秘书负责 </w:t>
      </w:r>
      <w:r>
        <w:rPr>
          <w:spacing w:val="-1"/>
        </w:rPr>
        <w:t>信息披露工作，并负责投资者关系管理，接待投资者的来访和咨询，设立专门机构并配备了相应人员，真</w:t>
      </w:r>
      <w:r>
        <w:rPr>
          <w:spacing w:val="-82"/>
        </w:rPr>
        <w:t> </w:t>
      </w:r>
      <w:r>
        <w:rPr>
          <w:spacing w:val="-82"/>
        </w:rPr>
      </w:r>
      <w:r>
        <w:rPr>
          <w:spacing w:val="-1"/>
        </w:rPr>
        <w:t>实、准确、及时、公平、完整地披露有关信息，确保公司所有股东能够以平等的机会获得信息。</w:t>
      </w:r>
      <w:r>
        <w:rPr>
          <w:rFonts w:ascii="Times New Roman" w:hAnsi="Times New Roman" w:cs="Times New Roman" w:eastAsia="Times New Roman" w:hint="default"/>
          <w:spacing w:val="-1"/>
        </w:rPr>
        <w:t>2014</w:t>
      </w:r>
      <w:r>
        <w:rPr>
          <w:spacing w:val="-1"/>
        </w:rPr>
        <w:t>年度</w:t>
      </w:r>
      <w:r>
        <w:rPr>
          <w:spacing w:val="-86"/>
        </w:rPr>
        <w:t> </w:t>
      </w:r>
      <w:r>
        <w:rPr/>
        <w:t>公司信息披露的内部控制得到了有效执行。</w:t>
      </w:r>
    </w:p>
    <w:p>
      <w:pPr>
        <w:pStyle w:val="BodyText"/>
        <w:spacing w:line="408" w:lineRule="auto" w:before="54"/>
        <w:ind w:left="573" w:right="0"/>
        <w:jc w:val="left"/>
      </w:pPr>
      <w:r>
        <w:rPr/>
        <w:t>（十）投资者关系管理情况 </w:t>
      </w:r>
      <w:r>
        <w:rPr>
          <w:spacing w:val="-1"/>
        </w:rPr>
        <w:t>投资者关系工作是一项长期、持续的重要工作，公司不断学习先进投资者关系管理经验，以更好的方</w:t>
      </w:r>
    </w:p>
    <w:p>
      <w:pPr>
        <w:pStyle w:val="BodyText"/>
        <w:spacing w:line="408" w:lineRule="auto"/>
        <w:ind w:left="153" w:right="128"/>
        <w:jc w:val="both"/>
      </w:pPr>
      <w:r>
        <w:rPr/>
        <w:t>式和途径使广大投资者能够平等地获取公司经营管理、未来发展等信息，构建与投资者的良好互动关系， </w:t>
      </w:r>
      <w:r>
        <w:rPr>
          <w:spacing w:val="-1"/>
        </w:rPr>
        <w:t>树立公司在资本市场的规范形象。报告期内，公司严格执行《投资者关系管理制度》，认真做好投资者关</w:t>
      </w:r>
      <w:r>
        <w:rPr>
          <w:spacing w:val="-83"/>
        </w:rPr>
        <w:t> </w:t>
      </w:r>
      <w:r>
        <w:rPr>
          <w:spacing w:val="-83"/>
        </w:rPr>
      </w:r>
      <w:r>
        <w:rPr/>
        <w:t>系管理工作：</w:t>
      </w:r>
    </w:p>
    <w:p>
      <w:pPr>
        <w:pStyle w:val="BodyText"/>
        <w:spacing w:line="240" w:lineRule="auto"/>
        <w:ind w:left="573" w:right="0"/>
        <w:jc w:val="left"/>
      </w:pPr>
      <w:r>
        <w:rPr>
          <w:rFonts w:ascii="Times New Roman" w:hAnsi="Times New Roman" w:cs="Times New Roman" w:eastAsia="Times New Roman" w:hint="default"/>
        </w:rPr>
        <w:t>1</w:t>
      </w:r>
      <w:r>
        <w:rPr/>
        <w:t>、日常工作</w:t>
      </w:r>
    </w:p>
    <w:p>
      <w:pPr>
        <w:pStyle w:val="BodyText"/>
        <w:spacing w:line="398" w:lineRule="auto" w:before="177"/>
        <w:ind w:left="153" w:right="0" w:firstLine="420"/>
        <w:jc w:val="left"/>
      </w:pPr>
      <w:r>
        <w:rPr/>
        <w:t>（</w:t>
      </w:r>
      <w:r>
        <w:rPr>
          <w:rFonts w:ascii="Times New Roman" w:hAnsi="Times New Roman" w:cs="Times New Roman" w:eastAsia="Times New Roman" w:hint="default"/>
        </w:rPr>
        <w:t>1</w:t>
      </w:r>
      <w:r>
        <w:rPr/>
        <w:t>）指定董事会秘书作为投资者关系管理负责人，安排专人负责投资者来访接待工作，积极做好投 </w:t>
      </w:r>
      <w:r>
        <w:rPr>
          <w:spacing w:val="-1"/>
        </w:rPr>
        <w:t>资者关系管理工作档案的建立和保管，合理、妥善地安排个人投资者、机构投资者、行业分析师等相关人</w:t>
      </w:r>
      <w:r>
        <w:rPr>
          <w:spacing w:val="-82"/>
        </w:rPr>
        <w:t> </w:t>
      </w:r>
      <w:r>
        <w:rPr>
          <w:spacing w:val="-82"/>
        </w:rPr>
      </w:r>
      <w:r>
        <w:rPr/>
        <w:t>员到公司进行调研，并切实做好相关信息的保密工作。</w:t>
      </w:r>
    </w:p>
    <w:p>
      <w:pPr>
        <w:pStyle w:val="BodyText"/>
        <w:spacing w:line="386" w:lineRule="auto" w:before="54"/>
        <w:ind w:left="153" w:right="216" w:firstLine="420"/>
        <w:jc w:val="left"/>
      </w:pPr>
      <w:r>
        <w:rPr/>
        <w:t>（</w:t>
      </w:r>
      <w:r>
        <w:rPr>
          <w:rFonts w:ascii="Times New Roman" w:hAnsi="Times New Roman" w:cs="Times New Roman" w:eastAsia="Times New Roman" w:hint="default"/>
        </w:rPr>
        <w:t>2</w:t>
      </w:r>
      <w:r>
        <w:rPr/>
        <w:t>）通过公司网站、投资者关系管理电话、电子信箱、互动平台等多种渠道与投资者加强沟通，尽 可能解答投资者的疑问。</w:t>
      </w:r>
    </w:p>
    <w:p>
      <w:pPr>
        <w:pStyle w:val="BodyText"/>
        <w:spacing w:line="240" w:lineRule="auto" w:before="65"/>
        <w:ind w:left="573" w:right="0"/>
        <w:jc w:val="left"/>
      </w:pPr>
      <w:r>
        <w:rPr>
          <w:rFonts w:ascii="Times New Roman" w:hAnsi="Times New Roman" w:cs="Times New Roman" w:eastAsia="Times New Roman" w:hint="default"/>
        </w:rPr>
        <w:t>2</w:t>
      </w:r>
      <w:r>
        <w:rPr/>
        <w:t>、互动交流</w:t>
      </w:r>
    </w:p>
    <w:p>
      <w:pPr>
        <w:pStyle w:val="BodyText"/>
        <w:spacing w:line="386" w:lineRule="auto" w:before="177"/>
        <w:ind w:right="0" w:firstLine="419"/>
        <w:jc w:val="left"/>
      </w:pPr>
      <w:r>
        <w:rPr>
          <w:spacing w:val="-1"/>
        </w:rPr>
        <w:t>（</w:t>
      </w:r>
      <w:r>
        <w:rPr>
          <w:rFonts w:ascii="Times New Roman" w:hAnsi="Times New Roman" w:cs="Times New Roman" w:eastAsia="Times New Roman" w:hint="default"/>
          <w:spacing w:val="-1"/>
        </w:rPr>
        <w:t>1</w:t>
      </w:r>
      <w:r>
        <w:rPr>
          <w:spacing w:val="-1"/>
        </w:rPr>
        <w:t>）报告期内，公司召开了</w:t>
      </w:r>
      <w:r>
        <w:rPr>
          <w:rFonts w:ascii="Times New Roman" w:hAnsi="Times New Roman" w:cs="Times New Roman" w:eastAsia="Times New Roman" w:hint="default"/>
          <w:spacing w:val="-1"/>
        </w:rPr>
        <w:t>3</w:t>
      </w:r>
      <w:r>
        <w:rPr>
          <w:spacing w:val="-1"/>
        </w:rPr>
        <w:t>次股东大会，举行了</w:t>
      </w:r>
      <w:r>
        <w:rPr>
          <w:rFonts w:ascii="Times New Roman" w:hAnsi="Times New Roman" w:cs="Times New Roman" w:eastAsia="Times New Roman" w:hint="default"/>
          <w:spacing w:val="-1"/>
        </w:rPr>
        <w:t>2013</w:t>
      </w:r>
      <w:r>
        <w:rPr>
          <w:spacing w:val="-1"/>
        </w:rPr>
        <w:t>年度网上业绩说明会并积极参与了河南上市公</w:t>
      </w:r>
      <w:r>
        <w:rPr/>
        <w:t> </w:t>
      </w:r>
      <w:r>
        <w:rPr>
          <w:spacing w:val="-1"/>
        </w:rPr>
        <w:t>司</w:t>
      </w:r>
      <w:r>
        <w:rPr>
          <w:rFonts w:ascii="Times New Roman" w:hAnsi="Times New Roman" w:cs="Times New Roman" w:eastAsia="Times New Roman" w:hint="default"/>
          <w:spacing w:val="-1"/>
        </w:rPr>
        <w:t>2013</w:t>
      </w:r>
      <w:r>
        <w:rPr>
          <w:spacing w:val="-1"/>
        </w:rPr>
        <w:t>年度业绩说明会。在会上，公司认真听取了投资者的建议和意见，并就公司经营以及未来发展等问</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532"/>
        <w:jc w:val="left"/>
      </w:pPr>
      <w:r>
        <w:rPr/>
        <w:t>题与投资者进行了深入的沟通和交流。</w:t>
      </w:r>
    </w:p>
    <w:p>
      <w:pPr>
        <w:spacing w:line="240" w:lineRule="auto" w:before="10"/>
        <w:rPr>
          <w:rFonts w:ascii="宋体" w:hAnsi="宋体" w:cs="宋体" w:eastAsia="宋体" w:hint="default"/>
          <w:sz w:val="14"/>
          <w:szCs w:val="14"/>
        </w:rPr>
      </w:pPr>
    </w:p>
    <w:p>
      <w:pPr>
        <w:pStyle w:val="BodyText"/>
        <w:spacing w:line="398" w:lineRule="auto" w:before="0"/>
        <w:ind w:right="94" w:firstLine="420"/>
        <w:jc w:val="left"/>
        <w:rPr>
          <w:sz w:val="18"/>
          <w:szCs w:val="18"/>
        </w:rPr>
      </w:pPr>
      <w:r>
        <w:rPr>
          <w:spacing w:val="-4"/>
        </w:rPr>
        <w:t>（</w:t>
      </w:r>
      <w:r>
        <w:rPr>
          <w:rFonts w:ascii="Times New Roman" w:hAnsi="Times New Roman" w:cs="Times New Roman" w:eastAsia="Times New Roman" w:hint="default"/>
          <w:spacing w:val="-4"/>
        </w:rPr>
        <w:t>2</w:t>
      </w:r>
      <w:r>
        <w:rPr>
          <w:spacing w:val="-4"/>
        </w:rPr>
        <w:t>）报告期内，公司通过</w:t>
      </w:r>
      <w:r>
        <w:rPr>
          <w:rFonts w:ascii="Times New Roman" w:hAnsi="Times New Roman" w:cs="Times New Roman" w:eastAsia="Times New Roman" w:hint="default"/>
          <w:spacing w:val="-4"/>
        </w:rPr>
        <w:t>“</w:t>
      </w:r>
      <w:r>
        <w:rPr>
          <w:spacing w:val="-4"/>
        </w:rPr>
        <w:t>投资者关系互动平台</w:t>
      </w:r>
      <w:r>
        <w:rPr>
          <w:rFonts w:ascii="Times New Roman" w:hAnsi="Times New Roman" w:cs="Times New Roman" w:eastAsia="Times New Roman" w:hint="default"/>
          <w:spacing w:val="-4"/>
        </w:rPr>
        <w:t>”</w:t>
      </w:r>
      <w:r>
        <w:rPr>
          <w:spacing w:val="-4"/>
        </w:rPr>
        <w:t>及</w:t>
      </w:r>
      <w:r>
        <w:rPr>
          <w:rFonts w:ascii="Times New Roman" w:hAnsi="Times New Roman" w:cs="Times New Roman" w:eastAsia="Times New Roman" w:hint="default"/>
          <w:spacing w:val="-4"/>
        </w:rPr>
        <w:t>“</w:t>
      </w:r>
      <w:r>
        <w:rPr>
          <w:spacing w:val="-4"/>
        </w:rPr>
        <w:t>深交所互动易</w:t>
      </w:r>
      <w:r>
        <w:rPr>
          <w:rFonts w:ascii="Times New Roman" w:hAnsi="Times New Roman" w:cs="Times New Roman" w:eastAsia="Times New Roman" w:hint="default"/>
          <w:spacing w:val="-4"/>
        </w:rPr>
        <w:t>”</w:t>
      </w:r>
      <w:r>
        <w:rPr>
          <w:spacing w:val="-4"/>
        </w:rPr>
        <w:t>，就投资者关心的问题进行了充分、</w:t>
      </w:r>
      <w:r>
        <w:rPr/>
        <w:t> 深入、详细的分析、说明和答复，建立了投资者与公司之间规范、直接、快速的交流与沟通渠道，提高了 公司规范运作水平，更好的保护了投资者特别是中小投资者的合法权益。 </w:t>
      </w:r>
      <w:r>
        <w:rPr>
          <w:sz w:val="18"/>
          <w:szCs w:val="18"/>
        </w:rPr>
        <w:t>公司治理与《公司法》和中国证监会相关规定的要求是否存在差异</w:t>
      </w:r>
    </w:p>
    <w:p>
      <w:pPr>
        <w:spacing w:line="248" w:lineRule="exact" w:before="0"/>
        <w:ind w:left="153"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532"/>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32"/>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1"/>
              <w:jc w:val="both"/>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page/2014-04-22/63894812.PD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532"/>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1"/>
              <w:jc w:val="both"/>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page/2014-03-12/63663641.PD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0"/>
              <w:jc w:val="left"/>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page/2014-06-26/1200010152.P 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532"/>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第二届董事会第二十三次会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1"/>
              <w:jc w:val="both"/>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page/2014-02-24/63596157.PD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1"/>
              <w:jc w:val="both"/>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page/2014-03-15/63677239.PD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81"/>
              <w:jc w:val="left"/>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page/2014-03-29/63751202.PD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F</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1"/>
              <w:jc w:val="both"/>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page/2014-04-26/63925959.PD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9"/>
              <w:jc w:val="both"/>
              <w:rPr>
                <w:rFonts w:ascii="Times New Roman" w:hAnsi="Times New Roman" w:cs="Times New Roman" w:eastAsia="Times New Roman" w:hint="default"/>
                <w:sz w:val="18"/>
                <w:szCs w:val="18"/>
              </w:rPr>
            </w:pPr>
            <w:hyperlink r:id="rId44">
              <w:r>
                <w:rPr>
                  <w:rFonts w:ascii="Times New Roman"/>
                  <w:spacing w:val="-1"/>
                  <w:sz w:val="18"/>
                </w:rPr>
                <w:t>http://www.cninfo.com.cn/final</w:t>
              </w:r>
            </w:hyperlink>
            <w:r>
              <w:rPr>
                <w:rFonts w:ascii="Times New Roman"/>
                <w:spacing w:val="-35"/>
                <w:sz w:val="18"/>
              </w:rPr>
              <w:t> </w:t>
            </w:r>
            <w:r>
              <w:rPr>
                <w:rFonts w:ascii="Times New Roman"/>
                <w:spacing w:val="-35"/>
                <w:sz w:val="18"/>
              </w:rPr>
            </w:r>
            <w:r>
              <w:rPr>
                <w:rFonts w:ascii="Times New Roman"/>
                <w:sz w:val="18"/>
              </w:rPr>
              <w:t>page/2014-06-10/64118326.PD</w:t>
            </w:r>
            <w:r>
              <w:rPr>
                <w:rFonts w:ascii="Times New Roman"/>
                <w:sz w:val="18"/>
              </w:rPr>
              <w:t>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
              <w:jc w:val="left"/>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page/2014-08-16/1200132254.P 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
              <w:jc w:val="left"/>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page/2014-10-24/1200323362.P 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
              <w:jc w:val="left"/>
              <w:rPr>
                <w:rFonts w:ascii="Times New Roman" w:hAnsi="Times New Roman" w:cs="Times New Roman" w:eastAsia="Times New Roman" w:hint="default"/>
                <w:sz w:val="18"/>
                <w:szCs w:val="18"/>
              </w:rPr>
            </w:pPr>
            <w:hyperlink r:id="rId44">
              <w:r>
                <w:rPr>
                  <w:rFonts w:ascii="Times New Roman"/>
                  <w:sz w:val="18"/>
                </w:rPr>
                <w:t>http://www.cninfo.com.cn/final</w:t>
              </w:r>
            </w:hyperlink>
            <w:r>
              <w:rPr>
                <w:rFonts w:ascii="Times New Roman"/>
                <w:sz w:val="18"/>
              </w:rPr>
              <w:t> page/2014-12-30/1200506846.P 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both"/>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4" w:right="95"/>
        <w:jc w:val="left"/>
      </w:pPr>
      <w:r>
        <w:rPr>
          <w:spacing w:val="-8"/>
        </w:rPr>
        <w:t>公司严格按照《公司法》、《上市公司信息披露管理办法》、《深圳证券交易所创业板股票上市规则》、</w:t>
      </w:r>
    </w:p>
    <w:p>
      <w:pPr>
        <w:spacing w:line="240" w:lineRule="auto" w:before="10"/>
        <w:rPr>
          <w:rFonts w:ascii="宋体" w:hAnsi="宋体" w:cs="宋体" w:eastAsia="宋体" w:hint="default"/>
          <w:sz w:val="14"/>
          <w:szCs w:val="14"/>
        </w:rPr>
      </w:pPr>
    </w:p>
    <w:p>
      <w:pPr>
        <w:pStyle w:val="BodyText"/>
        <w:spacing w:line="408" w:lineRule="auto" w:before="0"/>
        <w:ind w:left="153" w:right="188"/>
        <w:jc w:val="both"/>
      </w:pPr>
      <w:r>
        <w:rPr/>
        <w:t>《深圳证券交易所创业板上市公司规范运作指引》等相关法律法规的规定，健全公司信息披露管理制度， </w:t>
      </w:r>
      <w:r>
        <w:rPr>
          <w:spacing w:val="-1"/>
        </w:rPr>
        <w:t>提高规范运作水平，增强信息披露的真实性、准确性、完整性和及时性。公司结合实际情况，制定了《年</w:t>
      </w:r>
      <w:r>
        <w:rPr>
          <w:spacing w:val="-83"/>
        </w:rPr>
        <w:t> </w:t>
      </w:r>
      <w:r>
        <w:rPr>
          <w:spacing w:val="-83"/>
        </w:rPr>
      </w:r>
      <w:r>
        <w:rPr>
          <w:spacing w:val="-1"/>
        </w:rPr>
        <w:t>报信息披露重大差错责任追究制度》。该制度对年报编制和披露的每一环节都进行规定，明确了参与编制</w:t>
      </w:r>
      <w:r>
        <w:rPr>
          <w:spacing w:val="-83"/>
        </w:rPr>
        <w:t> </w:t>
      </w:r>
      <w:r>
        <w:rPr>
          <w:spacing w:val="-83"/>
        </w:rPr>
      </w:r>
      <w:r>
        <w:rPr>
          <w:spacing w:val="-1"/>
        </w:rPr>
        <w:t>和披露工作人员各自的责任。该制度的建立进一步完善了公司的内部控制，加大了对年报信息披露责任人</w:t>
      </w:r>
      <w:r>
        <w:rPr>
          <w:spacing w:val="-81"/>
        </w:rPr>
        <w:t> </w:t>
      </w:r>
      <w:r>
        <w:rPr>
          <w:spacing w:val="-81"/>
        </w:rPr>
      </w:r>
      <w:r>
        <w:rPr>
          <w:spacing w:val="-1"/>
        </w:rPr>
        <w:t>的问责力度，保障和提高了年报信息披露的质量和透明度。截至本报告期末，公司未发生重大会计差错更</w:t>
      </w:r>
      <w:r>
        <w:rPr>
          <w:spacing w:val="-83"/>
        </w:rPr>
        <w:t> </w:t>
      </w:r>
      <w:r>
        <w:rPr>
          <w:spacing w:val="-83"/>
        </w:rPr>
      </w:r>
      <w:r>
        <w:rPr/>
        <w:t>正、重大遗漏信息补充以及业绩预告修正等情况，不存在董事会对有关责任人采取问责措施的情形。</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五、监事会工作情况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54" w:right="6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2080"/>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刘金进、李洪勇</w:t>
            </w:r>
          </w:p>
        </w:tc>
      </w:tr>
    </w:tbl>
    <w:p>
      <w:pPr>
        <w:spacing w:before="51"/>
        <w:ind w:left="2081" w:right="207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0"/>
        <w:rPr>
          <w:rFonts w:ascii="宋体" w:hAnsi="宋体" w:cs="宋体" w:eastAsia="宋体" w:hint="default"/>
          <w:sz w:val="12"/>
          <w:szCs w:val="12"/>
        </w:rPr>
      </w:pPr>
    </w:p>
    <w:p>
      <w:pPr>
        <w:pStyle w:val="Heading3"/>
        <w:spacing w:line="240" w:lineRule="auto"/>
        <w:ind w:left="2081" w:right="2080"/>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pStyle w:val="BodyText"/>
        <w:spacing w:line="240" w:lineRule="auto" w:before="35"/>
        <w:ind w:left="0" w:right="151"/>
        <w:jc w:val="right"/>
      </w:pPr>
      <w:r>
        <w:rPr>
          <w:spacing w:val="-1"/>
        </w:rPr>
        <w:t>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710025</w:t>
      </w:r>
      <w:r>
        <w:rPr>
          <w:spacing w:val="-1"/>
        </w:rPr>
        <w:t>号</w:t>
      </w:r>
    </w:p>
    <w:p>
      <w:pPr>
        <w:spacing w:line="240" w:lineRule="auto" w:before="11"/>
        <w:rPr>
          <w:rFonts w:ascii="宋体" w:hAnsi="宋体" w:cs="宋体" w:eastAsia="宋体" w:hint="default"/>
          <w:sz w:val="10"/>
          <w:szCs w:val="10"/>
        </w:rPr>
      </w:pPr>
    </w:p>
    <w:p>
      <w:pPr>
        <w:spacing w:line="408" w:lineRule="auto" w:before="35"/>
        <w:ind w:left="714" w:right="0" w:hanging="561"/>
        <w:jc w:val="left"/>
        <w:rPr>
          <w:rFonts w:ascii="宋体" w:hAnsi="宋体" w:cs="宋体" w:eastAsia="宋体" w:hint="default"/>
          <w:sz w:val="21"/>
          <w:szCs w:val="21"/>
        </w:rPr>
      </w:pPr>
      <w:r>
        <w:rPr>
          <w:rFonts w:ascii="宋体" w:hAnsi="宋体" w:cs="宋体" w:eastAsia="宋体" w:hint="default"/>
          <w:b/>
          <w:bCs/>
          <w:sz w:val="21"/>
          <w:szCs w:val="21"/>
        </w:rPr>
        <w:t>新开普电子股份有限公司全体股东：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我们审计了后附的新开普电子股份有限公司（以下简称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贵公司</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）财务报表，包括</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BodyText"/>
        <w:spacing w:line="386" w:lineRule="auto" w:before="14"/>
        <w:ind w:right="0"/>
        <w:jc w:val="left"/>
      </w:pPr>
      <w:r>
        <w:rPr>
          <w:spacing w:val="-1"/>
        </w:rPr>
        <w:t>的合并及公司资产负债表、</w:t>
      </w:r>
      <w:r>
        <w:rPr>
          <w:rFonts w:ascii="Times New Roman" w:hAnsi="Times New Roman" w:cs="Times New Roman" w:eastAsia="Times New Roman" w:hint="default"/>
          <w:spacing w:val="-1"/>
        </w:rPr>
        <w:t>2014</w:t>
      </w:r>
      <w:r>
        <w:rPr>
          <w:spacing w:val="-1"/>
        </w:rPr>
        <w:t>年度的合并及公司利润表、合并及公司现金流量表、合并及公司所有者权</w:t>
      </w:r>
      <w:r>
        <w:rPr>
          <w:spacing w:val="-84"/>
        </w:rPr>
        <w:t> </w:t>
      </w:r>
      <w:r>
        <w:rPr>
          <w:spacing w:val="-84"/>
        </w:rPr>
      </w:r>
      <w:r>
        <w:rPr/>
        <w:t>益变动表以及财务报表附注。</w:t>
      </w:r>
    </w:p>
    <w:p>
      <w:pPr>
        <w:spacing w:line="408" w:lineRule="auto" w:before="65"/>
        <w:ind w:left="714" w:right="0" w:firstLine="159"/>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编制和公允列报财务报表是贵公司管理层的责任。这种责任包括：（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）按照企业会计准则的规定编</w:t>
      </w:r>
    </w:p>
    <w:p>
      <w:pPr>
        <w:pStyle w:val="BodyText"/>
        <w:spacing w:line="386" w:lineRule="auto" w:before="14"/>
        <w:ind w:right="0"/>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34"/>
        </w:rPr>
        <w:t> </w:t>
      </w:r>
      <w:r>
        <w:rPr>
          <w:spacing w:val="-34"/>
        </w:rPr>
      </w:r>
      <w:r>
        <w:rPr/>
        <w:t>舞弊或错误导致的重大错报。</w:t>
      </w:r>
    </w:p>
    <w:p>
      <w:pPr>
        <w:spacing w:line="408" w:lineRule="auto" w:before="65"/>
        <w:ind w:left="714" w:right="0" w:firstLine="159"/>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我们的责任是在执行审计工作的基础上对财务报表发表审计意见。我们按照中国注册会计师审计准</w:t>
      </w:r>
    </w:p>
    <w:p>
      <w:pPr>
        <w:pStyle w:val="BodyText"/>
        <w:spacing w:line="408" w:lineRule="auto"/>
        <w:ind w:right="0"/>
        <w:jc w:val="left"/>
      </w:pPr>
      <w:r>
        <w:rPr>
          <w:spacing w:val="-1"/>
        </w:rPr>
        <w:t>则的规定执行了审计工作。中国注册会计师审计准则要求我们遵守中国注册会计师职业道德守则，计划和</w:t>
      </w:r>
      <w:r>
        <w:rPr>
          <w:spacing w:val="-81"/>
        </w:rPr>
        <w:t> </w:t>
      </w:r>
      <w:r>
        <w:rPr>
          <w:spacing w:val="-81"/>
        </w:rPr>
      </w:r>
      <w:r>
        <w:rPr/>
        <w:t>执行审计工作以对财务报表是否不存在重大错报获取合理保证。</w:t>
      </w:r>
    </w:p>
    <w:p>
      <w:pPr>
        <w:pStyle w:val="BodyText"/>
        <w:spacing w:line="408" w:lineRule="auto"/>
        <w:ind w:right="148" w:firstLine="560"/>
        <w:jc w:val="both"/>
      </w:pPr>
      <w:r>
        <w:rPr/>
        <w:t>审计工作涉及实施审计程序，以获取有关财务报表金额和披露的审计证据。选择的审计程序取决于 </w:t>
      </w:r>
      <w:r>
        <w:rPr>
          <w:spacing w:val="-1"/>
        </w:rPr>
        <w:t>注册会计师的判断，包括对由于舞弊或错误导致的财务报表重大错报风险的评估。在进行风险评估时，注</w:t>
      </w:r>
      <w:r>
        <w:rPr>
          <w:spacing w:val="-83"/>
        </w:rPr>
        <w:t> </w:t>
      </w:r>
      <w:r>
        <w:rPr>
          <w:spacing w:val="-83"/>
        </w:rPr>
      </w:r>
      <w:r>
        <w:rPr>
          <w:spacing w:val="-1"/>
        </w:rPr>
        <w:t>册会计师考虑与财务报表编制和公允列报相关的内部控制，以设计恰当的审计程序。审计工作还包括评价</w:t>
      </w:r>
      <w:r>
        <w:rPr>
          <w:spacing w:val="-81"/>
        </w:rPr>
        <w:t> </w:t>
      </w:r>
      <w:r>
        <w:rPr>
          <w:spacing w:val="-81"/>
        </w:rPr>
      </w:r>
      <w:r>
        <w:rPr/>
        <w:t>管理层选用会计政策的恰当性和作出会计估计的合理性，以及评价财务报表的总体列报。</w:t>
      </w:r>
    </w:p>
    <w:p>
      <w:pPr>
        <w:pStyle w:val="BodyText"/>
        <w:spacing w:line="240" w:lineRule="auto"/>
        <w:ind w:left="714" w:right="0"/>
        <w:jc w:val="left"/>
      </w:pPr>
      <w:r>
        <w:rPr/>
        <w:t>我们相信，我们获取的审计证据是充分、适当的，为发表审计意见提供了基础。</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714" w:right="0" w:firstLine="158"/>
        <w:jc w:val="left"/>
        <w:rPr>
          <w:rFonts w:ascii="Times New Roman" w:hAnsi="Times New Roman" w:cs="Times New Roman" w:eastAsia="Times New Roman" w:hint="default"/>
        </w:rPr>
      </w:pPr>
      <w:r>
        <w:rPr>
          <w:rFonts w:ascii="宋体" w:hAnsi="宋体" w:cs="宋体" w:eastAsia="宋体" w:hint="default"/>
          <w:b/>
          <w:bCs/>
        </w:rPr>
        <w:t>三、审计意见</w:t>
      </w:r>
      <w:r>
        <w:rPr>
          <w:rFonts w:ascii="宋体" w:hAnsi="宋体" w:cs="宋体" w:eastAsia="宋体" w:hint="default"/>
          <w:b/>
          <w:bCs/>
          <w:w w:val="99"/>
        </w:rPr>
        <w:t> </w:t>
      </w:r>
      <w:r>
        <w:rPr/>
        <w:t>我们认为，贵公司财务报表在所有重大方面按照企业会计准则的规定编制，公允反映了贵公司</w:t>
      </w:r>
      <w:r>
        <w:rPr>
          <w:rFonts w:ascii="Times New Roman" w:hAnsi="Times New Roman" w:cs="Times New Roman" w:eastAsia="Times New Roman" w:hint="default"/>
        </w:rPr>
        <w:t>2014</w:t>
      </w:r>
    </w:p>
    <w:p>
      <w:pPr>
        <w:pStyle w:val="BodyText"/>
        <w:spacing w:line="240" w:lineRule="auto" w:before="14"/>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3"/>
        <w:tabs>
          <w:tab w:pos="5415" w:val="left" w:leader="none"/>
        </w:tabs>
        <w:spacing w:line="240" w:lineRule="auto"/>
        <w:ind w:right="0"/>
        <w:jc w:val="left"/>
        <w:rPr>
          <w:b w:val="0"/>
          <w:bCs w:val="0"/>
        </w:rPr>
      </w:pPr>
      <w:r>
        <w:rPr>
          <w:w w:val="95"/>
        </w:rPr>
        <w:t>立信会计师事务所</w:t>
        <w:tab/>
      </w:r>
      <w:r>
        <w:rPr/>
        <w:t>中国注册会计师：</w:t>
      </w:r>
      <w:r>
        <w:rPr>
          <w:spacing w:val="-4"/>
        </w:rPr>
        <w:t> </w:t>
      </w:r>
      <w:r>
        <w:rPr/>
        <w:t>刘金进</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right="0"/>
        <w:jc w:val="left"/>
        <w:rPr>
          <w:b w:val="0"/>
          <w:bCs w:val="0"/>
        </w:rPr>
      </w:pPr>
      <w:r>
        <w:rPr/>
        <w:t>（特殊普通合伙）</w:t>
      </w:r>
      <w:r>
        <w:rPr>
          <w:b w:val="0"/>
          <w:bCs w:val="0"/>
        </w:rPr>
      </w:r>
    </w:p>
    <w:p>
      <w:pPr>
        <w:spacing w:line="240" w:lineRule="auto" w:before="10"/>
        <w:rPr>
          <w:rFonts w:ascii="宋体" w:hAnsi="宋体" w:cs="宋体" w:eastAsia="宋体" w:hint="default"/>
          <w:b/>
          <w:bCs/>
          <w:sz w:val="14"/>
          <w:szCs w:val="14"/>
        </w:rPr>
      </w:pPr>
    </w:p>
    <w:p>
      <w:pPr>
        <w:pStyle w:val="Heading3"/>
        <w:tabs>
          <w:tab w:pos="5406" w:val="left" w:leader="none"/>
        </w:tabs>
        <w:spacing w:line="240" w:lineRule="auto"/>
        <w:ind w:left="574" w:right="0"/>
        <w:jc w:val="left"/>
        <w:rPr>
          <w:b w:val="0"/>
          <w:bCs w:val="0"/>
        </w:rPr>
      </w:pPr>
      <w:r>
        <w:rPr>
          <w:w w:val="95"/>
        </w:rPr>
        <w:t>中国</w:t>
      </w:r>
      <w:r>
        <w:rPr>
          <w:rFonts w:ascii="Calibri" w:hAnsi="Calibri" w:cs="Calibri" w:eastAsia="Calibri" w:hint="default"/>
          <w:b w:val="0"/>
          <w:bCs w:val="0"/>
          <w:w w:val="95"/>
          <w:sz w:val="18"/>
          <w:szCs w:val="18"/>
        </w:rPr>
        <w:t>•</w:t>
      </w:r>
      <w:r>
        <w:rPr>
          <w:w w:val="95"/>
        </w:rPr>
        <w:t>上海</w:t>
        <w:tab/>
      </w:r>
      <w:r>
        <w:rPr/>
        <w:t>中国注册会计师：</w:t>
      </w:r>
      <w:r>
        <w:rPr>
          <w:spacing w:val="-5"/>
        </w:rPr>
        <w:t> </w:t>
      </w:r>
      <w:r>
        <w:rPr/>
        <w:t>李洪勇</w:t>
      </w:r>
      <w:r>
        <w:rPr>
          <w:b w:val="0"/>
          <w:bCs w:val="0"/>
        </w:rPr>
      </w:r>
    </w:p>
    <w:p>
      <w:pPr>
        <w:spacing w:line="240" w:lineRule="auto" w:before="8"/>
        <w:rPr>
          <w:rFonts w:ascii="宋体" w:hAnsi="宋体" w:cs="宋体" w:eastAsia="宋体" w:hint="default"/>
          <w:b/>
          <w:bCs/>
          <w:sz w:val="28"/>
          <w:szCs w:val="28"/>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编制单位：新开普电子股份有限公司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3035" w:space="1042"/>
            <w:col w:w="1639" w:space="3203"/>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171,758,522.59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223,811,326.47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142,414,643.59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117,507,169.95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10,342,064.75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70,200,758.22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528,900.36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3,429,064.74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14,710,739.01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12,561,091.96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106,244,066.70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72,336,269.04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445,998,937.00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499,955,680.38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2,725,964.65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1,444,983.34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19,238,212.43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158,160,877.64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27,054,239.41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1,212,168.70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38,819,632.66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12,271,150.89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11,470,025.61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1,907.39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5,740,785.23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4,325,352.46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200,689,159.54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83,116,140.87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646,688,096.54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583,071,821.25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52,015,612.37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38,318,105.40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22,009,715.16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15,853,147.63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322,804.69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10,639,433.50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4,005,193.68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1,189,402.29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2,715,900.38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86,280,168.54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61,215,151.78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9,563,001.67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10,422,755.00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9,563,001.67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10,422,755.00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95,843,170.21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71,637,906.78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39"/>
        <w:gridCol w:w="3329"/>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206,469,044.44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259,989,044.44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21,449,656.21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17,208,517.77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165,432,136.29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140,836,572.40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536,070,836.94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507,234,134.61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14,774,089.39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4,199,779.86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550,844,926.33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511,433,914.47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646,688,096.54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583,071,821.25</w:t>
            </w:r>
          </w:p>
        </w:tc>
      </w:tr>
    </w:tbl>
    <w:p>
      <w:pPr>
        <w:spacing w:line="240" w:lineRule="auto" w:before="3"/>
        <w:rPr>
          <w:rFonts w:ascii="Times New Roman" w:hAnsi="Times New Roman" w:cs="Times New Roman" w:eastAsia="Times New Roman" w:hint="default"/>
          <w:sz w:val="23"/>
          <w:szCs w:val="23"/>
        </w:rPr>
      </w:pPr>
    </w:p>
    <w:p>
      <w:pPr>
        <w:tabs>
          <w:tab w:pos="3509" w:val="left" w:leader="none"/>
          <w:tab w:pos="7739" w:val="left" w:leader="none"/>
        </w:tabs>
        <w:spacing w:before="4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169,611,711.58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220,928,314.09</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143,494,522.41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116,214,728.91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8,421,060.21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56,603,233.79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528,900.36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3,429,064.74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13,676,028.56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12,455,372.69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102,280,103.51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70,183,859.93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438,012,326.63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479,924,574.15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2,725,964.65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17,744,983.34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19,238,212.43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131,999,227.17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25,934,440.44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1,063,248.70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38,819,632.66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12,271,150.89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11,470,025.61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1,907.39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5,704,477.94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4,305,225.84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189,642,281.78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98,276,215.28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627,654,608.41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578,200,789.43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50,881,739.18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39,818,347.59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18,757,162.64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15,350,978.63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322,681.19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9,911,690.97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3,965,904.57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1,189,402.29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4,885,900.38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81,166,000.30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64,343,812.36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9,563,001.67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10,422,755.00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9,563,001.67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10,422,755.00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90,729,001.97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74,766,567.36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206,469,044.44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259,989,044.44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21,449,656.21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17,208,517.77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166,286,905.79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137,036,659.86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536,925,606.44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503,434,222.07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627,654,608.41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578,200,789.43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footerReference w:type="default" r:id="rId45"/>
          <w:pgSz w:w="11910" w:h="16840"/>
          <w:pgMar w:footer="982" w:header="877" w:top="1100" w:bottom="11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11.080002pt;margin-top:701.609985pt;width:158.85pt;height:20.8pt;mso-position-horizontal-relative:page;mso-position-vertical-relative:page;z-index:-998536" coordorigin="4222,14032" coordsize="3177,416">
            <v:group style="position:absolute;left:4233;top:14044;width:2;height:393" coordorigin="4233,14044" coordsize="2,393">
              <v:shape style="position:absolute;left:4233;top:14044;width:2;height:393" coordorigin="4233,14044" coordsize="0,393" path="m4233,14044l4233,14436e" filled="false" stroked="true" strokeweight="1.140pt" strokecolor="#ffffff">
                <v:path arrowok="t"/>
              </v:shape>
            </v:group>
            <v:group style="position:absolute;left:4244;top:14044;width:3154;height:393" coordorigin="4244,14044" coordsize="3154,393">
              <v:shape style="position:absolute;left:4244;top:14044;width:3154;height:393" coordorigin="4244,14044" coordsize="3154,393" path="m4244,14436l7398,14436,7398,14044,4244,14044,4244,1443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9"/>
        <w:gridCol w:w="3221"/>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315,360,861.85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221,169,469.97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315,360,861.85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221,169,469.97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283,627,265.90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214,416,894.62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149,135,520.14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109,286,406.39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3,005,733.82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2,863,204.81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83,117,790.64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69,634,627.60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40,993,554.37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33,687,693.49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-2,878,156.45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-5,778,695.33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10,252,823.38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4,723,657.66</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179,427.77</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179,427.77</w:t>
            </w:r>
          </w:p>
        </w:tc>
      </w:tr>
      <w:tr>
        <w:trPr>
          <w:trHeight w:val="402" w:hRule="exact"/>
        </w:trPr>
        <w:tc>
          <w:tcPr>
            <w:tcW w:w="3059"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right="104"/>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31,733,595.95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6,932,003.12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11,466,582.05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19,058,432.95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13,260.51</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36,606.97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17,018.76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8,513.01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8,436.70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tabs>
                <w:tab w:pos="2143" w:val="left" w:leader="none"/>
              </w:tabs>
              <w:spacing w:line="240" w:lineRule="auto" w:before="51"/>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43,163,571.03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25,973,417.31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5,099,259.17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1,510,901.06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38,064,311.86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24,462,516.25</w:t>
            </w:r>
          </w:p>
        </w:tc>
      </w:tr>
    </w:tbl>
    <w:p>
      <w:pPr>
        <w:spacing w:after="0" w:line="240" w:lineRule="auto"/>
        <w:jc w:val="right"/>
        <w:rPr>
          <w:rFonts w:ascii="Times New Roman" w:hAnsi="Times New Roman" w:cs="Times New Roman" w:eastAsia="Times New Roman" w:hint="default"/>
          <w:sz w:val="18"/>
          <w:szCs w:val="18"/>
        </w:rPr>
        <w:sectPr>
          <w:footerReference w:type="default" r:id="rId46"/>
          <w:pgSz w:w="11910" w:h="16840"/>
          <w:pgMar w:footer="982" w:header="877" w:top="1100" w:bottom="1180" w:left="980" w:right="98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1"/>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37,756,702.33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24,696,036.39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307,609.53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-233,520.14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1"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38,064,311.86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24,462,516.25</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37,756,702.33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24,696,036.39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307,609.53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-233,520.14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bl>
    <w:p>
      <w:pPr>
        <w:tabs>
          <w:tab w:pos="3663" w:val="left" w:leader="none"/>
          <w:tab w:pos="7893" w:val="left" w:leader="none"/>
        </w:tabs>
        <w:spacing w:line="624" w:lineRule="auto" w:before="51"/>
        <w:ind w:left="153" w:right="248"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法定代表人：杨维国</w:t>
        <w:tab/>
        <w:t>主管会计工作负责人：李玉玲</w:t>
        <w:tab/>
        <w:t>会计机构负责人：张翀</w:t>
      </w:r>
    </w:p>
    <w:p>
      <w:pPr>
        <w:spacing w:after="0" w:line="624"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304,851,386.12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218,657,898.88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146,642,148.36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108,487,337.39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2,829,641.78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2,844,236.50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77,738,134.42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67,794,605.39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38,426,346.63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30,199,096.89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-2,875,369.13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-5,771,755.77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10,188,100.70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4,643,651.20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3,883,275.99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-305,016.66</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-305,016.66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35,785,659.35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10,155,710.62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11,452,882.05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18,287,618.66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17,018.76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8,436.70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47,230,028.39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28,426,310.52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4,818,644.02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1,530,902.68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42,411,384.37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26,895,407.84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权益法下在被投资单位</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6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42,411,384.37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26,895,407.84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3302"/>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328,666,847.03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271,079,432.03</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10,214,540.95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18,289,382.46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6,220,776.42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8,672,120.87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345,102,164.40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298,040,935.36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163,549,941.73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128,877,311.78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78,899,507.01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64,558,977.36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30,180,680.97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36,327,723.37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68,850,289.82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40,463,814.80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341,480,419.53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270,227,827.31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3,621,744.87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27,813,108.05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-38,684.56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-35,134.56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53,925,369.43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74,716,237.22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58,111,369.43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78,216,237.22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-57,885,919.43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-78,251,371.78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5,923,500.00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5,923,500.00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7,850.76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8,983,329.32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8,927,850.76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1,283,370.68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-3,004,350.76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-52,980,803.88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-53,442,614.49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223,811,326.47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277,253,940.96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170,830,522.59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223,811,326.47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311,073,468.28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268,855,242.11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10,214,540.95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17,518,751.02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6,143,148.65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7,861,562.77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327,431,157.88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294,235,555.90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158,960,884.33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124,517,437.60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74,086,064.84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62,487,620.96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29,153,011.68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36,118,885.39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62,722,545.29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38,721,883.81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324,922,506.14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261,845,827.76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2,508,651.74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32,389,728.14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803,550.00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41,809,374.93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61,499,397.09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45,995,374.93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80,299,397.09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-45,769,924.93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-79,495,847.09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8,983,329.32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8,927,850.76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-8,983,329.32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-8,927,850.76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-52,244,602.51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-56,033,969.71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220,928,314.09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276,962,283.80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168,683,711.58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220,928,314.09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426"/>
        <w:gridCol w:w="563"/>
        <w:gridCol w:w="530"/>
        <w:gridCol w:w="532"/>
        <w:gridCol w:w="530"/>
        <w:gridCol w:w="665"/>
        <w:gridCol w:w="665"/>
        <w:gridCol w:w="665"/>
        <w:gridCol w:w="665"/>
        <w:gridCol w:w="664"/>
        <w:gridCol w:w="666"/>
        <w:gridCol w:w="665"/>
        <w:gridCol w:w="665"/>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3D3D3"/>
          </w:tcPr>
          <w:p>
            <w:pPr/>
          </w:p>
        </w:tc>
        <w:tc>
          <w:tcPr>
            <w:tcW w:w="680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09"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2"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8" w:hRule="exact"/>
        </w:trPr>
        <w:tc>
          <w:tcPr>
            <w:tcW w:w="1426" w:type="dxa"/>
            <w:vMerge/>
            <w:tcBorders>
              <w:left w:val="single" w:sz="4" w:space="0" w:color="000000"/>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bottom w:val="nil" w:sz="6" w:space="0" w:color="auto"/>
              <w:right w:val="single" w:sz="4" w:space="0" w:color="000000"/>
            </w:tcBorders>
            <w:shd w:val="clear" w:color="auto" w:fill="D3D3D3"/>
          </w:tcPr>
          <w:p>
            <w:pPr/>
          </w:p>
        </w:tc>
        <w:tc>
          <w:tcPr>
            <w:tcW w:w="66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259,989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,044.44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17,208,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517.77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140,836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,572.40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4,199,7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511,433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,914.47</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259,989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,044.44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17,208,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517.77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140,836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,572.40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4,199,7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511,433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,914.47</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563.89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10,574,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309.53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39,411,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011.86</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702.33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307,609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38,064,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311.86</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700.00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700.00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38.44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-13,161,</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138.44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38.44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38.44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206,469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21,449,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656.21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165,432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,136.29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089.39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550,844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,926.33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4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3D3D3"/>
          </w:tcPr>
          <w:p>
            <w:pPr/>
          </w:p>
        </w:tc>
        <w:tc>
          <w:tcPr>
            <w:tcW w:w="6833"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33" w:type="dxa"/>
            <w:gridSpan w:val="11"/>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2"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8" w:hRule="exact"/>
        </w:trPr>
        <w:tc>
          <w:tcPr>
            <w:tcW w:w="1426" w:type="dxa"/>
            <w:vMerge/>
            <w:tcBorders>
              <w:left w:val="single" w:sz="4" w:space="0" w:color="000000"/>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74"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259,989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,044.44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14,518,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976.99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127,750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,076.79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491,458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,098.22</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259,989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,044.44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14,518,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127,750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,076.79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491,458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,098.22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2,689,5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13,086,</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495.61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4,199,7</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79.86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19,975,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816.25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24,696,</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036.39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-233,52</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0.14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24,462,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516.25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4,433,3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4,433,3</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4,433,3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4,433,3</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2,689,5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-11,609,</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540.78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2,689,5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-2,689,5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40.78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259,989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,044.44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17,208,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517.77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140,836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,572.40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4,199,7</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79.86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511,433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,914.47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6"/>
              <w:ind w:left="245"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259,989,0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17,208,51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7.77</w:t>
            </w:r>
          </w:p>
        </w:tc>
        <w:tc>
          <w:tcPr>
            <w:tcW w:w="676" w:type="dxa"/>
            <w:vMerge w:val="restart"/>
            <w:tcBorders>
              <w:top w:val="single" w:sz="18" w:space="0" w:color="D3D3D3"/>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137,036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,659.86</w:t>
            </w:r>
          </w:p>
        </w:tc>
        <w:tc>
          <w:tcPr>
            <w:tcW w:w="781" w:type="dxa"/>
            <w:vMerge w:val="restart"/>
            <w:tcBorders>
              <w:top w:val="single" w:sz="18" w:space="0" w:color="D3D3D3"/>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503,434,2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22.07</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0"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6"/>
              <w:ind w:left="245"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259,989,0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17,208,51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137,036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,659.86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503,434,2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22.07</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0"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4,241,138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29,250,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245.93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33,491,38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4.37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384.37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42,411,38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4.37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4,241,138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-13,161,</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138.44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4,241,138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38.44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206,469,0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21,449,65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166,286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,905.79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536,925,6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06.44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14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3D3D3"/>
          </w:tcPr>
          <w:p>
            <w:pPr/>
          </w:p>
        </w:tc>
        <w:tc>
          <w:tcPr>
            <w:tcW w:w="7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3D3D3"/>
          </w:tcPr>
          <w:p>
            <w:pPr/>
          </w:p>
        </w:tc>
        <w:tc>
          <w:tcPr>
            <w:tcW w:w="703"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7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259,989,0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14,518,97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6.99</w:t>
            </w:r>
          </w:p>
        </w:tc>
        <w:tc>
          <w:tcPr>
            <w:tcW w:w="676" w:type="dxa"/>
            <w:vMerge w:val="restart"/>
            <w:tcBorders>
              <w:top w:val="single" w:sz="18" w:space="0" w:color="D3D3D3"/>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121,750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,792.80</w:t>
            </w:r>
          </w:p>
        </w:tc>
        <w:tc>
          <w:tcPr>
            <w:tcW w:w="781" w:type="dxa"/>
            <w:vMerge w:val="restart"/>
            <w:tcBorders>
              <w:top w:val="single" w:sz="18" w:space="0" w:color="D3D3D3"/>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485,458,8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14.23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259,989,0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14,518,97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121,750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,792.80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485,458,8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14.23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2,689,540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15,285,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17,975,40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867.06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7.84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26,895,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407.84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26,895,40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7.84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2,689,540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-11,609,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540.78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2,689,540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-2,689,5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40.78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259,989,0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17,208,51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137,036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,659.86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503,434,2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22.07</w:t>
            </w:r>
          </w:p>
        </w:tc>
      </w:tr>
    </w:tbl>
    <w:p>
      <w:pPr>
        <w:pStyle w:val="Heading3"/>
        <w:spacing w:line="240" w:lineRule="auto" w:before="63"/>
        <w:ind w:left="566" w:right="0"/>
        <w:jc w:val="left"/>
        <w:rPr>
          <w:b w:val="0"/>
          <w:bCs w:val="0"/>
        </w:rPr>
      </w:pPr>
      <w:r>
        <w:rPr/>
        <w:t>三、公司基本情况</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66"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公司概况</w:t>
      </w:r>
      <w:r>
        <w:rPr>
          <w:b w:val="0"/>
          <w:bCs w:val="0"/>
        </w:rPr>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b/>
          <w:bCs/>
          <w:sz w:val="26"/>
          <w:szCs w:val="26"/>
        </w:rPr>
      </w:pPr>
    </w:p>
    <w:p>
      <w:pPr>
        <w:pStyle w:val="BodyText"/>
        <w:spacing w:line="386" w:lineRule="auto" w:before="35"/>
        <w:ind w:left="153" w:right="207" w:firstLine="420"/>
        <w:jc w:val="both"/>
      </w:pPr>
      <w:r>
        <w:rPr>
          <w:spacing w:val="-2"/>
        </w:rPr>
        <w:t>新开普电子股份有限公司</w:t>
      </w:r>
      <w:r>
        <w:rPr>
          <w:rFonts w:ascii="Times New Roman" w:hAnsi="Times New Roman" w:cs="Times New Roman" w:eastAsia="Times New Roman" w:hint="default"/>
          <w:spacing w:val="-2"/>
        </w:rPr>
        <w:t>(</w:t>
      </w:r>
      <w:r>
        <w:rPr>
          <w:spacing w:val="-2"/>
        </w:rPr>
        <w:t>原名</w:t>
      </w:r>
      <w:r>
        <w:rPr>
          <w:rFonts w:ascii="Times New Roman" w:hAnsi="Times New Roman" w:cs="Times New Roman" w:eastAsia="Times New Roman" w:hint="default"/>
          <w:spacing w:val="-2"/>
        </w:rPr>
        <w:t>“</w:t>
      </w:r>
      <w:r>
        <w:rPr>
          <w:spacing w:val="-2"/>
        </w:rPr>
        <w:t>郑州新开普电子股份有限公司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），系由</w:t>
      </w:r>
      <w:r>
        <w:rPr/>
        <w:t> 郑州新开普电子技术有限公司（以下简称</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月整体变更设立的股份有限公司。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 </w:t>
      </w:r>
      <w:r>
        <w:rPr>
          <w:spacing w:val="7"/>
        </w:rPr>
        <w:t>月</w:t>
      </w:r>
      <w:r>
        <w:rPr>
          <w:rFonts w:ascii="Times New Roman" w:hAnsi="Times New Roman" w:cs="Times New Roman" w:eastAsia="Times New Roman" w:hint="default"/>
          <w:spacing w:val="7"/>
        </w:rPr>
        <w:t>20</w:t>
      </w:r>
      <w:r>
        <w:rPr>
          <w:spacing w:val="7"/>
        </w:rPr>
        <w:t>日更名为新开普电子股份有限公司。公司于</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4</w:t>
      </w:r>
      <w:r>
        <w:rPr>
          <w:spacing w:val="7"/>
        </w:rPr>
        <w:t>日在郑州市工商行政管理局换发注册号为</w:t>
      </w:r>
      <w:r>
        <w:rPr>
          <w:spacing w:val="-65"/>
        </w:rPr>
        <w:t> </w:t>
      </w:r>
      <w:r>
        <w:rPr>
          <w:spacing w:val="-65"/>
        </w:rPr>
      </w:r>
      <w:r>
        <w:rPr>
          <w:rFonts w:ascii="Times New Roman" w:hAnsi="Times New Roman" w:cs="Times New Roman" w:eastAsia="Times New Roman" w:hint="default"/>
        </w:rPr>
        <w:t>410199100002906</w:t>
      </w:r>
      <w:r>
        <w:rPr/>
        <w:t>号的企业法人营业执照。</w:t>
      </w:r>
    </w:p>
    <w:p>
      <w:pPr>
        <w:pStyle w:val="BodyText"/>
        <w:spacing w:line="408" w:lineRule="auto" w:before="35"/>
        <w:ind w:left="573" w:right="5211"/>
        <w:jc w:val="left"/>
      </w:pPr>
      <w:r>
        <w:rPr/>
        <w:t>法定代表人：杨维国 注册资本：壹亿肆仟贰佰柒拾贰万圆整 注册地：郑州高新技术产业开发区迎春街</w:t>
      </w:r>
      <w:r>
        <w:rPr>
          <w:rFonts w:ascii="Times New Roman" w:hAnsi="Times New Roman" w:cs="Times New Roman" w:eastAsia="Times New Roman" w:hint="default"/>
        </w:rPr>
        <w:t>18</w:t>
      </w:r>
      <w:r>
        <w:rPr/>
        <w:t>号</w:t>
      </w:r>
    </w:p>
    <w:p>
      <w:pPr>
        <w:pStyle w:val="BodyText"/>
        <w:spacing w:line="400" w:lineRule="auto" w:before="14"/>
        <w:ind w:left="153" w:right="189" w:firstLine="420"/>
        <w:jc w:val="both"/>
      </w:pPr>
      <w:r>
        <w:rPr>
          <w:spacing w:val="-1"/>
        </w:rPr>
        <w:t>经营范围：计算机系统集成，计算机及相关产品、仪器仪表、各类智能卡应用产品、智能卡机具、智</w:t>
      </w:r>
      <w:r>
        <w:rPr/>
        <w:t> </w:t>
      </w:r>
      <w:r>
        <w:rPr>
          <w:spacing w:val="-1"/>
        </w:rPr>
        <w:t>能卡终端、智能卡节能产品、智能卡家电及软件的设计、开发、生产、销售、维护；第二类增值电信业务</w:t>
      </w:r>
      <w:r>
        <w:rPr>
          <w:spacing w:val="-85"/>
        </w:rPr>
        <w:t> </w:t>
      </w:r>
      <w:r>
        <w:rPr>
          <w:spacing w:val="-85"/>
        </w:rPr>
      </w:r>
      <w:r>
        <w:rPr/>
        <w:t>中的信息服务业务（不含固定电话信息服务和互联网信息服务、截止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日）计算机技术咨询、 </w:t>
      </w:r>
      <w:r>
        <w:rPr>
          <w:spacing w:val="-1"/>
        </w:rPr>
        <w:t>服务（国家法律法规禁止的不得经营；应经审批的未获批准前不得经营），从事货物和技术的进出口业务</w:t>
      </w:r>
    </w:p>
    <w:p>
      <w:pPr>
        <w:pStyle w:val="BodyText"/>
        <w:spacing w:line="408" w:lineRule="auto" w:before="52"/>
        <w:ind w:left="153" w:right="209"/>
        <w:jc w:val="both"/>
      </w:pPr>
      <w:r>
        <w:rPr>
          <w:spacing w:val="-1"/>
        </w:rPr>
        <w:t>（国家法律、法规规定应经审批方可经营或禁止进出口的货物和技术除外）；电力智能抄表系统，金融支</w:t>
      </w:r>
      <w:r>
        <w:rPr>
          <w:spacing w:val="-82"/>
        </w:rPr>
        <w:t> </w:t>
      </w:r>
      <w:r>
        <w:rPr>
          <w:spacing w:val="-82"/>
        </w:rPr>
      </w:r>
      <w:r>
        <w:rPr>
          <w:spacing w:val="-1"/>
        </w:rPr>
        <w:t>付系统及终端的生产与销售；建筑智能化工程设计与施工（凭资质证经营）。（依法须经批准的项目，经</w:t>
      </w:r>
      <w:r>
        <w:rPr>
          <w:spacing w:val="-83"/>
        </w:rPr>
        <w:t> </w:t>
      </w:r>
      <w:r>
        <w:rPr>
          <w:spacing w:val="-83"/>
        </w:rPr>
      </w:r>
      <w:r>
        <w:rPr/>
        <w:t>相关部门批准后方可开展经营活动）</w:t>
      </w:r>
    </w:p>
    <w:p>
      <w:pPr>
        <w:pStyle w:val="BodyText"/>
        <w:spacing w:line="398" w:lineRule="auto"/>
        <w:ind w:left="566" w:right="4273" w:firstLine="7"/>
        <w:jc w:val="left"/>
        <w:rPr>
          <w:rFonts w:ascii="宋体" w:hAnsi="宋体" w:cs="宋体" w:eastAsia="宋体" w:hint="default"/>
        </w:rPr>
      </w:pPr>
      <w:r>
        <w:rPr/>
        <w:t>本公司的实际控制人为杨维国。 本财务报表业经公司董事会于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日批准报出。 </w:t>
      </w: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22"/>
        </w:rPr>
        <w:t> </w:t>
      </w:r>
      <w:r>
        <w:rPr>
          <w:rFonts w:ascii="宋体" w:hAnsi="宋体" w:cs="宋体" w:eastAsia="宋体" w:hint="default"/>
          <w:b/>
          <w:bCs/>
        </w:rPr>
        <w:t>历史沿革</w:t>
      </w:r>
      <w:r>
        <w:rPr>
          <w:rFonts w:ascii="宋体" w:hAnsi="宋体" w:cs="宋体" w:eastAsia="宋体" w:hint="default"/>
        </w:rPr>
      </w:r>
    </w:p>
    <w:p>
      <w:pPr>
        <w:pStyle w:val="BodyText"/>
        <w:spacing w:line="386" w:lineRule="auto" w:before="24"/>
        <w:ind w:left="574" w:right="95" w:hanging="1"/>
        <w:jc w:val="left"/>
      </w:pPr>
      <w:r>
        <w:rPr>
          <w:rFonts w:ascii="Times New Roman" w:hAnsi="Times New Roman" w:cs="Times New Roman" w:eastAsia="Times New Roman" w:hint="default"/>
        </w:rPr>
        <w:t>1</w:t>
      </w:r>
      <w:r>
        <w:rPr/>
        <w:t>、公司设立 </w:t>
      </w:r>
      <w:r>
        <w:rPr>
          <w:spacing w:val="-3"/>
        </w:rPr>
        <w:t>公司前身系由杨维国、尚卫国、赵利宾、杜建平、傅常顺、刘桂林、郎金文、尹涛、王为真、葛晓阁、</w:t>
      </w:r>
    </w:p>
    <w:p>
      <w:pPr>
        <w:pStyle w:val="BodyText"/>
        <w:spacing w:line="386" w:lineRule="auto" w:before="65"/>
        <w:ind w:right="208"/>
        <w:jc w:val="both"/>
      </w:pPr>
      <w:r>
        <w:rPr/>
        <w:t>华梦阳、刘恩臣等</w:t>
      </w:r>
      <w:r>
        <w:rPr>
          <w:rFonts w:ascii="Times New Roman" w:hAnsi="Times New Roman" w:cs="Times New Roman" w:eastAsia="Times New Roman" w:hint="default"/>
        </w:rPr>
        <w:t>12</w:t>
      </w:r>
      <w:r>
        <w:rPr/>
        <w:t>个自然人共同出资组建，于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日在郑州市设立，注册资本为人民币</w:t>
      </w:r>
      <w:r>
        <w:rPr>
          <w:rFonts w:ascii="Times New Roman" w:hAnsi="Times New Roman" w:cs="Times New Roman" w:eastAsia="Times New Roman" w:hint="default"/>
        </w:rPr>
        <w:t>51.00</w:t>
      </w:r>
      <w:r>
        <w:rPr/>
        <w:t>万</w:t>
      </w:r>
      <w:r>
        <w:rPr>
          <w:spacing w:val="-87"/>
        </w:rPr>
        <w:t> </w:t>
      </w:r>
      <w:r>
        <w:rPr/>
        <w:t>元，实收资本为</w:t>
      </w:r>
      <w:r>
        <w:rPr>
          <w:rFonts w:ascii="Times New Roman" w:hAnsi="Times New Roman" w:cs="Times New Roman" w:eastAsia="Times New Roman" w:hint="default"/>
        </w:rPr>
        <w:t>51.00</w:t>
      </w:r>
      <w:r>
        <w:rPr/>
        <w:t>万元，已经郑州高新会计师事务所审验，并出具高新内验字［</w:t>
      </w:r>
      <w:r>
        <w:rPr>
          <w:rFonts w:ascii="Times New Roman" w:hAnsi="Times New Roman" w:cs="Times New Roman" w:eastAsia="Times New Roman" w:hint="default"/>
        </w:rPr>
        <w:t>2000</w:t>
      </w:r>
      <w:r>
        <w:rPr/>
        <w:t>］第</w:t>
      </w:r>
      <w:r>
        <w:rPr>
          <w:rFonts w:ascii="Times New Roman" w:hAnsi="Times New Roman" w:cs="Times New Roman" w:eastAsia="Times New Roman" w:hint="default"/>
        </w:rPr>
        <w:t>033</w:t>
      </w:r>
      <w:r>
        <w:rPr/>
        <w:t>号验资报</w:t>
      </w:r>
      <w:r>
        <w:rPr>
          <w:spacing w:val="-85"/>
        </w:rPr>
        <w:t> </w:t>
      </w:r>
      <w:r>
        <w:rPr>
          <w:spacing w:val="-85"/>
        </w:rPr>
      </w:r>
      <w:r>
        <w:rPr/>
        <w:t>告。</w:t>
      </w:r>
    </w:p>
    <w:p>
      <w:pPr>
        <w:pStyle w:val="BodyText"/>
        <w:spacing w:line="240" w:lineRule="auto" w:before="65"/>
        <w:ind w:left="574" w:right="53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2002</w:t>
      </w:r>
      <w:r>
        <w:rPr/>
        <w:t>年股权转让及增资</w:t>
      </w:r>
    </w:p>
    <w:p>
      <w:pPr>
        <w:pStyle w:val="BodyText"/>
        <w:spacing w:line="386" w:lineRule="auto" w:before="177"/>
        <w:ind w:right="209" w:firstLine="420"/>
        <w:jc w:val="both"/>
      </w:pP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日根据公司股东会第七次决议，原股东刘桂林、尹涛、王为真分别将其持有的股份全部转</w:t>
      </w:r>
      <w:r>
        <w:rPr/>
        <w:t> 让给股东杨维国。</w:t>
      </w:r>
    </w:p>
    <w:p>
      <w:pPr>
        <w:pStyle w:val="BodyText"/>
        <w:spacing w:line="386" w:lineRule="auto" w:before="65"/>
        <w:ind w:left="153" w:right="208" w:firstLine="420"/>
        <w:jc w:val="both"/>
      </w:pPr>
      <w:r>
        <w:rPr>
          <w:spacing w:val="-2"/>
        </w:rPr>
        <w:t>根据</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日有限公司股东会第十次决议，有限公司决定新增注册资本</w:t>
      </w:r>
      <w:r>
        <w:rPr>
          <w:rFonts w:ascii="Times New Roman" w:hAnsi="Times New Roman" w:cs="Times New Roman" w:eastAsia="Times New Roman" w:hint="default"/>
          <w:spacing w:val="-2"/>
        </w:rPr>
        <w:t>449.00</w:t>
      </w:r>
      <w:r>
        <w:rPr>
          <w:spacing w:val="-2"/>
        </w:rPr>
        <w:t>万元，变更后注册</w:t>
      </w:r>
      <w:r>
        <w:rPr/>
        <w:t> 资本为</w:t>
      </w:r>
      <w:r>
        <w:rPr>
          <w:rFonts w:ascii="Times New Roman" w:hAnsi="Times New Roman" w:cs="Times New Roman" w:eastAsia="Times New Roman" w:hint="default"/>
        </w:rPr>
        <w:t>500.00</w:t>
      </w:r>
      <w:r>
        <w:rPr/>
        <w:t>万元，已经郑州科信会计师事务所有限责任公司审验，并出具郑科会变验字［</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15</w:t>
      </w:r>
      <w:r>
        <w:rPr/>
        <w:t>号</w:t>
      </w:r>
      <w:r>
        <w:rPr>
          <w:spacing w:val="-85"/>
        </w:rPr>
        <w:t> </w:t>
      </w:r>
      <w:r>
        <w:rPr/>
        <w:t>验资报告。</w:t>
      </w:r>
    </w:p>
    <w:p>
      <w:pPr>
        <w:pStyle w:val="BodyText"/>
        <w:spacing w:line="386" w:lineRule="auto" w:before="65"/>
        <w:ind w:left="153" w:right="210" w:firstLine="420"/>
        <w:jc w:val="both"/>
      </w:pPr>
      <w:r>
        <w:rPr>
          <w:spacing w:val="-2"/>
        </w:rPr>
        <w:t>根据</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日有限公司第十二次股东会决议通过，有限公司决定新增注册资本</w:t>
      </w:r>
      <w:r>
        <w:rPr>
          <w:rFonts w:ascii="Times New Roman" w:hAnsi="Times New Roman" w:cs="Times New Roman" w:eastAsia="Times New Roman" w:hint="default"/>
          <w:spacing w:val="-2"/>
        </w:rPr>
        <w:t>50.00</w:t>
      </w:r>
      <w:r>
        <w:rPr>
          <w:spacing w:val="-2"/>
        </w:rPr>
        <w:t>万元，变更</w:t>
      </w:r>
      <w:r>
        <w:rPr/>
        <w:t> 后注册资本为</w:t>
      </w:r>
      <w:r>
        <w:rPr>
          <w:rFonts w:ascii="Times New Roman" w:hAnsi="Times New Roman" w:cs="Times New Roman" w:eastAsia="Times New Roman" w:hint="default"/>
        </w:rPr>
        <w:t>550.00</w:t>
      </w:r>
      <w:r>
        <w:rPr/>
        <w:t>万元，已经河南大平会计师事务所有限公司审验，并出具审验字（</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B10-09</w:t>
      </w:r>
      <w:r>
        <w:rPr/>
        <w:t>号</w:t>
      </w:r>
    </w:p>
    <w:p>
      <w:pPr>
        <w:spacing w:after="0" w:line="386"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验资报告。</w:t>
      </w:r>
    </w:p>
    <w:p>
      <w:pPr>
        <w:spacing w:line="240" w:lineRule="auto" w:before="10"/>
        <w:rPr>
          <w:rFonts w:ascii="宋体" w:hAnsi="宋体" w:cs="宋体" w:eastAsia="宋体" w:hint="default"/>
          <w:sz w:val="14"/>
          <w:szCs w:val="14"/>
        </w:rPr>
      </w:pPr>
    </w:p>
    <w:p>
      <w:pPr>
        <w:pStyle w:val="BodyText"/>
        <w:spacing w:line="386" w:lineRule="auto" w:before="0"/>
        <w:ind w:left="574" w:right="0" w:hanging="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2004</w:t>
      </w:r>
      <w:r>
        <w:rPr/>
        <w:t>年增资 </w:t>
      </w:r>
      <w:r>
        <w:rPr>
          <w:spacing w:val="-2"/>
        </w:rPr>
        <w:t>根据</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日有限公司股东会第十五次决议，有限公司决定新增注册资本</w:t>
      </w:r>
      <w:r>
        <w:rPr>
          <w:rFonts w:ascii="Times New Roman" w:hAnsi="Times New Roman" w:cs="Times New Roman" w:eastAsia="Times New Roman" w:hint="default"/>
          <w:spacing w:val="-2"/>
        </w:rPr>
        <w:t>458.00</w:t>
      </w:r>
      <w:r>
        <w:rPr>
          <w:spacing w:val="-2"/>
        </w:rPr>
        <w:t>万元，变更后注</w:t>
      </w:r>
    </w:p>
    <w:p>
      <w:pPr>
        <w:pStyle w:val="BodyText"/>
        <w:spacing w:line="240" w:lineRule="auto" w:before="35"/>
        <w:ind w:left="153" w:right="0"/>
        <w:jc w:val="both"/>
        <w:rPr>
          <w:rFonts w:ascii="Times New Roman" w:hAnsi="Times New Roman" w:cs="Times New Roman" w:eastAsia="Times New Roman" w:hint="default"/>
        </w:rPr>
      </w:pPr>
      <w:r>
        <w:rPr>
          <w:spacing w:val="-3"/>
        </w:rPr>
        <w:t>册资本为人民币</w:t>
      </w:r>
      <w:r>
        <w:rPr>
          <w:rFonts w:ascii="Times New Roman" w:hAnsi="Times New Roman" w:cs="Times New Roman" w:eastAsia="Times New Roman" w:hint="default"/>
          <w:spacing w:val="-3"/>
        </w:rPr>
        <w:t>1,008.00</w:t>
      </w:r>
      <w:r>
        <w:rPr>
          <w:spacing w:val="-3"/>
        </w:rPr>
        <w:t>万元，已经河南大平会计师事务所有限公司审验，并出具审验字（</w:t>
      </w:r>
      <w:r>
        <w:rPr>
          <w:rFonts w:ascii="Times New Roman" w:hAnsi="Times New Roman" w:cs="Times New Roman" w:eastAsia="Times New Roman" w:hint="default"/>
          <w:spacing w:val="-3"/>
        </w:rPr>
        <w:t>2004</w:t>
      </w:r>
      <w:r>
        <w:rPr>
          <w:spacing w:val="-3"/>
        </w:rPr>
        <w:t>）第</w:t>
      </w:r>
      <w:r>
        <w:rPr>
          <w:rFonts w:ascii="Times New Roman" w:hAnsi="Times New Roman" w:cs="Times New Roman" w:eastAsia="Times New Roman" w:hint="default"/>
          <w:spacing w:val="-3"/>
        </w:rPr>
        <w:t>B02-01</w:t>
      </w:r>
    </w:p>
    <w:p>
      <w:pPr>
        <w:pStyle w:val="BodyText"/>
        <w:spacing w:line="240" w:lineRule="auto" w:before="177"/>
        <w:ind w:left="153" w:right="0"/>
        <w:jc w:val="both"/>
      </w:pPr>
      <w:r>
        <w:rPr/>
        <w:t>号验资报告。</w:t>
      </w:r>
    </w:p>
    <w:p>
      <w:pPr>
        <w:spacing w:line="240" w:lineRule="auto" w:before="10"/>
        <w:rPr>
          <w:rFonts w:ascii="宋体" w:hAnsi="宋体" w:cs="宋体" w:eastAsia="宋体" w:hint="default"/>
          <w:sz w:val="14"/>
          <w:szCs w:val="14"/>
        </w:rPr>
      </w:pPr>
    </w:p>
    <w:p>
      <w:pPr>
        <w:pStyle w:val="BodyText"/>
        <w:spacing w:line="386" w:lineRule="auto" w:before="0"/>
        <w:ind w:left="574" w:right="0" w:hanging="1"/>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2008</w:t>
      </w:r>
      <w:r>
        <w:rPr/>
        <w:t>年股份制改造 </w:t>
      </w:r>
      <w:r>
        <w:rPr>
          <w:spacing w:val="3"/>
        </w:rPr>
        <w:t>根据有限公司</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12</w:t>
      </w:r>
      <w:r>
        <w:rPr>
          <w:spacing w:val="3"/>
        </w:rPr>
        <w:t>日股东会决议及</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12</w:t>
      </w:r>
      <w:r>
        <w:rPr>
          <w:spacing w:val="3"/>
        </w:rPr>
        <w:t>日公司发起人会议暨创立大会决议和修改后</w:t>
      </w:r>
      <w:r>
        <w:rPr/>
      </w:r>
    </w:p>
    <w:p>
      <w:pPr>
        <w:pStyle w:val="BodyText"/>
        <w:spacing w:line="386" w:lineRule="auto" w:before="35"/>
        <w:ind w:left="153" w:right="142"/>
        <w:jc w:val="both"/>
      </w:pPr>
      <w:r>
        <w:rPr>
          <w:spacing w:val="-1"/>
        </w:rPr>
        <w:t>的章程规定，同意有限公司整体改制为股份有限公司，由全体股东以有限公司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日的净资产进</w:t>
      </w:r>
      <w:r>
        <w:rPr>
          <w:spacing w:val="-84"/>
        </w:rPr>
        <w:t> </w:t>
      </w:r>
      <w:r>
        <w:rPr>
          <w:spacing w:val="-84"/>
        </w:rPr>
      </w:r>
      <w:r>
        <w:rPr>
          <w:spacing w:val="-1"/>
        </w:rPr>
        <w:t>行出资并于公司成立日（即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12</w:t>
      </w:r>
      <w:r>
        <w:rPr>
          <w:spacing w:val="-1"/>
        </w:rPr>
        <w:t>日）一次缴足，股份公司设立时的股本为</w:t>
      </w:r>
      <w:r>
        <w:rPr>
          <w:rFonts w:ascii="Times New Roman" w:hAnsi="Times New Roman" w:cs="Times New Roman" w:eastAsia="Times New Roman" w:hint="default"/>
          <w:spacing w:val="-1"/>
        </w:rPr>
        <w:t>2,745.00</w:t>
      </w:r>
      <w:r>
        <w:rPr>
          <w:spacing w:val="-1"/>
        </w:rPr>
        <w:t>万元，出资净资</w:t>
      </w:r>
      <w:r>
        <w:rPr>
          <w:spacing w:val="-82"/>
        </w:rPr>
        <w:t> </w:t>
      </w:r>
      <w:r>
        <w:rPr>
          <w:spacing w:val="-82"/>
        </w:rPr>
      </w:r>
      <w:r>
        <w:rPr>
          <w:spacing w:val="3"/>
        </w:rPr>
        <w:t>产超过股本的部分计入资本公积，已经利安达信隆会计师事务所有限责任公司审验，并出具利安达验字</w:t>
      </w:r>
      <w:r>
        <w:rPr/>
      </w:r>
    </w:p>
    <w:p>
      <w:pPr>
        <w:pStyle w:val="BodyText"/>
        <w:spacing w:line="386" w:lineRule="auto" w:before="65"/>
        <w:ind w:left="573" w:right="0" w:hanging="420"/>
        <w:jc w:val="left"/>
      </w:pPr>
      <w:r>
        <w:rPr/>
        <w:t>［</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A1002</w:t>
      </w:r>
      <w:r>
        <w:rPr/>
        <w:t>号验资报告。 根据本公司</w:t>
      </w:r>
      <w:r>
        <w:rPr>
          <w:rFonts w:ascii="Times New Roman" w:hAnsi="Times New Roman" w:cs="Times New Roman" w:eastAsia="Times New Roman" w:hint="default"/>
        </w:rPr>
        <w:t>2008</w:t>
      </w:r>
      <w:r>
        <w:rPr/>
        <w:t>年第二次临时股东大会决议和修改后的章程规定，本公司按每股</w:t>
      </w:r>
      <w:r>
        <w:rPr>
          <w:rFonts w:ascii="Times New Roman" w:hAnsi="Times New Roman" w:cs="Times New Roman" w:eastAsia="Times New Roman" w:hint="default"/>
        </w:rPr>
        <w:t>1.00</w:t>
      </w:r>
      <w:r>
        <w:rPr/>
        <w:t>元的价格向公司</w:t>
      </w:r>
    </w:p>
    <w:p>
      <w:pPr>
        <w:pStyle w:val="BodyText"/>
        <w:spacing w:line="386" w:lineRule="auto" w:before="35"/>
        <w:ind w:left="153" w:right="151"/>
        <w:jc w:val="both"/>
      </w:pPr>
      <w:r>
        <w:rPr>
          <w:spacing w:val="-1"/>
        </w:rPr>
        <w:t>员工进行定向增资，申请增加注册资本人民币</w:t>
      </w:r>
      <w:r>
        <w:rPr>
          <w:rFonts w:ascii="Times New Roman" w:hAnsi="Times New Roman" w:cs="Times New Roman" w:eastAsia="Times New Roman" w:hint="default"/>
          <w:spacing w:val="-1"/>
        </w:rPr>
        <w:t>105.00</w:t>
      </w:r>
      <w:r>
        <w:rPr>
          <w:spacing w:val="-1"/>
        </w:rPr>
        <w:t>万元，每股面值</w:t>
      </w:r>
      <w:r>
        <w:rPr>
          <w:rFonts w:ascii="Times New Roman" w:hAnsi="Times New Roman" w:cs="Times New Roman" w:eastAsia="Times New Roman" w:hint="default"/>
          <w:spacing w:val="-1"/>
        </w:rPr>
        <w:t>1</w:t>
      </w:r>
      <w:r>
        <w:rPr>
          <w:spacing w:val="-1"/>
        </w:rPr>
        <w:t>元，增加股本</w:t>
      </w:r>
      <w:r>
        <w:rPr>
          <w:rFonts w:ascii="Times New Roman" w:hAnsi="Times New Roman" w:cs="Times New Roman" w:eastAsia="Times New Roman" w:hint="default"/>
          <w:spacing w:val="-1"/>
        </w:rPr>
        <w:t>105.00</w:t>
      </w:r>
      <w:r>
        <w:rPr>
          <w:spacing w:val="-1"/>
        </w:rPr>
        <w:t>万元，变更后注</w:t>
      </w:r>
      <w:r>
        <w:rPr>
          <w:spacing w:val="-84"/>
        </w:rPr>
        <w:t> </w:t>
      </w:r>
      <w:r>
        <w:rPr>
          <w:spacing w:val="-84"/>
        </w:rPr>
      </w:r>
      <w:r>
        <w:rPr>
          <w:spacing w:val="-1"/>
        </w:rPr>
        <w:t>册资本为人民币</w:t>
      </w:r>
      <w:r>
        <w:rPr>
          <w:rFonts w:ascii="Times New Roman" w:hAnsi="Times New Roman" w:cs="Times New Roman" w:eastAsia="Times New Roman" w:hint="default"/>
          <w:spacing w:val="-1"/>
        </w:rPr>
        <w:t>2,850.00</w:t>
      </w:r>
      <w:r>
        <w:rPr>
          <w:spacing w:val="-1"/>
        </w:rPr>
        <w:t>万元，已经河南盛元联合会计师事务所审验，并出具豫盛元验资（</w:t>
      </w:r>
      <w:r>
        <w:rPr>
          <w:rFonts w:ascii="Times New Roman" w:hAnsi="Times New Roman" w:cs="Times New Roman" w:eastAsia="Times New Roman" w:hint="default"/>
          <w:spacing w:val="-1"/>
        </w:rPr>
        <w:t>2008</w:t>
      </w:r>
      <w:r>
        <w:rPr>
          <w:spacing w:val="-1"/>
        </w:rPr>
        <w:t>）第</w:t>
      </w:r>
      <w:r>
        <w:rPr>
          <w:rFonts w:ascii="Times New Roman" w:hAnsi="Times New Roman" w:cs="Times New Roman" w:eastAsia="Times New Roman" w:hint="default"/>
          <w:spacing w:val="-1"/>
        </w:rPr>
        <w:t>03004</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号验资报告。</w:t>
      </w:r>
    </w:p>
    <w:p>
      <w:pPr>
        <w:pStyle w:val="BodyText"/>
        <w:spacing w:line="240" w:lineRule="auto" w:before="65"/>
        <w:ind w:left="573" w:right="0"/>
        <w:jc w:val="left"/>
      </w:pPr>
      <w:r>
        <w:rPr/>
        <w:t>增加注册资本后，各股东认缴注册资本额和出资比例为：</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924"/>
        <w:gridCol w:w="2924"/>
        <w:gridCol w:w="1907"/>
      </w:tblGrid>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19"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9"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5" w:right="0"/>
              <w:jc w:val="left"/>
              <w:rPr>
                <w:rFonts w:ascii="Times New Roman" w:hAnsi="Times New Roman" w:cs="Times New Roman" w:eastAsia="Times New Roman" w:hint="default"/>
                <w:sz w:val="21"/>
                <w:szCs w:val="21"/>
              </w:rPr>
            </w:pPr>
            <w:r>
              <w:rPr>
                <w:rFonts w:ascii="Times New Roman"/>
                <w:sz w:val="21"/>
              </w:rPr>
              <w:t>988.20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center"/>
              <w:rPr>
                <w:rFonts w:ascii="Times New Roman" w:hAnsi="Times New Roman" w:cs="Times New Roman" w:eastAsia="Times New Roman" w:hint="default"/>
                <w:sz w:val="21"/>
                <w:szCs w:val="21"/>
              </w:rPr>
            </w:pPr>
            <w:r>
              <w:rPr>
                <w:rFonts w:ascii="Times New Roman"/>
                <w:sz w:val="21"/>
              </w:rPr>
              <w:t>34.67</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5" w:right="0"/>
              <w:jc w:val="left"/>
              <w:rPr>
                <w:rFonts w:ascii="Times New Roman" w:hAnsi="Times New Roman" w:cs="Times New Roman" w:eastAsia="Times New Roman" w:hint="default"/>
                <w:sz w:val="21"/>
                <w:szCs w:val="21"/>
              </w:rPr>
            </w:pPr>
            <w:r>
              <w:rPr>
                <w:rFonts w:ascii="Times New Roman"/>
                <w:sz w:val="21"/>
              </w:rPr>
              <w:t>234.60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8.23</w:t>
            </w:r>
          </w:p>
        </w:tc>
      </w:tr>
      <w:tr>
        <w:trPr>
          <w:trHeight w:val="348"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5" w:right="0"/>
              <w:jc w:val="left"/>
              <w:rPr>
                <w:rFonts w:ascii="Times New Roman" w:hAnsi="Times New Roman" w:cs="Times New Roman" w:eastAsia="Times New Roman" w:hint="default"/>
                <w:sz w:val="21"/>
                <w:szCs w:val="21"/>
              </w:rPr>
            </w:pPr>
            <w:r>
              <w:rPr>
                <w:rFonts w:ascii="Times New Roman"/>
                <w:sz w:val="21"/>
              </w:rPr>
              <w:t>219.60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7.71</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25" w:right="0"/>
              <w:jc w:val="left"/>
              <w:rPr>
                <w:rFonts w:ascii="Times New Roman" w:hAnsi="Times New Roman" w:cs="Times New Roman" w:eastAsia="Times New Roman" w:hint="default"/>
                <w:sz w:val="21"/>
                <w:szCs w:val="21"/>
              </w:rPr>
            </w:pPr>
            <w:r>
              <w:rPr>
                <w:rFonts w:ascii="Times New Roman"/>
                <w:sz w:val="21"/>
              </w:rPr>
              <w:t>219.60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2"/>
              <w:jc w:val="center"/>
              <w:rPr>
                <w:rFonts w:ascii="Times New Roman" w:hAnsi="Times New Roman" w:cs="Times New Roman" w:eastAsia="Times New Roman" w:hint="default"/>
                <w:sz w:val="21"/>
                <w:szCs w:val="21"/>
              </w:rPr>
            </w:pPr>
            <w:r>
              <w:rPr>
                <w:rFonts w:ascii="Times New Roman"/>
                <w:sz w:val="21"/>
              </w:rPr>
              <w:t>7.71</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5" w:right="0"/>
              <w:jc w:val="left"/>
              <w:rPr>
                <w:rFonts w:ascii="Times New Roman" w:hAnsi="Times New Roman" w:cs="Times New Roman" w:eastAsia="Times New Roman" w:hint="default"/>
                <w:sz w:val="21"/>
                <w:szCs w:val="21"/>
              </w:rPr>
            </w:pPr>
            <w:r>
              <w:rPr>
                <w:rFonts w:ascii="Times New Roman"/>
                <w:sz w:val="21"/>
              </w:rPr>
              <w:t>219.60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7.71</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5" w:right="0"/>
              <w:jc w:val="left"/>
              <w:rPr>
                <w:rFonts w:ascii="Times New Roman" w:hAnsi="Times New Roman" w:cs="Times New Roman" w:eastAsia="Times New Roman" w:hint="default"/>
                <w:sz w:val="21"/>
                <w:szCs w:val="21"/>
              </w:rPr>
            </w:pPr>
            <w:r>
              <w:rPr>
                <w:rFonts w:ascii="Times New Roman"/>
                <w:sz w:val="21"/>
              </w:rPr>
              <w:t>192.15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6.74</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5" w:right="0"/>
              <w:jc w:val="left"/>
              <w:rPr>
                <w:rFonts w:ascii="Times New Roman" w:hAnsi="Times New Roman" w:cs="Times New Roman" w:eastAsia="Times New Roman" w:hint="default"/>
                <w:sz w:val="21"/>
                <w:szCs w:val="21"/>
              </w:rPr>
            </w:pPr>
            <w:r>
              <w:rPr>
                <w:rFonts w:ascii="Times New Roman"/>
                <w:sz w:val="21"/>
              </w:rPr>
              <w:t>192.15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6.74</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5" w:right="0"/>
              <w:jc w:val="left"/>
              <w:rPr>
                <w:rFonts w:ascii="Times New Roman" w:hAnsi="Times New Roman" w:cs="Times New Roman" w:eastAsia="Times New Roman" w:hint="default"/>
                <w:sz w:val="21"/>
                <w:szCs w:val="21"/>
              </w:rPr>
            </w:pPr>
            <w:r>
              <w:rPr>
                <w:rFonts w:ascii="Times New Roman"/>
                <w:sz w:val="21"/>
              </w:rPr>
              <w:t>164.70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5.77</w:t>
            </w:r>
          </w:p>
        </w:tc>
      </w:tr>
      <w:tr>
        <w:trPr>
          <w:trHeight w:val="348"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5" w:right="0"/>
              <w:jc w:val="left"/>
              <w:rPr>
                <w:rFonts w:ascii="Times New Roman" w:hAnsi="Times New Roman" w:cs="Times New Roman" w:eastAsia="Times New Roman" w:hint="default"/>
                <w:sz w:val="21"/>
                <w:szCs w:val="21"/>
              </w:rPr>
            </w:pPr>
            <w:r>
              <w:rPr>
                <w:rFonts w:ascii="Times New Roman"/>
                <w:sz w:val="21"/>
              </w:rPr>
              <w:t>164.70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5.77</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25" w:right="0"/>
              <w:jc w:val="left"/>
              <w:rPr>
                <w:rFonts w:ascii="Times New Roman" w:hAnsi="Times New Roman" w:cs="Times New Roman" w:eastAsia="Times New Roman" w:hint="default"/>
                <w:sz w:val="21"/>
                <w:szCs w:val="21"/>
              </w:rPr>
            </w:pPr>
            <w:r>
              <w:rPr>
                <w:rFonts w:ascii="Times New Roman"/>
                <w:sz w:val="21"/>
              </w:rPr>
              <w:t>164.70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2"/>
              <w:jc w:val="center"/>
              <w:rPr>
                <w:rFonts w:ascii="Times New Roman" w:hAnsi="Times New Roman" w:cs="Times New Roman" w:eastAsia="Times New Roman" w:hint="default"/>
                <w:sz w:val="21"/>
                <w:szCs w:val="21"/>
              </w:rPr>
            </w:pPr>
            <w:r>
              <w:rPr>
                <w:rFonts w:ascii="Times New Roman"/>
                <w:sz w:val="21"/>
              </w:rPr>
              <w:t>5.77</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陈振亚</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76" w:right="0"/>
              <w:jc w:val="left"/>
              <w:rPr>
                <w:rFonts w:ascii="Times New Roman" w:hAnsi="Times New Roman" w:cs="Times New Roman" w:eastAsia="Times New Roman" w:hint="default"/>
                <w:sz w:val="21"/>
                <w:szCs w:val="21"/>
              </w:rPr>
            </w:pPr>
            <w:r>
              <w:rPr>
                <w:rFonts w:ascii="Times New Roman"/>
                <w:sz w:val="21"/>
              </w:rPr>
              <w:t>15.00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0.53</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于照永</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76" w:right="0"/>
              <w:jc w:val="left"/>
              <w:rPr>
                <w:rFonts w:ascii="Times New Roman" w:hAnsi="Times New Roman" w:cs="Times New Roman" w:eastAsia="Times New Roman" w:hint="default"/>
                <w:sz w:val="21"/>
                <w:szCs w:val="21"/>
              </w:rPr>
            </w:pPr>
            <w:r>
              <w:rPr>
                <w:rFonts w:ascii="Times New Roman"/>
                <w:sz w:val="21"/>
              </w:rPr>
              <w:t>15.00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0.53</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王卓</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76" w:right="0"/>
              <w:jc w:val="left"/>
              <w:rPr>
                <w:rFonts w:ascii="Times New Roman" w:hAnsi="Times New Roman" w:cs="Times New Roman" w:eastAsia="Times New Roman" w:hint="default"/>
                <w:sz w:val="21"/>
                <w:szCs w:val="21"/>
              </w:rPr>
            </w:pPr>
            <w:r>
              <w:rPr>
                <w:rFonts w:ascii="Times New Roman"/>
                <w:sz w:val="21"/>
              </w:rPr>
              <w:t>15.00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0.53</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杨文寿</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76" w:right="0"/>
              <w:jc w:val="left"/>
              <w:rPr>
                <w:rFonts w:ascii="Times New Roman" w:hAnsi="Times New Roman" w:cs="Times New Roman" w:eastAsia="Times New Roman" w:hint="default"/>
                <w:sz w:val="21"/>
                <w:szCs w:val="21"/>
              </w:rPr>
            </w:pPr>
            <w:r>
              <w:rPr>
                <w:rFonts w:ascii="Times New Roman"/>
                <w:sz w:val="21"/>
              </w:rPr>
              <w:t>15.00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0.53</w:t>
            </w:r>
          </w:p>
        </w:tc>
      </w:tr>
      <w:tr>
        <w:trPr>
          <w:trHeight w:val="348"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邵彦超</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76" w:right="0"/>
              <w:jc w:val="left"/>
              <w:rPr>
                <w:rFonts w:ascii="Times New Roman" w:hAnsi="Times New Roman" w:cs="Times New Roman" w:eastAsia="Times New Roman" w:hint="default"/>
                <w:sz w:val="21"/>
                <w:szCs w:val="21"/>
              </w:rPr>
            </w:pPr>
            <w:r>
              <w:rPr>
                <w:rFonts w:ascii="Times New Roman"/>
                <w:sz w:val="21"/>
              </w:rPr>
              <w:t>15.00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2"/>
              <w:jc w:val="center"/>
              <w:rPr>
                <w:rFonts w:ascii="Times New Roman" w:hAnsi="Times New Roman" w:cs="Times New Roman" w:eastAsia="Times New Roman" w:hint="default"/>
                <w:sz w:val="21"/>
                <w:szCs w:val="21"/>
              </w:rPr>
            </w:pPr>
            <w:r>
              <w:rPr>
                <w:rFonts w:ascii="Times New Roman"/>
                <w:sz w:val="21"/>
              </w:rPr>
              <w:t>0.53</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李永革</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76" w:right="0"/>
              <w:jc w:val="left"/>
              <w:rPr>
                <w:rFonts w:ascii="Times New Roman" w:hAnsi="Times New Roman" w:cs="Times New Roman" w:eastAsia="Times New Roman" w:hint="default"/>
                <w:sz w:val="21"/>
                <w:szCs w:val="21"/>
              </w:rPr>
            </w:pPr>
            <w:r>
              <w:rPr>
                <w:rFonts w:ascii="Times New Roman"/>
                <w:sz w:val="21"/>
              </w:rPr>
              <w:t>15.00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2"/>
              <w:jc w:val="center"/>
              <w:rPr>
                <w:rFonts w:ascii="Times New Roman" w:hAnsi="Times New Roman" w:cs="Times New Roman" w:eastAsia="Times New Roman" w:hint="default"/>
                <w:sz w:val="21"/>
                <w:szCs w:val="21"/>
              </w:rPr>
            </w:pPr>
            <w:r>
              <w:rPr>
                <w:rFonts w:ascii="Times New Roman"/>
                <w:sz w:val="21"/>
              </w:rPr>
              <w:t>0.53</w:t>
            </w:r>
          </w:p>
        </w:tc>
      </w:tr>
      <w:tr>
        <w:trPr>
          <w:trHeight w:val="347" w:hRule="exact"/>
        </w:trPr>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46" w:right="0"/>
              <w:jc w:val="left"/>
              <w:rPr>
                <w:rFonts w:ascii="Times New Roman" w:hAnsi="Times New Roman" w:cs="Times New Roman" w:eastAsia="Times New Roman" w:hint="default"/>
                <w:sz w:val="21"/>
                <w:szCs w:val="21"/>
              </w:rPr>
            </w:pPr>
            <w:r>
              <w:rPr>
                <w:rFonts w:ascii="Times New Roman"/>
                <w:sz w:val="21"/>
              </w:rPr>
              <w:t>2,850.00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3"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574" w:right="0" w:hanging="1"/>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2010</w:t>
      </w:r>
      <w:r>
        <w:rPr/>
        <w:t>年增资及股权转让 根据本公司</w:t>
      </w:r>
      <w:r>
        <w:rPr>
          <w:rFonts w:ascii="Times New Roman" w:hAnsi="Times New Roman" w:cs="Times New Roman" w:eastAsia="Times New Roman" w:hint="default"/>
        </w:rPr>
        <w:t>2010</w:t>
      </w:r>
      <w:r>
        <w:rPr/>
        <w:t>年第一次临时股东大会决议和修改后的章程规定，本公司按每股</w:t>
      </w:r>
      <w:r>
        <w:rPr>
          <w:rFonts w:ascii="Times New Roman" w:hAnsi="Times New Roman" w:cs="Times New Roman" w:eastAsia="Times New Roman" w:hint="default"/>
        </w:rPr>
        <w:t>2.20</w:t>
      </w:r>
      <w:r>
        <w:rPr/>
        <w:t>元的价格向公司</w:t>
      </w:r>
    </w:p>
    <w:p>
      <w:pPr>
        <w:pStyle w:val="BodyText"/>
        <w:spacing w:line="386" w:lineRule="auto" w:before="35"/>
        <w:ind w:right="151"/>
        <w:jc w:val="both"/>
      </w:pPr>
      <w:r>
        <w:rPr>
          <w:spacing w:val="-1"/>
        </w:rPr>
        <w:t>员工进行定向增资，申请增加注册资本人民币</w:t>
      </w:r>
      <w:r>
        <w:rPr>
          <w:rFonts w:ascii="Times New Roman" w:hAnsi="Times New Roman" w:cs="Times New Roman" w:eastAsia="Times New Roman" w:hint="default"/>
          <w:spacing w:val="-1"/>
        </w:rPr>
        <w:t>156.00</w:t>
      </w:r>
      <w:r>
        <w:rPr>
          <w:spacing w:val="-1"/>
        </w:rPr>
        <w:t>万元，每股面值</w:t>
      </w:r>
      <w:r>
        <w:rPr>
          <w:rFonts w:ascii="Times New Roman" w:hAnsi="Times New Roman" w:cs="Times New Roman" w:eastAsia="Times New Roman" w:hint="default"/>
          <w:spacing w:val="-1"/>
        </w:rPr>
        <w:t>1</w:t>
      </w:r>
      <w:r>
        <w:rPr>
          <w:spacing w:val="-1"/>
        </w:rPr>
        <w:t>元，计增加股本</w:t>
      </w:r>
      <w:r>
        <w:rPr>
          <w:rFonts w:ascii="Times New Roman" w:hAnsi="Times New Roman" w:cs="Times New Roman" w:eastAsia="Times New Roman" w:hint="default"/>
          <w:spacing w:val="-1"/>
        </w:rPr>
        <w:t>156.00</w:t>
      </w:r>
      <w:r>
        <w:rPr>
          <w:spacing w:val="-1"/>
        </w:rPr>
        <w:t>万元，变更后</w:t>
      </w:r>
      <w:r>
        <w:rPr>
          <w:spacing w:val="-83"/>
        </w:rPr>
        <w:t> </w:t>
      </w:r>
      <w:r>
        <w:rPr>
          <w:spacing w:val="-83"/>
        </w:rPr>
      </w:r>
      <w:r>
        <w:rPr>
          <w:spacing w:val="-5"/>
        </w:rPr>
        <w:t>注册资本为人民币</w:t>
      </w:r>
      <w:r>
        <w:rPr>
          <w:rFonts w:ascii="Times New Roman" w:hAnsi="Times New Roman" w:cs="Times New Roman" w:eastAsia="Times New Roman" w:hint="default"/>
          <w:spacing w:val="-5"/>
        </w:rPr>
        <w:t>3,006.00</w:t>
      </w:r>
      <w:r>
        <w:rPr>
          <w:spacing w:val="-5"/>
        </w:rPr>
        <w:t>万元，已经河南盛元联合会计师事务所审验，并出具豫盛元验资（</w:t>
      </w:r>
      <w:r>
        <w:rPr>
          <w:rFonts w:ascii="Times New Roman" w:hAnsi="Times New Roman" w:cs="Times New Roman" w:eastAsia="Times New Roman" w:hint="default"/>
          <w:spacing w:val="-5"/>
        </w:rPr>
        <w:t>2010</w:t>
      </w:r>
      <w:r>
        <w:rPr>
          <w:spacing w:val="-5"/>
        </w:rPr>
        <w:t>）第</w:t>
      </w:r>
      <w:r>
        <w:rPr>
          <w:rFonts w:ascii="Times New Roman" w:hAnsi="Times New Roman" w:cs="Times New Roman" w:eastAsia="Times New Roman" w:hint="default"/>
          <w:spacing w:val="-5"/>
        </w:rPr>
        <w:t>03002</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号验资报告。</w:t>
      </w:r>
    </w:p>
    <w:p>
      <w:pPr>
        <w:pStyle w:val="BodyText"/>
        <w:spacing w:line="386" w:lineRule="auto" w:before="65"/>
        <w:ind w:right="147" w:firstLine="420"/>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日，根据本公司</w:t>
      </w:r>
      <w:r>
        <w:rPr>
          <w:rFonts w:ascii="Times New Roman" w:hAnsi="Times New Roman" w:cs="Times New Roman" w:eastAsia="Times New Roman" w:hint="default"/>
          <w:spacing w:val="-2"/>
        </w:rPr>
        <w:t>2010</w:t>
      </w:r>
      <w:r>
        <w:rPr>
          <w:spacing w:val="-2"/>
        </w:rPr>
        <w:t>年第二次临时股东大会决议和修改后的章程规定，本公司按每股</w:t>
      </w:r>
      <w:r>
        <w:rPr>
          <w:rFonts w:ascii="Times New Roman" w:hAnsi="Times New Roman" w:cs="Times New Roman" w:eastAsia="Times New Roman" w:hint="default"/>
          <w:spacing w:val="-2"/>
        </w:rPr>
        <w:t>5.38</w:t>
      </w:r>
      <w:r>
        <w:rPr>
          <w:rFonts w:ascii="Times New Roman" w:hAnsi="Times New Roman" w:cs="Times New Roman" w:eastAsia="Times New Roman" w:hint="default"/>
        </w:rPr>
        <w:t> </w:t>
      </w:r>
      <w:r>
        <w:rPr/>
        <w:t>元的价格向无锡国联卓成创业投资有限公司进行定向增资，申请增加注册资本人民币</w:t>
      </w:r>
      <w:r>
        <w:rPr>
          <w:rFonts w:ascii="Times New Roman" w:hAnsi="Times New Roman" w:cs="Times New Roman" w:eastAsia="Times New Roman" w:hint="default"/>
        </w:rPr>
        <w:t>334.00</w:t>
      </w:r>
      <w:r>
        <w:rPr/>
        <w:t>万元，每股面</w:t>
      </w:r>
      <w:r>
        <w:rPr>
          <w:spacing w:val="-81"/>
        </w:rPr>
        <w:t> </w:t>
      </w:r>
      <w:r>
        <w:rPr>
          <w:spacing w:val="-81"/>
        </w:rPr>
      </w:r>
      <w:r>
        <w:rPr/>
        <w:t>值</w:t>
      </w:r>
      <w:r>
        <w:rPr>
          <w:rFonts w:ascii="Times New Roman" w:hAnsi="Times New Roman" w:cs="Times New Roman" w:eastAsia="Times New Roman" w:hint="default"/>
        </w:rPr>
        <w:t>1</w:t>
      </w:r>
      <w:r>
        <w:rPr/>
        <w:t>元，计增加股本</w:t>
      </w:r>
      <w:r>
        <w:rPr>
          <w:rFonts w:ascii="Times New Roman" w:hAnsi="Times New Roman" w:cs="Times New Roman" w:eastAsia="Times New Roman" w:hint="default"/>
        </w:rPr>
        <w:t>334.00</w:t>
      </w:r>
      <w:r>
        <w:rPr/>
        <w:t>万元，实际出资额超过股本的</w:t>
      </w:r>
      <w:r>
        <w:rPr>
          <w:rFonts w:ascii="Times New Roman" w:hAnsi="Times New Roman" w:cs="Times New Roman" w:eastAsia="Times New Roman" w:hint="default"/>
        </w:rPr>
        <w:t>1,466.60</w:t>
      </w:r>
      <w:r>
        <w:rPr/>
        <w:t>万计入资本公积，变更后注册资本为人民</w:t>
      </w:r>
      <w:r>
        <w:rPr>
          <w:spacing w:val="-86"/>
        </w:rPr>
        <w:t> </w:t>
      </w:r>
      <w:r>
        <w:rPr>
          <w:spacing w:val="-86"/>
        </w:rPr>
      </w:r>
      <w:r>
        <w:rPr/>
        <w:t>币</w:t>
      </w:r>
      <w:r>
        <w:rPr>
          <w:rFonts w:ascii="Times New Roman" w:hAnsi="Times New Roman" w:cs="Times New Roman" w:eastAsia="Times New Roman" w:hint="default"/>
        </w:rPr>
        <w:t>3,340.00</w:t>
      </w:r>
      <w:r>
        <w:rPr/>
        <w:t>万元，已经河南盛元联合会计师事务所审验，并出具豫盛元验字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03003</w:t>
      </w:r>
      <w:r>
        <w:rPr/>
        <w:t>号验资报告。</w:t>
      </w:r>
    </w:p>
    <w:p>
      <w:pPr>
        <w:pStyle w:val="BodyText"/>
        <w:spacing w:line="386" w:lineRule="auto" w:before="35"/>
        <w:ind w:right="149" w:firstLine="525"/>
        <w:jc w:val="both"/>
      </w:pPr>
      <w:r>
        <w:rPr/>
        <w:t>根据本公司</w:t>
      </w:r>
      <w:r>
        <w:rPr>
          <w:rFonts w:ascii="Times New Roman" w:hAnsi="Times New Roman" w:cs="Times New Roman" w:eastAsia="Times New Roman" w:hint="default"/>
        </w:rPr>
        <w:t>2010</w:t>
      </w:r>
      <w:r>
        <w:rPr/>
        <w:t>年第二次临时股东大会决议和修改后的章程及股份转让合同规定，股份转让方华梦 阳、赵利宾、傅常顺、尚卫国、刘恩臣分别将其持有本公司股份共计</w:t>
      </w:r>
      <w:r>
        <w:rPr>
          <w:rFonts w:ascii="Times New Roman" w:hAnsi="Times New Roman" w:cs="Times New Roman" w:eastAsia="Times New Roman" w:hint="default"/>
        </w:rPr>
        <w:t>147.00</w:t>
      </w:r>
      <w:r>
        <w:rPr/>
        <w:t>万股以</w:t>
      </w:r>
      <w:r>
        <w:rPr>
          <w:rFonts w:ascii="Times New Roman" w:hAnsi="Times New Roman" w:cs="Times New Roman" w:eastAsia="Times New Roman" w:hint="default"/>
        </w:rPr>
        <w:t>147.00</w:t>
      </w:r>
      <w:r>
        <w:rPr/>
        <w:t>万的价格转让给</w:t>
      </w:r>
      <w:r>
        <w:rPr>
          <w:spacing w:val="-40"/>
        </w:rPr>
        <w:t> </w:t>
      </w:r>
      <w:r>
        <w:rPr>
          <w:spacing w:val="-40"/>
        </w:rPr>
      </w:r>
      <w:r>
        <w:rPr/>
        <w:t>张振京等</w:t>
      </w:r>
      <w:r>
        <w:rPr>
          <w:rFonts w:ascii="Times New Roman" w:hAnsi="Times New Roman" w:cs="Times New Roman" w:eastAsia="Times New Roman" w:hint="default"/>
        </w:rPr>
        <w:t>43</w:t>
      </w:r>
      <w:r>
        <w:rPr/>
        <w:t>位公司员工。股权转让已经河南产权交易中心鉴证（豫产交鉴</w:t>
      </w:r>
      <w:r>
        <w:rPr>
          <w:rFonts w:ascii="Times New Roman" w:hAnsi="Times New Roman" w:cs="Times New Roman" w:eastAsia="Times New Roman" w:hint="default"/>
        </w:rPr>
        <w:t>[2010]18</w:t>
      </w:r>
      <w:r>
        <w:rPr/>
        <w:t>号）。</w:t>
      </w:r>
    </w:p>
    <w:p>
      <w:pPr>
        <w:pStyle w:val="BodyText"/>
        <w:spacing w:line="240" w:lineRule="auto" w:before="35"/>
        <w:ind w:left="679" w:right="0"/>
        <w:jc w:val="left"/>
      </w:pPr>
      <w:r>
        <w:rPr/>
        <w:t>增加注册资本及股份转让后，各股东认缴注册资本额和出资比例为：</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461"/>
        <w:gridCol w:w="2645"/>
        <w:gridCol w:w="1650"/>
      </w:tblGrid>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95"/>
              <w:jc w:val="righ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06" w:right="0"/>
              <w:jc w:val="left"/>
              <w:rPr>
                <w:rFonts w:ascii="Times New Roman" w:hAnsi="Times New Roman" w:cs="Times New Roman" w:eastAsia="Times New Roman" w:hint="default"/>
                <w:sz w:val="21"/>
                <w:szCs w:val="21"/>
              </w:rPr>
            </w:pPr>
            <w:r>
              <w:rPr>
                <w:rFonts w:ascii="Times New Roman"/>
                <w:sz w:val="21"/>
              </w:rPr>
              <w:t>1,060.00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29"/>
              <w:jc w:val="right"/>
              <w:rPr>
                <w:rFonts w:ascii="Times New Roman" w:hAnsi="Times New Roman" w:cs="Times New Roman" w:eastAsia="Times New Roman" w:hint="default"/>
                <w:sz w:val="21"/>
                <w:szCs w:val="21"/>
              </w:rPr>
            </w:pPr>
            <w:r>
              <w:rPr>
                <w:rFonts w:ascii="Times New Roman"/>
                <w:spacing w:val="-1"/>
                <w:sz w:val="21"/>
              </w:rPr>
              <w:t>31.7365</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无锡国联卓成创业投资有限公司</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86" w:right="0"/>
              <w:jc w:val="left"/>
              <w:rPr>
                <w:rFonts w:ascii="Times New Roman" w:hAnsi="Times New Roman" w:cs="Times New Roman" w:eastAsia="Times New Roman" w:hint="default"/>
                <w:sz w:val="21"/>
                <w:szCs w:val="21"/>
              </w:rPr>
            </w:pPr>
            <w:r>
              <w:rPr>
                <w:rFonts w:ascii="Times New Roman"/>
                <w:sz w:val="21"/>
              </w:rPr>
              <w:t>334.00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29"/>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85" w:right="0"/>
              <w:jc w:val="left"/>
              <w:rPr>
                <w:rFonts w:ascii="Times New Roman" w:hAnsi="Times New Roman" w:cs="Times New Roman" w:eastAsia="Times New Roman" w:hint="default"/>
                <w:sz w:val="21"/>
                <w:szCs w:val="21"/>
              </w:rPr>
            </w:pPr>
            <w:r>
              <w:rPr>
                <w:rFonts w:ascii="Times New Roman"/>
                <w:sz w:val="21"/>
              </w:rPr>
              <w:t>218.55</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6.5434</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85" w:right="0"/>
              <w:jc w:val="left"/>
              <w:rPr>
                <w:rFonts w:ascii="Times New Roman" w:hAnsi="Times New Roman" w:cs="Times New Roman" w:eastAsia="Times New Roman" w:hint="default"/>
                <w:sz w:val="21"/>
                <w:szCs w:val="21"/>
              </w:rPr>
            </w:pPr>
            <w:r>
              <w:rPr>
                <w:rFonts w:ascii="Times New Roman"/>
                <w:sz w:val="21"/>
              </w:rPr>
              <w:t>210.45</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6"/>
              <w:jc w:val="right"/>
              <w:rPr>
                <w:rFonts w:ascii="Times New Roman" w:hAnsi="Times New Roman" w:cs="Times New Roman" w:eastAsia="Times New Roman" w:hint="default"/>
                <w:sz w:val="21"/>
                <w:szCs w:val="21"/>
              </w:rPr>
            </w:pPr>
            <w:r>
              <w:rPr>
                <w:rFonts w:ascii="Times New Roman"/>
                <w:spacing w:val="-1"/>
                <w:sz w:val="21"/>
              </w:rPr>
              <w:t>6.3009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85" w:right="0"/>
              <w:jc w:val="left"/>
              <w:rPr>
                <w:rFonts w:ascii="Times New Roman" w:hAnsi="Times New Roman" w:cs="Times New Roman" w:eastAsia="Times New Roman" w:hint="default"/>
                <w:sz w:val="21"/>
                <w:szCs w:val="21"/>
              </w:rPr>
            </w:pPr>
            <w:r>
              <w:rPr>
                <w:rFonts w:ascii="Times New Roman"/>
                <w:sz w:val="21"/>
              </w:rPr>
              <w:t>180.00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5.3892</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85" w:right="0"/>
              <w:jc w:val="left"/>
              <w:rPr>
                <w:rFonts w:ascii="Times New Roman" w:hAnsi="Times New Roman" w:cs="Times New Roman" w:eastAsia="Times New Roman" w:hint="default"/>
                <w:sz w:val="21"/>
                <w:szCs w:val="21"/>
              </w:rPr>
            </w:pPr>
            <w:r>
              <w:rPr>
                <w:rFonts w:ascii="Times New Roman"/>
                <w:sz w:val="21"/>
              </w:rPr>
              <w:t>180.00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5.3892</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85" w:right="0"/>
              <w:jc w:val="left"/>
              <w:rPr>
                <w:rFonts w:ascii="Times New Roman" w:hAnsi="Times New Roman" w:cs="Times New Roman" w:eastAsia="Times New Roman" w:hint="default"/>
                <w:sz w:val="21"/>
                <w:szCs w:val="21"/>
              </w:rPr>
            </w:pPr>
            <w:r>
              <w:rPr>
                <w:rFonts w:ascii="Times New Roman"/>
                <w:sz w:val="21"/>
              </w:rPr>
              <w:t>180.00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5.3892</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85" w:right="0"/>
              <w:jc w:val="left"/>
              <w:rPr>
                <w:rFonts w:ascii="Times New Roman" w:hAnsi="Times New Roman" w:cs="Times New Roman" w:eastAsia="Times New Roman" w:hint="default"/>
                <w:sz w:val="21"/>
                <w:szCs w:val="21"/>
              </w:rPr>
            </w:pPr>
            <w:r>
              <w:rPr>
                <w:rFonts w:ascii="Times New Roman"/>
                <w:sz w:val="21"/>
              </w:rPr>
              <w:t>180.00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5.3892</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85" w:right="0"/>
              <w:jc w:val="left"/>
              <w:rPr>
                <w:rFonts w:ascii="Times New Roman" w:hAnsi="Times New Roman" w:cs="Times New Roman" w:eastAsia="Times New Roman" w:hint="default"/>
                <w:sz w:val="21"/>
                <w:szCs w:val="21"/>
              </w:rPr>
            </w:pPr>
            <w:r>
              <w:rPr>
                <w:rFonts w:ascii="Times New Roman"/>
                <w:sz w:val="21"/>
              </w:rPr>
              <w:t>180.00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5.3892</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85" w:right="0"/>
              <w:jc w:val="left"/>
              <w:rPr>
                <w:rFonts w:ascii="Times New Roman" w:hAnsi="Times New Roman" w:cs="Times New Roman" w:eastAsia="Times New Roman" w:hint="default"/>
                <w:sz w:val="21"/>
                <w:szCs w:val="21"/>
              </w:rPr>
            </w:pPr>
            <w:r>
              <w:rPr>
                <w:rFonts w:ascii="Times New Roman"/>
                <w:sz w:val="21"/>
              </w:rPr>
              <w:t>180.00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6"/>
              <w:jc w:val="right"/>
              <w:rPr>
                <w:rFonts w:ascii="Times New Roman" w:hAnsi="Times New Roman" w:cs="Times New Roman" w:eastAsia="Times New Roman" w:hint="default"/>
                <w:sz w:val="21"/>
                <w:szCs w:val="21"/>
              </w:rPr>
            </w:pPr>
            <w:r>
              <w:rPr>
                <w:rFonts w:ascii="Times New Roman"/>
                <w:spacing w:val="-1"/>
                <w:sz w:val="21"/>
              </w:rPr>
              <w:t>5.3892</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85" w:right="0"/>
              <w:jc w:val="left"/>
              <w:rPr>
                <w:rFonts w:ascii="Times New Roman" w:hAnsi="Times New Roman" w:cs="Times New Roman" w:eastAsia="Times New Roman" w:hint="default"/>
                <w:sz w:val="21"/>
                <w:szCs w:val="21"/>
              </w:rPr>
            </w:pPr>
            <w:r>
              <w:rPr>
                <w:rFonts w:ascii="Times New Roman"/>
                <w:sz w:val="21"/>
              </w:rPr>
              <w:t>180.00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5.3892</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吴凤辉</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37" w:right="0"/>
              <w:jc w:val="left"/>
              <w:rPr>
                <w:rFonts w:ascii="Times New Roman" w:hAnsi="Times New Roman" w:cs="Times New Roman" w:eastAsia="Times New Roman" w:hint="default"/>
                <w:sz w:val="21"/>
                <w:szCs w:val="21"/>
              </w:rPr>
            </w:pPr>
            <w:r>
              <w:rPr>
                <w:rFonts w:ascii="Times New Roman"/>
                <w:sz w:val="21"/>
              </w:rPr>
              <w:t>20.00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5"/>
              <w:jc w:val="right"/>
              <w:rPr>
                <w:rFonts w:ascii="Times New Roman" w:hAnsi="Times New Roman" w:cs="Times New Roman" w:eastAsia="Times New Roman" w:hint="default"/>
                <w:sz w:val="21"/>
                <w:szCs w:val="21"/>
              </w:rPr>
            </w:pPr>
            <w:r>
              <w:rPr>
                <w:rFonts w:ascii="Times New Roman"/>
                <w:spacing w:val="-1"/>
                <w:sz w:val="21"/>
              </w:rPr>
              <w:t>0.5988</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李永革</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37" w:right="0"/>
              <w:jc w:val="left"/>
              <w:rPr>
                <w:rFonts w:ascii="Times New Roman" w:hAnsi="Times New Roman" w:cs="Times New Roman" w:eastAsia="Times New Roman" w:hint="default"/>
                <w:sz w:val="21"/>
                <w:szCs w:val="21"/>
              </w:rPr>
            </w:pPr>
            <w:r>
              <w:rPr>
                <w:rFonts w:ascii="Times New Roman"/>
                <w:sz w:val="21"/>
              </w:rPr>
              <w:t>15.00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5"/>
              <w:jc w:val="right"/>
              <w:rPr>
                <w:rFonts w:ascii="Times New Roman" w:hAnsi="Times New Roman" w:cs="Times New Roman" w:eastAsia="Times New Roman" w:hint="default"/>
                <w:sz w:val="21"/>
                <w:szCs w:val="21"/>
              </w:rPr>
            </w:pPr>
            <w:r>
              <w:rPr>
                <w:rFonts w:ascii="Times New Roman"/>
                <w:spacing w:val="-1"/>
                <w:sz w:val="21"/>
              </w:rPr>
              <w:t>0.4491</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陈振亚</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37" w:right="0"/>
              <w:jc w:val="left"/>
              <w:rPr>
                <w:rFonts w:ascii="Times New Roman" w:hAnsi="Times New Roman" w:cs="Times New Roman" w:eastAsia="Times New Roman" w:hint="default"/>
                <w:sz w:val="21"/>
                <w:szCs w:val="21"/>
              </w:rPr>
            </w:pPr>
            <w:r>
              <w:rPr>
                <w:rFonts w:ascii="Times New Roman"/>
                <w:sz w:val="21"/>
              </w:rPr>
              <w:t>15.00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5"/>
              <w:jc w:val="right"/>
              <w:rPr>
                <w:rFonts w:ascii="Times New Roman" w:hAnsi="Times New Roman" w:cs="Times New Roman" w:eastAsia="Times New Roman" w:hint="default"/>
                <w:sz w:val="21"/>
                <w:szCs w:val="21"/>
              </w:rPr>
            </w:pPr>
            <w:r>
              <w:rPr>
                <w:rFonts w:ascii="Times New Roman"/>
                <w:spacing w:val="-1"/>
                <w:sz w:val="21"/>
              </w:rPr>
              <w:t>0.4491</w:t>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于照永</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37" w:right="0"/>
              <w:jc w:val="left"/>
              <w:rPr>
                <w:rFonts w:ascii="Times New Roman" w:hAnsi="Times New Roman" w:cs="Times New Roman" w:eastAsia="Times New Roman" w:hint="default"/>
                <w:sz w:val="21"/>
                <w:szCs w:val="21"/>
              </w:rPr>
            </w:pPr>
            <w:r>
              <w:rPr>
                <w:rFonts w:ascii="Times New Roman"/>
                <w:sz w:val="21"/>
              </w:rPr>
              <w:t>15.00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5"/>
              <w:jc w:val="right"/>
              <w:rPr>
                <w:rFonts w:ascii="Times New Roman" w:hAnsi="Times New Roman" w:cs="Times New Roman" w:eastAsia="Times New Roman" w:hint="default"/>
                <w:sz w:val="21"/>
                <w:szCs w:val="21"/>
              </w:rPr>
            </w:pPr>
            <w:r>
              <w:rPr>
                <w:rFonts w:ascii="Times New Roman"/>
                <w:spacing w:val="-1"/>
                <w:sz w:val="21"/>
              </w:rPr>
              <w:t>0.4491</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王卓</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37" w:right="0"/>
              <w:jc w:val="left"/>
              <w:rPr>
                <w:rFonts w:ascii="Times New Roman" w:hAnsi="Times New Roman" w:cs="Times New Roman" w:eastAsia="Times New Roman" w:hint="default"/>
                <w:sz w:val="21"/>
                <w:szCs w:val="21"/>
              </w:rPr>
            </w:pPr>
            <w:r>
              <w:rPr>
                <w:rFonts w:ascii="Times New Roman"/>
                <w:sz w:val="21"/>
              </w:rPr>
              <w:t>15.00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5"/>
              <w:jc w:val="right"/>
              <w:rPr>
                <w:rFonts w:ascii="Times New Roman" w:hAnsi="Times New Roman" w:cs="Times New Roman" w:eastAsia="Times New Roman" w:hint="default"/>
                <w:sz w:val="21"/>
                <w:szCs w:val="21"/>
              </w:rPr>
            </w:pPr>
            <w:r>
              <w:rPr>
                <w:rFonts w:ascii="Times New Roman"/>
                <w:spacing w:val="-1"/>
                <w:sz w:val="21"/>
              </w:rPr>
              <w:t>0.4491</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杨文寿</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37" w:right="0"/>
              <w:jc w:val="left"/>
              <w:rPr>
                <w:rFonts w:ascii="Times New Roman" w:hAnsi="Times New Roman" w:cs="Times New Roman" w:eastAsia="Times New Roman" w:hint="default"/>
                <w:sz w:val="21"/>
                <w:szCs w:val="21"/>
              </w:rPr>
            </w:pPr>
            <w:r>
              <w:rPr>
                <w:rFonts w:ascii="Times New Roman"/>
                <w:sz w:val="21"/>
              </w:rPr>
              <w:t>15.00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5"/>
              <w:jc w:val="right"/>
              <w:rPr>
                <w:rFonts w:ascii="Times New Roman" w:hAnsi="Times New Roman" w:cs="Times New Roman" w:eastAsia="Times New Roman" w:hint="default"/>
                <w:sz w:val="21"/>
                <w:szCs w:val="21"/>
              </w:rPr>
            </w:pPr>
            <w:r>
              <w:rPr>
                <w:rFonts w:ascii="Times New Roman"/>
                <w:spacing w:val="-1"/>
                <w:sz w:val="21"/>
              </w:rPr>
              <w:t>0.4491</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邵彦超</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37" w:right="0"/>
              <w:jc w:val="left"/>
              <w:rPr>
                <w:rFonts w:ascii="Times New Roman" w:hAnsi="Times New Roman" w:cs="Times New Roman" w:eastAsia="Times New Roman" w:hint="default"/>
                <w:sz w:val="21"/>
                <w:szCs w:val="21"/>
              </w:rPr>
            </w:pPr>
            <w:r>
              <w:rPr>
                <w:rFonts w:ascii="Times New Roman"/>
                <w:sz w:val="21"/>
              </w:rPr>
              <w:t>15.00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5"/>
              <w:jc w:val="right"/>
              <w:rPr>
                <w:rFonts w:ascii="Times New Roman" w:hAnsi="Times New Roman" w:cs="Times New Roman" w:eastAsia="Times New Roman" w:hint="default"/>
                <w:sz w:val="21"/>
                <w:szCs w:val="21"/>
              </w:rPr>
            </w:pPr>
            <w:r>
              <w:rPr>
                <w:rFonts w:ascii="Times New Roman"/>
                <w:spacing w:val="-1"/>
                <w:sz w:val="21"/>
              </w:rPr>
              <w:t>0.4491</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李文坚</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37" w:right="0"/>
              <w:jc w:val="left"/>
              <w:rPr>
                <w:rFonts w:ascii="Times New Roman" w:hAnsi="Times New Roman" w:cs="Times New Roman" w:eastAsia="Times New Roman" w:hint="default"/>
                <w:sz w:val="21"/>
                <w:szCs w:val="21"/>
              </w:rPr>
            </w:pPr>
            <w:r>
              <w:rPr>
                <w:rFonts w:ascii="Times New Roman"/>
                <w:sz w:val="21"/>
              </w:rPr>
              <w:t>15.00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5"/>
              <w:jc w:val="right"/>
              <w:rPr>
                <w:rFonts w:ascii="Times New Roman" w:hAnsi="Times New Roman" w:cs="Times New Roman" w:eastAsia="Times New Roman" w:hint="default"/>
                <w:sz w:val="21"/>
                <w:szCs w:val="21"/>
              </w:rPr>
            </w:pPr>
            <w:r>
              <w:rPr>
                <w:rFonts w:ascii="Times New Roman"/>
                <w:spacing w:val="-1"/>
                <w:sz w:val="21"/>
              </w:rPr>
              <w:t>0.4491</w:t>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张振京</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90" w:right="0"/>
              <w:jc w:val="left"/>
              <w:rPr>
                <w:rFonts w:ascii="Times New Roman" w:hAnsi="Times New Roman" w:cs="Times New Roman" w:eastAsia="Times New Roman" w:hint="default"/>
                <w:sz w:val="21"/>
                <w:szCs w:val="21"/>
              </w:rPr>
            </w:pPr>
            <w:r>
              <w:rPr>
                <w:rFonts w:ascii="Times New Roman"/>
                <w:sz w:val="21"/>
              </w:rPr>
              <w:t>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焦征海</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90" w:right="0"/>
              <w:jc w:val="left"/>
              <w:rPr>
                <w:rFonts w:ascii="Times New Roman" w:hAnsi="Times New Roman" w:cs="Times New Roman" w:eastAsia="Times New Roman" w:hint="default"/>
                <w:sz w:val="21"/>
                <w:szCs w:val="21"/>
              </w:rPr>
            </w:pPr>
            <w:r>
              <w:rPr>
                <w:rFonts w:ascii="Times New Roman"/>
                <w:sz w:val="21"/>
              </w:rPr>
              <w:t>5.00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3461"/>
        <w:gridCol w:w="2645"/>
        <w:gridCol w:w="1650"/>
      </w:tblGrid>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秦天福</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王勇军</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韩雪</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张建英</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郭永旺</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苏扬鸣</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杨长昆</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陈卫国</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吴冠军</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马东亚</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沈延晓</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张翀</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王葆玲</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李军艳</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0.1497</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张晋</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秦玉昆</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郭伍</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刘建新</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崔红松</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肖难</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陈传兵</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高永辉</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毕强伟</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关虎</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冯一新</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于滨</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丁广勇</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阎玉玺</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曾劲松</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马超锋</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徐亚飞</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彭勇平</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尚勤强</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华燚</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任海伦</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刘建军</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李江</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谢伟</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7"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袁胜兵</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赵鑫</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7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36"/>
              <w:jc w:val="right"/>
              <w:rPr>
                <w:rFonts w:ascii="Times New Roman" w:hAnsi="Times New Roman" w:cs="Times New Roman" w:eastAsia="Times New Roman" w:hint="default"/>
                <w:sz w:val="21"/>
                <w:szCs w:val="21"/>
              </w:rPr>
            </w:pPr>
            <w:r>
              <w:rPr>
                <w:rFonts w:ascii="Times New Roman"/>
                <w:spacing w:val="-1"/>
                <w:sz w:val="21"/>
              </w:rPr>
              <w:t>0.0599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3461"/>
        <w:gridCol w:w="2645"/>
        <w:gridCol w:w="1650"/>
      </w:tblGrid>
      <w:tr>
        <w:trPr>
          <w:trHeight w:val="348" w:hRule="exact"/>
        </w:trPr>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06" w:right="0"/>
              <w:jc w:val="left"/>
              <w:rPr>
                <w:rFonts w:ascii="Times New Roman" w:hAnsi="Times New Roman" w:cs="Times New Roman" w:eastAsia="Times New Roman" w:hint="default"/>
                <w:sz w:val="21"/>
                <w:szCs w:val="21"/>
              </w:rPr>
            </w:pPr>
            <w:r>
              <w:rPr>
                <w:rFonts w:ascii="Times New Roman"/>
                <w:sz w:val="21"/>
              </w:rPr>
              <w:t>3,340.00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63"/>
        <w:ind w:left="574"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t>年发行</w:t>
      </w:r>
      <w:r>
        <w:rPr>
          <w:rFonts w:ascii="Times New Roman" w:hAnsi="Times New Roman" w:cs="Times New Roman" w:eastAsia="Times New Roman" w:hint="default"/>
        </w:rPr>
        <w:t>A</w:t>
      </w:r>
      <w:r>
        <w:rPr/>
        <w:t>股</w:t>
      </w:r>
    </w:p>
    <w:p>
      <w:pPr>
        <w:pStyle w:val="BodyText"/>
        <w:spacing w:line="386" w:lineRule="auto" w:before="177"/>
        <w:ind w:right="145" w:firstLine="42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日，根据本公司</w:t>
      </w:r>
      <w:r>
        <w:rPr>
          <w:rFonts w:ascii="Times New Roman" w:hAnsi="Times New Roman" w:cs="Times New Roman" w:eastAsia="Times New Roman" w:hint="default"/>
          <w:spacing w:val="-1"/>
        </w:rPr>
        <w:t>2010</w:t>
      </w:r>
      <w:r>
        <w:rPr>
          <w:spacing w:val="-1"/>
        </w:rPr>
        <w:t>年第五次临时股东大会决议及修改后的公司章程（草案），本公司</w:t>
      </w:r>
      <w:r>
        <w:rPr/>
        <w:t> 申请增加注册资本人民币</w:t>
      </w:r>
      <w:r>
        <w:rPr>
          <w:rFonts w:ascii="Times New Roman" w:hAnsi="Times New Roman" w:cs="Times New Roman" w:eastAsia="Times New Roman" w:hint="default"/>
        </w:rPr>
        <w:t>1,120.00</w:t>
      </w:r>
      <w:r>
        <w:rPr/>
        <w:t>万元，每股面值</w:t>
      </w:r>
      <w:r>
        <w:rPr>
          <w:rFonts w:ascii="Times New Roman" w:hAnsi="Times New Roman" w:cs="Times New Roman" w:eastAsia="Times New Roman" w:hint="default"/>
        </w:rPr>
        <w:t>1</w:t>
      </w:r>
      <w:r>
        <w:rPr/>
        <w:t>元，计增加股本</w:t>
      </w:r>
      <w:r>
        <w:rPr>
          <w:rFonts w:ascii="Times New Roman" w:hAnsi="Times New Roman" w:cs="Times New Roman" w:eastAsia="Times New Roman" w:hint="default"/>
        </w:rPr>
        <w:t>1,120.00</w:t>
      </w:r>
      <w:r>
        <w:rPr/>
        <w:t>万元。经中国证券监督管理委</w:t>
      </w:r>
      <w:r>
        <w:rPr>
          <w:spacing w:val="-41"/>
        </w:rPr>
        <w:t> </w:t>
      </w:r>
      <w:r>
        <w:rPr>
          <w:spacing w:val="-41"/>
        </w:rPr>
      </w:r>
      <w:r>
        <w:rPr/>
        <w:t>员会证监许可</w:t>
      </w:r>
      <w:r>
        <w:rPr>
          <w:rFonts w:ascii="Times New Roman" w:hAnsi="Times New Roman" w:cs="Times New Roman" w:eastAsia="Times New Roman" w:hint="default"/>
        </w:rPr>
        <w:t>[2011]1067</w:t>
      </w:r>
      <w:r>
        <w:rPr/>
        <w:t>号《关于核准郑州新开普电子股份有限公司首次公开发行股票并在创业板上市的</w:t>
      </w:r>
      <w:r>
        <w:rPr>
          <w:spacing w:val="-69"/>
        </w:rPr>
        <w:t> </w:t>
      </w:r>
      <w:r>
        <w:rPr>
          <w:spacing w:val="-2"/>
        </w:rPr>
        <w:t>批复》批准的发行方案，本公司于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20</w:t>
      </w:r>
      <w:r>
        <w:rPr>
          <w:spacing w:val="-2"/>
        </w:rPr>
        <w:t>日以公开发售方式发行</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1,120.00</w:t>
      </w:r>
      <w:r>
        <w:rPr>
          <w:spacing w:val="-2"/>
        </w:rPr>
        <w:t>万股，每股发行价格人</w:t>
      </w:r>
      <w:r>
        <w:rPr>
          <w:spacing w:val="-75"/>
        </w:rPr>
        <w:t> </w:t>
      </w:r>
      <w:r>
        <w:rPr>
          <w:spacing w:val="-75"/>
        </w:rPr>
      </w:r>
      <w:r>
        <w:rPr/>
        <w:t>民币</w:t>
      </w:r>
      <w:r>
        <w:rPr>
          <w:rFonts w:ascii="Times New Roman" w:hAnsi="Times New Roman" w:cs="Times New Roman" w:eastAsia="Times New Roman" w:hint="default"/>
        </w:rPr>
        <w:t>30.00</w:t>
      </w:r>
      <w:r>
        <w:rPr/>
        <w:t>元，募集资金总额</w:t>
      </w:r>
      <w:r>
        <w:rPr>
          <w:rFonts w:ascii="Times New Roman" w:hAnsi="Times New Roman" w:cs="Times New Roman" w:eastAsia="Times New Roman" w:hint="default"/>
        </w:rPr>
        <w:t>33,600.00</w:t>
      </w:r>
      <w:r>
        <w:rPr/>
        <w:t>万，扣除发行费用</w:t>
      </w:r>
      <w:r>
        <w:rPr>
          <w:rFonts w:ascii="Times New Roman" w:hAnsi="Times New Roman" w:cs="Times New Roman" w:eastAsia="Times New Roman" w:hint="default"/>
        </w:rPr>
        <w:t>3,697.34</w:t>
      </w:r>
      <w:r>
        <w:rPr/>
        <w:t>万后实际募集资金净额</w:t>
      </w:r>
      <w:r>
        <w:rPr>
          <w:rFonts w:ascii="Times New Roman" w:hAnsi="Times New Roman" w:cs="Times New Roman" w:eastAsia="Times New Roman" w:hint="default"/>
        </w:rPr>
        <w:t>29,902.66</w:t>
      </w:r>
      <w:r>
        <w:rPr/>
        <w:t>万，实际</w:t>
      </w:r>
      <w:r>
        <w:rPr>
          <w:spacing w:val="-95"/>
        </w:rPr>
        <w:t> </w:t>
      </w:r>
      <w:r>
        <w:rPr/>
        <w:t>募集资金与注册资本差额</w:t>
      </w:r>
      <w:r>
        <w:rPr>
          <w:rFonts w:ascii="Times New Roman" w:hAnsi="Times New Roman" w:cs="Times New Roman" w:eastAsia="Times New Roman" w:hint="default"/>
        </w:rPr>
        <w:t>28,782.66</w:t>
      </w:r>
      <w:r>
        <w:rPr/>
        <w:t>万元计入资本公积。公开发售结束后本公司股份为</w:t>
      </w:r>
      <w:r>
        <w:rPr>
          <w:rFonts w:ascii="Times New Roman" w:hAnsi="Times New Roman" w:cs="Times New Roman" w:eastAsia="Times New Roman" w:hint="default"/>
        </w:rPr>
        <w:t>4,460.00</w:t>
      </w:r>
      <w:r>
        <w:rPr/>
        <w:t>万股，变更</w:t>
      </w:r>
      <w:r>
        <w:rPr>
          <w:spacing w:val="-40"/>
        </w:rPr>
        <w:t> </w:t>
      </w:r>
      <w:r>
        <w:rPr/>
        <w:t>后的注册资本为</w:t>
      </w:r>
      <w:r>
        <w:rPr>
          <w:rFonts w:ascii="Times New Roman" w:hAnsi="Times New Roman" w:cs="Times New Roman" w:eastAsia="Times New Roman" w:hint="default"/>
        </w:rPr>
        <w:t>4,460.00</w:t>
      </w:r>
      <w:r>
        <w:rPr/>
        <w:t>万元，已经利安达会计师事务所有限责任公司审验，并出具利安达验字［</w:t>
      </w:r>
      <w:r>
        <w:rPr>
          <w:rFonts w:ascii="Times New Roman" w:hAnsi="Times New Roman" w:cs="Times New Roman" w:eastAsia="Times New Roman" w:hint="default"/>
        </w:rPr>
        <w:t>2011</w:t>
      </w:r>
      <w:r>
        <w:rPr/>
        <w:t>］</w:t>
      </w:r>
      <w:r>
        <w:rPr>
          <w:spacing w:val="-41"/>
        </w:rPr>
        <w:t> </w:t>
      </w:r>
      <w:r>
        <w:rPr/>
        <w:t>第</w:t>
      </w:r>
      <w:r>
        <w:rPr>
          <w:rFonts w:ascii="Times New Roman" w:hAnsi="Times New Roman" w:cs="Times New Roman" w:eastAsia="Times New Roman" w:hint="default"/>
        </w:rPr>
        <w:t>1067</w:t>
      </w:r>
      <w:r>
        <w:rPr/>
        <w:t>号验资报告。</w:t>
      </w:r>
    </w:p>
    <w:p>
      <w:pPr>
        <w:pStyle w:val="BodyText"/>
        <w:spacing w:line="240" w:lineRule="auto" w:before="35"/>
        <w:ind w:left="574" w:right="0"/>
        <w:jc w:val="left"/>
      </w:pPr>
      <w:r>
        <w:rPr/>
        <w:t>增加注册资本后，各股东认缴注册资本额和出资比例为：</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337"/>
        <w:gridCol w:w="2707"/>
        <w:gridCol w:w="1980"/>
      </w:tblGrid>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22"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36" w:right="0"/>
              <w:jc w:val="left"/>
              <w:rPr>
                <w:rFonts w:ascii="Times New Roman" w:hAnsi="Times New Roman" w:cs="Times New Roman" w:eastAsia="Times New Roman" w:hint="default"/>
                <w:sz w:val="21"/>
                <w:szCs w:val="21"/>
              </w:rPr>
            </w:pPr>
            <w:r>
              <w:rPr>
                <w:rFonts w:ascii="Times New Roman"/>
                <w:sz w:val="21"/>
              </w:rPr>
              <w:t>1,060.00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20" w:right="0"/>
              <w:jc w:val="left"/>
              <w:rPr>
                <w:rFonts w:ascii="Times New Roman" w:hAnsi="Times New Roman" w:cs="Times New Roman" w:eastAsia="Times New Roman" w:hint="default"/>
                <w:sz w:val="21"/>
                <w:szCs w:val="21"/>
              </w:rPr>
            </w:pPr>
            <w:r>
              <w:rPr>
                <w:rFonts w:ascii="Times New Roman"/>
                <w:sz w:val="21"/>
              </w:rPr>
              <w:t>23.7669</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无锡国联卓成创业投资有限公司</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6" w:right="0"/>
              <w:jc w:val="left"/>
              <w:rPr>
                <w:rFonts w:ascii="Times New Roman" w:hAnsi="Times New Roman" w:cs="Times New Roman" w:eastAsia="Times New Roman" w:hint="default"/>
                <w:sz w:val="21"/>
                <w:szCs w:val="21"/>
              </w:rPr>
            </w:pPr>
            <w:r>
              <w:rPr>
                <w:rFonts w:ascii="Times New Roman"/>
                <w:sz w:val="21"/>
              </w:rPr>
              <w:t>334.00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7.4888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5" w:right="0"/>
              <w:jc w:val="left"/>
              <w:rPr>
                <w:rFonts w:ascii="Times New Roman" w:hAnsi="Times New Roman" w:cs="Times New Roman" w:eastAsia="Times New Roman" w:hint="default"/>
                <w:sz w:val="21"/>
                <w:szCs w:val="21"/>
              </w:rPr>
            </w:pPr>
            <w:r>
              <w:rPr>
                <w:rFonts w:ascii="Times New Roman"/>
                <w:sz w:val="21"/>
              </w:rPr>
              <w:t>218.55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4.9003</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5" w:right="0"/>
              <w:jc w:val="left"/>
              <w:rPr>
                <w:rFonts w:ascii="Times New Roman" w:hAnsi="Times New Roman" w:cs="Times New Roman" w:eastAsia="Times New Roman" w:hint="default"/>
                <w:sz w:val="21"/>
                <w:szCs w:val="21"/>
              </w:rPr>
            </w:pPr>
            <w:r>
              <w:rPr>
                <w:rFonts w:ascii="Times New Roman"/>
                <w:sz w:val="21"/>
              </w:rPr>
              <w:t>210.45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4.7187</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5" w:right="0"/>
              <w:jc w:val="left"/>
              <w:rPr>
                <w:rFonts w:ascii="Times New Roman" w:hAnsi="Times New Roman" w:cs="Times New Roman" w:eastAsia="Times New Roman" w:hint="default"/>
                <w:sz w:val="21"/>
                <w:szCs w:val="21"/>
              </w:rPr>
            </w:pPr>
            <w:r>
              <w:rPr>
                <w:rFonts w:ascii="Times New Roman"/>
                <w:sz w:val="21"/>
              </w:rPr>
              <w:t>180.00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4.0359</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15" w:right="0"/>
              <w:jc w:val="left"/>
              <w:rPr>
                <w:rFonts w:ascii="Times New Roman" w:hAnsi="Times New Roman" w:cs="Times New Roman" w:eastAsia="Times New Roman" w:hint="default"/>
                <w:sz w:val="21"/>
                <w:szCs w:val="21"/>
              </w:rPr>
            </w:pPr>
            <w:r>
              <w:rPr>
                <w:rFonts w:ascii="Times New Roman"/>
                <w:sz w:val="21"/>
              </w:rPr>
              <w:t>180.00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1" w:right="0"/>
              <w:jc w:val="center"/>
              <w:rPr>
                <w:rFonts w:ascii="Times New Roman" w:hAnsi="Times New Roman" w:cs="Times New Roman" w:eastAsia="Times New Roman" w:hint="default"/>
                <w:sz w:val="21"/>
                <w:szCs w:val="21"/>
              </w:rPr>
            </w:pPr>
            <w:r>
              <w:rPr>
                <w:rFonts w:ascii="Times New Roman"/>
                <w:sz w:val="21"/>
              </w:rPr>
              <w:t>4.0359</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5" w:right="0"/>
              <w:jc w:val="left"/>
              <w:rPr>
                <w:rFonts w:ascii="Times New Roman" w:hAnsi="Times New Roman" w:cs="Times New Roman" w:eastAsia="Times New Roman" w:hint="default"/>
                <w:sz w:val="21"/>
                <w:szCs w:val="21"/>
              </w:rPr>
            </w:pPr>
            <w:r>
              <w:rPr>
                <w:rFonts w:ascii="Times New Roman"/>
                <w:sz w:val="21"/>
              </w:rPr>
              <w:t>180.00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4.0359</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5" w:right="0"/>
              <w:jc w:val="left"/>
              <w:rPr>
                <w:rFonts w:ascii="Times New Roman" w:hAnsi="Times New Roman" w:cs="Times New Roman" w:eastAsia="Times New Roman" w:hint="default"/>
                <w:sz w:val="21"/>
                <w:szCs w:val="21"/>
              </w:rPr>
            </w:pPr>
            <w:r>
              <w:rPr>
                <w:rFonts w:ascii="Times New Roman"/>
                <w:sz w:val="21"/>
              </w:rPr>
              <w:t>180.00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4.0359</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5" w:right="0"/>
              <w:jc w:val="left"/>
              <w:rPr>
                <w:rFonts w:ascii="Times New Roman" w:hAnsi="Times New Roman" w:cs="Times New Roman" w:eastAsia="Times New Roman" w:hint="default"/>
                <w:sz w:val="21"/>
                <w:szCs w:val="21"/>
              </w:rPr>
            </w:pPr>
            <w:r>
              <w:rPr>
                <w:rFonts w:ascii="Times New Roman"/>
                <w:sz w:val="21"/>
              </w:rPr>
              <w:t>180.00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4.0359</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5" w:right="0"/>
              <w:jc w:val="left"/>
              <w:rPr>
                <w:rFonts w:ascii="Times New Roman" w:hAnsi="Times New Roman" w:cs="Times New Roman" w:eastAsia="Times New Roman" w:hint="default"/>
                <w:sz w:val="21"/>
                <w:szCs w:val="21"/>
              </w:rPr>
            </w:pPr>
            <w:r>
              <w:rPr>
                <w:rFonts w:ascii="Times New Roman"/>
                <w:sz w:val="21"/>
              </w:rPr>
              <w:t>180.00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4.0359</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15" w:right="0"/>
              <w:jc w:val="left"/>
              <w:rPr>
                <w:rFonts w:ascii="Times New Roman" w:hAnsi="Times New Roman" w:cs="Times New Roman" w:eastAsia="Times New Roman" w:hint="default"/>
                <w:sz w:val="21"/>
                <w:szCs w:val="21"/>
              </w:rPr>
            </w:pPr>
            <w:r>
              <w:rPr>
                <w:rFonts w:ascii="Times New Roman"/>
                <w:sz w:val="21"/>
              </w:rPr>
              <w:t>180.00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4.0359</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吴凤辉</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67" w:right="0"/>
              <w:jc w:val="left"/>
              <w:rPr>
                <w:rFonts w:ascii="Times New Roman" w:hAnsi="Times New Roman" w:cs="Times New Roman" w:eastAsia="Times New Roman" w:hint="default"/>
                <w:sz w:val="21"/>
                <w:szCs w:val="21"/>
              </w:rPr>
            </w:pPr>
            <w:r>
              <w:rPr>
                <w:rFonts w:ascii="Times New Roman"/>
                <w:sz w:val="21"/>
              </w:rPr>
              <w:t>20.00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 w:right="0"/>
              <w:jc w:val="center"/>
              <w:rPr>
                <w:rFonts w:ascii="Times New Roman" w:hAnsi="Times New Roman" w:cs="Times New Roman" w:eastAsia="Times New Roman" w:hint="default"/>
                <w:sz w:val="21"/>
                <w:szCs w:val="21"/>
              </w:rPr>
            </w:pPr>
            <w:r>
              <w:rPr>
                <w:rFonts w:ascii="Times New Roman"/>
                <w:sz w:val="21"/>
              </w:rPr>
              <w:t>0.4486</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李永革</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67" w:right="0"/>
              <w:jc w:val="left"/>
              <w:rPr>
                <w:rFonts w:ascii="Times New Roman" w:hAnsi="Times New Roman" w:cs="Times New Roman" w:eastAsia="Times New Roman" w:hint="default"/>
                <w:sz w:val="21"/>
                <w:szCs w:val="21"/>
              </w:rPr>
            </w:pPr>
            <w:r>
              <w:rPr>
                <w:rFonts w:ascii="Times New Roman"/>
                <w:sz w:val="21"/>
              </w:rPr>
              <w:t>15.00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 w:right="0"/>
              <w:jc w:val="center"/>
              <w:rPr>
                <w:rFonts w:ascii="Times New Roman" w:hAnsi="Times New Roman" w:cs="Times New Roman" w:eastAsia="Times New Roman" w:hint="default"/>
                <w:sz w:val="21"/>
                <w:szCs w:val="21"/>
              </w:rPr>
            </w:pPr>
            <w:r>
              <w:rPr>
                <w:rFonts w:ascii="Times New Roman"/>
                <w:sz w:val="21"/>
              </w:rPr>
              <w:t>0.3364</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陈振亚</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67" w:right="0"/>
              <w:jc w:val="left"/>
              <w:rPr>
                <w:rFonts w:ascii="Times New Roman" w:hAnsi="Times New Roman" w:cs="Times New Roman" w:eastAsia="Times New Roman" w:hint="default"/>
                <w:sz w:val="21"/>
                <w:szCs w:val="21"/>
              </w:rPr>
            </w:pPr>
            <w:r>
              <w:rPr>
                <w:rFonts w:ascii="Times New Roman"/>
                <w:sz w:val="21"/>
              </w:rPr>
              <w:t>15.00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 w:right="0"/>
              <w:jc w:val="center"/>
              <w:rPr>
                <w:rFonts w:ascii="Times New Roman" w:hAnsi="Times New Roman" w:cs="Times New Roman" w:eastAsia="Times New Roman" w:hint="default"/>
                <w:sz w:val="21"/>
                <w:szCs w:val="21"/>
              </w:rPr>
            </w:pPr>
            <w:r>
              <w:rPr>
                <w:rFonts w:ascii="Times New Roman"/>
                <w:sz w:val="21"/>
              </w:rPr>
              <w:t>0.3364</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于照永</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67" w:right="0"/>
              <w:jc w:val="left"/>
              <w:rPr>
                <w:rFonts w:ascii="Times New Roman" w:hAnsi="Times New Roman" w:cs="Times New Roman" w:eastAsia="Times New Roman" w:hint="default"/>
                <w:sz w:val="21"/>
                <w:szCs w:val="21"/>
              </w:rPr>
            </w:pPr>
            <w:r>
              <w:rPr>
                <w:rFonts w:ascii="Times New Roman"/>
                <w:sz w:val="21"/>
              </w:rPr>
              <w:t>15.00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 w:right="0"/>
              <w:jc w:val="center"/>
              <w:rPr>
                <w:rFonts w:ascii="Times New Roman" w:hAnsi="Times New Roman" w:cs="Times New Roman" w:eastAsia="Times New Roman" w:hint="default"/>
                <w:sz w:val="21"/>
                <w:szCs w:val="21"/>
              </w:rPr>
            </w:pPr>
            <w:r>
              <w:rPr>
                <w:rFonts w:ascii="Times New Roman"/>
                <w:sz w:val="21"/>
              </w:rPr>
              <w:t>0.3364</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王卓</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67" w:right="0"/>
              <w:jc w:val="left"/>
              <w:rPr>
                <w:rFonts w:ascii="Times New Roman" w:hAnsi="Times New Roman" w:cs="Times New Roman" w:eastAsia="Times New Roman" w:hint="default"/>
                <w:sz w:val="21"/>
                <w:szCs w:val="21"/>
              </w:rPr>
            </w:pPr>
            <w:r>
              <w:rPr>
                <w:rFonts w:ascii="Times New Roman"/>
                <w:sz w:val="21"/>
              </w:rPr>
              <w:t>15.00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 w:right="0"/>
              <w:jc w:val="center"/>
              <w:rPr>
                <w:rFonts w:ascii="Times New Roman" w:hAnsi="Times New Roman" w:cs="Times New Roman" w:eastAsia="Times New Roman" w:hint="default"/>
                <w:sz w:val="21"/>
                <w:szCs w:val="21"/>
              </w:rPr>
            </w:pPr>
            <w:r>
              <w:rPr>
                <w:rFonts w:ascii="Times New Roman"/>
                <w:sz w:val="21"/>
              </w:rPr>
              <w:t>0.3364</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杨文寿</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67" w:right="0"/>
              <w:jc w:val="left"/>
              <w:rPr>
                <w:rFonts w:ascii="Times New Roman" w:hAnsi="Times New Roman" w:cs="Times New Roman" w:eastAsia="Times New Roman" w:hint="default"/>
                <w:sz w:val="21"/>
                <w:szCs w:val="21"/>
              </w:rPr>
            </w:pPr>
            <w:r>
              <w:rPr>
                <w:rFonts w:ascii="Times New Roman"/>
                <w:sz w:val="21"/>
              </w:rPr>
              <w:t>15.00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 w:right="0"/>
              <w:jc w:val="center"/>
              <w:rPr>
                <w:rFonts w:ascii="Times New Roman" w:hAnsi="Times New Roman" w:cs="Times New Roman" w:eastAsia="Times New Roman" w:hint="default"/>
                <w:sz w:val="21"/>
                <w:szCs w:val="21"/>
              </w:rPr>
            </w:pPr>
            <w:r>
              <w:rPr>
                <w:rFonts w:ascii="Times New Roman"/>
                <w:sz w:val="21"/>
              </w:rPr>
              <w:t>0.3364</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邵彦超</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67" w:right="0"/>
              <w:jc w:val="left"/>
              <w:rPr>
                <w:rFonts w:ascii="Times New Roman" w:hAnsi="Times New Roman" w:cs="Times New Roman" w:eastAsia="Times New Roman" w:hint="default"/>
                <w:sz w:val="21"/>
                <w:szCs w:val="21"/>
              </w:rPr>
            </w:pPr>
            <w:r>
              <w:rPr>
                <w:rFonts w:ascii="Times New Roman"/>
                <w:sz w:val="21"/>
              </w:rPr>
              <w:t>15.00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 w:right="0"/>
              <w:jc w:val="center"/>
              <w:rPr>
                <w:rFonts w:ascii="Times New Roman" w:hAnsi="Times New Roman" w:cs="Times New Roman" w:eastAsia="Times New Roman" w:hint="default"/>
                <w:sz w:val="21"/>
                <w:szCs w:val="21"/>
              </w:rPr>
            </w:pPr>
            <w:r>
              <w:rPr>
                <w:rFonts w:ascii="Times New Roman"/>
                <w:sz w:val="21"/>
              </w:rPr>
              <w:t>0.3364</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李文坚</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67" w:right="0"/>
              <w:jc w:val="left"/>
              <w:rPr>
                <w:rFonts w:ascii="Times New Roman" w:hAnsi="Times New Roman" w:cs="Times New Roman" w:eastAsia="Times New Roman" w:hint="default"/>
                <w:sz w:val="21"/>
                <w:szCs w:val="21"/>
              </w:rPr>
            </w:pPr>
            <w:r>
              <w:rPr>
                <w:rFonts w:ascii="Times New Roman"/>
                <w:sz w:val="21"/>
              </w:rPr>
              <w:t>15.00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 w:right="0"/>
              <w:jc w:val="center"/>
              <w:rPr>
                <w:rFonts w:ascii="Times New Roman" w:hAnsi="Times New Roman" w:cs="Times New Roman" w:eastAsia="Times New Roman" w:hint="default"/>
                <w:sz w:val="21"/>
                <w:szCs w:val="21"/>
              </w:rPr>
            </w:pPr>
            <w:r>
              <w:rPr>
                <w:rFonts w:ascii="Times New Roman"/>
                <w:sz w:val="21"/>
              </w:rPr>
              <w:t>0.3364</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张振京</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0" w:right="0"/>
              <w:jc w:val="left"/>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焦征海</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0" w:right="0"/>
              <w:jc w:val="left"/>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秦天福</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0" w:right="0"/>
              <w:jc w:val="left"/>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0.1121</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王勇军</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20" w:right="0"/>
              <w:jc w:val="left"/>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 w:right="0"/>
              <w:jc w:val="center"/>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韩雪</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20" w:right="0"/>
              <w:jc w:val="left"/>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1" w:right="0"/>
              <w:jc w:val="center"/>
              <w:rPr>
                <w:rFonts w:ascii="Times New Roman" w:hAnsi="Times New Roman" w:cs="Times New Roman" w:eastAsia="Times New Roman" w:hint="default"/>
                <w:sz w:val="21"/>
                <w:szCs w:val="21"/>
              </w:rPr>
            </w:pPr>
            <w:r>
              <w:rPr>
                <w:rFonts w:ascii="Times New Roman"/>
                <w:sz w:val="21"/>
              </w:rPr>
              <w:t>0.1121</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3337"/>
        <w:gridCol w:w="2707"/>
        <w:gridCol w:w="1980"/>
      </w:tblGrid>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张建英</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郭永旺</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苏扬鸣</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杨长昆</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陈卫国</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吴冠军</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马东亚</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沈延晓</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张翀</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王葆玲</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李军艳</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5" w:right="0"/>
              <w:jc w:val="center"/>
              <w:rPr>
                <w:rFonts w:ascii="Times New Roman" w:hAnsi="Times New Roman" w:cs="Times New Roman" w:eastAsia="Times New Roman" w:hint="default"/>
                <w:sz w:val="21"/>
                <w:szCs w:val="21"/>
              </w:rPr>
            </w:pPr>
            <w:r>
              <w:rPr>
                <w:rFonts w:ascii="Times New Roman"/>
                <w:sz w:val="21"/>
              </w:rPr>
              <w:t>5.00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9" w:right="0"/>
              <w:jc w:val="left"/>
              <w:rPr>
                <w:rFonts w:ascii="Times New Roman" w:hAnsi="Times New Roman" w:cs="Times New Roman" w:eastAsia="Times New Roman" w:hint="default"/>
                <w:sz w:val="21"/>
                <w:szCs w:val="21"/>
              </w:rPr>
            </w:pPr>
            <w:r>
              <w:rPr>
                <w:rFonts w:ascii="Times New Roman"/>
                <w:sz w:val="21"/>
              </w:rPr>
              <w:t>0.1121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张晋</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秦玉昆</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郭伍</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刘建新</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崔红松</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肖难</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陈传兵</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高永辉</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毕强伟</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关虎</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冯一新</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于滨</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丁广勇</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阎玉玺</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曾劲松</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马超锋</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徐亚飞</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彭勇平</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尚勤强</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华燚</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任海伦</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刘建军</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李江</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谢伟</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袁胜兵</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赵鑫</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5" w:right="0"/>
              <w:jc w:val="center"/>
              <w:rPr>
                <w:rFonts w:ascii="Times New Roman" w:hAnsi="Times New Roman" w:cs="Times New Roman" w:eastAsia="Times New Roman" w:hint="default"/>
                <w:sz w:val="21"/>
                <w:szCs w:val="21"/>
              </w:rPr>
            </w:pPr>
            <w:r>
              <w:rPr>
                <w:rFonts w:ascii="Times New Roman"/>
                <w:sz w:val="21"/>
              </w:rPr>
              <w:t>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0.0448</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720"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Times New Roman" w:hAnsi="Times New Roman" w:cs="Times New Roman" w:eastAsia="Times New Roman" w:hint="default"/>
                <w:sz w:val="21"/>
                <w:szCs w:val="21"/>
              </w:rPr>
              <w:t>A</w:t>
            </w:r>
            <w:r>
              <w:rPr>
                <w:rFonts w:ascii="宋体" w:hAnsi="宋体" w:cs="宋体" w:eastAsia="宋体" w:hint="default"/>
                <w:sz w:val="21"/>
                <w:szCs w:val="21"/>
              </w:rPr>
              <w:t>股股东</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6" w:right="0"/>
              <w:jc w:val="center"/>
              <w:rPr>
                <w:rFonts w:ascii="Times New Roman" w:hAnsi="Times New Roman" w:cs="Times New Roman" w:eastAsia="Times New Roman" w:hint="default"/>
                <w:sz w:val="21"/>
                <w:szCs w:val="21"/>
              </w:rPr>
            </w:pPr>
            <w:r>
              <w:rPr>
                <w:rFonts w:ascii="Times New Roman"/>
                <w:sz w:val="21"/>
              </w:rPr>
              <w:t>1,120.00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20" w:right="0"/>
              <w:jc w:val="left"/>
              <w:rPr>
                <w:rFonts w:ascii="Times New Roman" w:hAnsi="Times New Roman" w:cs="Times New Roman" w:eastAsia="Times New Roman" w:hint="default"/>
                <w:sz w:val="21"/>
                <w:szCs w:val="21"/>
              </w:rPr>
            </w:pPr>
            <w:r>
              <w:rPr>
                <w:rFonts w:ascii="Times New Roman"/>
                <w:sz w:val="21"/>
              </w:rPr>
              <w:t>25.1122</w:t>
            </w:r>
          </w:p>
        </w:tc>
      </w:tr>
      <w:tr>
        <w:trPr>
          <w:trHeight w:val="348"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4" w:right="0"/>
              <w:jc w:val="center"/>
              <w:rPr>
                <w:rFonts w:ascii="Times New Roman" w:hAnsi="Times New Roman" w:cs="Times New Roman" w:eastAsia="Times New Roman" w:hint="default"/>
                <w:sz w:val="21"/>
                <w:szCs w:val="21"/>
              </w:rPr>
            </w:pPr>
            <w:r>
              <w:rPr>
                <w:rFonts w:ascii="Times New Roman"/>
                <w:sz w:val="21"/>
              </w:rPr>
              <w:t>4,460.00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19" w:right="0"/>
              <w:jc w:val="lef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3"/>
        <w:ind w:left="574" w:right="532"/>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t>年增资</w:t>
      </w:r>
    </w:p>
    <w:p>
      <w:pPr>
        <w:pStyle w:val="BodyText"/>
        <w:spacing w:line="391" w:lineRule="auto" w:before="177"/>
        <w:ind w:right="188" w:firstLine="42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日，根据本公司</w:t>
      </w:r>
      <w:r>
        <w:rPr>
          <w:rFonts w:ascii="Times New Roman" w:hAnsi="Times New Roman" w:cs="Times New Roman" w:eastAsia="Times New Roman" w:hint="default"/>
          <w:spacing w:val="-1"/>
        </w:rPr>
        <w:t>2011</w:t>
      </w:r>
      <w:r>
        <w:rPr>
          <w:spacing w:val="-1"/>
        </w:rPr>
        <w:t>年年度股东大会决议和修改后章程的规定，公司申请增加注册资本人</w:t>
      </w:r>
      <w:r>
        <w:rPr/>
        <w:t> 民币</w:t>
      </w:r>
      <w:r>
        <w:rPr>
          <w:rFonts w:ascii="Times New Roman" w:hAnsi="Times New Roman" w:cs="Times New Roman" w:eastAsia="Times New Roman" w:hint="default"/>
        </w:rPr>
        <w:t>4,460.00</w:t>
      </w:r>
      <w:r>
        <w:rPr/>
        <w:t>万元，按每</w:t>
      </w:r>
      <w:r>
        <w:rPr>
          <w:rFonts w:ascii="Times New Roman" w:hAnsi="Times New Roman" w:cs="Times New Roman" w:eastAsia="Times New Roman" w:hint="default"/>
        </w:rPr>
        <w:t>10.00</w:t>
      </w:r>
      <w:r>
        <w:rPr/>
        <w:t>股转增</w:t>
      </w:r>
      <w:r>
        <w:rPr>
          <w:rFonts w:ascii="Times New Roman" w:hAnsi="Times New Roman" w:cs="Times New Roman" w:eastAsia="Times New Roman" w:hint="default"/>
        </w:rPr>
        <w:t>10.00</w:t>
      </w:r>
      <w:r>
        <w:rPr/>
        <w:t>股的比例，以资本公积向全体股东转增股份总额</w:t>
      </w:r>
      <w:r>
        <w:rPr>
          <w:rFonts w:ascii="Times New Roman" w:hAnsi="Times New Roman" w:cs="Times New Roman" w:eastAsia="Times New Roman" w:hint="default"/>
        </w:rPr>
        <w:t>4,460.00</w:t>
      </w:r>
      <w:r>
        <w:rPr/>
        <w:t>万股，</w:t>
      </w:r>
      <w:r>
        <w:rPr>
          <w:spacing w:val="-47"/>
        </w:rPr>
        <w:t> </w:t>
      </w:r>
      <w:r>
        <w:rPr/>
        <w:t>每股面值</w:t>
      </w:r>
      <w:r>
        <w:rPr>
          <w:rFonts w:ascii="Times New Roman" w:hAnsi="Times New Roman" w:cs="Times New Roman" w:eastAsia="Times New Roman" w:hint="default"/>
        </w:rPr>
        <w:t>1.00</w:t>
      </w:r>
      <w:r>
        <w:rPr/>
        <w:t>元，计增加股本</w:t>
      </w:r>
      <w:r>
        <w:rPr>
          <w:rFonts w:ascii="Times New Roman" w:hAnsi="Times New Roman" w:cs="Times New Roman" w:eastAsia="Times New Roman" w:hint="default"/>
        </w:rPr>
        <w:t>4,460.00</w:t>
      </w:r>
      <w:r>
        <w:rPr/>
        <w:t>万元，变更后的注册资本为人民币</w:t>
      </w:r>
      <w:r>
        <w:rPr>
          <w:rFonts w:ascii="Times New Roman" w:hAnsi="Times New Roman" w:cs="Times New Roman" w:eastAsia="Times New Roman" w:hint="default"/>
        </w:rPr>
        <w:t>8,920</w:t>
      </w:r>
      <w:r>
        <w:rPr/>
        <w:t>万元，已经利安达会计师事</w:t>
      </w:r>
      <w:r>
        <w:rPr>
          <w:spacing w:val="-39"/>
        </w:rPr>
        <w:t> </w:t>
      </w:r>
      <w:r>
        <w:rPr>
          <w:spacing w:val="-39"/>
        </w:rPr>
      </w:r>
      <w:r>
        <w:rPr/>
        <w:t>务所有限责任公司审验，并出具利安达验字［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1023</w:t>
      </w:r>
      <w:r>
        <w:rPr/>
        <w:t>号验资报告。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日，部分已解禁的</w:t>
      </w:r>
      <w:r>
        <w:rPr>
          <w:spacing w:val="-39"/>
        </w:rPr>
        <w:t> </w:t>
      </w:r>
      <w:r>
        <w:rPr>
          <w:spacing w:val="-39"/>
        </w:rPr>
      </w:r>
      <w:r>
        <w:rPr/>
        <w:t>外部个人股东、外部单位股东、员工股东出售其持有股份，该部分股份转入社会公众股股东，经变更后，</w:t>
      </w:r>
      <w:r>
        <w:rPr/>
        <w:t> 各股东认缴注册资本额和出资比例为：</w:t>
      </w:r>
    </w:p>
    <w:tbl>
      <w:tblPr>
        <w:tblW w:w="0" w:type="auto"/>
        <w:jc w:val="left"/>
        <w:tblInd w:w="146" w:type="dxa"/>
        <w:tblLayout w:type="fixed"/>
        <w:tblCellMar>
          <w:top w:w="0" w:type="dxa"/>
          <w:left w:w="0" w:type="dxa"/>
          <w:bottom w:w="0" w:type="dxa"/>
          <w:right w:w="0" w:type="dxa"/>
        </w:tblCellMar>
        <w:tblLook w:val="01E0"/>
      </w:tblPr>
      <w:tblGrid>
        <w:gridCol w:w="3066"/>
        <w:gridCol w:w="2708"/>
        <w:gridCol w:w="1981"/>
      </w:tblGrid>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107"/>
              <w:jc w:val="righ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pacing w:val="-1"/>
                <w:sz w:val="21"/>
              </w:rPr>
              <w:t>2,120.00</w:t>
            </w:r>
            <w:r>
              <w:rPr>
                <w:rFonts w:ascii="Times New Roman"/>
                <w:sz w:val="21"/>
              </w:rPr>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23.7668</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437.10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4.9002</w:t>
            </w:r>
          </w:p>
        </w:tc>
      </w:tr>
      <w:tr>
        <w:trPr>
          <w:trHeight w:val="348"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420.90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4.7186</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720"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360.00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360.00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360.00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360.00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360.00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48"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pacing w:val="-1"/>
                <w:sz w:val="21"/>
              </w:rPr>
              <w:t>360.00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720"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360.00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720"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Times New Roman" w:hAnsi="Times New Roman" w:cs="Times New Roman" w:eastAsia="Times New Roman" w:hint="default"/>
                <w:sz w:val="21"/>
                <w:szCs w:val="21"/>
              </w:rPr>
              <w:t>A</w:t>
            </w:r>
            <w:r>
              <w:rPr>
                <w:rFonts w:ascii="宋体" w:hAnsi="宋体" w:cs="宋体" w:eastAsia="宋体" w:hint="default"/>
                <w:sz w:val="21"/>
                <w:szCs w:val="21"/>
              </w:rPr>
              <w:t>股股东</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pacing w:val="-1"/>
                <w:sz w:val="21"/>
              </w:rPr>
              <w:t>3,422.00</w:t>
            </w:r>
            <w:r>
              <w:rPr>
                <w:rFonts w:ascii="Times New Roman"/>
                <w:sz w:val="21"/>
              </w:rPr>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38.3631</w:t>
            </w:r>
          </w:p>
        </w:tc>
      </w:tr>
      <w:tr>
        <w:trPr>
          <w:trHeight w:val="348"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1"/>
                <w:szCs w:val="21"/>
              </w:rPr>
            </w:pPr>
            <w:r>
              <w:rPr>
                <w:rFonts w:ascii="Times New Roman"/>
                <w:spacing w:val="-1"/>
                <w:sz w:val="21"/>
              </w:rPr>
              <w:t>8,920.00</w:t>
            </w:r>
            <w:r>
              <w:rPr>
                <w:rFonts w:ascii="Times New Roman"/>
                <w:sz w:val="21"/>
              </w:rPr>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pacing w:val="-1"/>
                <w:sz w:val="21"/>
              </w:rPr>
              <w:t>100.0000</w:t>
            </w:r>
            <w:r>
              <w:rPr>
                <w:rFonts w:ascii="Times New Roman"/>
                <w:sz w:val="21"/>
              </w:rPr>
            </w:r>
          </w:p>
        </w:tc>
      </w:tr>
    </w:tbl>
    <w:p>
      <w:pPr>
        <w:pStyle w:val="BodyText"/>
        <w:spacing w:line="386" w:lineRule="auto" w:before="61"/>
        <w:ind w:left="574" w:right="95" w:hanging="1"/>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2014</w:t>
      </w:r>
      <w:r>
        <w:rPr/>
        <w:t>年资本公积转增资本 </w:t>
      </w:r>
      <w:r>
        <w:rPr>
          <w:spacing w:val="-1"/>
        </w:rPr>
        <w:t>根据贵公司</w:t>
      </w:r>
      <w:r>
        <w:rPr>
          <w:rFonts w:ascii="Times New Roman" w:hAnsi="Times New Roman" w:cs="Times New Roman" w:eastAsia="Times New Roman" w:hint="default"/>
          <w:spacing w:val="-1"/>
        </w:rPr>
        <w:t>2013</w:t>
      </w:r>
      <w:r>
        <w:rPr>
          <w:spacing w:val="-1"/>
        </w:rPr>
        <w:t>年年度股东会决议及修改后章程的规定，公司申请增加注册资本人民币</w:t>
      </w:r>
      <w:r>
        <w:rPr>
          <w:rFonts w:ascii="Times New Roman" w:hAnsi="Times New Roman" w:cs="Times New Roman" w:eastAsia="Times New Roman" w:hint="default"/>
          <w:spacing w:val="-1"/>
        </w:rPr>
        <w:t>5,352.00</w:t>
      </w:r>
      <w:r>
        <w:rPr>
          <w:spacing w:val="-1"/>
        </w:rPr>
        <w:t>万元，</w:t>
      </w:r>
    </w:p>
    <w:p>
      <w:pPr>
        <w:pStyle w:val="BodyText"/>
        <w:spacing w:line="386" w:lineRule="auto" w:before="35"/>
        <w:ind w:right="95" w:hanging="1"/>
        <w:jc w:val="left"/>
      </w:pPr>
      <w:r>
        <w:rPr/>
        <w:pict>
          <v:shape style="position:absolute;margin-left:56.34pt;margin-top:68.793373pt;width:388.9pt;height:174.2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6"/>
                    <w:gridCol w:w="2708"/>
                    <w:gridCol w:w="1981"/>
                  </w:tblGrid>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07"/>
                          <w:jc w:val="righ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3,392.00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23.7668</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699.36</w:t>
                        </w:r>
                        <w:r>
                          <w:rPr>
                            <w:rFonts w:ascii="Times New Roman"/>
                            <w:sz w:val="21"/>
                          </w:rPr>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4.9002</w:t>
                        </w:r>
                        <w:r>
                          <w:rPr>
                            <w:rFonts w:ascii="Times New Roman"/>
                            <w:sz w:val="21"/>
                          </w:rPr>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673.44</w:t>
                        </w:r>
                        <w:r>
                          <w:rPr>
                            <w:rFonts w:ascii="Times New Roman"/>
                            <w:sz w:val="21"/>
                          </w:rPr>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4.7186</w:t>
                        </w:r>
                        <w:r>
                          <w:rPr>
                            <w:rFonts w:ascii="Times New Roman"/>
                            <w:sz w:val="21"/>
                          </w:rPr>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576</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4.0359</w:t>
                        </w:r>
                      </w:p>
                    </w:tc>
                  </w:tr>
                  <w:tr>
                    <w:trPr>
                      <w:trHeight w:val="348"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576</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20"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576</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576</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576</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4.0359</w:t>
                        </w:r>
                      </w:p>
                    </w:tc>
                  </w:tr>
                  <w:tr>
                    <w:trPr>
                      <w:trHeight w:val="348"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576</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4.0359</w:t>
                        </w:r>
                      </w:p>
                    </w:tc>
                  </w:tr>
                </w:tbl>
                <w:p>
                  <w:pPr/>
                </w:p>
              </w:txbxContent>
            </v:textbox>
            <w10:wrap type="none"/>
          </v:shape>
        </w:pict>
      </w:r>
      <w:r>
        <w:rPr/>
        <w:t>公司按每</w:t>
      </w:r>
      <w:r>
        <w:rPr>
          <w:rFonts w:ascii="Times New Roman" w:hAnsi="Times New Roman" w:cs="Times New Roman" w:eastAsia="Times New Roman" w:hint="default"/>
        </w:rPr>
        <w:t>10.00</w:t>
      </w:r>
      <w:r>
        <w:rPr/>
        <w:t>股转增</w:t>
      </w:r>
      <w:r>
        <w:rPr>
          <w:rFonts w:ascii="Times New Roman" w:hAnsi="Times New Roman" w:cs="Times New Roman" w:eastAsia="Times New Roman" w:hint="default"/>
        </w:rPr>
        <w:t>6.00</w:t>
      </w:r>
      <w:r>
        <w:rPr/>
        <w:t>股的比例，以资本公积向全体股东转增股份总额</w:t>
      </w:r>
      <w:r>
        <w:rPr>
          <w:rFonts w:ascii="Times New Roman" w:hAnsi="Times New Roman" w:cs="Times New Roman" w:eastAsia="Times New Roman" w:hint="default"/>
        </w:rPr>
        <w:t>5,352.00</w:t>
      </w:r>
      <w:r>
        <w:rPr/>
        <w:t>万股，每股面值</w:t>
      </w:r>
      <w:r>
        <w:rPr>
          <w:rFonts w:ascii="Times New Roman" w:hAnsi="Times New Roman" w:cs="Times New Roman" w:eastAsia="Times New Roman" w:hint="default"/>
        </w:rPr>
        <w:t>1</w:t>
      </w:r>
      <w:r>
        <w:rPr/>
        <w:t>元，共 </w:t>
      </w:r>
      <w:r>
        <w:rPr>
          <w:spacing w:val="-4"/>
        </w:rPr>
        <w:t>计增加股本</w:t>
      </w:r>
      <w:r>
        <w:rPr>
          <w:rFonts w:ascii="Times New Roman" w:hAnsi="Times New Roman" w:cs="Times New Roman" w:eastAsia="Times New Roman" w:hint="default"/>
          <w:spacing w:val="-4"/>
        </w:rPr>
        <w:t>5,352.00</w:t>
      </w:r>
      <w:r>
        <w:rPr>
          <w:spacing w:val="-4"/>
        </w:rPr>
        <w:t>万元，变更后的注册资本为人民币</w:t>
      </w:r>
      <w:r>
        <w:rPr>
          <w:rFonts w:ascii="Times New Roman" w:hAnsi="Times New Roman" w:cs="Times New Roman" w:eastAsia="Times New Roman" w:hint="default"/>
          <w:spacing w:val="-4"/>
        </w:rPr>
        <w:t>14,272</w:t>
      </w:r>
      <w:r>
        <w:rPr>
          <w:spacing w:val="-4"/>
        </w:rPr>
        <w:t>万元，已经立信会计师事务所（特殊普通合伙）</w:t>
      </w:r>
      <w:r>
        <w:rPr>
          <w:spacing w:val="-74"/>
        </w:rPr>
        <w:t> </w:t>
      </w:r>
      <w:r>
        <w:rPr>
          <w:spacing w:val="-74"/>
        </w:rPr>
      </w:r>
      <w:r>
        <w:rPr>
          <w:spacing w:val="-3"/>
        </w:rPr>
        <w:t>审验，并出具信会师报字【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710997</w:t>
      </w:r>
      <w:r>
        <w:rPr>
          <w:spacing w:val="-3"/>
        </w:rPr>
        <w:t>号验资报告。经变更后，各股东认缴注册资本额和出资比例为：</w:t>
      </w:r>
    </w:p>
    <w:p>
      <w:pPr>
        <w:spacing w:after="0" w:line="386" w:lineRule="auto"/>
        <w:jc w:val="left"/>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066"/>
        <w:gridCol w:w="2708"/>
        <w:gridCol w:w="1981"/>
      </w:tblGrid>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576</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4.0359</w:t>
            </w:r>
          </w:p>
        </w:tc>
      </w:tr>
      <w:tr>
        <w:trPr>
          <w:trHeight w:val="347"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720"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Times New Roman" w:hAnsi="Times New Roman" w:cs="Times New Roman" w:eastAsia="Times New Roman" w:hint="default"/>
                <w:sz w:val="21"/>
                <w:szCs w:val="21"/>
              </w:rPr>
              <w:t>A</w:t>
            </w:r>
            <w:r>
              <w:rPr>
                <w:rFonts w:ascii="宋体" w:hAnsi="宋体" w:cs="宋体" w:eastAsia="宋体" w:hint="default"/>
                <w:sz w:val="21"/>
                <w:szCs w:val="21"/>
              </w:rPr>
              <w:t>股股东</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5,475.20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38.3631</w:t>
            </w:r>
          </w:p>
        </w:tc>
      </w:tr>
      <w:tr>
        <w:trPr>
          <w:trHeight w:val="348" w:hRule="exact"/>
        </w:trPr>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14,272.00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100.0000</w:t>
            </w:r>
          </w:p>
        </w:tc>
      </w:tr>
    </w:tbl>
    <w:p>
      <w:pPr>
        <w:pStyle w:val="Heading3"/>
        <w:spacing w:line="276" w:lineRule="exact"/>
        <w:ind w:left="656"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合并财务报表范围</w:t>
      </w:r>
      <w:r>
        <w:rPr>
          <w:b w:val="0"/>
          <w:bCs w:val="0"/>
        </w:rPr>
      </w:r>
    </w:p>
    <w:p>
      <w:pPr>
        <w:pStyle w:val="BodyText"/>
        <w:spacing w:line="240" w:lineRule="auto" w:before="99"/>
        <w:ind w:left="649"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pStyle w:val="Heading3"/>
        <w:spacing w:line="386" w:lineRule="auto" w:before="177"/>
        <w:ind w:left="566" w:right="6828" w:hanging="1"/>
        <w:jc w:val="left"/>
        <w:rPr>
          <w:b w:val="0"/>
          <w:bCs w:val="0"/>
        </w:rPr>
      </w:pPr>
      <w:r>
        <w:rPr>
          <w:rFonts w:ascii="Times New Roman" w:hAnsi="Times New Roman" w:cs="Times New Roman" w:eastAsia="Times New Roman" w:hint="default"/>
        </w:rPr>
        <w:t>1</w:t>
      </w:r>
      <w:r>
        <w:rPr/>
        <w:t>、子公司情况</w:t>
      </w:r>
      <w:r>
        <w:rPr>
          <w:w w:val="99"/>
        </w:rPr>
        <w:t> </w:t>
      </w:r>
      <w:r>
        <w:rPr/>
        <w:t>通过设立方式取得的子公司</w:t>
      </w:r>
      <w:r>
        <w:rPr>
          <w:b w:val="0"/>
          <w:bCs w:val="0"/>
        </w:rPr>
      </w:r>
    </w:p>
    <w:tbl>
      <w:tblPr>
        <w:tblW w:w="0" w:type="auto"/>
        <w:jc w:val="left"/>
        <w:tblInd w:w="137" w:type="dxa"/>
        <w:tblLayout w:type="fixed"/>
        <w:tblCellMar>
          <w:top w:w="0" w:type="dxa"/>
          <w:left w:w="0" w:type="dxa"/>
          <w:bottom w:w="0" w:type="dxa"/>
          <w:right w:w="0" w:type="dxa"/>
        </w:tblCellMar>
        <w:tblLook w:val="01E0"/>
      </w:tblPr>
      <w:tblGrid>
        <w:gridCol w:w="811"/>
        <w:gridCol w:w="569"/>
        <w:gridCol w:w="571"/>
        <w:gridCol w:w="582"/>
        <w:gridCol w:w="636"/>
        <w:gridCol w:w="900"/>
        <w:gridCol w:w="630"/>
        <w:gridCol w:w="713"/>
        <w:gridCol w:w="536"/>
        <w:gridCol w:w="538"/>
        <w:gridCol w:w="497"/>
        <w:gridCol w:w="858"/>
        <w:gridCol w:w="654"/>
        <w:gridCol w:w="1160"/>
      </w:tblGrid>
      <w:tr>
        <w:trPr>
          <w:trHeight w:val="330" w:hRule="exact"/>
        </w:trPr>
        <w:tc>
          <w:tcPr>
            <w:tcW w:w="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7" w:right="0"/>
              <w:jc w:val="left"/>
              <w:rPr>
                <w:rFonts w:ascii="宋体" w:hAnsi="宋体" w:cs="宋体" w:eastAsia="宋体" w:hint="default"/>
                <w:sz w:val="18"/>
                <w:szCs w:val="18"/>
              </w:rPr>
            </w:pPr>
            <w:r>
              <w:rPr>
                <w:rFonts w:ascii="宋体" w:hAnsi="宋体" w:cs="宋体" w:eastAsia="宋体" w:hint="default"/>
                <w:sz w:val="18"/>
                <w:szCs w:val="18"/>
              </w:rPr>
              <w:t>子公司全</w:t>
            </w:r>
          </w:p>
        </w:tc>
        <w:tc>
          <w:tcPr>
            <w:tcW w:w="56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5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业务</w:t>
            </w:r>
          </w:p>
        </w:tc>
        <w:tc>
          <w:tcPr>
            <w:tcW w:w="6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hAnsi="宋体" w:cs="宋体" w:eastAsia="宋体" w:hint="default"/>
                <w:sz w:val="18"/>
                <w:szCs w:val="18"/>
              </w:rPr>
              <w:t>注册资</w:t>
            </w:r>
          </w:p>
        </w:tc>
        <w:tc>
          <w:tcPr>
            <w:tcW w:w="9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8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6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6"/>
              <w:jc w:val="right"/>
              <w:rPr>
                <w:rFonts w:ascii="宋体" w:hAnsi="宋体" w:cs="宋体" w:eastAsia="宋体" w:hint="default"/>
                <w:sz w:val="18"/>
                <w:szCs w:val="18"/>
              </w:rPr>
            </w:pPr>
            <w:r>
              <w:rPr>
                <w:rFonts w:ascii="宋体" w:hAnsi="宋体" w:cs="宋体" w:eastAsia="宋体" w:hint="default"/>
                <w:sz w:val="18"/>
                <w:szCs w:val="18"/>
              </w:rPr>
              <w:t>期末实</w:t>
            </w:r>
          </w:p>
        </w:tc>
        <w:tc>
          <w:tcPr>
            <w:tcW w:w="7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实质上</w:t>
            </w:r>
          </w:p>
        </w:tc>
        <w:tc>
          <w:tcPr>
            <w:tcW w:w="5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5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4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是否</w:t>
            </w:r>
          </w:p>
        </w:tc>
        <w:tc>
          <w:tcPr>
            <w:tcW w:w="8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60"/>
              <w:jc w:val="right"/>
              <w:rPr>
                <w:rFonts w:ascii="宋体" w:hAnsi="宋体" w:cs="宋体" w:eastAsia="宋体" w:hint="default"/>
                <w:sz w:val="18"/>
                <w:szCs w:val="18"/>
              </w:rPr>
            </w:pPr>
            <w:r>
              <w:rPr>
                <w:rFonts w:ascii="宋体" w:hAnsi="宋体" w:cs="宋体" w:eastAsia="宋体" w:hint="default"/>
                <w:sz w:val="18"/>
                <w:szCs w:val="18"/>
              </w:rPr>
              <w:t>少数股东</w:t>
            </w:r>
          </w:p>
        </w:tc>
        <w:tc>
          <w:tcPr>
            <w:tcW w:w="6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48"/>
              <w:jc w:val="right"/>
              <w:rPr>
                <w:rFonts w:ascii="宋体" w:hAnsi="宋体" w:cs="宋体" w:eastAsia="宋体" w:hint="default"/>
                <w:sz w:val="18"/>
                <w:szCs w:val="18"/>
              </w:rPr>
            </w:pPr>
            <w:r>
              <w:rPr>
                <w:rFonts w:ascii="宋体" w:hAnsi="宋体" w:cs="宋体" w:eastAsia="宋体" w:hint="default"/>
                <w:sz w:val="18"/>
                <w:szCs w:val="18"/>
              </w:rPr>
              <w:t>少数股</w:t>
            </w: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从母公司所有</w:t>
            </w:r>
          </w:p>
        </w:tc>
      </w:tr>
      <w:tr>
        <w:trPr>
          <w:trHeight w:val="312" w:hRule="exact"/>
        </w:trPr>
        <w:tc>
          <w:tcPr>
            <w:tcW w:w="81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56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hAnsi="宋体" w:cs="宋体" w:eastAsia="宋体" w:hint="default"/>
                <w:sz w:val="18"/>
                <w:szCs w:val="18"/>
              </w:rPr>
              <w:t>本（万</w:t>
            </w:r>
          </w:p>
        </w:tc>
        <w:tc>
          <w:tcPr>
            <w:tcW w:w="900" w:type="dxa"/>
            <w:tcBorders>
              <w:top w:val="nil" w:sz="6" w:space="0" w:color="auto"/>
              <w:left w:val="single" w:sz="6" w:space="0" w:color="000000"/>
              <w:bottom w:val="nil" w:sz="6" w:space="0" w:color="auto"/>
              <w:right w:val="single" w:sz="6" w:space="0" w:color="000000"/>
            </w:tcBorders>
          </w:tcPr>
          <w:p>
            <w:pPr/>
          </w:p>
        </w:tc>
        <w:tc>
          <w:tcPr>
            <w:tcW w:w="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hAnsi="宋体" w:cs="宋体" w:eastAsia="宋体" w:hint="default"/>
                <w:sz w:val="18"/>
                <w:szCs w:val="18"/>
              </w:rPr>
              <w:t>际出资</w:t>
            </w:r>
          </w:p>
        </w:tc>
        <w:tc>
          <w:tcPr>
            <w:tcW w:w="7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构成对</w:t>
            </w:r>
          </w:p>
        </w:tc>
        <w:tc>
          <w:tcPr>
            <w:tcW w:w="5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hAnsi="宋体" w:cs="宋体" w:eastAsia="宋体" w:hint="default"/>
                <w:sz w:val="18"/>
                <w:szCs w:val="18"/>
              </w:rPr>
              <w:t>权比</w:t>
            </w:r>
          </w:p>
        </w:tc>
        <w:tc>
          <w:tcPr>
            <w:tcW w:w="4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8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权益（元</w:t>
            </w:r>
          </w:p>
        </w:tc>
        <w:tc>
          <w:tcPr>
            <w:tcW w:w="6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36" w:right="48"/>
              <w:jc w:val="right"/>
              <w:rPr>
                <w:rFonts w:ascii="宋体" w:hAnsi="宋体" w:cs="宋体" w:eastAsia="宋体" w:hint="default"/>
                <w:sz w:val="18"/>
                <w:szCs w:val="18"/>
              </w:rPr>
            </w:pPr>
            <w:r>
              <w:rPr>
                <w:rFonts w:ascii="宋体" w:hAnsi="宋体" w:cs="宋体" w:eastAsia="宋体" w:hint="default"/>
                <w:sz w:val="18"/>
                <w:szCs w:val="18"/>
              </w:rPr>
              <w:t>）东权益</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者权益冲减子</w:t>
            </w:r>
          </w:p>
        </w:tc>
      </w:tr>
      <w:tr>
        <w:trPr>
          <w:trHeight w:val="317" w:hRule="exact"/>
        </w:trPr>
        <w:tc>
          <w:tcPr>
            <w:tcW w:w="811" w:type="dxa"/>
            <w:tcBorders>
              <w:top w:val="nil" w:sz="6" w:space="0" w:color="auto"/>
              <w:left w:val="single" w:sz="6" w:space="0" w:color="000000"/>
              <w:bottom w:val="nil" w:sz="6" w:space="0" w:color="auto"/>
              <w:right w:val="single" w:sz="6" w:space="0" w:color="000000"/>
            </w:tcBorders>
          </w:tcPr>
          <w:p>
            <w:pP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nil" w:sz="6" w:space="0" w:color="auto"/>
              <w:left w:val="single" w:sz="6" w:space="0" w:color="000000"/>
              <w:bottom w:val="nil" w:sz="6" w:space="0" w:color="auto"/>
              <w:right w:val="single" w:sz="6" w:space="0" w:color="000000"/>
            </w:tcBorders>
          </w:tcPr>
          <w:p>
            <w:pPr/>
          </w:p>
        </w:tc>
        <w:tc>
          <w:tcPr>
            <w:tcW w:w="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hAnsi="宋体" w:cs="宋体" w:eastAsia="宋体" w:hint="default"/>
                <w:sz w:val="18"/>
                <w:szCs w:val="18"/>
              </w:rPr>
              <w:t>额（万</w:t>
            </w:r>
          </w:p>
        </w:tc>
        <w:tc>
          <w:tcPr>
            <w:tcW w:w="7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36"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125" w:right="0"/>
              <w:jc w:val="left"/>
              <w:rPr>
                <w:rFonts w:ascii="Times New Roman" w:hAnsi="Times New Roman" w:cs="Times New Roman" w:eastAsia="Times New Roman" w:hint="default"/>
                <w:sz w:val="18"/>
                <w:szCs w:val="18"/>
              </w:rPr>
            </w:pPr>
            <w:r>
              <w:rPr>
                <w:rFonts w:ascii="Times New Roman"/>
                <w:sz w:val="18"/>
              </w:rPr>
              <w:t>(%)</w:t>
            </w:r>
          </w:p>
        </w:tc>
        <w:tc>
          <w:tcPr>
            <w:tcW w:w="5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4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报表</w:t>
            </w:r>
          </w:p>
        </w:tc>
        <w:tc>
          <w:tcPr>
            <w:tcW w:w="858" w:type="dxa"/>
            <w:tcBorders>
              <w:top w:val="nil" w:sz="6" w:space="0" w:color="auto"/>
              <w:left w:val="single" w:sz="6" w:space="0" w:color="000000"/>
              <w:bottom w:val="nil" w:sz="6" w:space="0" w:color="auto"/>
              <w:right w:val="single" w:sz="6" w:space="0" w:color="000000"/>
            </w:tcBorders>
          </w:tcPr>
          <w:p>
            <w:pPr/>
          </w:p>
        </w:tc>
        <w:tc>
          <w:tcPr>
            <w:tcW w:w="6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hAnsi="宋体" w:cs="宋体" w:eastAsia="宋体" w:hint="default"/>
                <w:sz w:val="18"/>
                <w:szCs w:val="18"/>
              </w:rPr>
              <w:t>中用于</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公司少数股东</w:t>
            </w:r>
          </w:p>
        </w:tc>
      </w:tr>
      <w:tr>
        <w:trPr>
          <w:trHeight w:val="307" w:hRule="exact"/>
        </w:trPr>
        <w:tc>
          <w:tcPr>
            <w:tcW w:w="811" w:type="dxa"/>
            <w:tcBorders>
              <w:top w:val="nil" w:sz="6" w:space="0" w:color="auto"/>
              <w:left w:val="single" w:sz="6" w:space="0" w:color="000000"/>
              <w:bottom w:val="nil" w:sz="6" w:space="0" w:color="auto"/>
              <w:right w:val="single" w:sz="6" w:space="0" w:color="000000"/>
            </w:tcBorders>
          </w:tcPr>
          <w:p>
            <w:pP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3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1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净投资</w:t>
            </w: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
        </w:tc>
        <w:tc>
          <w:tcPr>
            <w:tcW w:w="65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48"/>
              <w:jc w:val="right"/>
              <w:rPr>
                <w:rFonts w:ascii="宋体" w:hAnsi="宋体" w:cs="宋体" w:eastAsia="宋体" w:hint="default"/>
                <w:sz w:val="18"/>
                <w:szCs w:val="18"/>
              </w:rPr>
            </w:pPr>
            <w:r>
              <w:rPr>
                <w:rFonts w:ascii="宋体" w:hAnsi="宋体" w:cs="宋体" w:eastAsia="宋体" w:hint="default"/>
                <w:sz w:val="18"/>
                <w:szCs w:val="18"/>
              </w:rPr>
              <w:t>冲减少</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分担的本期亏</w:t>
            </w:r>
          </w:p>
        </w:tc>
      </w:tr>
      <w:tr>
        <w:trPr>
          <w:trHeight w:val="312" w:hRule="exact"/>
        </w:trPr>
        <w:tc>
          <w:tcPr>
            <w:tcW w:w="811" w:type="dxa"/>
            <w:tcBorders>
              <w:top w:val="nil" w:sz="6" w:space="0" w:color="auto"/>
              <w:left w:val="single" w:sz="6" w:space="0" w:color="000000"/>
              <w:bottom w:val="nil" w:sz="6" w:space="0" w:color="auto"/>
              <w:right w:val="single" w:sz="6" w:space="0" w:color="000000"/>
            </w:tcBorders>
          </w:tcPr>
          <w:p>
            <w:pP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30" w:type="dxa"/>
            <w:tcBorders>
              <w:top w:val="nil" w:sz="6" w:space="0" w:color="auto"/>
              <w:left w:val="single" w:sz="6" w:space="0" w:color="000000"/>
              <w:bottom w:val="nil" w:sz="6" w:space="0" w:color="auto"/>
              <w:right w:val="single" w:sz="6" w:space="0" w:color="000000"/>
            </w:tcBorders>
          </w:tcPr>
          <w:p>
            <w:pPr/>
          </w:p>
        </w:tc>
        <w:tc>
          <w:tcPr>
            <w:tcW w:w="7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的其他</w:t>
            </w: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
        </w:tc>
        <w:tc>
          <w:tcPr>
            <w:tcW w:w="6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hAnsi="宋体" w:cs="宋体" w:eastAsia="宋体" w:hint="default"/>
                <w:sz w:val="18"/>
                <w:szCs w:val="18"/>
              </w:rPr>
              <w:t>数股东</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损超过少数股</w:t>
            </w:r>
          </w:p>
        </w:tc>
      </w:tr>
      <w:tr>
        <w:trPr>
          <w:trHeight w:val="312" w:hRule="exact"/>
        </w:trPr>
        <w:tc>
          <w:tcPr>
            <w:tcW w:w="811" w:type="dxa"/>
            <w:tcBorders>
              <w:top w:val="nil" w:sz="6" w:space="0" w:color="auto"/>
              <w:left w:val="single" w:sz="6" w:space="0" w:color="000000"/>
              <w:bottom w:val="nil" w:sz="6" w:space="0" w:color="auto"/>
              <w:right w:val="single" w:sz="6" w:space="0" w:color="000000"/>
            </w:tcBorders>
          </w:tcPr>
          <w:p>
            <w:pP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30" w:type="dxa"/>
            <w:tcBorders>
              <w:top w:val="nil" w:sz="6" w:space="0" w:color="auto"/>
              <w:left w:val="single" w:sz="6" w:space="0" w:color="000000"/>
              <w:bottom w:val="nil" w:sz="6" w:space="0" w:color="auto"/>
              <w:right w:val="single" w:sz="6" w:space="0" w:color="000000"/>
            </w:tcBorders>
          </w:tcPr>
          <w:p>
            <w:pPr/>
          </w:p>
        </w:tc>
        <w:tc>
          <w:tcPr>
            <w:tcW w:w="7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项目余</w:t>
            </w: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
        </w:tc>
        <w:tc>
          <w:tcPr>
            <w:tcW w:w="6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hAnsi="宋体" w:cs="宋体" w:eastAsia="宋体" w:hint="default"/>
                <w:sz w:val="18"/>
                <w:szCs w:val="18"/>
              </w:rPr>
              <w:t>损益的</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东在该子公司</w:t>
            </w:r>
          </w:p>
        </w:tc>
      </w:tr>
      <w:tr>
        <w:trPr>
          <w:trHeight w:val="312" w:hRule="exact"/>
        </w:trPr>
        <w:tc>
          <w:tcPr>
            <w:tcW w:w="811" w:type="dxa"/>
            <w:tcBorders>
              <w:top w:val="nil" w:sz="6" w:space="0" w:color="auto"/>
              <w:left w:val="single" w:sz="6" w:space="0" w:color="000000"/>
              <w:bottom w:val="nil" w:sz="6" w:space="0" w:color="auto"/>
              <w:right w:val="single" w:sz="6" w:space="0" w:color="000000"/>
            </w:tcBorders>
          </w:tcPr>
          <w:p>
            <w:pP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30" w:type="dxa"/>
            <w:tcBorders>
              <w:top w:val="nil" w:sz="6" w:space="0" w:color="auto"/>
              <w:left w:val="single" w:sz="6" w:space="0" w:color="000000"/>
              <w:bottom w:val="nil" w:sz="6" w:space="0" w:color="auto"/>
              <w:right w:val="single" w:sz="6" w:space="0" w:color="000000"/>
            </w:tcBorders>
          </w:tcPr>
          <w:p>
            <w:pPr/>
          </w:p>
        </w:tc>
        <w:tc>
          <w:tcPr>
            <w:tcW w:w="7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
        </w:tc>
        <w:tc>
          <w:tcPr>
            <w:tcW w:w="6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期初所有者权</w:t>
            </w:r>
          </w:p>
        </w:tc>
      </w:tr>
      <w:tr>
        <w:trPr>
          <w:trHeight w:val="312" w:hRule="exact"/>
        </w:trPr>
        <w:tc>
          <w:tcPr>
            <w:tcW w:w="811" w:type="dxa"/>
            <w:tcBorders>
              <w:top w:val="nil" w:sz="6" w:space="0" w:color="auto"/>
              <w:left w:val="single" w:sz="6" w:space="0" w:color="000000"/>
              <w:bottom w:val="nil" w:sz="6" w:space="0" w:color="auto"/>
              <w:right w:val="single" w:sz="6" w:space="0" w:color="000000"/>
            </w:tcBorders>
          </w:tcPr>
          <w:p>
            <w:pP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30" w:type="dxa"/>
            <w:tcBorders>
              <w:top w:val="nil" w:sz="6" w:space="0" w:color="auto"/>
              <w:left w:val="single" w:sz="6" w:space="0" w:color="000000"/>
              <w:bottom w:val="nil" w:sz="6" w:space="0" w:color="auto"/>
              <w:right w:val="single" w:sz="6" w:space="0" w:color="000000"/>
            </w:tcBorders>
          </w:tcPr>
          <w:p>
            <w:pPr/>
          </w:p>
        </w:tc>
        <w:tc>
          <w:tcPr>
            <w:tcW w:w="713" w:type="dxa"/>
            <w:tcBorders>
              <w:top w:val="nil" w:sz="6" w:space="0" w:color="auto"/>
              <w:left w:val="single" w:sz="6" w:space="0" w:color="000000"/>
              <w:bottom w:val="nil" w:sz="6" w:space="0" w:color="auto"/>
              <w:right w:val="single" w:sz="6" w:space="0" w:color="000000"/>
            </w:tcBorders>
          </w:tcPr>
          <w:p>
            <w:pP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
        </w:tc>
        <w:tc>
          <w:tcPr>
            <w:tcW w:w="654"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益中所享有份</w:t>
            </w:r>
          </w:p>
        </w:tc>
      </w:tr>
      <w:tr>
        <w:trPr>
          <w:trHeight w:val="329" w:hRule="exact"/>
        </w:trPr>
        <w:tc>
          <w:tcPr>
            <w:tcW w:w="811" w:type="dxa"/>
            <w:tcBorders>
              <w:top w:val="nil" w:sz="6" w:space="0" w:color="auto"/>
              <w:left w:val="single" w:sz="6" w:space="0" w:color="000000"/>
              <w:bottom w:val="single" w:sz="6" w:space="0" w:color="000000"/>
              <w:right w:val="single" w:sz="6" w:space="0" w:color="000000"/>
            </w:tcBorders>
          </w:tcPr>
          <w:p>
            <w:pPr/>
          </w:p>
        </w:tc>
        <w:tc>
          <w:tcPr>
            <w:tcW w:w="569" w:type="dxa"/>
            <w:tcBorders>
              <w:top w:val="nil" w:sz="6" w:space="0" w:color="auto"/>
              <w:left w:val="single" w:sz="6" w:space="0" w:color="000000"/>
              <w:bottom w:val="single" w:sz="6" w:space="0" w:color="000000"/>
              <w:right w:val="single" w:sz="6" w:space="0" w:color="000000"/>
            </w:tcBorders>
          </w:tcPr>
          <w:p>
            <w:pPr/>
          </w:p>
        </w:tc>
        <w:tc>
          <w:tcPr>
            <w:tcW w:w="571" w:type="dxa"/>
            <w:tcBorders>
              <w:top w:val="nil" w:sz="6" w:space="0" w:color="auto"/>
              <w:left w:val="single" w:sz="6" w:space="0" w:color="000000"/>
              <w:bottom w:val="single" w:sz="6" w:space="0" w:color="000000"/>
              <w:right w:val="single" w:sz="6" w:space="0" w:color="000000"/>
            </w:tcBorders>
          </w:tcPr>
          <w:p>
            <w:pPr/>
          </w:p>
        </w:tc>
        <w:tc>
          <w:tcPr>
            <w:tcW w:w="582" w:type="dxa"/>
            <w:tcBorders>
              <w:top w:val="nil" w:sz="6" w:space="0" w:color="auto"/>
              <w:left w:val="single" w:sz="6" w:space="0" w:color="000000"/>
              <w:bottom w:val="single" w:sz="6" w:space="0" w:color="000000"/>
              <w:right w:val="single" w:sz="6" w:space="0" w:color="000000"/>
            </w:tcBorders>
          </w:tcPr>
          <w:p>
            <w:pPr/>
          </w:p>
        </w:tc>
        <w:tc>
          <w:tcPr>
            <w:tcW w:w="636"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630" w:type="dxa"/>
            <w:tcBorders>
              <w:top w:val="nil" w:sz="6" w:space="0" w:color="auto"/>
              <w:left w:val="single" w:sz="6" w:space="0" w:color="000000"/>
              <w:bottom w:val="single" w:sz="6" w:space="0" w:color="000000"/>
              <w:right w:val="single" w:sz="6" w:space="0" w:color="000000"/>
            </w:tcBorders>
          </w:tcPr>
          <w:p>
            <w:pPr/>
          </w:p>
        </w:tc>
        <w:tc>
          <w:tcPr>
            <w:tcW w:w="713" w:type="dxa"/>
            <w:tcBorders>
              <w:top w:val="nil" w:sz="6" w:space="0" w:color="auto"/>
              <w:left w:val="single" w:sz="6" w:space="0" w:color="000000"/>
              <w:bottom w:val="single" w:sz="6" w:space="0" w:color="000000"/>
              <w:right w:val="single" w:sz="6" w:space="0" w:color="000000"/>
            </w:tcBorders>
          </w:tcPr>
          <w:p>
            <w:pPr/>
          </w:p>
        </w:tc>
        <w:tc>
          <w:tcPr>
            <w:tcW w:w="536" w:type="dxa"/>
            <w:tcBorders>
              <w:top w:val="nil" w:sz="6" w:space="0" w:color="auto"/>
              <w:left w:val="single" w:sz="6" w:space="0" w:color="000000"/>
              <w:bottom w:val="single" w:sz="6" w:space="0" w:color="000000"/>
              <w:right w:val="single" w:sz="6" w:space="0" w:color="000000"/>
            </w:tcBorders>
          </w:tcPr>
          <w:p>
            <w:pPr/>
          </w:p>
        </w:tc>
        <w:tc>
          <w:tcPr>
            <w:tcW w:w="538" w:type="dxa"/>
            <w:tcBorders>
              <w:top w:val="nil" w:sz="6" w:space="0" w:color="auto"/>
              <w:left w:val="single" w:sz="6" w:space="0" w:color="000000"/>
              <w:bottom w:val="single" w:sz="6" w:space="0" w:color="000000"/>
              <w:right w:val="single" w:sz="6" w:space="0" w:color="000000"/>
            </w:tcBorders>
          </w:tcPr>
          <w:p>
            <w:pPr/>
          </w:p>
        </w:tc>
        <w:tc>
          <w:tcPr>
            <w:tcW w:w="497" w:type="dxa"/>
            <w:tcBorders>
              <w:top w:val="nil" w:sz="6" w:space="0" w:color="auto"/>
              <w:left w:val="single" w:sz="6" w:space="0" w:color="000000"/>
              <w:bottom w:val="single" w:sz="6" w:space="0" w:color="000000"/>
              <w:right w:val="single" w:sz="6" w:space="0" w:color="000000"/>
            </w:tcBorders>
          </w:tcPr>
          <w:p>
            <w:pPr/>
          </w:p>
        </w:tc>
        <w:tc>
          <w:tcPr>
            <w:tcW w:w="858" w:type="dxa"/>
            <w:tcBorders>
              <w:top w:val="nil" w:sz="6" w:space="0" w:color="auto"/>
              <w:left w:val="single" w:sz="6" w:space="0" w:color="000000"/>
              <w:bottom w:val="single" w:sz="6" w:space="0" w:color="000000"/>
              <w:right w:val="single" w:sz="6" w:space="0" w:color="000000"/>
            </w:tcBorders>
          </w:tcPr>
          <w:p>
            <w:pPr/>
          </w:p>
        </w:tc>
        <w:tc>
          <w:tcPr>
            <w:tcW w:w="654"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334" w:hRule="exact"/>
        </w:trPr>
        <w:tc>
          <w:tcPr>
            <w:tcW w:w="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22"/>
              <w:jc w:val="left"/>
              <w:rPr>
                <w:rFonts w:ascii="宋体" w:hAnsi="宋体" w:cs="宋体" w:eastAsia="宋体" w:hint="default"/>
                <w:sz w:val="18"/>
                <w:szCs w:val="18"/>
              </w:rPr>
            </w:pPr>
            <w:r>
              <w:rPr>
                <w:rFonts w:ascii="宋体" w:hAnsi="宋体" w:cs="宋体" w:eastAsia="宋体" w:hint="default"/>
                <w:spacing w:val="18"/>
                <w:sz w:val="18"/>
                <w:szCs w:val="18"/>
              </w:rPr>
              <w:t>福建新开</w:t>
            </w:r>
            <w:r>
              <w:rPr>
                <w:rFonts w:ascii="宋体" w:hAnsi="宋体" w:cs="宋体" w:eastAsia="宋体" w:hint="default"/>
                <w:spacing w:val="-66"/>
                <w:sz w:val="18"/>
                <w:szCs w:val="18"/>
              </w:rPr>
              <w:t> </w:t>
            </w:r>
            <w:r>
              <w:rPr>
                <w:rFonts w:ascii="宋体" w:hAnsi="宋体" w:cs="宋体" w:eastAsia="宋体" w:hint="default"/>
                <w:sz w:val="18"/>
                <w:szCs w:val="18"/>
              </w:rPr>
            </w:r>
          </w:p>
        </w:tc>
        <w:tc>
          <w:tcPr>
            <w:tcW w:w="56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有限责</w:t>
            </w:r>
          </w:p>
        </w:tc>
        <w:tc>
          <w:tcPr>
            <w:tcW w:w="5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1"/>
              <w:jc w:val="center"/>
              <w:rPr>
                <w:rFonts w:ascii="宋体" w:hAnsi="宋体" w:cs="宋体" w:eastAsia="宋体" w:hint="default"/>
                <w:sz w:val="18"/>
                <w:szCs w:val="18"/>
              </w:rPr>
            </w:pPr>
            <w:r>
              <w:rPr>
                <w:rFonts w:ascii="宋体" w:hAnsi="宋体" w:cs="宋体" w:eastAsia="宋体" w:hint="default"/>
                <w:sz w:val="18"/>
                <w:szCs w:val="18"/>
              </w:rPr>
              <w:t>福州市</w:t>
            </w:r>
          </w:p>
        </w:tc>
        <w:tc>
          <w:tcPr>
            <w:tcW w:w="5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9"/>
              <w:jc w:val="center"/>
              <w:rPr>
                <w:rFonts w:ascii="宋体" w:hAnsi="宋体" w:cs="宋体" w:eastAsia="宋体" w:hint="default"/>
                <w:sz w:val="18"/>
                <w:szCs w:val="18"/>
              </w:rPr>
            </w:pPr>
            <w:r>
              <w:rPr>
                <w:rFonts w:ascii="宋体" w:hAnsi="宋体" w:cs="宋体" w:eastAsia="宋体" w:hint="default"/>
                <w:spacing w:val="10"/>
                <w:sz w:val="18"/>
                <w:szCs w:val="18"/>
              </w:rPr>
              <w:t>软件和</w:t>
            </w:r>
            <w:r>
              <w:rPr>
                <w:rFonts w:ascii="宋体" w:hAnsi="宋体" w:cs="宋体" w:eastAsia="宋体" w:hint="default"/>
                <w:sz w:val="18"/>
                <w:szCs w:val="18"/>
              </w:rPr>
            </w:r>
          </w:p>
        </w:tc>
        <w:tc>
          <w:tcPr>
            <w:tcW w:w="6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3,000.0</w:t>
            </w:r>
          </w:p>
        </w:tc>
        <w:tc>
          <w:tcPr>
            <w:tcW w:w="9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智能化系</w:t>
            </w:r>
          </w:p>
        </w:tc>
        <w:tc>
          <w:tcPr>
            <w:tcW w:w="6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1,530.0</w:t>
            </w:r>
          </w:p>
        </w:tc>
        <w:tc>
          <w:tcPr>
            <w:tcW w:w="713" w:type="dxa"/>
            <w:vMerge w:val="restart"/>
            <w:tcBorders>
              <w:top w:val="single" w:sz="6" w:space="0" w:color="000000"/>
              <w:left w:val="single" w:sz="6" w:space="0" w:color="000000"/>
              <w:right w:val="single" w:sz="6" w:space="0" w:color="000000"/>
            </w:tcBorders>
          </w:tcPr>
          <w:p>
            <w:pPr/>
          </w:p>
        </w:tc>
        <w:tc>
          <w:tcPr>
            <w:tcW w:w="5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115" w:right="0"/>
              <w:jc w:val="left"/>
              <w:rPr>
                <w:rFonts w:ascii="Times New Roman" w:hAnsi="Times New Roman" w:cs="Times New Roman" w:eastAsia="Times New Roman" w:hint="default"/>
                <w:sz w:val="18"/>
                <w:szCs w:val="18"/>
              </w:rPr>
            </w:pPr>
            <w:r>
              <w:rPr>
                <w:rFonts w:ascii="Times New Roman"/>
                <w:sz w:val="18"/>
              </w:rPr>
              <w:t>51.00</w:t>
            </w:r>
          </w:p>
        </w:tc>
        <w:tc>
          <w:tcPr>
            <w:tcW w:w="4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8" w:type="dxa"/>
            <w:tcBorders>
              <w:top w:val="single" w:sz="6" w:space="0" w:color="000000"/>
              <w:left w:val="single" w:sz="6" w:space="0" w:color="000000"/>
              <w:bottom w:val="nil" w:sz="6" w:space="0" w:color="auto"/>
              <w:right w:val="single" w:sz="6" w:space="0" w:color="000000"/>
            </w:tcBorders>
          </w:tcPr>
          <w:p>
            <w:pPr/>
          </w:p>
        </w:tc>
        <w:tc>
          <w:tcPr>
            <w:tcW w:w="654" w:type="dxa"/>
            <w:vMerge w:val="restart"/>
            <w:tcBorders>
              <w:top w:val="single" w:sz="6" w:space="0" w:color="000000"/>
              <w:left w:val="single" w:sz="6" w:space="0" w:color="000000"/>
              <w:right w:val="single" w:sz="6" w:space="0" w:color="000000"/>
            </w:tcBorders>
          </w:tcPr>
          <w:p>
            <w:pPr/>
          </w:p>
        </w:tc>
        <w:tc>
          <w:tcPr>
            <w:tcW w:w="1160" w:type="dxa"/>
            <w:vMerge w:val="restart"/>
            <w:tcBorders>
              <w:top w:val="single" w:sz="6" w:space="0" w:color="000000"/>
              <w:left w:val="single" w:sz="6" w:space="0" w:color="000000"/>
              <w:right w:val="single" w:sz="6" w:space="0" w:color="000000"/>
            </w:tcBorders>
          </w:tcPr>
          <w:p>
            <w:pPr/>
          </w:p>
        </w:tc>
      </w:tr>
      <w:tr>
        <w:trPr>
          <w:trHeight w:val="312" w:hRule="exact"/>
        </w:trPr>
        <w:tc>
          <w:tcPr>
            <w:tcW w:w="81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22"/>
              <w:jc w:val="left"/>
              <w:rPr>
                <w:rFonts w:ascii="宋体" w:hAnsi="宋体" w:cs="宋体" w:eastAsia="宋体" w:hint="default"/>
                <w:sz w:val="18"/>
                <w:szCs w:val="18"/>
              </w:rPr>
            </w:pPr>
            <w:r>
              <w:rPr>
                <w:rFonts w:ascii="宋体" w:hAnsi="宋体" w:cs="宋体" w:eastAsia="宋体" w:hint="default"/>
                <w:spacing w:val="18"/>
                <w:sz w:val="18"/>
                <w:szCs w:val="18"/>
              </w:rPr>
              <w:t>普信息科</w:t>
            </w:r>
            <w:r>
              <w:rPr>
                <w:rFonts w:ascii="宋体" w:hAnsi="宋体" w:cs="宋体" w:eastAsia="宋体" w:hint="default"/>
                <w:spacing w:val="-66"/>
                <w:sz w:val="18"/>
                <w:szCs w:val="18"/>
              </w:rPr>
              <w:t> </w:t>
            </w:r>
            <w:r>
              <w:rPr>
                <w:rFonts w:ascii="宋体" w:hAnsi="宋体" w:cs="宋体" w:eastAsia="宋体" w:hint="default"/>
                <w:sz w:val="18"/>
                <w:szCs w:val="18"/>
              </w:rPr>
            </w:r>
          </w:p>
        </w:tc>
        <w:tc>
          <w:tcPr>
            <w:tcW w:w="56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任公司</w:t>
            </w: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9"/>
              <w:jc w:val="center"/>
              <w:rPr>
                <w:rFonts w:ascii="宋体" w:hAnsi="宋体" w:cs="宋体" w:eastAsia="宋体" w:hint="default"/>
                <w:sz w:val="18"/>
                <w:szCs w:val="18"/>
              </w:rPr>
            </w:pPr>
            <w:r>
              <w:rPr>
                <w:rFonts w:ascii="宋体" w:hAnsi="宋体" w:cs="宋体" w:eastAsia="宋体" w:hint="default"/>
                <w:spacing w:val="10"/>
                <w:sz w:val="18"/>
                <w:szCs w:val="18"/>
              </w:rPr>
              <w:t>信息技</w:t>
            </w:r>
            <w:r>
              <w:rPr>
                <w:rFonts w:ascii="宋体" w:hAnsi="宋体" w:cs="宋体" w:eastAsia="宋体" w:hint="default"/>
                <w:sz w:val="18"/>
                <w:szCs w:val="18"/>
              </w:rPr>
            </w:r>
          </w:p>
        </w:tc>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统及相关</w:t>
            </w:r>
          </w:p>
        </w:tc>
        <w:tc>
          <w:tcPr>
            <w:tcW w:w="630"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z w:val="18"/>
              </w:rPr>
              <w:t>0</w:t>
            </w:r>
          </w:p>
        </w:tc>
        <w:tc>
          <w:tcPr>
            <w:tcW w:w="713" w:type="dxa"/>
            <w:vMerge/>
            <w:tcBorders>
              <w:left w:val="single" w:sz="6" w:space="0" w:color="000000"/>
              <w:right w:val="single" w:sz="6" w:space="0" w:color="000000"/>
            </w:tcBorders>
          </w:tcPr>
          <w:p>
            <w:pP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z w:val="18"/>
              </w:rPr>
              <w:t>14,774,089</w:t>
            </w:r>
          </w:p>
        </w:tc>
        <w:tc>
          <w:tcPr>
            <w:tcW w:w="654"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r>
      <w:tr>
        <w:trPr>
          <w:trHeight w:val="312" w:hRule="exact"/>
        </w:trPr>
        <w:tc>
          <w:tcPr>
            <w:tcW w:w="81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22"/>
              <w:jc w:val="left"/>
              <w:rPr>
                <w:rFonts w:ascii="宋体" w:hAnsi="宋体" w:cs="宋体" w:eastAsia="宋体" w:hint="default"/>
                <w:sz w:val="18"/>
                <w:szCs w:val="18"/>
              </w:rPr>
            </w:pPr>
            <w:r>
              <w:rPr>
                <w:rFonts w:ascii="宋体" w:hAnsi="宋体" w:cs="宋体" w:eastAsia="宋体" w:hint="default"/>
                <w:spacing w:val="18"/>
                <w:sz w:val="18"/>
                <w:szCs w:val="18"/>
              </w:rPr>
              <w:t>技有限公</w:t>
            </w:r>
            <w:r>
              <w:rPr>
                <w:rFonts w:ascii="宋体" w:hAnsi="宋体" w:cs="宋体" w:eastAsia="宋体" w:hint="default"/>
                <w:spacing w:val="-66"/>
                <w:sz w:val="18"/>
                <w:szCs w:val="18"/>
              </w:rPr>
              <w:t> </w:t>
            </w:r>
            <w:r>
              <w:rPr>
                <w:rFonts w:ascii="宋体" w:hAnsi="宋体" w:cs="宋体" w:eastAsia="宋体" w:hint="default"/>
                <w:sz w:val="18"/>
                <w:szCs w:val="18"/>
              </w:rPr>
            </w: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8"/>
              <w:jc w:val="center"/>
              <w:rPr>
                <w:rFonts w:ascii="宋体" w:hAnsi="宋体" w:cs="宋体" w:eastAsia="宋体" w:hint="default"/>
                <w:sz w:val="18"/>
                <w:szCs w:val="18"/>
              </w:rPr>
            </w:pPr>
            <w:r>
              <w:rPr>
                <w:rFonts w:ascii="宋体" w:hAnsi="宋体" w:cs="宋体" w:eastAsia="宋体" w:hint="default"/>
                <w:sz w:val="18"/>
                <w:szCs w:val="18"/>
              </w:rPr>
              <w:t>术服务</w:t>
            </w:r>
          </w:p>
        </w:tc>
        <w:tc>
          <w:tcPr>
            <w:tcW w:w="636"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计算机软</w:t>
            </w:r>
          </w:p>
        </w:tc>
        <w:tc>
          <w:tcPr>
            <w:tcW w:w="630" w:type="dxa"/>
            <w:tcBorders>
              <w:top w:val="nil" w:sz="6" w:space="0" w:color="auto"/>
              <w:left w:val="single" w:sz="6" w:space="0" w:color="000000"/>
              <w:bottom w:val="nil" w:sz="6" w:space="0" w:color="auto"/>
              <w:right w:val="single" w:sz="6" w:space="0" w:color="000000"/>
            </w:tcBorders>
          </w:tcPr>
          <w:p>
            <w:pPr/>
          </w:p>
        </w:tc>
        <w:tc>
          <w:tcPr>
            <w:tcW w:w="713" w:type="dxa"/>
            <w:vMerge/>
            <w:tcBorders>
              <w:left w:val="single" w:sz="6" w:space="0" w:color="000000"/>
              <w:right w:val="single" w:sz="6" w:space="0" w:color="000000"/>
            </w:tcBorders>
          </w:tcPr>
          <w:p>
            <w:pP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.39</w:t>
            </w:r>
          </w:p>
        </w:tc>
        <w:tc>
          <w:tcPr>
            <w:tcW w:w="654"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r>
      <w:tr>
        <w:trPr>
          <w:trHeight w:val="308" w:hRule="exact"/>
        </w:trPr>
        <w:tc>
          <w:tcPr>
            <w:tcW w:w="81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硬件的开</w:t>
            </w:r>
          </w:p>
        </w:tc>
        <w:tc>
          <w:tcPr>
            <w:tcW w:w="630" w:type="dxa"/>
            <w:tcBorders>
              <w:top w:val="nil" w:sz="6" w:space="0" w:color="auto"/>
              <w:left w:val="single" w:sz="6" w:space="0" w:color="000000"/>
              <w:bottom w:val="nil" w:sz="6" w:space="0" w:color="auto"/>
              <w:right w:val="single" w:sz="6" w:space="0" w:color="000000"/>
            </w:tcBorders>
          </w:tcPr>
          <w:p>
            <w:pPr/>
          </w:p>
        </w:tc>
        <w:tc>
          <w:tcPr>
            <w:tcW w:w="713" w:type="dxa"/>
            <w:vMerge/>
            <w:tcBorders>
              <w:left w:val="single" w:sz="6" w:space="0" w:color="000000"/>
              <w:right w:val="single" w:sz="6" w:space="0" w:color="000000"/>
            </w:tcBorders>
          </w:tcPr>
          <w:p>
            <w:pP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
        </w:tc>
        <w:tc>
          <w:tcPr>
            <w:tcW w:w="654"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r>
      <w:tr>
        <w:trPr>
          <w:trHeight w:val="312" w:hRule="exact"/>
        </w:trPr>
        <w:tc>
          <w:tcPr>
            <w:tcW w:w="811" w:type="dxa"/>
            <w:tcBorders>
              <w:top w:val="nil" w:sz="6" w:space="0" w:color="auto"/>
              <w:left w:val="single" w:sz="6" w:space="0" w:color="000000"/>
              <w:bottom w:val="nil" w:sz="6" w:space="0" w:color="auto"/>
              <w:right w:val="single" w:sz="6" w:space="0" w:color="000000"/>
            </w:tcBorders>
          </w:tcPr>
          <w:p>
            <w:pPr/>
          </w:p>
        </w:tc>
        <w:tc>
          <w:tcPr>
            <w:tcW w:w="569"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582" w:type="dxa"/>
            <w:tcBorders>
              <w:top w:val="nil" w:sz="6" w:space="0" w:color="auto"/>
              <w:left w:val="single" w:sz="6" w:space="0" w:color="000000"/>
              <w:bottom w:val="nil" w:sz="6" w:space="0" w:color="auto"/>
              <w:right w:val="single" w:sz="6" w:space="0" w:color="000000"/>
            </w:tcBorders>
          </w:tcPr>
          <w:p>
            <w:pPr/>
          </w:p>
        </w:tc>
        <w:tc>
          <w:tcPr>
            <w:tcW w:w="636"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发及应用</w:t>
            </w:r>
          </w:p>
        </w:tc>
        <w:tc>
          <w:tcPr>
            <w:tcW w:w="630" w:type="dxa"/>
            <w:tcBorders>
              <w:top w:val="nil" w:sz="6" w:space="0" w:color="auto"/>
              <w:left w:val="single" w:sz="6" w:space="0" w:color="000000"/>
              <w:bottom w:val="nil" w:sz="6" w:space="0" w:color="auto"/>
              <w:right w:val="single" w:sz="6" w:space="0" w:color="000000"/>
            </w:tcBorders>
          </w:tcPr>
          <w:p>
            <w:pPr/>
          </w:p>
        </w:tc>
        <w:tc>
          <w:tcPr>
            <w:tcW w:w="713" w:type="dxa"/>
            <w:vMerge/>
            <w:tcBorders>
              <w:left w:val="single" w:sz="6" w:space="0" w:color="000000"/>
              <w:right w:val="single" w:sz="6" w:space="0" w:color="000000"/>
            </w:tcBorders>
          </w:tcPr>
          <w:p>
            <w:pPr/>
          </w:p>
        </w:tc>
        <w:tc>
          <w:tcPr>
            <w:tcW w:w="536" w:type="dxa"/>
            <w:tcBorders>
              <w:top w:val="nil" w:sz="6" w:space="0" w:color="auto"/>
              <w:left w:val="single" w:sz="6" w:space="0" w:color="000000"/>
              <w:bottom w:val="nil" w:sz="6" w:space="0" w:color="auto"/>
              <w:right w:val="single" w:sz="6" w:space="0" w:color="000000"/>
            </w:tcBorders>
          </w:tcPr>
          <w:p>
            <w:pPr/>
          </w:p>
        </w:tc>
        <w:tc>
          <w:tcPr>
            <w:tcW w:w="538" w:type="dxa"/>
            <w:tcBorders>
              <w:top w:val="nil" w:sz="6" w:space="0" w:color="auto"/>
              <w:left w:val="single" w:sz="6" w:space="0" w:color="000000"/>
              <w:bottom w:val="nil" w:sz="6" w:space="0" w:color="auto"/>
              <w:right w:val="single" w:sz="6" w:space="0" w:color="000000"/>
            </w:tcBorders>
          </w:tcPr>
          <w:p>
            <w:pPr/>
          </w:p>
        </w:tc>
        <w:tc>
          <w:tcPr>
            <w:tcW w:w="497" w:type="dxa"/>
            <w:tcBorders>
              <w:top w:val="nil" w:sz="6" w:space="0" w:color="auto"/>
              <w:left w:val="single" w:sz="6" w:space="0" w:color="000000"/>
              <w:bottom w:val="nil" w:sz="6" w:space="0" w:color="auto"/>
              <w:right w:val="single" w:sz="6" w:space="0" w:color="000000"/>
            </w:tcBorders>
          </w:tcPr>
          <w:p>
            <w:pPr/>
          </w:p>
        </w:tc>
        <w:tc>
          <w:tcPr>
            <w:tcW w:w="858" w:type="dxa"/>
            <w:tcBorders>
              <w:top w:val="nil" w:sz="6" w:space="0" w:color="auto"/>
              <w:left w:val="single" w:sz="6" w:space="0" w:color="000000"/>
              <w:bottom w:val="nil" w:sz="6" w:space="0" w:color="auto"/>
              <w:right w:val="single" w:sz="6" w:space="0" w:color="000000"/>
            </w:tcBorders>
          </w:tcPr>
          <w:p>
            <w:pPr/>
          </w:p>
        </w:tc>
        <w:tc>
          <w:tcPr>
            <w:tcW w:w="654" w:type="dxa"/>
            <w:vMerge/>
            <w:tcBorders>
              <w:left w:val="single" w:sz="6" w:space="0" w:color="000000"/>
              <w:right w:val="single" w:sz="6" w:space="0" w:color="000000"/>
            </w:tcBorders>
          </w:tcPr>
          <w:p>
            <w:pPr/>
          </w:p>
        </w:tc>
        <w:tc>
          <w:tcPr>
            <w:tcW w:w="1160" w:type="dxa"/>
            <w:vMerge/>
            <w:tcBorders>
              <w:left w:val="single" w:sz="6" w:space="0" w:color="000000"/>
              <w:right w:val="single" w:sz="6" w:space="0" w:color="000000"/>
            </w:tcBorders>
          </w:tcPr>
          <w:p>
            <w:pPr/>
          </w:p>
        </w:tc>
      </w:tr>
      <w:tr>
        <w:trPr>
          <w:trHeight w:val="330" w:hRule="exact"/>
        </w:trPr>
        <w:tc>
          <w:tcPr>
            <w:tcW w:w="811" w:type="dxa"/>
            <w:tcBorders>
              <w:top w:val="nil" w:sz="6" w:space="0" w:color="auto"/>
              <w:left w:val="single" w:sz="6" w:space="0" w:color="000000"/>
              <w:bottom w:val="single" w:sz="6" w:space="0" w:color="000000"/>
              <w:right w:val="single" w:sz="6" w:space="0" w:color="000000"/>
            </w:tcBorders>
          </w:tcPr>
          <w:p>
            <w:pPr/>
          </w:p>
        </w:tc>
        <w:tc>
          <w:tcPr>
            <w:tcW w:w="569" w:type="dxa"/>
            <w:tcBorders>
              <w:top w:val="nil" w:sz="6" w:space="0" w:color="auto"/>
              <w:left w:val="single" w:sz="6" w:space="0" w:color="000000"/>
              <w:bottom w:val="single" w:sz="6" w:space="0" w:color="000000"/>
              <w:right w:val="single" w:sz="6" w:space="0" w:color="000000"/>
            </w:tcBorders>
          </w:tcPr>
          <w:p>
            <w:pPr/>
          </w:p>
        </w:tc>
        <w:tc>
          <w:tcPr>
            <w:tcW w:w="571" w:type="dxa"/>
            <w:tcBorders>
              <w:top w:val="nil" w:sz="6" w:space="0" w:color="auto"/>
              <w:left w:val="single" w:sz="6" w:space="0" w:color="000000"/>
              <w:bottom w:val="single" w:sz="6" w:space="0" w:color="000000"/>
              <w:right w:val="single" w:sz="6" w:space="0" w:color="000000"/>
            </w:tcBorders>
          </w:tcPr>
          <w:p>
            <w:pPr/>
          </w:p>
        </w:tc>
        <w:tc>
          <w:tcPr>
            <w:tcW w:w="582" w:type="dxa"/>
            <w:tcBorders>
              <w:top w:val="nil" w:sz="6" w:space="0" w:color="auto"/>
              <w:left w:val="single" w:sz="6" w:space="0" w:color="000000"/>
              <w:bottom w:val="single" w:sz="6" w:space="0" w:color="000000"/>
              <w:right w:val="single" w:sz="6" w:space="0" w:color="000000"/>
            </w:tcBorders>
          </w:tcPr>
          <w:p>
            <w:pPr/>
          </w:p>
        </w:tc>
        <w:tc>
          <w:tcPr>
            <w:tcW w:w="636"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30" w:type="dxa"/>
            <w:tcBorders>
              <w:top w:val="nil" w:sz="6" w:space="0" w:color="auto"/>
              <w:left w:val="single" w:sz="6" w:space="0" w:color="000000"/>
              <w:bottom w:val="single" w:sz="6" w:space="0" w:color="000000"/>
              <w:right w:val="single" w:sz="6" w:space="0" w:color="000000"/>
            </w:tcBorders>
          </w:tcPr>
          <w:p>
            <w:pPr/>
          </w:p>
        </w:tc>
        <w:tc>
          <w:tcPr>
            <w:tcW w:w="713" w:type="dxa"/>
            <w:vMerge/>
            <w:tcBorders>
              <w:left w:val="single" w:sz="6" w:space="0" w:color="000000"/>
              <w:bottom w:val="single" w:sz="6" w:space="0" w:color="000000"/>
              <w:right w:val="single" w:sz="6" w:space="0" w:color="000000"/>
            </w:tcBorders>
          </w:tcPr>
          <w:p>
            <w:pPr/>
          </w:p>
        </w:tc>
        <w:tc>
          <w:tcPr>
            <w:tcW w:w="536" w:type="dxa"/>
            <w:tcBorders>
              <w:top w:val="nil" w:sz="6" w:space="0" w:color="auto"/>
              <w:left w:val="single" w:sz="6" w:space="0" w:color="000000"/>
              <w:bottom w:val="single" w:sz="6" w:space="0" w:color="000000"/>
              <w:right w:val="single" w:sz="6" w:space="0" w:color="000000"/>
            </w:tcBorders>
          </w:tcPr>
          <w:p>
            <w:pPr/>
          </w:p>
        </w:tc>
        <w:tc>
          <w:tcPr>
            <w:tcW w:w="538" w:type="dxa"/>
            <w:tcBorders>
              <w:top w:val="nil" w:sz="6" w:space="0" w:color="auto"/>
              <w:left w:val="single" w:sz="6" w:space="0" w:color="000000"/>
              <w:bottom w:val="single" w:sz="6" w:space="0" w:color="000000"/>
              <w:right w:val="single" w:sz="6" w:space="0" w:color="000000"/>
            </w:tcBorders>
          </w:tcPr>
          <w:p>
            <w:pPr/>
          </w:p>
        </w:tc>
        <w:tc>
          <w:tcPr>
            <w:tcW w:w="497" w:type="dxa"/>
            <w:tcBorders>
              <w:top w:val="nil" w:sz="6" w:space="0" w:color="auto"/>
              <w:left w:val="single" w:sz="6" w:space="0" w:color="000000"/>
              <w:bottom w:val="single" w:sz="6" w:space="0" w:color="000000"/>
              <w:right w:val="single" w:sz="6" w:space="0" w:color="000000"/>
            </w:tcBorders>
          </w:tcPr>
          <w:p>
            <w:pPr/>
          </w:p>
        </w:tc>
        <w:tc>
          <w:tcPr>
            <w:tcW w:w="858" w:type="dxa"/>
            <w:tcBorders>
              <w:top w:val="nil" w:sz="6" w:space="0" w:color="auto"/>
              <w:left w:val="single" w:sz="6" w:space="0" w:color="000000"/>
              <w:bottom w:val="single" w:sz="6" w:space="0" w:color="000000"/>
              <w:right w:val="single" w:sz="6" w:space="0" w:color="000000"/>
            </w:tcBorders>
          </w:tcPr>
          <w:p>
            <w:pPr/>
          </w:p>
        </w:tc>
        <w:tc>
          <w:tcPr>
            <w:tcW w:w="654" w:type="dxa"/>
            <w:vMerge/>
            <w:tcBorders>
              <w:left w:val="single" w:sz="6" w:space="0" w:color="000000"/>
              <w:bottom w:val="single" w:sz="6" w:space="0" w:color="000000"/>
              <w:right w:val="single" w:sz="6" w:space="0" w:color="000000"/>
            </w:tcBorders>
          </w:tcPr>
          <w:p>
            <w:pPr/>
          </w:p>
        </w:tc>
        <w:tc>
          <w:tcPr>
            <w:tcW w:w="1160" w:type="dxa"/>
            <w:vMerge/>
            <w:tcBorders>
              <w:left w:val="single" w:sz="6" w:space="0" w:color="000000"/>
              <w:bottom w:val="single" w:sz="6" w:space="0" w:color="000000"/>
              <w:right w:val="single" w:sz="6" w:space="0" w:color="000000"/>
            </w:tcBorders>
          </w:tcPr>
          <w:p>
            <w:pPr/>
          </w:p>
        </w:tc>
      </w:tr>
    </w:tbl>
    <w:p>
      <w:pPr>
        <w:spacing w:line="386" w:lineRule="auto" w:before="63"/>
        <w:ind w:left="574" w:right="210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b/>
          <w:bCs/>
          <w:w w:val="99"/>
          <w:sz w:val="21"/>
          <w:szCs w:val="21"/>
        </w:rPr>
        <w:t> </w:t>
      </w:r>
      <w:r>
        <w:rPr>
          <w:rFonts w:ascii="宋体" w:hAnsi="宋体" w:cs="宋体" w:eastAsia="宋体" w:hint="default"/>
          <w:sz w:val="21"/>
          <w:szCs w:val="21"/>
        </w:rPr>
        <w:t>与上期相比本期减少合并单位</w:t>
      </w:r>
      <w:r>
        <w:rPr>
          <w:rFonts w:ascii="Times New Roman" w:hAnsi="Times New Roman" w:cs="Times New Roman" w:eastAsia="Times New Roman" w:hint="default"/>
          <w:sz w:val="21"/>
          <w:szCs w:val="21"/>
        </w:rPr>
        <w:t>1</w:t>
      </w:r>
      <w:r>
        <w:rPr>
          <w:rFonts w:ascii="宋体" w:hAnsi="宋体" w:cs="宋体" w:eastAsia="宋体" w:hint="default"/>
          <w:sz w:val="21"/>
          <w:szCs w:val="21"/>
        </w:rPr>
        <w:t>家，原因为本期已将子公司正普公司注销清算。</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145" w:firstLine="420"/>
        <w:jc w:val="both"/>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w:t>
      </w:r>
      <w:r>
        <w:rPr/>
        <w:t> 则》和各项具体会计准则、企业会计准则应用指南、企业会计准则解释及其他相关规定（以下合称</w:t>
      </w:r>
      <w:r>
        <w:rPr>
          <w:rFonts w:ascii="Times New Roman" w:hAnsi="Times New Roman" w:cs="Times New Roman" w:eastAsia="Times New Roman" w:hint="default"/>
        </w:rPr>
        <w:t>“</w:t>
      </w:r>
      <w:r>
        <w:rPr/>
        <w:t>企业</w:t>
      </w:r>
      <w:r>
        <w:rPr>
          <w:spacing w:val="-23"/>
        </w:rPr>
        <w:t> </w:t>
      </w:r>
      <w:r>
        <w:rPr/>
        <w:t>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财务报 告的一般规定》的披露规定编制财务报表。</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公司自报告期末起</w:t>
      </w:r>
      <w:r>
        <w:rPr>
          <w:rFonts w:ascii="Times New Roman" w:hAnsi="Times New Roman" w:cs="Times New Roman" w:eastAsia="Times New Roman" w:hint="default"/>
        </w:rPr>
        <w:t>12</w:t>
      </w:r>
      <w:r>
        <w:rPr/>
        <w:t>个月持续经营。</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532"/>
        <w:jc w:val="left"/>
        <w:rPr>
          <w:b w:val="0"/>
          <w:bCs w:val="0"/>
        </w:rPr>
      </w:pPr>
      <w:r>
        <w:rPr/>
        <w:t>五、重要会计政策及会计估计</w:t>
      </w:r>
      <w:r>
        <w:rPr>
          <w:b w:val="0"/>
          <w:bCs w:val="0"/>
        </w:rPr>
      </w:r>
    </w:p>
    <w:p>
      <w:pPr>
        <w:spacing w:line="240" w:lineRule="auto" w:before="8"/>
        <w:rPr>
          <w:rFonts w:ascii="宋体" w:hAnsi="宋体" w:cs="宋体" w:eastAsia="宋体" w:hint="default"/>
          <w:b/>
          <w:bCs/>
          <w:sz w:val="30"/>
          <w:szCs w:val="30"/>
        </w:rPr>
      </w:pPr>
    </w:p>
    <w:p>
      <w:pPr>
        <w:pStyle w:val="BodyText"/>
        <w:spacing w:line="441" w:lineRule="auto" w:before="0"/>
        <w:ind w:left="774" w:right="95" w:hanging="621"/>
        <w:jc w:val="left"/>
      </w:pPr>
      <w:r>
        <w:rPr/>
        <w:t>具体会计政策和会计估计提示： </w:t>
      </w:r>
      <w:r>
        <w:rPr>
          <w:spacing w:val="-1"/>
        </w:rPr>
        <w:t>本公司及各子公司根据实际生产经营特点，依据相关企业会计准则的规定，对收入确认等交易和事</w:t>
      </w:r>
    </w:p>
    <w:p>
      <w:pPr>
        <w:pStyle w:val="BodyText"/>
        <w:spacing w:line="408" w:lineRule="auto" w:before="17"/>
        <w:ind w:left="354" w:right="95"/>
        <w:jc w:val="left"/>
      </w:pPr>
      <w:r>
        <w:rPr/>
        <w:t>项制定了若干项具体会计政策和会计估计。本公司在运用会计政策过程中，由于经营活动内在的不确定 性，本公司需要对无法准确计量的报表项目的账面价值进行判断、估计和假设。这些判断、估计和假设 是基于本公司管理层过去的历史经验，并在考虑其他相关因素的基础上做出的。这些判断、估计和假设 会影响收入、费用、资产和负债的报告金额以及资产负债表日或有负债的披露。然而，这些估计的不确 定性所导致的结果可能造成对未来受影响的资产或负债的账面金额进行重大调整。 </w:t>
      </w:r>
      <w:r>
        <w:rPr>
          <w:spacing w:val="-3"/>
        </w:rPr>
        <w:t>本公司对前述判断、估计和假设在持续经营的基础上进行定期复核，会计估计的变更仅影响变更当期的，</w:t>
      </w:r>
      <w:r>
        <w:rPr>
          <w:spacing w:val="-85"/>
        </w:rPr>
        <w:t> </w:t>
      </w:r>
      <w:r>
        <w:rPr>
          <w:spacing w:val="-85"/>
        </w:rPr>
      </w:r>
      <w:r>
        <w:rPr/>
        <w:t>其影响数在变更当期予以确认；既影响变更当期又影响未来期间的，其影响数在变更当期和未来期间予</w:t>
      </w:r>
      <w:r>
        <w:rPr/>
        <w:t> 以确认。</w:t>
      </w:r>
    </w:p>
    <w:p>
      <w:pPr>
        <w:pStyle w:val="BodyText"/>
        <w:spacing w:line="240" w:lineRule="auto"/>
        <w:ind w:left="745" w:right="532"/>
        <w:jc w:val="left"/>
      </w:pPr>
      <w:r>
        <w:rPr/>
        <w:t>于资产负债表日，本公司需对财务报表项目金额进行判断、估计和假设的重要领域如下：</w:t>
      </w:r>
    </w:p>
    <w:p>
      <w:pPr>
        <w:spacing w:line="240" w:lineRule="auto" w:before="10"/>
        <w:rPr>
          <w:rFonts w:ascii="宋体" w:hAnsi="宋体" w:cs="宋体" w:eastAsia="宋体" w:hint="default"/>
          <w:sz w:val="14"/>
          <w:szCs w:val="14"/>
        </w:rPr>
      </w:pPr>
    </w:p>
    <w:p>
      <w:pPr>
        <w:pStyle w:val="BodyText"/>
        <w:spacing w:line="400" w:lineRule="auto" w:before="0"/>
        <w:ind w:left="354" w:right="95" w:firstLine="419"/>
        <w:jc w:val="left"/>
      </w:pPr>
      <w:r>
        <w:rPr/>
        <w:t>（</w:t>
      </w:r>
      <w:r>
        <w:rPr>
          <w:rFonts w:ascii="Times New Roman" w:hAnsi="Times New Roman" w:cs="Times New Roman" w:eastAsia="Times New Roman" w:hint="default"/>
        </w:rPr>
        <w:t>1</w:t>
      </w:r>
      <w:r>
        <w:rPr/>
        <w:t>）坏账准备计提 </w:t>
      </w:r>
      <w:r>
        <w:rPr>
          <w:spacing w:val="-1"/>
        </w:rPr>
        <w:t>本公司根据应收款项的会计政策，采用备抵法核算坏账损失。应收款项减值是基于评估应收款项的可收</w:t>
      </w:r>
      <w:r>
        <w:rPr>
          <w:spacing w:val="-72"/>
        </w:rPr>
        <w:t> </w:t>
      </w:r>
      <w:r>
        <w:rPr>
          <w:spacing w:val="-72"/>
        </w:rPr>
      </w:r>
      <w:r>
        <w:rPr>
          <w:spacing w:val="-1"/>
        </w:rPr>
        <w:t>回性。鉴定应收款项减值要求管理层的判断和估计。实际的结果与原先估计的差异将在估计被改变的期</w:t>
      </w:r>
      <w:r>
        <w:rPr>
          <w:spacing w:val="-72"/>
        </w:rPr>
        <w:t> </w:t>
      </w:r>
      <w:r>
        <w:rPr>
          <w:spacing w:val="-72"/>
        </w:rPr>
      </w:r>
      <w:r>
        <w:rPr/>
        <w:t>间影响应收款项的账面价值及应收款项坏账准备的计提或转回。</w:t>
      </w:r>
    </w:p>
    <w:p>
      <w:pPr>
        <w:pStyle w:val="BodyText"/>
        <w:spacing w:line="386" w:lineRule="auto" w:before="52"/>
        <w:ind w:left="774" w:right="95" w:hanging="1"/>
        <w:jc w:val="left"/>
      </w:pPr>
      <w:r>
        <w:rPr/>
        <w:t>（</w:t>
      </w:r>
      <w:r>
        <w:rPr>
          <w:rFonts w:ascii="Times New Roman" w:hAnsi="Times New Roman" w:cs="Times New Roman" w:eastAsia="Times New Roman" w:hint="default"/>
        </w:rPr>
        <w:t>2</w:t>
      </w:r>
      <w:r>
        <w:rPr/>
        <w:t>）可供出售金融资产减值 </w:t>
      </w:r>
      <w:r>
        <w:rPr>
          <w:spacing w:val="-1"/>
        </w:rPr>
        <w:t>本公司确定可供出售金融资产是否减值在很大程度上依赖于管理层的判断和假设，以确定是否需要</w:t>
      </w:r>
    </w:p>
    <w:p>
      <w:pPr>
        <w:pStyle w:val="BodyText"/>
        <w:spacing w:line="408" w:lineRule="auto" w:before="65"/>
        <w:ind w:left="354" w:right="209"/>
        <w:jc w:val="both"/>
      </w:pPr>
      <w:r>
        <w:rPr>
          <w:spacing w:val="-1"/>
        </w:rPr>
        <w:t>在利润表中确认其减值损失。在进行判断和作出假设的过程中，本公司需评估该项投资的公允价值低于</w:t>
      </w:r>
      <w:r>
        <w:rPr>
          <w:spacing w:val="-72"/>
        </w:rPr>
        <w:t> </w:t>
      </w:r>
      <w:r>
        <w:rPr>
          <w:spacing w:val="-72"/>
        </w:rPr>
      </w:r>
      <w:r>
        <w:rPr>
          <w:spacing w:val="-1"/>
        </w:rPr>
        <w:t>成本的程度和持续期间，以及被投资对象的财务状况和短期业务展望，包括行业状况、技术变革、信用</w:t>
      </w:r>
      <w:r>
        <w:rPr>
          <w:spacing w:val="-75"/>
        </w:rPr>
        <w:t> </w:t>
      </w:r>
      <w:r>
        <w:rPr>
          <w:spacing w:val="-75"/>
        </w:rPr>
      </w:r>
      <w:r>
        <w:rPr/>
        <w:t>评级、违约率和对手方的风险。</w:t>
      </w:r>
    </w:p>
    <w:p>
      <w:pPr>
        <w:pStyle w:val="BodyText"/>
        <w:spacing w:line="386" w:lineRule="auto"/>
        <w:ind w:left="774" w:right="95" w:hanging="1"/>
        <w:jc w:val="left"/>
      </w:pPr>
      <w:r>
        <w:rPr/>
        <w:t>（</w:t>
      </w:r>
      <w:r>
        <w:rPr>
          <w:rFonts w:ascii="Times New Roman" w:hAnsi="Times New Roman" w:cs="Times New Roman" w:eastAsia="Times New Roman" w:hint="default"/>
        </w:rPr>
        <w:t>3</w:t>
      </w:r>
      <w:r>
        <w:rPr/>
        <w:t>）存货跌价准备 </w:t>
      </w:r>
      <w:r>
        <w:rPr>
          <w:spacing w:val="-1"/>
        </w:rPr>
        <w:t>本公司根据存货会计政策，按照成本与可变现净值孰低计量，对成本高于可变现净值及陈旧和滞销</w:t>
      </w:r>
    </w:p>
    <w:p>
      <w:pPr>
        <w:pStyle w:val="BodyText"/>
        <w:spacing w:line="408" w:lineRule="auto" w:before="65"/>
        <w:ind w:left="354" w:right="208"/>
        <w:jc w:val="both"/>
      </w:pPr>
      <w:r>
        <w:rPr>
          <w:spacing w:val="-1"/>
        </w:rPr>
        <w:t>的存货，计提存货跌价准备。存货减值至可变现净值是基于评估存货的可售性及其可变现净值。鉴定存</w:t>
      </w:r>
      <w:r>
        <w:rPr>
          <w:spacing w:val="-72"/>
        </w:rPr>
        <w:t> </w:t>
      </w:r>
      <w:r>
        <w:rPr>
          <w:spacing w:val="-72"/>
        </w:rPr>
      </w:r>
      <w:r>
        <w:rPr>
          <w:spacing w:val="-1"/>
        </w:rPr>
        <w:t>货减值要求管理层在取得确凿证据，并且考虑持有存货的目的、资产负债表日后事项的影响等因素的基</w:t>
      </w:r>
      <w:r>
        <w:rPr>
          <w:spacing w:val="-72"/>
        </w:rPr>
        <w:t> </w:t>
      </w:r>
      <w:r>
        <w:rPr>
          <w:spacing w:val="-72"/>
        </w:rPr>
      </w:r>
      <w:r>
        <w:rPr>
          <w:spacing w:val="-1"/>
        </w:rPr>
        <w:t>础上作出判断和估计。实际的结果与原先估计的差异将在估计被改变的期间影响存货的账面价值及存货</w:t>
      </w:r>
      <w:r>
        <w:rPr>
          <w:spacing w:val="-72"/>
        </w:rPr>
        <w:t> </w:t>
      </w:r>
      <w:r>
        <w:rPr>
          <w:spacing w:val="-72"/>
        </w:rPr>
      </w:r>
      <w:r>
        <w:rPr/>
        <w:t>跌价准备的计提或转回。</w:t>
      </w:r>
    </w:p>
    <w:p>
      <w:pPr>
        <w:pStyle w:val="BodyText"/>
        <w:spacing w:line="386" w:lineRule="auto"/>
        <w:ind w:left="774" w:right="95" w:hanging="1"/>
        <w:jc w:val="left"/>
      </w:pPr>
      <w:r>
        <w:rPr/>
        <w:t>（</w:t>
      </w:r>
      <w:r>
        <w:rPr>
          <w:rFonts w:ascii="Times New Roman" w:hAnsi="Times New Roman" w:cs="Times New Roman" w:eastAsia="Times New Roman" w:hint="default"/>
        </w:rPr>
        <w:t>4</w:t>
      </w:r>
      <w:r>
        <w:rPr/>
        <w:t>）非金融非流动资产减值准备 </w:t>
      </w:r>
      <w:r>
        <w:rPr>
          <w:spacing w:val="-1"/>
        </w:rPr>
        <w:t>本公司于资产负债表日对除金融资产之外的非流动资产判断是否存在可能发生减值的迹象。对使用</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354" w:right="149"/>
        <w:jc w:val="both"/>
      </w:pPr>
      <w:r>
        <w:rPr>
          <w:spacing w:val="-1"/>
        </w:rPr>
        <w:t>寿命不确定的无形资产，除每年进行的减值测试外，当其存在减值迹象时，也进行减值测试。其他除金</w:t>
      </w:r>
      <w:r>
        <w:rPr>
          <w:spacing w:val="-75"/>
        </w:rPr>
        <w:t> </w:t>
      </w:r>
      <w:r>
        <w:rPr>
          <w:spacing w:val="-75"/>
        </w:rPr>
      </w:r>
      <w:r>
        <w:rPr/>
        <w:t>融资产之外的非流动资产，当存在迹象表明其账面金额不可收回时，进行减值测试。</w:t>
      </w:r>
    </w:p>
    <w:p>
      <w:pPr>
        <w:pStyle w:val="BodyText"/>
        <w:spacing w:line="408" w:lineRule="auto"/>
        <w:ind w:left="354" w:right="150" w:firstLine="505"/>
        <w:jc w:val="both"/>
      </w:pPr>
      <w:r>
        <w:rPr>
          <w:spacing w:val="-3"/>
        </w:rPr>
        <w:t>当资产或资产组的账面价值高于可收回金额，即公允价值减去处置费用后的净额和预计未来现金流</w:t>
      </w:r>
      <w:r>
        <w:rPr/>
        <w:t> 量的现值中的较高者，表明发生了减值。</w:t>
      </w:r>
    </w:p>
    <w:p>
      <w:pPr>
        <w:pStyle w:val="BodyText"/>
        <w:spacing w:line="408" w:lineRule="auto"/>
        <w:ind w:left="354" w:right="330" w:firstLine="420"/>
        <w:jc w:val="left"/>
      </w:pPr>
      <w:r>
        <w:rPr/>
        <w:t>公允价值减去处置费用后的净额，参考公平交易中类似资产的销售协议价格或可观察到的市场价 格，减去可直接归属于该资产处置的增量成本确定。</w:t>
      </w:r>
    </w:p>
    <w:p>
      <w:pPr>
        <w:pStyle w:val="BodyText"/>
        <w:spacing w:line="408" w:lineRule="auto"/>
        <w:ind w:left="354" w:right="151" w:firstLine="504"/>
        <w:jc w:val="both"/>
      </w:pPr>
      <w:r>
        <w:rPr>
          <w:spacing w:val="-3"/>
        </w:rPr>
        <w:t>在预计未来现金流量现值时，需要对该资产（或资产组）的产量、售价、相关经营成本以及计算现</w:t>
      </w:r>
      <w:r>
        <w:rPr/>
        <w:t> </w:t>
      </w:r>
      <w:r>
        <w:rPr>
          <w:spacing w:val="-1"/>
        </w:rPr>
        <w:t>值时使用的折现率等作出重大判断。本公司在估计可收回金额时会采用所有能够获得的相关资料，包括</w:t>
      </w:r>
      <w:r>
        <w:rPr>
          <w:spacing w:val="-72"/>
        </w:rPr>
        <w:t> </w:t>
      </w:r>
      <w:r>
        <w:rPr>
          <w:spacing w:val="-72"/>
        </w:rPr>
      </w:r>
      <w:r>
        <w:rPr/>
        <w:t>根据合理和可支持的假设所作出有关产量、售价和相关经营成本的预测。</w:t>
      </w:r>
    </w:p>
    <w:p>
      <w:pPr>
        <w:pStyle w:val="BodyText"/>
        <w:spacing w:line="408" w:lineRule="auto"/>
        <w:ind w:left="354" w:right="150" w:firstLine="420"/>
        <w:jc w:val="both"/>
      </w:pPr>
      <w:r>
        <w:rPr>
          <w:spacing w:val="-1"/>
        </w:rPr>
        <w:t>本公司至少每年测试商誉是否发生减值。这要求对分配了商誉的资产组或者资产组组合的未来现金</w:t>
      </w:r>
      <w:r>
        <w:rPr/>
        <w:t> </w:t>
      </w:r>
      <w:r>
        <w:rPr>
          <w:spacing w:val="-1"/>
        </w:rPr>
        <w:t>流量的现值进行预计。对未来现金流量的现值进行预计时，本公司需要预计未来资产组或者资产组组合</w:t>
      </w:r>
      <w:r>
        <w:rPr>
          <w:spacing w:val="-72"/>
        </w:rPr>
        <w:t> </w:t>
      </w:r>
      <w:r>
        <w:rPr>
          <w:spacing w:val="-72"/>
        </w:rPr>
      </w:r>
      <w:r>
        <w:rPr/>
        <w:t>产生的现金流量，同时选择恰当的折现率确定未来现金流量的现值。</w:t>
      </w:r>
    </w:p>
    <w:p>
      <w:pPr>
        <w:pStyle w:val="BodyText"/>
        <w:spacing w:line="386" w:lineRule="auto"/>
        <w:ind w:left="774" w:right="0" w:hanging="1"/>
        <w:jc w:val="left"/>
      </w:pPr>
      <w:r>
        <w:rPr/>
        <w:t>（</w:t>
      </w:r>
      <w:r>
        <w:rPr>
          <w:rFonts w:ascii="Times New Roman" w:hAnsi="Times New Roman" w:cs="Times New Roman" w:eastAsia="Times New Roman" w:hint="default"/>
        </w:rPr>
        <w:t>5</w:t>
      </w:r>
      <w:r>
        <w:rPr/>
        <w:t>）折旧和摊销 </w:t>
      </w:r>
      <w:r>
        <w:rPr>
          <w:spacing w:val="-1"/>
        </w:rPr>
        <w:t>本公司对投资性房地产、固定资产和无形资产在考虑其残值后，在使用寿命内按直线法计提折旧和</w:t>
      </w:r>
    </w:p>
    <w:p>
      <w:pPr>
        <w:pStyle w:val="BodyText"/>
        <w:spacing w:line="408" w:lineRule="auto" w:before="65"/>
        <w:ind w:left="354" w:right="148"/>
        <w:jc w:val="both"/>
      </w:pPr>
      <w:r>
        <w:rPr>
          <w:spacing w:val="-1"/>
        </w:rPr>
        <w:t>摊销。本公司定期复核使用寿命，以决定将计入每个报告期的折旧和摊销费用数额。使用寿命是本公司</w:t>
      </w:r>
      <w:r>
        <w:rPr>
          <w:spacing w:val="-72"/>
        </w:rPr>
        <w:t> </w:t>
      </w:r>
      <w:r>
        <w:rPr>
          <w:spacing w:val="-72"/>
        </w:rPr>
      </w:r>
      <w:r>
        <w:rPr>
          <w:spacing w:val="-1"/>
        </w:rPr>
        <w:t>根据对同类资产的以往经验并结合预期的技术更新而确定的。如果以前的估计发生重大变化，则会在未</w:t>
      </w:r>
      <w:r>
        <w:rPr>
          <w:spacing w:val="-72"/>
        </w:rPr>
        <w:t> </w:t>
      </w:r>
      <w:r>
        <w:rPr>
          <w:spacing w:val="-72"/>
        </w:rPr>
      </w:r>
      <w:r>
        <w:rPr/>
        <w:t>来期间对折旧和摊销费用进行调整。</w:t>
      </w:r>
    </w:p>
    <w:p>
      <w:pPr>
        <w:pStyle w:val="BodyText"/>
        <w:spacing w:line="386" w:lineRule="auto"/>
        <w:ind w:left="774" w:right="0" w:hanging="1"/>
        <w:jc w:val="left"/>
      </w:pPr>
      <w:r>
        <w:rPr/>
        <w:t>（</w:t>
      </w:r>
      <w:r>
        <w:rPr>
          <w:rFonts w:ascii="Times New Roman" w:hAnsi="Times New Roman" w:cs="Times New Roman" w:eastAsia="Times New Roman" w:hint="default"/>
        </w:rPr>
        <w:t>6</w:t>
      </w:r>
      <w:r>
        <w:rPr/>
        <w:t>）租赁的归类 </w:t>
      </w:r>
      <w:r>
        <w:rPr>
          <w:spacing w:val="-1"/>
        </w:rPr>
        <w:t>本公司根据《企业会计准则第</w:t>
      </w:r>
      <w:r>
        <w:rPr>
          <w:rFonts w:ascii="Times New Roman" w:hAnsi="Times New Roman" w:cs="Times New Roman" w:eastAsia="Times New Roman" w:hint="default"/>
          <w:spacing w:val="-1"/>
        </w:rPr>
        <w:t>21</w:t>
      </w:r>
      <w:r>
        <w:rPr>
          <w:spacing w:val="-1"/>
        </w:rPr>
        <w:t>号</w:t>
      </w:r>
      <w:r>
        <w:rPr>
          <w:rFonts w:ascii="Times New Roman" w:hAnsi="Times New Roman" w:cs="Times New Roman" w:eastAsia="Times New Roman" w:hint="default"/>
          <w:spacing w:val="-1"/>
        </w:rPr>
        <w:t>——</w:t>
      </w:r>
      <w:r>
        <w:rPr>
          <w:spacing w:val="-1"/>
        </w:rPr>
        <w:t>租赁》的规定，将租赁归类为经营租赁和融资租赁，在进行</w:t>
      </w:r>
    </w:p>
    <w:p>
      <w:pPr>
        <w:pStyle w:val="BodyText"/>
        <w:spacing w:line="408" w:lineRule="auto" w:before="35"/>
        <w:ind w:left="354" w:right="151"/>
        <w:jc w:val="both"/>
      </w:pPr>
      <w:r>
        <w:rPr>
          <w:spacing w:val="-1"/>
        </w:rPr>
        <w:t>归类时，管理层需要对是否已将与租出资产所有权有关的全部风险和报酬实质上转移给承租人，或者本</w:t>
      </w:r>
      <w:r>
        <w:rPr>
          <w:spacing w:val="-72"/>
        </w:rPr>
        <w:t> </w:t>
      </w:r>
      <w:r>
        <w:rPr>
          <w:spacing w:val="-72"/>
        </w:rPr>
      </w:r>
      <w:r>
        <w:rPr/>
        <w:t>公司是否已经实质上承担与租入资产所有权有关的全部风险和报酬，作出分析和判断。</w:t>
      </w:r>
    </w:p>
    <w:p>
      <w:pPr>
        <w:pStyle w:val="BodyText"/>
        <w:spacing w:line="386" w:lineRule="auto"/>
        <w:ind w:left="774" w:right="0" w:hanging="1"/>
        <w:jc w:val="left"/>
      </w:pPr>
      <w:r>
        <w:rPr/>
        <w:t>（</w:t>
      </w:r>
      <w:r>
        <w:rPr>
          <w:rFonts w:ascii="Times New Roman" w:hAnsi="Times New Roman" w:cs="Times New Roman" w:eastAsia="Times New Roman" w:hint="default"/>
        </w:rPr>
        <w:t>7</w:t>
      </w:r>
      <w:r>
        <w:rPr/>
        <w:t>）递延所得税资产 </w:t>
      </w:r>
      <w:r>
        <w:rPr>
          <w:spacing w:val="-1"/>
        </w:rPr>
        <w:t>在很有可能有足够的应纳税利润来抵扣亏损的限度内，本公司就所有未利用的税务亏损确认递延所</w:t>
      </w:r>
    </w:p>
    <w:p>
      <w:pPr>
        <w:pStyle w:val="BodyText"/>
        <w:spacing w:line="408" w:lineRule="auto" w:before="65"/>
        <w:ind w:left="354" w:right="149"/>
        <w:jc w:val="both"/>
      </w:pPr>
      <w:r>
        <w:rPr>
          <w:spacing w:val="-1"/>
        </w:rPr>
        <w:t>得税资产。这需要本公司管理层运用大量的判断来估计未来应纳税利润发生的时间和金额，结合纳税筹</w:t>
      </w:r>
      <w:r>
        <w:rPr>
          <w:spacing w:val="-72"/>
        </w:rPr>
        <w:t> </w:t>
      </w:r>
      <w:r>
        <w:rPr>
          <w:spacing w:val="-72"/>
        </w:rPr>
      </w:r>
      <w:r>
        <w:rPr/>
        <w:t>划策略，以决定应确认的递延所得税资产的金额。</w:t>
      </w:r>
    </w:p>
    <w:p>
      <w:pPr>
        <w:pStyle w:val="BodyText"/>
        <w:spacing w:line="386" w:lineRule="auto"/>
        <w:ind w:left="574" w:right="0" w:firstLine="200"/>
        <w:jc w:val="left"/>
      </w:pPr>
      <w:r>
        <w:rPr/>
        <w:t>（</w:t>
      </w:r>
      <w:r>
        <w:rPr>
          <w:rFonts w:ascii="Times New Roman" w:hAnsi="Times New Roman" w:cs="Times New Roman" w:eastAsia="Times New Roman" w:hint="default"/>
        </w:rPr>
        <w:t>8</w:t>
      </w:r>
      <w:r>
        <w:rPr/>
        <w:t>）所得税 </w:t>
      </w:r>
      <w:r>
        <w:rPr>
          <w:spacing w:val="-1"/>
        </w:rPr>
        <w:t>本公司在正常的经营活动中，有部分交易其最终的税务处理和计算存在一定的不确定性。部分项目是</w:t>
      </w:r>
    </w:p>
    <w:p>
      <w:pPr>
        <w:pStyle w:val="BodyText"/>
        <w:spacing w:line="408" w:lineRule="auto" w:before="65"/>
        <w:ind w:right="0"/>
        <w:jc w:val="left"/>
      </w:pP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spacing w:after="0" w:line="408"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0" w:firstLine="420"/>
        <w:jc w:val="left"/>
      </w:pPr>
      <w:r>
        <w:rPr>
          <w:spacing w:val="-1"/>
        </w:rPr>
        <w:t>公司所编制的财务报表符合企业会计准则的要求，真实、完整地反映了报告期公司的财务状况、经营</w:t>
      </w:r>
      <w:r>
        <w:rPr/>
        <w:t> 成果、现金流量等有关信息。</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本公司营业周期为</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采用人民币为记账本位币。</w:t>
      </w:r>
    </w:p>
    <w:p>
      <w:pPr>
        <w:spacing w:line="690" w:lineRule="exact" w:before="31"/>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同一控制下企业合并：本公司在企业合并中取得的资产和负债，按照合并日在被合并方资产、负债（包</w:t>
      </w:r>
    </w:p>
    <w:p>
      <w:pPr>
        <w:pStyle w:val="BodyText"/>
        <w:spacing w:line="408" w:lineRule="auto" w:before="84"/>
        <w:ind w:left="153" w:right="15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408" w:lineRule="auto"/>
        <w:ind w:left="153" w:right="151" w:firstLine="420"/>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408" w:lineRule="auto"/>
        <w:ind w:left="153" w:right="0" w:firstLine="420"/>
        <w:jc w:val="left"/>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4" w:right="0" w:hanging="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本公司合并财务报表的合并范围以控制为基础确定，所有子公司（包括本公司所控制的被投资方可分</w:t>
      </w:r>
    </w:p>
    <w:p>
      <w:pPr>
        <w:pStyle w:val="BodyText"/>
        <w:spacing w:line="240" w:lineRule="auto" w:before="65"/>
        <w:ind w:right="0"/>
        <w:jc w:val="both"/>
      </w:pPr>
      <w:r>
        <w:rPr/>
        <w:t>割的部分）均纳入合并财务报表。</w:t>
      </w:r>
    </w:p>
    <w:p>
      <w:pPr>
        <w:spacing w:line="240" w:lineRule="auto" w:before="10"/>
        <w:rPr>
          <w:rFonts w:ascii="宋体" w:hAnsi="宋体" w:cs="宋体" w:eastAsia="宋体" w:hint="default"/>
          <w:sz w:val="14"/>
          <w:szCs w:val="14"/>
        </w:rPr>
      </w:pPr>
    </w:p>
    <w:p>
      <w:pPr>
        <w:pStyle w:val="Heading3"/>
        <w:spacing w:line="240" w:lineRule="auto"/>
        <w:ind w:left="566" w:right="0"/>
        <w:jc w:val="left"/>
        <w:rPr>
          <w:b w:val="0"/>
          <w:bCs w:val="0"/>
        </w:rPr>
      </w:pPr>
      <w:r>
        <w:rPr>
          <w:rFonts w:ascii="Times New Roman" w:hAnsi="Times New Roman" w:cs="Times New Roman" w:eastAsia="Times New Roman" w:hint="default"/>
        </w:rPr>
        <w:t>2</w:t>
      </w:r>
      <w:r>
        <w:rPr/>
        <w:t>、</w:t>
      </w:r>
      <w:r>
        <w:rPr>
          <w:spacing w:val="4"/>
        </w:rPr>
        <w:t> </w:t>
      </w:r>
      <w:r>
        <w:rPr/>
        <w:t>合并程序</w:t>
      </w:r>
      <w:r>
        <w:rPr>
          <w:b w:val="0"/>
          <w:bCs w:val="0"/>
        </w:rPr>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b/>
          <w:bCs/>
          <w:sz w:val="26"/>
          <w:szCs w:val="26"/>
        </w:rPr>
      </w:pPr>
    </w:p>
    <w:p>
      <w:pPr>
        <w:pStyle w:val="BodyText"/>
        <w:spacing w:line="408" w:lineRule="auto" w:before="35"/>
        <w:ind w:right="150" w:firstLine="420"/>
        <w:jc w:val="both"/>
      </w:pPr>
      <w:r>
        <w:rPr>
          <w:spacing w:val="-1"/>
        </w:rPr>
        <w:t>本公司以自身和各子公司的财务报表为基础，根据其他有关资料，编制合并财务报表。本公司编制合</w:t>
      </w:r>
      <w:r>
        <w:rPr/>
        <w:t> </w:t>
      </w:r>
      <w:r>
        <w:rPr>
          <w:spacing w:val="-1"/>
        </w:rPr>
        <w:t>并财务报表，将整个企业集团视为一个会计主体，依据相关企业会计准则的确认、计量和列报要求，按照</w:t>
      </w:r>
      <w:r>
        <w:rPr>
          <w:spacing w:val="-82"/>
        </w:rPr>
        <w:t> </w:t>
      </w:r>
      <w:r>
        <w:rPr>
          <w:spacing w:val="-82"/>
        </w:rPr>
      </w:r>
      <w:r>
        <w:rPr/>
        <w:t>统一的会计政策，反映本企业集团整体财务状况、经营成果和现金流量。</w:t>
      </w:r>
    </w:p>
    <w:p>
      <w:pPr>
        <w:pStyle w:val="BodyText"/>
        <w:spacing w:line="408" w:lineRule="auto"/>
        <w:ind w:left="153" w:right="15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2"/>
        </w:rPr>
        <w:t> </w:t>
      </w:r>
      <w:r>
        <w:rPr>
          <w:spacing w:val="-82"/>
        </w:rPr>
      </w:r>
      <w:r>
        <w:rPr/>
        <w:t>而形成的商誉）在最终控制方财务报表中的账面价值为基础对其财务报表进行调整。</w:t>
      </w:r>
    </w:p>
    <w:p>
      <w:pPr>
        <w:pStyle w:val="BodyText"/>
        <w:spacing w:line="408" w:lineRule="auto"/>
        <w:ind w:left="153" w:right="15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86" w:lineRule="auto"/>
        <w:ind w:left="574" w:right="0" w:hanging="1"/>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408" w:lineRule="auto" w:before="65"/>
        <w:ind w:right="149"/>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right="15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408" w:lineRule="auto"/>
        <w:ind w:left="153" w:right="150"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right="15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4" w:right="0"/>
        <w:jc w:val="left"/>
      </w:pPr>
      <w:r>
        <w:rPr/>
        <w:t>（</w:t>
      </w:r>
      <w:r>
        <w:rPr>
          <w:rFonts w:ascii="Times New Roman" w:hAnsi="Times New Roman" w:cs="Times New Roman" w:eastAsia="Times New Roman" w:hint="default"/>
        </w:rPr>
        <w:t>2</w:t>
      </w:r>
      <w:r>
        <w:rPr/>
        <w:t>）处置子公司或业务</w:t>
      </w:r>
    </w:p>
    <w:p>
      <w:pPr>
        <w:pStyle w:val="BodyText"/>
        <w:spacing w:line="240" w:lineRule="auto" w:before="177"/>
        <w:ind w:left="574" w:right="0"/>
        <w:jc w:val="left"/>
      </w:pPr>
      <w:r>
        <w:rPr/>
        <w:t>①一般处理方法</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51" w:firstLine="420"/>
        <w:jc w:val="both"/>
      </w:pPr>
      <w:r>
        <w:rPr>
          <w:spacing w:val="-1"/>
        </w:rPr>
        <w:t>在报告期内，本公司处置子公司或业务，则该子公司或业务期初至处置日的收入、费用、利润纳入合</w:t>
      </w:r>
      <w:r>
        <w:rPr/>
        <w:t> 并利润表；该子公司或业务期初至处置日的现金流量纳入合并现金流量表。</w:t>
      </w:r>
    </w:p>
    <w:p>
      <w:pPr>
        <w:pStyle w:val="BodyText"/>
        <w:spacing w:line="408" w:lineRule="auto"/>
        <w:ind w:left="153" w:right="151" w:firstLine="420"/>
        <w:jc w:val="both"/>
      </w:pPr>
      <w:r>
        <w:rPr>
          <w:spacing w:val="-1"/>
        </w:rPr>
        <w:t>因处置部分股权投资或其他原因丧失了对被投资方控制权时，对于处置后的剩余股权投资，本公司按</w:t>
      </w:r>
      <w:r>
        <w:rPr/>
        <w:t> </w:t>
      </w: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408" w:lineRule="auto"/>
        <w:ind w:left="574" w:right="0"/>
        <w:jc w:val="left"/>
      </w:pPr>
      <w:r>
        <w:rPr/>
        <w:t>②分步处置子公司 </w:t>
      </w:r>
      <w:r>
        <w:rPr>
          <w:spacing w:val="-1"/>
        </w:rPr>
        <w:t>通过多次交易分步处置对子公司股权投资直至丧失控制权的，处置对子公司股权投资的各项交易的条</w:t>
      </w:r>
    </w:p>
    <w:p>
      <w:pPr>
        <w:pStyle w:val="BodyText"/>
        <w:spacing w:line="408" w:lineRule="auto"/>
        <w:ind w:right="15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574" w:right="0"/>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408" w:lineRule="auto"/>
        <w:ind w:right="15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ind w:right="15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86" w:lineRule="auto"/>
        <w:ind w:left="574" w:right="0"/>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408" w:lineRule="auto" w:before="65"/>
        <w:ind w:right="150"/>
        <w:jc w:val="both"/>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386" w:lineRule="auto"/>
        <w:ind w:left="574"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240" w:lineRule="auto" w:before="65"/>
        <w:ind w:right="0"/>
        <w:jc w:val="both"/>
      </w:pPr>
      <w:r>
        <w:rPr/>
        <w:t>资相对应享有子公司自购买日或合并日开始持续计算的净资产份额之间的差额，调整合并资产负债表中的</w:t>
      </w:r>
    </w:p>
    <w:p>
      <w:pPr>
        <w:spacing w:after="0" w:line="240"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资本公积中的股本溢价，资本公积中的股本溢价不足冲减的，调整留存收益。</w:t>
      </w:r>
    </w:p>
    <w:p>
      <w:pPr>
        <w:spacing w:line="670" w:lineRule="atLeast" w:before="37"/>
        <w:ind w:left="574" w:right="587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合营安排分为共同经营和合营企业。</w:t>
      </w:r>
    </w:p>
    <w:p>
      <w:pPr>
        <w:spacing w:line="240" w:lineRule="auto" w:before="10"/>
        <w:rPr>
          <w:rFonts w:ascii="宋体" w:hAnsi="宋体" w:cs="宋体" w:eastAsia="宋体" w:hint="default"/>
          <w:sz w:val="14"/>
          <w:szCs w:val="14"/>
        </w:rPr>
      </w:pPr>
    </w:p>
    <w:p>
      <w:pPr>
        <w:pStyle w:val="BodyText"/>
        <w:spacing w:line="408" w:lineRule="auto" w:before="0"/>
        <w:ind w:left="574" w:right="110"/>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4"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4"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177"/>
        <w:ind w:left="574" w:right="0"/>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670" w:lineRule="atLeast" w:before="21"/>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spacing w:line="240" w:lineRule="auto" w:before="10"/>
        <w:rPr>
          <w:rFonts w:ascii="宋体" w:hAnsi="宋体" w:cs="宋体" w:eastAsia="宋体" w:hint="default"/>
          <w:sz w:val="14"/>
          <w:szCs w:val="14"/>
        </w:rPr>
      </w:pPr>
    </w:p>
    <w:p>
      <w:pPr>
        <w:pStyle w:val="BodyText"/>
        <w:spacing w:line="408" w:lineRule="auto" w:before="0"/>
        <w:ind w:right="110"/>
        <w:jc w:val="left"/>
      </w:pPr>
      <w:r>
        <w:rPr/>
        <w:t>短（从购买日起三个月内到期）、流动性强、易于转换为已知现金、价值变动风险很小四个条件的投资， 确定为现金等价物。</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632" w:right="1732" w:hanging="10"/>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spacing w:val="1"/>
          <w:w w:val="99"/>
        </w:rPr>
        <w:t> </w:t>
      </w:r>
      <w:r>
        <w:rPr/>
        <w:t>外币业务采用交易发生日的即期汇率作为折算汇率将外币金额折合成人民币记账。</w:t>
      </w:r>
    </w:p>
    <w:p>
      <w:pPr>
        <w:pStyle w:val="BodyText"/>
        <w:spacing w:line="408" w:lineRule="auto" w:before="65"/>
        <w:ind w:right="149"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386" w:lineRule="auto" w:before="46"/>
        <w:ind w:left="632" w:right="0" w:hanging="6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86" w:lineRule="auto" w:before="35"/>
        <w:ind w:left="212"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76"/>
        </w:rPr>
        <w:t> </w:t>
      </w:r>
      <w:r>
        <w:rPr>
          <w:spacing w:val="-76"/>
        </w:rPr>
      </w:r>
      <w:r>
        <w:rPr/>
        <w:t>汇率折算。</w:t>
      </w:r>
    </w:p>
    <w:p>
      <w:pPr>
        <w:pStyle w:val="BodyText"/>
        <w:spacing w:line="408" w:lineRule="auto" w:before="65"/>
        <w:ind w:left="212" w:right="140" w:firstLine="420"/>
        <w:jc w:val="left"/>
      </w:pPr>
      <w:r>
        <w:rPr>
          <w:spacing w:val="-2"/>
        </w:rPr>
        <w:t>处置境外经营时，将与该境外经营相关的外币财务报表折算差额，自所有者权益项目转入处置当期损</w:t>
      </w:r>
      <w:r>
        <w:rPr/>
        <w:t> 益。</w:t>
      </w:r>
    </w:p>
    <w:p>
      <w:pPr>
        <w:spacing w:after="0" w:line="408"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532"/>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692" w:right="532"/>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386" w:lineRule="auto" w:before="0"/>
        <w:ind w:left="632" w:right="200" w:firstLine="80"/>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spacing w:val="1"/>
          <w:w w:val="99"/>
        </w:rPr>
        <w:t> </w:t>
      </w:r>
      <w:r>
        <w:rPr>
          <w:spacing w:val="-2"/>
        </w:rPr>
        <w:t>金融资产和金融负债于初始确认时分类为：以公允价值计量且其变动计入当期损益的金融资产或金融</w:t>
      </w:r>
    </w:p>
    <w:p>
      <w:pPr>
        <w:pStyle w:val="BodyText"/>
        <w:spacing w:line="408" w:lineRule="auto" w:before="65"/>
        <w:ind w:left="212" w:right="204"/>
        <w:jc w:val="left"/>
      </w:pPr>
      <w:r>
        <w:rPr>
          <w:spacing w:val="-2"/>
        </w:rPr>
        <w:t>负债，包括交易性金融资产或金融负债和直接指定为以公允价值计量且其变动计入当期损益的金融资产或</w:t>
      </w:r>
      <w:r>
        <w:rPr>
          <w:spacing w:val="-96"/>
        </w:rPr>
        <w:t> </w:t>
      </w:r>
      <w:r>
        <w:rPr>
          <w:spacing w:val="-96"/>
        </w:rPr>
      </w:r>
      <w:r>
        <w:rPr/>
        <w:t>金融负债；持有至到期投资；应收款项；可供出售金融资产；其他金融负债等。</w:t>
      </w:r>
    </w:p>
    <w:p>
      <w:pPr>
        <w:pStyle w:val="Heading3"/>
        <w:spacing w:line="240" w:lineRule="auto" w:before="46"/>
        <w:ind w:left="623" w:right="532"/>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86" w:lineRule="auto" w:before="177"/>
        <w:ind w:left="632" w:right="200" w:hanging="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w:t>
      </w:r>
    </w:p>
    <w:p>
      <w:pPr>
        <w:pStyle w:val="BodyText"/>
        <w:spacing w:line="408" w:lineRule="auto" w:before="65"/>
        <w:ind w:left="632" w:right="532"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98" w:lineRule="auto"/>
        <w:ind w:left="632" w:right="95" w:hanging="59"/>
        <w:jc w:val="left"/>
      </w:pPr>
      <w:r>
        <w:rPr/>
        <w:t>（</w:t>
      </w:r>
      <w:r>
        <w:rPr>
          <w:rFonts w:ascii="Times New Roman" w:hAnsi="Times New Roman" w:cs="Times New Roman" w:eastAsia="Times New Roman" w:hint="default"/>
        </w:rPr>
        <w:t>2</w:t>
      </w:r>
      <w:r>
        <w:rPr/>
        <w:t>）持有至到期投资 </w:t>
      </w:r>
      <w:r>
        <w:rPr>
          <w:spacing w:val="-5"/>
        </w:rPr>
        <w:t>取得时按公允价值（扣除已到付息期但尚未领取的债券利息）和相关交易费用之和作为初始确认金额。</w:t>
      </w:r>
      <w:r>
        <w:rPr/>
        <w:t> </w:t>
      </w:r>
      <w:r>
        <w:rPr>
          <w:spacing w:val="-2"/>
        </w:rPr>
        <w:t>持有期间按照摊余成本和实际利率（如实际利率与票面利率差别较小的，按票面利率）计算确认利息</w:t>
      </w:r>
    </w:p>
    <w:p>
      <w:pPr>
        <w:pStyle w:val="BodyText"/>
        <w:spacing w:line="408" w:lineRule="auto" w:before="54"/>
        <w:ind w:left="213" w:right="743" w:hanging="2"/>
        <w:jc w:val="left"/>
      </w:pPr>
      <w:r>
        <w:rPr/>
        <w:t>收入，计入投资收益。实际利率在取得时确定，在该预期存续期间或适用的更短期间内保持不变。 处置时，将所取得价款与该投资账面价值之间的差额计入投资收益。</w:t>
      </w:r>
    </w:p>
    <w:p>
      <w:pPr>
        <w:pStyle w:val="BodyText"/>
        <w:spacing w:line="386" w:lineRule="auto"/>
        <w:ind w:left="632" w:right="200" w:hanging="59"/>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w:t>
      </w:r>
    </w:p>
    <w:p>
      <w:pPr>
        <w:pStyle w:val="BodyText"/>
        <w:spacing w:line="408" w:lineRule="auto" w:before="65"/>
        <w:ind w:left="212" w:right="204"/>
        <w:jc w:val="left"/>
      </w:pPr>
      <w:r>
        <w:rPr>
          <w:spacing w:val="-2"/>
        </w:rPr>
        <w:t>价的债务工具的债权，包括应收账款、其他应收款等，以向购货方应收的合同或协议价款作为初始确认金</w:t>
      </w:r>
      <w:r>
        <w:rPr>
          <w:spacing w:val="-97"/>
        </w:rPr>
        <w:t> </w:t>
      </w:r>
      <w:r>
        <w:rPr>
          <w:spacing w:val="-97"/>
        </w:rPr>
      </w:r>
      <w:r>
        <w:rPr/>
        <w:t>额；具有融资性质的，按其现值进行初始确认。</w:t>
      </w:r>
    </w:p>
    <w:p>
      <w:pPr>
        <w:pStyle w:val="BodyText"/>
        <w:spacing w:line="240" w:lineRule="auto"/>
        <w:ind w:left="632" w:right="532"/>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386" w:lineRule="auto" w:before="0"/>
        <w:ind w:left="632" w:right="200" w:hanging="59"/>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w:t>
      </w:r>
    </w:p>
    <w:p>
      <w:pPr>
        <w:pStyle w:val="BodyText"/>
        <w:spacing w:line="408" w:lineRule="auto" w:before="65"/>
        <w:ind w:left="632" w:right="200" w:hanging="420"/>
        <w:jc w:val="left"/>
      </w:pPr>
      <w:r>
        <w:rPr/>
        <w:t>交易费用之和作为初始确认金额。 </w:t>
      </w:r>
      <w:r>
        <w:rPr>
          <w:spacing w:val="-2"/>
        </w:rPr>
        <w:t>持有期间将取得的利息或现金股利确认为投资收益。期末以公允价值计量且将公允价值变动计入其他</w:t>
      </w:r>
    </w:p>
    <w:p>
      <w:pPr>
        <w:pStyle w:val="BodyText"/>
        <w:spacing w:line="408" w:lineRule="auto"/>
        <w:ind w:left="212" w:right="204"/>
        <w:jc w:val="left"/>
      </w:pPr>
      <w:r>
        <w:rPr>
          <w:spacing w:val="-2"/>
        </w:rPr>
        <w:t>综合收益。但是，在活跃市场中没有报价且其公允价值不能可靠计量的权益工具投资，以及与该权益工具</w:t>
      </w:r>
      <w:r>
        <w:rPr>
          <w:spacing w:val="-97"/>
        </w:rPr>
        <w:t> </w:t>
      </w:r>
      <w:r>
        <w:rPr>
          <w:spacing w:val="-97"/>
        </w:rPr>
      </w:r>
      <w:r>
        <w:rPr/>
        <w:t>挂钩并须通过交付该权益工具结算的衍生金融资产，按照成本计量。</w:t>
      </w:r>
    </w:p>
    <w:p>
      <w:pPr>
        <w:pStyle w:val="BodyText"/>
        <w:spacing w:line="240" w:lineRule="auto"/>
        <w:ind w:left="632" w:right="90"/>
        <w:jc w:val="left"/>
      </w:pPr>
      <w:r>
        <w:rPr/>
        <w:t>处置时，将取得的价款与该金融资产账面价值之间的差额，计入投资损益；同时，将原直接计入其他</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left="212" w:right="0"/>
        <w:jc w:val="left"/>
      </w:pPr>
      <w:r>
        <w:rPr/>
        <w:t>综合收益的公允价值变动累计额对应处置部分的金额转出，计入当期损益。</w:t>
      </w:r>
    </w:p>
    <w:p>
      <w:pPr>
        <w:spacing w:line="240" w:lineRule="auto" w:before="10"/>
        <w:rPr>
          <w:rFonts w:ascii="宋体" w:hAnsi="宋体" w:cs="宋体" w:eastAsia="宋体" w:hint="default"/>
          <w:sz w:val="14"/>
          <w:szCs w:val="14"/>
        </w:rPr>
      </w:pPr>
    </w:p>
    <w:p>
      <w:pPr>
        <w:spacing w:line="398" w:lineRule="auto" w:before="0"/>
        <w:ind w:left="623" w:right="1531" w:hanging="5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 按其公允价值和相关交易费用之和作为初始确认金额。采用摊余成本进行后续计量。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6"/>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408" w:lineRule="auto" w:before="24"/>
        <w:ind w:left="212" w:right="151" w:firstLine="420"/>
        <w:jc w:val="both"/>
      </w:pPr>
      <w:r>
        <w:rPr>
          <w:spacing w:val="-2"/>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pStyle w:val="BodyText"/>
        <w:spacing w:line="408" w:lineRule="auto"/>
        <w:ind w:left="212" w:right="151" w:firstLine="420"/>
        <w:jc w:val="both"/>
      </w:pPr>
      <w:r>
        <w:rPr>
          <w:spacing w:val="-2"/>
        </w:rPr>
        <w:t>在判断金融资产转移是否满足上述金融资产终止确认条件时，采用实质重于形式的原则。公司将金融</w:t>
      </w:r>
      <w:r>
        <w:rPr/>
        <w:t> </w:t>
      </w:r>
      <w:r>
        <w:rPr>
          <w:spacing w:val="-2"/>
        </w:rPr>
        <w:t>资产转移区分为金融资产整体转移和部分转移。金融资产整体转移满足终止确认条件的，将下列两项金额</w:t>
      </w:r>
      <w:r>
        <w:rPr>
          <w:spacing w:val="-95"/>
        </w:rPr>
        <w:t> </w:t>
      </w:r>
      <w:r>
        <w:rPr>
          <w:spacing w:val="-95"/>
        </w:rPr>
      </w:r>
      <w:r>
        <w:rPr/>
        <w:t>的差额计入当期损益：</w:t>
      </w:r>
    </w:p>
    <w:p>
      <w:pPr>
        <w:pStyle w:val="BodyText"/>
        <w:spacing w:line="240" w:lineRule="auto"/>
        <w:ind w:left="632" w:right="0"/>
        <w:jc w:val="left"/>
      </w:pPr>
      <w:r>
        <w:rPr/>
        <w:t>（</w:t>
      </w:r>
      <w:r>
        <w:rPr>
          <w:rFonts w:ascii="Times New Roman" w:hAnsi="Times New Roman" w:cs="Times New Roman" w:eastAsia="Times New Roman" w:hint="default"/>
        </w:rPr>
        <w:t>1</w:t>
      </w:r>
      <w:r>
        <w:rPr/>
        <w:t>）所转移金融资产的账面价值；</w:t>
      </w:r>
    </w:p>
    <w:p>
      <w:pPr>
        <w:pStyle w:val="BodyText"/>
        <w:spacing w:line="386" w:lineRule="auto" w:before="177"/>
        <w:ind w:left="212" w:right="151"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spacing w:val="1"/>
        </w:rPr>
        <w:t> </w:t>
      </w:r>
      <w:r>
        <w:rPr/>
        <w:t>为可供出售金融资产的情形）之和。</w:t>
      </w:r>
    </w:p>
    <w:p>
      <w:pPr>
        <w:pStyle w:val="BodyText"/>
        <w:spacing w:line="408" w:lineRule="auto" w:before="65"/>
        <w:ind w:left="212" w:right="151" w:firstLine="420"/>
        <w:jc w:val="both"/>
      </w:pPr>
      <w:r>
        <w:rPr>
          <w:spacing w:val="-2"/>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4" w:right="0"/>
        <w:jc w:val="left"/>
      </w:pPr>
      <w:r>
        <w:rPr/>
        <w:t>（</w:t>
      </w:r>
      <w:r>
        <w:rPr>
          <w:rFonts w:ascii="Times New Roman" w:hAnsi="Times New Roman" w:cs="Times New Roman" w:eastAsia="Times New Roman" w:hint="default"/>
        </w:rPr>
        <w:t>1</w:t>
      </w:r>
      <w:r>
        <w:rPr/>
        <w:t>）终止确认部分的账面价值；</w:t>
      </w:r>
    </w:p>
    <w:p>
      <w:pPr>
        <w:pStyle w:val="BodyText"/>
        <w:spacing w:line="386" w:lineRule="auto" w:before="177"/>
        <w:ind w:right="147"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spacing w:val="2"/>
        </w:rPr>
        <w:t> </w:t>
      </w:r>
      <w:r>
        <w:rPr/>
        <w:t>金额（涉及转移的金融资产为可供出售金融资产的情形）之和。</w:t>
      </w:r>
    </w:p>
    <w:p>
      <w:pPr>
        <w:pStyle w:val="BodyText"/>
        <w:spacing w:line="398" w:lineRule="auto" w:before="65"/>
        <w:ind w:left="623" w:right="149" w:firstLine="9"/>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52"/>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w:t>
      </w:r>
    </w:p>
    <w:p>
      <w:pPr>
        <w:pStyle w:val="BodyText"/>
        <w:spacing w:line="408" w:lineRule="auto" w:before="54"/>
        <w:ind w:left="212" w:right="144"/>
        <w:jc w:val="left"/>
      </w:pPr>
      <w:r>
        <w:rPr>
          <w:spacing w:val="-2"/>
        </w:rPr>
        <w:t>签定协议，以承担新金融负债方式替换现存金融负债，且新金融负债与现存金融负债的合同条款实质上不</w:t>
      </w:r>
      <w:r>
        <w:rPr>
          <w:spacing w:val="-95"/>
        </w:rPr>
        <w:t> </w:t>
      </w:r>
      <w:r>
        <w:rPr>
          <w:spacing w:val="-95"/>
        </w:rPr>
      </w:r>
      <w:r>
        <w:rPr/>
        <w:t>同的，则终止确认现存金融负债，并同时确认新金融负债。</w:t>
      </w:r>
    </w:p>
    <w:p>
      <w:pPr>
        <w:pStyle w:val="BodyText"/>
        <w:spacing w:line="408" w:lineRule="auto"/>
        <w:ind w:left="212" w:right="151" w:firstLine="420"/>
        <w:jc w:val="both"/>
      </w:pPr>
      <w:r>
        <w:rPr>
          <w:spacing w:val="-2"/>
        </w:rPr>
        <w:t>对现存金融负债全部或部分合同条款作出实质性修改的，则终止确认现存金融负债或其一部分，同时</w:t>
      </w:r>
      <w:r>
        <w:rPr/>
        <w:t> 将修改条款后的金融负债确认为一项新金融负债。</w:t>
      </w:r>
    </w:p>
    <w:p>
      <w:pPr>
        <w:pStyle w:val="BodyText"/>
        <w:spacing w:line="408" w:lineRule="auto"/>
        <w:ind w:left="212" w:right="151" w:firstLine="420"/>
        <w:jc w:val="both"/>
      </w:pPr>
      <w:r>
        <w:rPr>
          <w:spacing w:val="-2"/>
        </w:rPr>
        <w:t>金融负债全部或部分终止确认时，终止确认的金融负债账面价值与支付对价（包括转出的非现金资产</w:t>
      </w:r>
      <w:r>
        <w:rPr/>
        <w:t> 或承担的新金融负债）之间的差额，计入当期损益。</w:t>
      </w:r>
    </w:p>
    <w:p>
      <w:pPr>
        <w:pStyle w:val="BodyText"/>
        <w:spacing w:line="408" w:lineRule="auto"/>
        <w:ind w:left="212" w:right="151" w:firstLine="420"/>
        <w:jc w:val="both"/>
      </w:pPr>
      <w:r>
        <w:rPr>
          <w:spacing w:val="-2"/>
        </w:rPr>
        <w:t>本公司若回购部分金融负债的，在回购日按照继续确认部分与终止确认部分的相对公允价值，将该金</w:t>
      </w:r>
      <w:r>
        <w:rPr/>
        <w:t> </w:t>
      </w:r>
      <w:r>
        <w:rPr>
          <w:spacing w:val="-2"/>
        </w:rPr>
        <w:t>融负债整体的账面价值进行分配。分配给终止确认部分的账面价值与支付的对价（包括转出的非现金资产</w:t>
      </w:r>
      <w:r>
        <w:rPr>
          <w:spacing w:val="-95"/>
        </w:rPr>
        <w:t> </w:t>
      </w:r>
      <w:r>
        <w:rPr>
          <w:spacing w:val="-95"/>
        </w:rPr>
      </w:r>
      <w:r>
        <w:rPr/>
        <w:t>或承担的新金融负债）之间的差额，计入当期损益。</w:t>
      </w:r>
    </w:p>
    <w:p>
      <w:pPr>
        <w:pStyle w:val="Heading3"/>
        <w:spacing w:line="240" w:lineRule="auto" w:before="46"/>
        <w:ind w:left="623" w:right="0"/>
        <w:jc w:val="left"/>
        <w:rPr>
          <w:b w:val="0"/>
          <w:bCs w:val="0"/>
        </w:rPr>
      </w:pPr>
      <w:r>
        <w:rPr>
          <w:rFonts w:ascii="Times New Roman" w:hAnsi="Times New Roman" w:cs="Times New Roman" w:eastAsia="Times New Roman" w:hint="default"/>
        </w:rPr>
        <w:t>5</w:t>
      </w:r>
      <w:r>
        <w:rPr/>
        <w:t>、</w:t>
      </w:r>
      <w:r>
        <w:rPr>
          <w:spacing w:val="-55"/>
        </w:rPr>
        <w:t> </w:t>
      </w:r>
      <w:r>
        <w:rPr/>
        <w:t>金融资产和金融负债公允价值的确定方法</w:t>
      </w:r>
      <w:r>
        <w:rPr>
          <w:b w:val="0"/>
          <w:bCs w:val="0"/>
        </w:rPr>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b/>
          <w:bCs/>
          <w:sz w:val="26"/>
          <w:szCs w:val="26"/>
        </w:rPr>
      </w:pPr>
    </w:p>
    <w:p>
      <w:pPr>
        <w:pStyle w:val="BodyText"/>
        <w:spacing w:line="408" w:lineRule="auto" w:before="35"/>
        <w:ind w:left="212" w:right="92" w:firstLine="420"/>
        <w:jc w:val="left"/>
      </w:pPr>
      <w:r>
        <w:rPr>
          <w:spacing w:val="-2"/>
        </w:rPr>
        <w:t>存在活跃市场的金融工具，以活跃市场中的报价确定其公允价值。不存在活跃市场的金融工具，采用</w:t>
      </w:r>
      <w:r>
        <w:rPr/>
        <w:t> </w:t>
      </w:r>
      <w:r>
        <w:rPr>
          <w:spacing w:val="-2"/>
        </w:rPr>
        <w:t>估值技术确定其公允价值。在估值时，本公司采用在当前情况下适用并且有足够可利用数据和其他信息支</w:t>
      </w:r>
      <w:r>
        <w:rPr>
          <w:spacing w:val="-95"/>
        </w:rPr>
        <w:t> </w:t>
      </w:r>
      <w:r>
        <w:rPr>
          <w:spacing w:val="-95"/>
        </w:rPr>
      </w:r>
      <w:r>
        <w:rPr/>
        <w:t>持的估值技术，选择与市场参与者在相关资产或负债的交易中所考虑的资产或负债特征相一致的输入值， </w:t>
      </w:r>
      <w:r>
        <w:rPr>
          <w:spacing w:val="-2"/>
        </w:rPr>
        <w:t>并优先使用相关可观察输入值。只有在相关可观察输入值无法取得或取得不切实可行的情况下，才使用不</w:t>
      </w:r>
      <w:r>
        <w:rPr>
          <w:spacing w:val="-95"/>
        </w:rPr>
        <w:t> </w:t>
      </w:r>
      <w:r>
        <w:rPr>
          <w:spacing w:val="-95"/>
        </w:rPr>
      </w:r>
      <w:r>
        <w:rPr/>
        <w:t>可观察输入值。</w:t>
      </w:r>
    </w:p>
    <w:p>
      <w:pPr>
        <w:spacing w:line="386" w:lineRule="auto" w:before="46"/>
        <w:ind w:left="632" w:right="180" w:hanging="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2"/>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w:t>
      </w:r>
    </w:p>
    <w:p>
      <w:pPr>
        <w:pStyle w:val="BodyText"/>
        <w:spacing w:line="240" w:lineRule="auto" w:before="65"/>
        <w:ind w:left="212" w:right="92"/>
        <w:jc w:val="left"/>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386" w:lineRule="auto" w:before="0"/>
        <w:ind w:left="632" w:right="180" w:hanging="59"/>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w:t>
      </w:r>
    </w:p>
    <w:p>
      <w:pPr>
        <w:pStyle w:val="BodyText"/>
        <w:spacing w:line="408" w:lineRule="auto" w:before="65"/>
        <w:ind w:left="212" w:right="184"/>
        <w:jc w:val="left"/>
      </w:pPr>
      <w:r>
        <w:rPr>
          <w:spacing w:val="-2"/>
        </w:rPr>
        <w:t>趋势属于非暂时性的，就认定其已发生减值，将原直接计入所有者权益的公允价值下降形成的累计损失一</w:t>
      </w:r>
      <w:r>
        <w:rPr>
          <w:spacing w:val="-95"/>
        </w:rPr>
        <w:t> </w:t>
      </w:r>
      <w:r>
        <w:rPr>
          <w:spacing w:val="-95"/>
        </w:rPr>
      </w:r>
      <w:r>
        <w:rPr/>
        <w:t>并转出，确认减值损失。</w:t>
      </w:r>
    </w:p>
    <w:p>
      <w:pPr>
        <w:pStyle w:val="BodyText"/>
        <w:spacing w:line="408" w:lineRule="auto"/>
        <w:ind w:left="212" w:right="180" w:firstLine="420"/>
        <w:jc w:val="left"/>
      </w:pPr>
      <w:r>
        <w:rPr>
          <w:spacing w:val="-2"/>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391" w:lineRule="auto"/>
        <w:ind w:left="632" w:right="2846"/>
        <w:jc w:val="left"/>
      </w:pPr>
      <w:r>
        <w:rPr/>
        <w:t>可供出售权益工具投资发生的减值损失，不通过损益转回。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公允价值下跌幅度累计超过</w:t>
      </w:r>
      <w:r>
        <w:rPr>
          <w:rFonts w:ascii="Times New Roman" w:hAnsi="Times New Roman" w:cs="Times New Roman" w:eastAsia="Times New Roman" w:hint="default"/>
        </w:rPr>
        <w:t>20%</w:t>
      </w:r>
      <w:r>
        <w:rPr/>
        <w:t>。 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 公允价值连续下跌时间超过</w:t>
      </w:r>
      <w:r>
        <w:rPr>
          <w:rFonts w:ascii="Times New Roman" w:hAnsi="Times New Roman" w:cs="Times New Roman" w:eastAsia="Times New Roman" w:hint="default"/>
        </w:rPr>
        <w:t>12</w:t>
      </w:r>
      <w:r>
        <w:rPr/>
        <w:t>个月。</w:t>
      </w:r>
    </w:p>
    <w:p>
      <w:pPr>
        <w:pStyle w:val="BodyText"/>
        <w:spacing w:line="386" w:lineRule="auto" w:before="30"/>
        <w:ind w:left="632" w:right="2822" w:hanging="59"/>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2"/>
          <w:szCs w:val="22"/>
        </w:rPr>
      </w:pPr>
    </w:p>
    <w:p>
      <w:pPr>
        <w:pStyle w:val="Heading3"/>
        <w:spacing w:line="240" w:lineRule="auto"/>
        <w:ind w:right="9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万元以上的其他应收款确认为单项金额重大的应收款项。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w:t>
            </w:r>
          </w:p>
        </w:tc>
      </w:tr>
      <w:tr>
        <w:trPr>
          <w:trHeight w:val="30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客观证据表明其已发生减值，按预计未来现金流量现值低于</w:t>
            </w:r>
          </w:p>
        </w:tc>
      </w:tr>
      <w:tr>
        <w:trPr>
          <w:trHeight w:val="32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其账面价值的差额计提坏账准备，计入当期损益。单独测试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未发生减值的应收款项，将其归入相应组合计提坏账准备。</w:t>
            </w:r>
          </w:p>
        </w:tc>
      </w:tr>
      <w:tr>
        <w:trPr>
          <w:trHeight w:val="31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其中，合并范围内的关联方、押金、保证金不计提坏账；其</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2"/>
        <w:rPr>
          <w:rFonts w:ascii="宋体" w:hAnsi="宋体" w:cs="宋体" w:eastAsia="宋体" w:hint="default"/>
          <w:b/>
          <w:bCs/>
          <w:sz w:val="24"/>
          <w:szCs w:val="24"/>
        </w:rPr>
      </w:pPr>
    </w:p>
    <w:p>
      <w:pPr>
        <w:spacing w:line="693" w:lineRule="exact"/>
        <w:ind w:left="14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35pt;height:34.7pt;mso-position-horizontal-relative:char;mso-position-vertical-relative:line" coordorigin="0,0" coordsize="9587,694">
            <v:group style="position:absolute;left:14;top:14;width:4774;height:665" coordorigin="14,14" coordsize="4774,665">
              <v:shape style="position:absolute;left:14;top:14;width:4774;height:665" coordorigin="14,14" coordsize="4774,665" path="m14,679l4788,679,4788,14,14,14,14,679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684" coordorigin="10,5" coordsize="2,684">
              <v:shape style="position:absolute;left:10;top:5;width:2;height:684" coordorigin="10,5" coordsize="0,684" path="m10,5l10,689e" filled="false" stroked="true" strokeweight=".48001pt" strokecolor="#000000">
                <v:path arrowok="t"/>
              </v:shape>
            </v:group>
            <v:group style="position:absolute;left:5;top:684;width:4785;height:2" coordorigin="5,684" coordsize="4785,2">
              <v:shape style="position:absolute;left:5;top:684;width:4785;height:2" coordorigin="5,684" coordsize="4785,0" path="m5,684l4789,684e" filled="false" stroked="true" strokeweight=".47998pt" strokecolor="#000000">
                <v:path arrowok="t"/>
              </v:shape>
            </v:group>
            <v:group style="position:absolute;left:4794;top:14;width:2;height:675" coordorigin="4794,14" coordsize="2,675">
              <v:shape style="position:absolute;left:4794;top:14;width:2;height:675" coordorigin="4794,14" coordsize="0,675" path="m4794,14l4794,689e" filled="false" stroked="true" strokeweight=".48001pt" strokecolor="#000000">
                <v:path arrowok="t"/>
              </v:shape>
            </v:group>
            <v:group style="position:absolute;left:4799;top:684;width:4774;height:2" coordorigin="4799,684" coordsize="4774,2">
              <v:shape style="position:absolute;left:4799;top:684;width:4774;height:2" coordorigin="4799,684" coordsize="4774,0" path="m4799,684l9572,684e" filled="false" stroked="true" strokeweight=".47998pt" strokecolor="#000000">
                <v:path arrowok="t"/>
              </v:shape>
            </v:group>
            <v:group style="position:absolute;left:9577;top:5;width:2;height:684" coordorigin="9577,5" coordsize="2,684">
              <v:shape style="position:absolute;left:9577;top:5;width:2;height:684" coordorigin="9577,5" coordsize="0,684" path="m9577,5l9577,689e" filled="false" stroked="true" strokeweight=".47998pt" strokecolor="#000000">
                <v:path arrowok="t"/>
              </v:shape>
              <v:shape style="position:absolute;left:4793;top:10;width:4784;height:675" type="#_x0000_t202" filled="false" stroked="false">
                <v:textbox inset="0,0,0,0">
                  <w:txbxContent>
                    <w:p>
                      <w:pPr>
                        <w:spacing w:line="319" w:lineRule="auto" w:before="15"/>
                        <w:ind w:left="28" w:right="73" w:firstLine="0"/>
                        <w:jc w:val="left"/>
                        <w:rPr>
                          <w:rFonts w:ascii="宋体" w:hAnsi="宋体" w:cs="宋体" w:eastAsia="宋体" w:hint="default"/>
                          <w:sz w:val="18"/>
                          <w:szCs w:val="18"/>
                        </w:rPr>
                      </w:pPr>
                      <w:r>
                        <w:rPr>
                          <w:rFonts w:ascii="宋体" w:hAnsi="宋体" w:cs="宋体" w:eastAsia="宋体" w:hint="default"/>
                          <w:sz w:val="18"/>
                          <w:szCs w:val="18"/>
                        </w:rPr>
                        <w:t>他关联方及非关联方的应收款项，以账龄为信用风险组合， 按账龄分析法计提坏账准备。</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4"/>
        <w:rPr>
          <w:rFonts w:ascii="宋体" w:hAnsi="宋体" w:cs="宋体" w:eastAsia="宋体" w:hint="default"/>
          <w:b/>
          <w:bCs/>
          <w:sz w:val="25"/>
          <w:szCs w:val="25"/>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562;width:4774;height:156" coordorigin="14,562" coordsize="4774,156">
              <v:shape style="position:absolute;left:14;top:562;width:4774;height:156" coordorigin="14,562" coordsize="4774,156" path="m14,718l4788,718,4788,562,14,562,14,718xe" filled="true" fillcolor="#d3d3d3" stroked="false">
                <v:path arrowok="t"/>
                <v:fill type="solid"/>
              </v:shape>
            </v:group>
            <v:group style="position:absolute;left:26;top:170;width:2;height:392" coordorigin="26,170" coordsize="2,392">
              <v:shape style="position:absolute;left:26;top:170;width:2;height:392" coordorigin="26,170" coordsize="0,392" path="m26,170l26,562e" filled="false" stroked="true" strokeweight="1.140pt" strokecolor="#d3d3d3">
                <v:path arrowok="t"/>
              </v:shape>
            </v:group>
            <v:group style="position:absolute;left:14;top:14;width:4774;height:156" coordorigin="14,14" coordsize="4774,156">
              <v:shape style="position:absolute;left:14;top:14;width:4774;height:156" coordorigin="14,14" coordsize="4774,156" path="m14,170l4788,170,4788,14,14,14,14,170xe" filled="true" fillcolor="#d3d3d3" stroked="false">
                <v:path arrowok="t"/>
                <v:fill type="solid"/>
              </v:shape>
            </v:group>
            <v:group style="position:absolute;left:4777;top:170;width:2;height:393" coordorigin="4777,170" coordsize="2,393">
              <v:shape style="position:absolute;left:4777;top:170;width:2;height:393" coordorigin="4777,170" coordsize="0,393" path="m4777,170l4777,563e" filled="false" stroked="true" strokeweight="1.140pt" strokecolor="#d3d3d3">
                <v:path arrowok="t"/>
              </v:shape>
            </v:group>
            <v:group style="position:absolute;left:37;top:170;width:4728;height:393" coordorigin="37,170" coordsize="4728,393">
              <v:shape style="position:absolute;left:37;top:170;width:4728;height:393" coordorigin="37,170" coordsize="4728,393" path="m37,563l4765,563,4765,170,37,170,37,56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4785;height:2" coordorigin="5,724" coordsize="4785,2">
              <v:shape style="position:absolute;left:5;top:724;width:4785;height:2" coordorigin="5,724" coordsize="4785,0" path="m5,724l4789,724e" filled="false" stroked="true" strokeweight=".47998pt" strokecolor="#000000">
                <v:path arrowok="t"/>
              </v:shape>
            </v:group>
            <v:group style="position:absolute;left:4794;top:14;width:2;height:714" coordorigin="4794,14" coordsize="2,714">
              <v:shape style="position:absolute;left:4794;top:14;width:2;height:714" coordorigin="4794,14" coordsize="0,714" path="m4794,14l4794,728e" filled="false" stroked="true" strokeweight=".48001pt" strokecolor="#000000">
                <v:path arrowok="t"/>
              </v:shape>
            </v:group>
            <v:group style="position:absolute;left:4799;top:724;width:4774;height:2" coordorigin="4799,724" coordsize="4774,2">
              <v:shape style="position:absolute;left:4799;top:724;width:4774;height:2" coordorigin="4799,724" coordsize="4774,0" path="m4799,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4784;height:714" type="#_x0000_t202" filled="false" stroked="false">
                <v:textbox inset="0,0,0,0">
                  <w:txbxContent>
                    <w:p>
                      <w:pPr>
                        <w:spacing w:line="240" w:lineRule="auto" w:before="3"/>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4793;top:10;width:4784;height:714" type="#_x0000_t202" filled="false" stroked="false">
                <v:textbox inset="0,0,0,0">
                  <w:txbxContent>
                    <w:p>
                      <w:pPr>
                        <w:spacing w:line="316" w:lineRule="auto" w:before="56"/>
                        <w:ind w:left="28" w:right="73" w:firstLine="0"/>
                        <w:jc w:val="left"/>
                        <w:rPr>
                          <w:rFonts w:ascii="宋体" w:hAnsi="宋体" w:cs="宋体" w:eastAsia="宋体" w:hint="default"/>
                          <w:sz w:val="18"/>
                          <w:szCs w:val="18"/>
                        </w:rPr>
                      </w:pPr>
                      <w:r>
                        <w:rPr>
                          <w:rFonts w:ascii="宋体" w:hAnsi="宋体" w:cs="宋体" w:eastAsia="宋体" w:hint="default"/>
                          <w:sz w:val="18"/>
                          <w:szCs w:val="18"/>
                        </w:rPr>
                        <w:t>如果有客观证据表明其发生了减值的应收款项，单独确认减 值损失。</w:t>
                      </w:r>
                    </w:p>
                  </w:txbxContent>
                </v:textbox>
                <w10:wrap type="none"/>
              </v:shape>
            </v:group>
          </v:group>
        </w:pict>
      </w:r>
      <w:r>
        <w:rPr>
          <w:rFonts w:ascii="宋体" w:hAnsi="宋体" w:cs="宋体" w:eastAsia="宋体" w:hint="default"/>
          <w:position w:val="-14"/>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30"/>
          <w:szCs w:val="30"/>
        </w:rPr>
      </w:pPr>
    </w:p>
    <w:p>
      <w:pPr>
        <w:spacing w:line="398" w:lineRule="auto" w:before="0"/>
        <w:ind w:left="566" w:right="2105" w:firstLine="5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存货分类为：原材料、在产品及半成品、发出商品、库存商品等。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398" w:lineRule="auto" w:before="24"/>
        <w:ind w:left="623" w:right="1111" w:hanging="50"/>
        <w:jc w:val="left"/>
        <w:rPr>
          <w:rFonts w:ascii="宋体" w:hAnsi="宋体" w:cs="宋体" w:eastAsia="宋体" w:hint="default"/>
          <w:sz w:val="21"/>
          <w:szCs w:val="21"/>
        </w:rPr>
      </w:pPr>
      <w:r>
        <w:rPr>
          <w:rFonts w:ascii="宋体" w:hAnsi="宋体" w:cs="宋体" w:eastAsia="宋体" w:hint="default"/>
          <w:sz w:val="21"/>
          <w:szCs w:val="21"/>
        </w:rPr>
        <w:t>存货发出时按加权平均法计价。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w:t>
      </w:r>
    </w:p>
    <w:p>
      <w:pPr>
        <w:spacing w:after="0" w:line="398"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212" w:right="151" w:firstLine="420"/>
        <w:jc w:val="both"/>
      </w:pPr>
      <w:r>
        <w:rPr>
          <w:spacing w:val="-2"/>
        </w:rPr>
        <w:t>产成品、库存商品和用于出售的材料等直接用于出售的商品存货，在正常生产经营过程中，以该存货</w:t>
      </w:r>
      <w:r>
        <w:rPr/>
        <w:t> </w:t>
      </w:r>
      <w:r>
        <w:rPr>
          <w:spacing w:val="-2"/>
        </w:rPr>
        <w:t>的估计售价减去估计的销售费用和相关税费后的金额，确定其可变现净值；需要经过加工的材料存货，在</w:t>
      </w:r>
      <w:r>
        <w:rPr>
          <w:spacing w:val="-96"/>
        </w:rPr>
        <w:t> </w:t>
      </w:r>
      <w:r>
        <w:rPr>
          <w:spacing w:val="-96"/>
        </w:rPr>
      </w:r>
      <w:r>
        <w:rPr>
          <w:spacing w:val="-2"/>
        </w:rPr>
        <w:t>正常生产经营过程中，以所生产的产成品的估计售价减去至完工时估计将要发生的成本、估计的销售费用</w:t>
      </w:r>
      <w:r>
        <w:rPr>
          <w:spacing w:val="-95"/>
        </w:rPr>
        <w:t> </w:t>
      </w:r>
      <w:r>
        <w:rPr>
          <w:spacing w:val="-95"/>
        </w:rPr>
      </w:r>
      <w:r>
        <w:rPr>
          <w:spacing w:val="-2"/>
        </w:rPr>
        <w:t>和相关税费后的金额，确定其可变现净值；为执行销售合同或者劳务合同而持有的存货，其可变现净值以</w:t>
      </w:r>
      <w:r>
        <w:rPr>
          <w:spacing w:val="-97"/>
        </w:rPr>
        <w:t> </w:t>
      </w:r>
      <w:r>
        <w:rPr>
          <w:spacing w:val="-97"/>
        </w:rPr>
      </w:r>
      <w:r>
        <w:rPr>
          <w:spacing w:val="-2"/>
        </w:rPr>
        <w:t>合同价格为基础计算，若持有存货的数量多于销售合同订购数量的，超出部分的存货的可变现净值以一般</w:t>
      </w:r>
      <w:r>
        <w:rPr>
          <w:spacing w:val="-95"/>
        </w:rPr>
        <w:t> </w:t>
      </w:r>
      <w:r>
        <w:rPr>
          <w:spacing w:val="-95"/>
        </w:rPr>
      </w:r>
      <w:r>
        <w:rPr/>
        <w:t>销售价格为基础计算。</w:t>
      </w:r>
    </w:p>
    <w:p>
      <w:pPr>
        <w:pStyle w:val="BodyText"/>
        <w:spacing w:line="408" w:lineRule="auto"/>
        <w:ind w:left="212" w:right="151" w:firstLine="420"/>
        <w:jc w:val="both"/>
      </w:pPr>
      <w:r>
        <w:rPr>
          <w:spacing w:val="-2"/>
        </w:rPr>
        <w:t>期末按照单个存货项目计提存货跌价准备；但对于数量繁多、单价较低的存货，按照存货类别计提存</w:t>
      </w:r>
      <w:r>
        <w:rPr/>
        <w:t> </w:t>
      </w:r>
      <w:r>
        <w:rPr>
          <w:spacing w:val="-2"/>
        </w:rPr>
        <w:t>货跌价准备；与在同一地区生产和销售的产品系列相关、具有相同或类似最终用途或目的，且难以与其他</w:t>
      </w:r>
      <w:r>
        <w:rPr>
          <w:spacing w:val="-96"/>
        </w:rPr>
        <w:t> </w:t>
      </w:r>
      <w:r>
        <w:rPr>
          <w:spacing w:val="-96"/>
        </w:rPr>
      </w:r>
      <w:r>
        <w:rPr/>
        <w:t>项目分开计量的存货，则合并计提存货跌价准备。</w:t>
      </w:r>
    </w:p>
    <w:p>
      <w:pPr>
        <w:pStyle w:val="BodyText"/>
        <w:spacing w:line="408" w:lineRule="auto"/>
        <w:ind w:left="153" w:right="151" w:firstLine="420"/>
        <w:jc w:val="both"/>
      </w:pPr>
      <w:r>
        <w:rPr>
          <w:spacing w:val="-1"/>
        </w:rPr>
        <w:t>以前减记存货价值的影响因素已经消失的，减记的金额予以恢复，并在原已计提的存货跌价准备金额</w:t>
      </w:r>
      <w:r>
        <w:rPr/>
        <w:t> 内转回，转回的金额计入当期损益。</w:t>
      </w:r>
    </w:p>
    <w:p>
      <w:pPr>
        <w:spacing w:line="398" w:lineRule="auto" w:before="46"/>
        <w:ind w:left="566" w:right="6091"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before="24"/>
        <w:ind w:left="574" w:right="0"/>
        <w:jc w:val="left"/>
      </w:pPr>
      <w:r>
        <w:rPr/>
        <w:t>低值易耗品于领用时采用一次转销法；包装物于领用时采用一次转销法。</w:t>
      </w:r>
    </w:p>
    <w:p>
      <w:pPr>
        <w:spacing w:line="670" w:lineRule="atLeast" w:before="37"/>
        <w:ind w:left="692" w:right="2302" w:hanging="53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本公司将同时满足下列条件的组成部分（或非流动资产）确认为持有待售：</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86" w:lineRule="auto" w:before="177"/>
        <w:ind w:right="147" w:firstLine="420"/>
        <w:jc w:val="both"/>
      </w:pPr>
      <w:r>
        <w:rPr/>
        <w:t>（</w:t>
      </w:r>
      <w:r>
        <w:rPr>
          <w:rFonts w:ascii="Times New Roman" w:hAnsi="Times New Roman" w:cs="Times New Roman" w:eastAsia="Times New Roman" w:hint="default"/>
        </w:rPr>
        <w:t>2</w:t>
      </w:r>
      <w:r>
        <w:rPr/>
        <w:t>）公司已经就处置该组成部分（或非流动资产）作出决议，如按规定需得到股东批准的，已经取</w:t>
      </w:r>
      <w:r>
        <w:rPr>
          <w:spacing w:val="2"/>
        </w:rPr>
        <w:t> </w:t>
      </w:r>
      <w:r>
        <w:rPr/>
        <w:t>得股东大会或相应权力机构的批准；</w:t>
      </w:r>
    </w:p>
    <w:p>
      <w:pPr>
        <w:pStyle w:val="BodyText"/>
        <w:spacing w:line="240" w:lineRule="auto" w:before="65"/>
        <w:ind w:left="574"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177"/>
        <w:ind w:left="574" w:right="0"/>
        <w:jc w:val="left"/>
      </w:pPr>
      <w:r>
        <w:rPr/>
        <w:t>（</w:t>
      </w:r>
      <w:r>
        <w:rPr>
          <w:rFonts w:ascii="Times New Roman" w:hAnsi="Times New Roman" w:cs="Times New Roman" w:eastAsia="Times New Roman" w:hint="default"/>
        </w:rPr>
        <w:t>4</w:t>
      </w:r>
      <w:r>
        <w:rPr/>
        <w:t>）该项转让将在一年内完成。</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Heading3"/>
        <w:spacing w:line="240" w:lineRule="auto"/>
        <w:ind w:left="623" w:right="0"/>
        <w:jc w:val="left"/>
        <w:rPr>
          <w:b w:val="0"/>
          <w:bCs w:val="0"/>
        </w:rPr>
      </w:pPr>
      <w:r>
        <w:rPr>
          <w:rFonts w:ascii="Times New Roman" w:hAnsi="Times New Roman" w:cs="Times New Roman" w:eastAsia="Times New Roman" w:hint="default"/>
        </w:rPr>
        <w:t>1</w:t>
      </w:r>
      <w:r>
        <w:rPr/>
        <w:t>、</w:t>
      </w:r>
      <w:r>
        <w:rPr>
          <w:spacing w:val="-54"/>
        </w:rPr>
        <w:t> </w:t>
      </w:r>
      <w:r>
        <w:rPr/>
        <w:t>投资成本的确定</w:t>
      </w:r>
      <w:r>
        <w:rPr>
          <w:b w:val="0"/>
          <w:bCs w:val="0"/>
        </w:rPr>
      </w:r>
    </w:p>
    <w:p>
      <w:pPr>
        <w:spacing w:line="386" w:lineRule="auto" w:before="177"/>
        <w:ind w:left="632" w:right="140" w:hanging="1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）企业合并形成的长期股权投资</w:t>
      </w:r>
      <w:r>
        <w:rPr>
          <w:rFonts w:ascii="宋体" w:hAnsi="宋体" w:cs="宋体" w:eastAsia="宋体" w:hint="default"/>
          <w:b/>
          <w:bCs/>
          <w:w w:val="99"/>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共同控制，是指按照相关约定对某项安排所共有的控制，并且该安排的相关活动必须经过分享控制权</w:t>
      </w:r>
    </w:p>
    <w:p>
      <w:pPr>
        <w:pStyle w:val="BodyText"/>
        <w:spacing w:line="408" w:lineRule="auto" w:before="65"/>
        <w:ind w:left="212" w:right="144"/>
        <w:jc w:val="left"/>
      </w:pPr>
      <w:r>
        <w:rPr>
          <w:spacing w:val="-2"/>
        </w:rPr>
        <w:t>的参与方一致同意后才能决策。本公司与其合营方一同对被投资单位实施共同控制且对被投资单位净资产</w:t>
      </w:r>
      <w:r>
        <w:rPr>
          <w:spacing w:val="-96"/>
        </w:rPr>
        <w:t> </w:t>
      </w:r>
      <w:r>
        <w:rPr>
          <w:spacing w:val="-96"/>
        </w:rPr>
      </w:r>
      <w:r>
        <w:rPr/>
        <w:t>享有权利的，被投资单位为本公司的合营企业。</w:t>
      </w:r>
    </w:p>
    <w:p>
      <w:pPr>
        <w:spacing w:after="0" w:line="408"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51" w:firstLine="420"/>
        <w:jc w:val="both"/>
      </w:pPr>
      <w:r>
        <w:rPr>
          <w:spacing w:val="-1"/>
        </w:rPr>
        <w:t>重大影响，是指对一个企业的财务和经营决策有参与决策的权力，但并不能够控制或者与其他方一起</w:t>
      </w:r>
      <w:r>
        <w:rPr/>
        <w:t> 共同控制这些政策的制定。本能够对被投资单位施加重大影响的，被投资单位为本公司联营企业。</w:t>
      </w:r>
    </w:p>
    <w:p>
      <w:pPr>
        <w:pStyle w:val="Heading3"/>
        <w:spacing w:line="240" w:lineRule="auto" w:before="46"/>
        <w:ind w:left="566" w:right="0"/>
        <w:jc w:val="left"/>
        <w:rPr>
          <w:b w:val="0"/>
          <w:bCs w:val="0"/>
        </w:rPr>
      </w:pPr>
      <w:r>
        <w:rPr>
          <w:rFonts w:ascii="Times New Roman" w:hAnsi="Times New Roman" w:cs="Times New Roman" w:eastAsia="Times New Roman" w:hint="default"/>
        </w:rPr>
        <w:t>2</w:t>
      </w:r>
      <w:r>
        <w:rPr/>
        <w:t>、</w:t>
      </w:r>
      <w:r>
        <w:rPr>
          <w:spacing w:val="3"/>
        </w:rPr>
        <w:t> </w:t>
      </w:r>
      <w:r>
        <w:rPr/>
        <w:t>初始投资成本的确定</w:t>
      </w:r>
      <w:r>
        <w:rPr>
          <w:b w:val="0"/>
          <w:bCs w:val="0"/>
        </w:rPr>
      </w:r>
    </w:p>
    <w:p>
      <w:pPr>
        <w:pStyle w:val="BodyText"/>
        <w:spacing w:line="386" w:lineRule="auto" w:before="177"/>
        <w:ind w:left="574" w:right="0" w:hanging="1"/>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408" w:lineRule="auto" w:before="65"/>
        <w:ind w:right="151"/>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408" w:lineRule="auto"/>
        <w:ind w:right="15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0" w:lineRule="auto"/>
        <w:ind w:left="574"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408" w:lineRule="auto" w:before="52"/>
        <w:ind w:right="15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4"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Heading3"/>
        <w:spacing w:line="240" w:lineRule="auto"/>
        <w:ind w:left="566" w:right="0"/>
        <w:jc w:val="left"/>
        <w:rPr>
          <w:b w:val="0"/>
          <w:bCs w:val="0"/>
        </w:rPr>
      </w:pPr>
      <w:r>
        <w:rPr>
          <w:rFonts w:ascii="Times New Roman" w:hAnsi="Times New Roman" w:cs="Times New Roman" w:eastAsia="Times New Roman" w:hint="default"/>
        </w:rPr>
        <w:t>3</w:t>
      </w:r>
      <w:r>
        <w:rPr/>
        <w:t>、</w:t>
      </w:r>
      <w:r>
        <w:rPr>
          <w:spacing w:val="1"/>
        </w:rPr>
        <w:t> </w:t>
      </w:r>
      <w:r>
        <w:rPr/>
        <w:t>后续计量及损益确认方法</w:t>
      </w:r>
      <w:r>
        <w:rPr>
          <w:b w:val="0"/>
          <w:bCs w:val="0"/>
        </w:rPr>
      </w:r>
    </w:p>
    <w:p>
      <w:pPr>
        <w:pStyle w:val="BodyText"/>
        <w:spacing w:line="386" w:lineRule="auto" w:before="177"/>
        <w:ind w:left="632" w:right="140" w:hanging="59"/>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w:t>
      </w:r>
    </w:p>
    <w:p>
      <w:pPr>
        <w:pStyle w:val="BodyText"/>
        <w:spacing w:line="408" w:lineRule="auto" w:before="65"/>
        <w:ind w:left="212" w:right="151"/>
        <w:jc w:val="both"/>
      </w:pPr>
      <w:r>
        <w:rPr>
          <w:spacing w:val="-2"/>
        </w:rPr>
        <w:t>告但尚未发放的现金股利或利润外，公司按照享有被投资单位宣告发放的现金股利或利润确认当期投资收</w:t>
      </w:r>
      <w:r>
        <w:rPr>
          <w:spacing w:val="-95"/>
        </w:rPr>
        <w:t> </w:t>
      </w:r>
      <w:r>
        <w:rPr>
          <w:spacing w:val="-95"/>
        </w:rPr>
      </w:r>
      <w:r>
        <w:rPr/>
        <w:t>益。</w:t>
      </w:r>
    </w:p>
    <w:p>
      <w:pPr>
        <w:pStyle w:val="BodyText"/>
        <w:spacing w:line="386" w:lineRule="auto"/>
        <w:ind w:left="632" w:right="140" w:hanging="59"/>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w:t>
      </w:r>
    </w:p>
    <w:p>
      <w:pPr>
        <w:pStyle w:val="BodyText"/>
        <w:spacing w:line="240" w:lineRule="auto" w:before="65"/>
        <w:ind w:left="212" w:right="0"/>
        <w:jc w:val="both"/>
      </w:pPr>
      <w:r>
        <w:rPr/>
        <w:t>位可辨认净资产公允价值份额的差额，不调整长期股权投资的初始投资成本；初始投资成本小于投资时应</w:t>
      </w:r>
    </w:p>
    <w:p>
      <w:pPr>
        <w:spacing w:after="0" w:line="240" w:lineRule="auto"/>
        <w:jc w:val="both"/>
        <w:sectPr>
          <w:footerReference w:type="default" r:id="rId47"/>
          <w:pgSz w:w="11910" w:h="16840"/>
          <w:pgMar w:footer="982" w:header="877" w:top="1100" w:bottom="1180" w:left="980" w:right="980"/>
          <w:pgNumType w:start="133"/>
        </w:sectPr>
      </w:pPr>
    </w:p>
    <w:p>
      <w:pPr>
        <w:spacing w:line="240" w:lineRule="auto" w:before="8"/>
        <w:rPr>
          <w:rFonts w:ascii="宋体" w:hAnsi="宋体" w:cs="宋体" w:eastAsia="宋体" w:hint="default"/>
          <w:sz w:val="26"/>
          <w:szCs w:val="26"/>
        </w:rPr>
      </w:pPr>
    </w:p>
    <w:p>
      <w:pPr>
        <w:pStyle w:val="BodyText"/>
        <w:spacing w:line="408" w:lineRule="auto" w:before="35"/>
        <w:ind w:left="632" w:right="140" w:hanging="420"/>
        <w:jc w:val="left"/>
      </w:pPr>
      <w:r>
        <w:rPr/>
        <w:t>享有被投资单位可辨认净资产公允价值份额的差额，计入当期损益。 </w:t>
      </w:r>
      <w:r>
        <w:rPr>
          <w:spacing w:val="-2"/>
        </w:rPr>
        <w:t>公司按照应享有或应分担的被投资单位实现的净损益和其他综合收益的份额，分别确认投资收益和其</w:t>
      </w:r>
    </w:p>
    <w:p>
      <w:pPr>
        <w:pStyle w:val="BodyText"/>
        <w:spacing w:line="408" w:lineRule="auto"/>
        <w:ind w:left="212" w:right="151"/>
        <w:jc w:val="both"/>
      </w:pPr>
      <w:r>
        <w:rPr>
          <w:spacing w:val="-2"/>
        </w:rPr>
        <w:t>他综合收益，同时调整长期股权投资的账面价值；按照被投资单位宣告分派的利润或现金股利计算应享有</w:t>
      </w:r>
      <w:r>
        <w:rPr>
          <w:spacing w:val="-95"/>
        </w:rPr>
        <w:t> </w:t>
      </w:r>
      <w:r>
        <w:rPr>
          <w:spacing w:val="-95"/>
        </w:rPr>
      </w:r>
      <w:r>
        <w:rPr>
          <w:spacing w:val="-2"/>
        </w:rPr>
        <w:t>的部分，相应减少长期股权投资的账面价值；对于被投资单位除净损益、其他综合收益和利润分配以外所</w:t>
      </w:r>
      <w:r>
        <w:rPr>
          <w:spacing w:val="-97"/>
        </w:rPr>
        <w:t> </w:t>
      </w:r>
      <w:r>
        <w:rPr>
          <w:spacing w:val="-97"/>
        </w:rPr>
      </w:r>
      <w:r>
        <w:rPr/>
        <w:t>有者权益的其他变动，调整长期股权投资的账面价值并计入所有者权益。</w:t>
      </w:r>
    </w:p>
    <w:p>
      <w:pPr>
        <w:pStyle w:val="BodyText"/>
        <w:spacing w:line="408" w:lineRule="auto"/>
        <w:ind w:left="212" w:right="144" w:firstLine="420"/>
        <w:jc w:val="both"/>
      </w:pPr>
      <w:r>
        <w:rPr>
          <w:spacing w:val="2"/>
        </w:rPr>
        <w:t>在确认应享有被投资单位净损益的份额时，以取得投资时被投资单位可辨认净资产的公允价值为基</w:t>
      </w:r>
      <w:r>
        <w:rPr>
          <w:spacing w:val="3"/>
        </w:rPr>
        <w:t> </w:t>
      </w:r>
      <w:r>
        <w:rPr>
          <w:spacing w:val="-2"/>
        </w:rPr>
        <w:t>础，并按照公司的会计政策及会计期间，对被投资单位的净利润进行调整后确认。在持有投资期间，被投</w:t>
      </w:r>
      <w:r>
        <w:rPr>
          <w:spacing w:val="-97"/>
        </w:rPr>
        <w:t> </w:t>
      </w:r>
      <w:r>
        <w:rPr>
          <w:spacing w:val="-97"/>
        </w:rPr>
      </w:r>
      <w:r>
        <w:rPr>
          <w:spacing w:val="-2"/>
        </w:rPr>
        <w:t>资单位编制合并财务报表的，以合并财务报表中的净利润、其他综合收益和其他所有者权益变动中归属于</w:t>
      </w:r>
      <w:r>
        <w:rPr>
          <w:spacing w:val="-95"/>
        </w:rPr>
        <w:t> </w:t>
      </w:r>
      <w:r>
        <w:rPr>
          <w:spacing w:val="-95"/>
        </w:rPr>
      </w:r>
      <w:r>
        <w:rPr/>
        <w:t>被投资单位的金额为基础进行核算。</w:t>
      </w:r>
    </w:p>
    <w:p>
      <w:pPr>
        <w:pStyle w:val="BodyText"/>
        <w:spacing w:line="403" w:lineRule="auto"/>
        <w:ind w:left="212" w:right="144" w:firstLine="420"/>
        <w:jc w:val="both"/>
      </w:pPr>
      <w:r>
        <w:rPr>
          <w:spacing w:val="2"/>
        </w:rPr>
        <w:t>公司与联营企业、合营企业之间发生的未实现内部交易损益按照应享有的比例计算归属于公司的部</w:t>
      </w:r>
      <w:r>
        <w:rPr>
          <w:spacing w:val="3"/>
        </w:rPr>
        <w:t> </w:t>
      </w:r>
      <w:r>
        <w:rPr>
          <w:spacing w:val="-2"/>
        </w:rPr>
        <w:t>分，予以抵销，在此基础上确认投资收益。与被投资单位发生的未实现内部交易损失，属于资产减值损失</w:t>
      </w:r>
      <w:r>
        <w:rPr>
          <w:spacing w:val="-97"/>
        </w:rPr>
        <w:t> </w:t>
      </w:r>
      <w:r>
        <w:rPr>
          <w:spacing w:val="-97"/>
        </w:rPr>
      </w:r>
      <w:r>
        <w:rPr>
          <w:spacing w:val="-2"/>
        </w:rPr>
        <w:t>的，全额确认。公司与联营企业、合营企业之间发生投出或出售资产的交易，该资产构成业务的，按照本</w:t>
      </w:r>
      <w:r>
        <w:rPr>
          <w:spacing w:val="-96"/>
        </w:rPr>
        <w:t> </w:t>
      </w:r>
      <w:r>
        <w:rPr>
          <w:spacing w:val="-96"/>
        </w:rPr>
      </w:r>
      <w:r>
        <w:rPr/>
        <w:t>附注</w:t>
      </w:r>
      <w:r>
        <w:rPr>
          <w:rFonts w:ascii="Times New Roman" w:hAnsi="Times New Roman" w:cs="Times New Roman" w:eastAsia="Times New Roman" w:hint="default"/>
        </w:rPr>
        <w:t>“</w:t>
      </w:r>
      <w:r>
        <w:rPr/>
        <w:t>三、（五）同一控制下和非同一控制下企业合并的会计处理方法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w:t>
      </w:r>
      <w:r>
        <w:rPr>
          <w:spacing w:val="-58"/>
        </w:rPr>
        <w:t> </w:t>
      </w:r>
      <w:r>
        <w:rPr>
          <w:spacing w:val="-58"/>
        </w:rPr>
      </w:r>
      <w:r>
        <w:rPr/>
        <w:t>制方法</w:t>
      </w:r>
      <w:r>
        <w:rPr>
          <w:rFonts w:ascii="Times New Roman" w:hAnsi="Times New Roman" w:cs="Times New Roman" w:eastAsia="Times New Roman" w:hint="default"/>
        </w:rPr>
        <w:t>”</w:t>
      </w:r>
      <w:r>
        <w:rPr/>
        <w:t>中披露的相关政策进行会计处理。</w:t>
      </w:r>
    </w:p>
    <w:p>
      <w:pPr>
        <w:pStyle w:val="BodyText"/>
        <w:spacing w:line="408" w:lineRule="auto" w:before="19"/>
        <w:ind w:left="212" w:right="151" w:firstLine="420"/>
        <w:jc w:val="both"/>
      </w:pPr>
      <w:r>
        <w:rPr>
          <w:spacing w:val="-2"/>
        </w:rPr>
        <w:t>在公司确认应分担被投资单位发生的亏损时，按照以下顺序进行处理：首先，冲减长期股权投资的账</w:t>
      </w:r>
      <w:r>
        <w:rPr/>
        <w:t> </w:t>
      </w:r>
      <w:r>
        <w:rPr>
          <w:spacing w:val="-2"/>
        </w:rPr>
        <w:t>面价值。其次，长期股权投资的账面价值不足以冲减的，以其他实质上构成对被投资单位净投资的长期权</w:t>
      </w:r>
      <w:r>
        <w:rPr>
          <w:spacing w:val="-96"/>
        </w:rPr>
        <w:t> </w:t>
      </w:r>
      <w:r>
        <w:rPr>
          <w:spacing w:val="-96"/>
        </w:rPr>
      </w:r>
      <w:r>
        <w:rPr>
          <w:spacing w:val="-2"/>
        </w:rPr>
        <w:t>益账面价值为限继续确认投资损失，冲减长期应收项目等的账面价值。最后，经过上述处理，按照投资合</w:t>
      </w:r>
      <w:r>
        <w:rPr>
          <w:spacing w:val="-97"/>
        </w:rPr>
        <w:t> </w:t>
      </w:r>
      <w:r>
        <w:rPr>
          <w:spacing w:val="-97"/>
        </w:rPr>
      </w:r>
      <w:r>
        <w:rPr/>
        <w:t>同或协议约定企业仍承担额外义务的，按预计承担的义务确认预计负债，计入当期投资损失。</w:t>
      </w:r>
    </w:p>
    <w:p>
      <w:pPr>
        <w:pStyle w:val="BodyText"/>
        <w:spacing w:line="386" w:lineRule="auto"/>
        <w:ind w:left="632" w:right="257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08" w:lineRule="auto" w:before="65"/>
        <w:ind w:left="212" w:right="151" w:firstLine="420"/>
        <w:jc w:val="both"/>
      </w:pPr>
      <w:r>
        <w:rPr>
          <w:spacing w:val="-2"/>
        </w:rPr>
        <w:t>采用权益法核算的长期股权投资，在处置该项投资时，采用与被投资单位直接处置相关资产或负债相</w:t>
      </w:r>
      <w:r>
        <w:rPr/>
        <w:t> </w:t>
      </w:r>
      <w:r>
        <w:rPr>
          <w:spacing w:val="-2"/>
        </w:rPr>
        <w:t>同的基础，按相应比例对原计入其他综合收益的部分进行会计处理。因被投资单位除净损益、其他综合收</w:t>
      </w:r>
      <w:r>
        <w:rPr>
          <w:spacing w:val="-96"/>
        </w:rPr>
        <w:t> </w:t>
      </w:r>
      <w:r>
        <w:rPr>
          <w:spacing w:val="-96"/>
        </w:rPr>
      </w:r>
      <w:r>
        <w:rPr>
          <w:spacing w:val="-2"/>
        </w:rPr>
        <w:t>益和利润分配以外的其他所有者权益变动而确认的所有者权益，按比例结转入当期损益，由于被投资方重</w:t>
      </w:r>
      <w:r>
        <w:rPr>
          <w:spacing w:val="-95"/>
        </w:rPr>
        <w:t> </w:t>
      </w:r>
      <w:r>
        <w:rPr>
          <w:spacing w:val="-95"/>
        </w:rPr>
      </w:r>
      <w:r>
        <w:rPr/>
        <w:t>新计量设定受益计划净负债或净资产变动而产生的其他综合收益除外。</w:t>
      </w:r>
    </w:p>
    <w:p>
      <w:pPr>
        <w:pStyle w:val="BodyText"/>
        <w:spacing w:line="408" w:lineRule="auto"/>
        <w:ind w:left="212" w:right="151" w:firstLine="420"/>
        <w:jc w:val="both"/>
      </w:pPr>
      <w:r>
        <w:rPr>
          <w:spacing w:val="-2"/>
        </w:rPr>
        <w:t>因处置部分股权投资等原因丧失了对被投资单位的共同控制或重大影响的，处置后的剩余股权改按金</w:t>
      </w:r>
      <w:r>
        <w:rPr/>
        <w:t> </w:t>
      </w:r>
      <w:r>
        <w:rPr>
          <w:spacing w:val="-2"/>
        </w:rPr>
        <w:t>融工具确认和计量准则核算，其在丧失共同控制或重大影响之日的公允价值与账面价值之间的差额计入当</w:t>
      </w:r>
      <w:r>
        <w:rPr>
          <w:spacing w:val="-96"/>
        </w:rPr>
        <w:t> </w:t>
      </w:r>
      <w:r>
        <w:rPr>
          <w:spacing w:val="-96"/>
        </w:rPr>
      </w:r>
      <w:r>
        <w:rPr>
          <w:spacing w:val="-2"/>
        </w:rPr>
        <w:t>期损益。原股权投资因采用权益法核算而确认的其他综合收益，在终止采用权益法核算时采用与被投资单</w:t>
      </w:r>
      <w:r>
        <w:rPr>
          <w:spacing w:val="-95"/>
        </w:rPr>
        <w:t> </w:t>
      </w:r>
      <w:r>
        <w:rPr>
          <w:spacing w:val="-95"/>
        </w:rPr>
      </w:r>
      <w:r>
        <w:rPr>
          <w:spacing w:val="-2"/>
        </w:rPr>
        <w:t>位直接处置相关资产或负债相同的基础进行会计处理。因被投资方除净损益、其他综合收益和利润分配以</w:t>
      </w:r>
      <w:r>
        <w:rPr>
          <w:spacing w:val="-95"/>
        </w:rPr>
        <w:t> </w:t>
      </w:r>
      <w:r>
        <w:rPr>
          <w:spacing w:val="-95"/>
        </w:rPr>
      </w:r>
      <w:r>
        <w:rPr/>
        <w:t>外的其他所有者权益变动而确认的所有者权益，在终止采用权益法核算时全部转入当期损益。</w:t>
      </w:r>
    </w:p>
    <w:p>
      <w:pPr>
        <w:pStyle w:val="BodyText"/>
        <w:spacing w:line="240" w:lineRule="auto"/>
        <w:ind w:left="632" w:right="0"/>
        <w:jc w:val="left"/>
      </w:pPr>
      <w:r>
        <w:rPr/>
        <w:t>因处置部分股权投资等原因丧失了对被投资单位控制权的，在编制个别财务报表时，处置后的剩余股</w:t>
      </w:r>
    </w:p>
    <w:p>
      <w:pPr>
        <w:spacing w:after="0" w:line="240" w:lineRule="auto"/>
        <w:jc w:val="left"/>
        <w:sectPr>
          <w:footerReference w:type="default" r:id="rId48"/>
          <w:pgSz w:w="11910" w:h="16840"/>
          <w:pgMar w:footer="982" w:header="877" w:top="1100" w:bottom="1180" w:left="980" w:right="980"/>
          <w:pgNumType w:start="134"/>
        </w:sectPr>
      </w:pPr>
    </w:p>
    <w:p>
      <w:pPr>
        <w:spacing w:line="240" w:lineRule="auto" w:before="8"/>
        <w:rPr>
          <w:rFonts w:ascii="宋体" w:hAnsi="宋体" w:cs="宋体" w:eastAsia="宋体" w:hint="default"/>
          <w:sz w:val="26"/>
          <w:szCs w:val="26"/>
        </w:rPr>
      </w:pPr>
    </w:p>
    <w:p>
      <w:pPr>
        <w:pStyle w:val="BodyText"/>
        <w:spacing w:line="408" w:lineRule="auto" w:before="35"/>
        <w:ind w:left="212" w:right="211"/>
        <w:jc w:val="both"/>
      </w:pPr>
      <w:r>
        <w:rPr>
          <w:spacing w:val="-2"/>
        </w:rPr>
        <w:t>权能够对被投资单位实施共同控制或重大影响的，改按权益法核算，并对该剩余股权视同自取得时即采用</w:t>
      </w:r>
      <w:r>
        <w:rPr>
          <w:spacing w:val="-95"/>
        </w:rPr>
        <w:t> </w:t>
      </w:r>
      <w:r>
        <w:rPr>
          <w:spacing w:val="-95"/>
        </w:rPr>
      </w:r>
      <w:r>
        <w:rPr>
          <w:spacing w:val="-2"/>
        </w:rPr>
        <w:t>权益法核算进行调整；处置后的剩余股权不能对被投资单位实施共同控制或施加重大影响的，改按金融工</w:t>
      </w:r>
      <w:r>
        <w:rPr>
          <w:spacing w:val="-95"/>
        </w:rPr>
        <w:t> </w:t>
      </w:r>
      <w:r>
        <w:rPr>
          <w:spacing w:val="-95"/>
        </w:rPr>
      </w:r>
      <w:r>
        <w:rPr>
          <w:spacing w:val="-2"/>
        </w:rPr>
        <w:t>具确认和计量准则的有关规定进行会计处理，其在丧失控制之日的公允价值与账面价值间的差额计入当期</w:t>
      </w:r>
      <w:r>
        <w:rPr>
          <w:spacing w:val="-96"/>
        </w:rPr>
        <w:t> </w:t>
      </w:r>
      <w:r>
        <w:rPr>
          <w:spacing w:val="-96"/>
        </w:rPr>
      </w:r>
      <w:r>
        <w:rPr/>
        <w:t>损益。</w:t>
      </w:r>
    </w:p>
    <w:p>
      <w:pPr>
        <w:pStyle w:val="BodyText"/>
        <w:spacing w:line="408" w:lineRule="auto"/>
        <w:ind w:left="212" w:right="211" w:firstLine="420"/>
        <w:jc w:val="both"/>
      </w:pPr>
      <w:r>
        <w:rPr>
          <w:spacing w:val="-2"/>
        </w:rPr>
        <w:t>处置的股权是因追加投资等原因通过企业合并取得的，在编制个别财务报表时，处置后的剩余股权采</w:t>
      </w:r>
      <w:r>
        <w:rPr/>
        <w:t> </w:t>
      </w:r>
      <w:r>
        <w:rPr>
          <w:spacing w:val="-2"/>
        </w:rPr>
        <w:t>用成本法或权益法核算的，购买日之前持有的股权投资因采用权益法核算而确认的其他综合收益和其他所</w:t>
      </w:r>
      <w:r>
        <w:rPr>
          <w:spacing w:val="-96"/>
        </w:rPr>
        <w:t> </w:t>
      </w:r>
      <w:r>
        <w:rPr>
          <w:spacing w:val="-96"/>
        </w:rPr>
      </w:r>
      <w:r>
        <w:rPr>
          <w:spacing w:val="-2"/>
        </w:rPr>
        <w:t>有者权益按比例结转；处置后的剩余股权改按金融工具确认和计量准则进行会计处理的，其他综合收益和</w:t>
      </w:r>
      <w:r>
        <w:rPr>
          <w:spacing w:val="-95"/>
        </w:rPr>
        <w:t> </w:t>
      </w:r>
      <w:r>
        <w:rPr>
          <w:spacing w:val="-95"/>
        </w:rPr>
      </w:r>
      <w:r>
        <w:rPr/>
        <w:t>其他所有者权益全部结转。</w:t>
      </w:r>
    </w:p>
    <w:p>
      <w:pPr>
        <w:spacing w:line="240" w:lineRule="auto" w:before="8"/>
        <w:rPr>
          <w:rFonts w:ascii="宋体" w:hAnsi="宋体" w:cs="宋体" w:eastAsia="宋体" w:hint="default"/>
          <w:sz w:val="20"/>
          <w:szCs w:val="20"/>
        </w:rPr>
      </w:pPr>
    </w:p>
    <w:p>
      <w:pPr>
        <w:pStyle w:val="Heading3"/>
        <w:spacing w:line="240" w:lineRule="auto"/>
        <w:ind w:left="153" w:right="532"/>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031"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right="188"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408" w:lineRule="auto"/>
        <w:ind w:left="153" w:right="210"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line="240" w:lineRule="auto" w:before="8"/>
        <w:rPr>
          <w:rFonts w:ascii="宋体" w:hAnsi="宋体" w:cs="宋体" w:eastAsia="宋体" w:hint="default"/>
          <w:sz w:val="20"/>
          <w:szCs w:val="20"/>
        </w:rPr>
      </w:pPr>
    </w:p>
    <w:p>
      <w:pPr>
        <w:pStyle w:val="Heading3"/>
        <w:spacing w:line="240" w:lineRule="auto"/>
        <w:ind w:left="153" w:right="532"/>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53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153" w:right="94" w:firstLine="420"/>
        <w:jc w:val="left"/>
      </w:pPr>
      <w:r>
        <w:rPr/>
        <w:t>固定资产指为生产商品、提供劳务、出租或经营管理而持有，并且使用寿命超过一个会计年度的有形 </w:t>
      </w:r>
      <w:r>
        <w:rPr>
          <w:spacing w:val="-7"/>
        </w:rPr>
        <w:t>资产。固定资产在同时满足下列条件时予以确认：（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w:t>
      </w:r>
      <w:r>
        <w:rPr/>
        <w:t> 该固定资产的成本能够可靠地计量。</w:t>
      </w:r>
    </w:p>
    <w:p>
      <w:pPr>
        <w:spacing w:line="240" w:lineRule="auto" w:before="1"/>
        <w:rPr>
          <w:rFonts w:ascii="宋体" w:hAnsi="宋体" w:cs="宋体" w:eastAsia="宋体" w:hint="default"/>
          <w:sz w:val="21"/>
          <w:szCs w:val="21"/>
        </w:rPr>
      </w:pPr>
    </w:p>
    <w:p>
      <w:pPr>
        <w:pStyle w:val="Heading3"/>
        <w:spacing w:line="240" w:lineRule="auto"/>
        <w:ind w:left="153" w:right="53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20"/>
        </w:sectPr>
      </w:pPr>
    </w:p>
    <w:p>
      <w:pPr>
        <w:spacing w:line="240" w:lineRule="auto" w:before="12"/>
        <w:rPr>
          <w:rFonts w:ascii="宋体" w:hAnsi="宋体" w:cs="宋体" w:eastAsia="宋体" w:hint="default"/>
          <w:b/>
          <w:bCs/>
          <w:sz w:val="21"/>
          <w:szCs w:val="21"/>
        </w:rPr>
      </w:pPr>
    </w:p>
    <w:p>
      <w:pPr>
        <w:spacing w:before="44"/>
        <w:ind w:left="214" w:right="0" w:firstLine="0"/>
        <w:jc w:val="both"/>
        <w:rPr>
          <w:rFonts w:ascii="宋体" w:hAnsi="宋体" w:cs="宋体" w:eastAsia="宋体" w:hint="default"/>
          <w:sz w:val="18"/>
          <w:szCs w:val="18"/>
        </w:rPr>
      </w:pPr>
      <w:r>
        <w:rPr>
          <w:rFonts w:ascii="宋体" w:hAnsi="宋体" w:cs="宋体" w:eastAsia="宋体" w:hint="default"/>
          <w:sz w:val="18"/>
          <w:szCs w:val="18"/>
        </w:rPr>
        <w:t>说明：新建的母公司办公楼和子公司福建开普办公楼按</w:t>
      </w:r>
      <w:r>
        <w:rPr>
          <w:rFonts w:ascii="Times New Roman" w:hAnsi="Times New Roman" w:cs="Times New Roman" w:eastAsia="Times New Roman" w:hint="default"/>
          <w:sz w:val="18"/>
          <w:szCs w:val="18"/>
        </w:rPr>
        <w:t>40-50</w:t>
      </w:r>
      <w:r>
        <w:rPr>
          <w:rFonts w:ascii="宋体" w:hAnsi="宋体" w:cs="宋体" w:eastAsia="宋体" w:hint="default"/>
          <w:sz w:val="18"/>
          <w:szCs w:val="18"/>
        </w:rPr>
        <w:t>年折旧年限计提折旧。</w:t>
      </w:r>
    </w:p>
    <w:p>
      <w:pPr>
        <w:spacing w:line="690" w:lineRule="exact" w:before="32"/>
        <w:ind w:left="574" w:right="1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公司与租赁方所签订的租赁协议条款中规定了下列条件之一的，确认为融资租入资产：（</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）租赁期满</w:t>
      </w:r>
    </w:p>
    <w:p>
      <w:pPr>
        <w:pStyle w:val="BodyText"/>
        <w:spacing w:line="398" w:lineRule="auto" w:before="84"/>
        <w:ind w:right="149" w:hanging="1"/>
        <w:jc w:val="both"/>
      </w:pPr>
      <w:r>
        <w:rPr>
          <w:spacing w:val="-3"/>
        </w:rPr>
        <w:t>后租赁资产的所有权归属于本公司；（</w:t>
      </w:r>
      <w:r>
        <w:rPr>
          <w:rFonts w:ascii="Times New Roman" w:hAnsi="Times New Roman" w:cs="Times New Roman" w:eastAsia="Times New Roman" w:hint="default"/>
          <w:spacing w:val="-3"/>
        </w:rPr>
        <w:t>2</w:t>
      </w:r>
      <w:r>
        <w:rPr>
          <w:spacing w:val="-3"/>
        </w:rPr>
        <w:t>）公司具有购买资产的选择权，购买价款远低于行使选择权时该资</w:t>
      </w:r>
      <w:r>
        <w:rPr>
          <w:spacing w:val="-95"/>
        </w:rPr>
        <w:t> </w:t>
      </w:r>
      <w:r>
        <w:rPr>
          <w:spacing w:val="-95"/>
        </w:rPr>
      </w:r>
      <w:r>
        <w:rPr>
          <w:spacing w:val="-5"/>
        </w:rPr>
        <w:t>产的公允价值；（</w:t>
      </w:r>
      <w:r>
        <w:rPr>
          <w:rFonts w:ascii="Times New Roman" w:hAnsi="Times New Roman" w:cs="Times New Roman" w:eastAsia="Times New Roman" w:hint="default"/>
          <w:spacing w:val="-5"/>
        </w:rPr>
        <w:t>3</w:t>
      </w:r>
      <w:r>
        <w:rPr>
          <w:spacing w:val="-5"/>
        </w:rPr>
        <w:t>）租赁期占所租赁资产使用寿命的大部分；（</w:t>
      </w:r>
      <w:r>
        <w:rPr>
          <w:rFonts w:ascii="Times New Roman" w:hAnsi="Times New Roman" w:cs="Times New Roman" w:eastAsia="Times New Roman" w:hint="default"/>
          <w:spacing w:val="-5"/>
        </w:rPr>
        <w:t>4</w:t>
      </w:r>
      <w:r>
        <w:rPr>
          <w:spacing w:val="-5"/>
        </w:rPr>
        <w:t>）租赁开始日的最低租赁付款额现值，与</w:t>
      </w:r>
      <w:r>
        <w:rPr>
          <w:spacing w:val="-101"/>
        </w:rPr>
        <w:t> </w:t>
      </w:r>
      <w:r>
        <w:rPr>
          <w:spacing w:val="-101"/>
        </w:rPr>
      </w:r>
      <w:r>
        <w:rPr>
          <w:spacing w:val="-1"/>
        </w:rPr>
        <w:t>该资产的公允价值不存在较大的差异。公司在承租开始日，将租赁资产公允价值与最低租赁付款额现值两</w:t>
      </w:r>
      <w:r>
        <w:rPr>
          <w:spacing w:val="-82"/>
        </w:rPr>
        <w:t> </w:t>
      </w:r>
      <w:r>
        <w:rPr>
          <w:spacing w:val="-82"/>
        </w:rPr>
      </w:r>
      <w:r>
        <w:rPr>
          <w:spacing w:val="-1"/>
        </w:rPr>
        <w:t>者中较低者作为租入资产的入账价值，将最低租赁付款额作为长期应付款的入账价值，其差额作为未确认</w:t>
      </w:r>
      <w:r>
        <w:rPr>
          <w:spacing w:val="-82"/>
        </w:rPr>
        <w:t> </w:t>
      </w:r>
      <w:r>
        <w:rPr>
          <w:spacing w:val="-82"/>
        </w:rPr>
      </w:r>
      <w:r>
        <w:rPr/>
        <w:t>的融资费。</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30"/>
          <w:szCs w:val="30"/>
        </w:rPr>
      </w:pPr>
    </w:p>
    <w:p>
      <w:pPr>
        <w:spacing w:line="398" w:lineRule="auto" w:before="0"/>
        <w:ind w:left="566" w:right="5458"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pStyle w:val="BodyText"/>
        <w:spacing w:line="408" w:lineRule="auto" w:before="24"/>
        <w:ind w:right="128" w:firstLine="420"/>
        <w:jc w:val="both"/>
      </w:pPr>
      <w:r>
        <w:rPr/>
        <w:t>在建工程项目按建造该项资产达到预定可使用状态前所发生的全部支出，作为固定资产的入账价值。 </w:t>
      </w: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起，根据工程预算、造价或者工程实际成本等，按估计的价值转入固定资产，并按本公司固定资产折旧政</w:t>
      </w:r>
      <w:r>
        <w:rPr>
          <w:spacing w:val="-82"/>
        </w:rPr>
        <w:t> </w:t>
      </w:r>
      <w:r>
        <w:rPr>
          <w:spacing w:val="-82"/>
        </w:rPr>
      </w:r>
      <w:r>
        <w:rPr>
          <w:spacing w:val="-1"/>
        </w:rPr>
        <w:t>策计提固定资产的折旧，待办理竣工决算后，再按实际成本调整原来的暂估价值，但不调整原已计提的折</w:t>
      </w:r>
      <w:r>
        <w:rPr>
          <w:spacing w:val="-83"/>
        </w:rPr>
        <w:t> </w:t>
      </w:r>
      <w:r>
        <w:rPr>
          <w:spacing w:val="-83"/>
        </w:rPr>
      </w:r>
      <w:r>
        <w:rPr/>
        <w:t>旧额。</w:t>
      </w:r>
    </w:p>
    <w:p>
      <w:pPr>
        <w:spacing w:line="398" w:lineRule="auto" w:before="46"/>
        <w:ind w:left="574"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公司在每期末判断在建工程是否存在可能发生减值的迹象。 </w:t>
      </w:r>
      <w:r>
        <w:rPr>
          <w:rFonts w:ascii="宋体" w:hAnsi="宋体" w:cs="宋体" w:eastAsia="宋体" w:hint="default"/>
          <w:spacing w:val="-1"/>
          <w:sz w:val="21"/>
          <w:szCs w:val="21"/>
        </w:rPr>
        <w:t>在建工程存在减值迹象的，估计其可收回金额。有迹象表明一项在建工程可能发生减值的，企业以单</w:t>
      </w:r>
    </w:p>
    <w:p>
      <w:pPr>
        <w:pStyle w:val="BodyText"/>
        <w:spacing w:line="408" w:lineRule="auto" w:before="54"/>
        <w:ind w:right="149"/>
        <w:jc w:val="both"/>
      </w:pPr>
      <w:r>
        <w:rPr>
          <w:spacing w:val="-1"/>
        </w:rPr>
        <w:t>项在建工程为基础估计其可收回金额。企业难以对单项在建工程的可收回金额进行估计的，以该在建工程</w:t>
      </w:r>
      <w:r>
        <w:rPr>
          <w:spacing w:val="-81"/>
        </w:rPr>
        <w:t> </w:t>
      </w:r>
      <w:r>
        <w:rPr>
          <w:spacing w:val="-81"/>
        </w:rPr>
      </w:r>
      <w:r>
        <w:rPr/>
        <w:t>所属的资产组为基础确定资产组的可收回金额。</w:t>
      </w:r>
    </w:p>
    <w:p>
      <w:pPr>
        <w:pStyle w:val="BodyText"/>
        <w:spacing w:line="408" w:lineRule="auto"/>
        <w:ind w:right="147" w:firstLine="420"/>
        <w:jc w:val="both"/>
      </w:pPr>
      <w:r>
        <w:rPr>
          <w:spacing w:val="3"/>
        </w:rPr>
        <w:t>可收回金额根据在建工程的公允价值减去处置费用后的净额与在建工程预计未来现金流量的现值两</w:t>
      </w:r>
      <w:r>
        <w:rPr/>
        <w:t> 者之间较高者确定。</w:t>
      </w:r>
    </w:p>
    <w:p>
      <w:pPr>
        <w:pStyle w:val="BodyText"/>
        <w:spacing w:line="408" w:lineRule="auto"/>
        <w:ind w:right="149" w:firstLine="420"/>
        <w:jc w:val="both"/>
      </w:pPr>
      <w:r>
        <w:rPr>
          <w:spacing w:val="-1"/>
        </w:rPr>
        <w:t>当在建工程的可收回金额低于其账面价值的，将在建工程的账面价值减记至可收回金额，减记的金额</w:t>
      </w:r>
      <w:r>
        <w:rPr/>
        <w:t> 确认为在建工程减值损失，计入当期损益，同时计提相应的在建工程减值准备。</w:t>
      </w:r>
    </w:p>
    <w:p>
      <w:pPr>
        <w:pStyle w:val="BodyText"/>
        <w:spacing w:line="240" w:lineRule="auto"/>
        <w:ind w:left="632" w:right="0"/>
        <w:jc w:val="left"/>
      </w:pPr>
      <w:r>
        <w:rPr/>
        <w:t>在建工程的减值损失一经确认，在以后会计期间不再转回。</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574" w:right="0" w:hanging="8"/>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spacing w:val="1"/>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BodyText"/>
        <w:spacing w:line="408" w:lineRule="auto" w:before="54"/>
        <w:ind w:left="632" w:right="140" w:hanging="479"/>
        <w:jc w:val="left"/>
      </w:pPr>
      <w:r>
        <w:rPr/>
        <w:t>关资产成本；其他借款费用，在发生时根据其发生额确认为费用，计入当期损益。 </w:t>
      </w:r>
      <w:r>
        <w:rPr>
          <w:spacing w:val="-2"/>
        </w:rPr>
        <w:t>符合资本化条件的资产，是指需要经过相当长时间的购建或者生产活动才能达到预定可使用或者可销</w:t>
      </w:r>
    </w:p>
    <w:p>
      <w:pPr>
        <w:pStyle w:val="BodyText"/>
        <w:spacing w:line="408" w:lineRule="auto"/>
        <w:ind w:left="632" w:right="5092" w:hanging="420"/>
        <w:jc w:val="left"/>
      </w:pPr>
      <w:r>
        <w:rPr/>
        <w:t>售状态的固定资产、投资性房地产和存货等资产。 借款费用同时满足下列条件时开始资本化：</w:t>
      </w:r>
    </w:p>
    <w:p>
      <w:pPr>
        <w:pStyle w:val="BodyText"/>
        <w:spacing w:line="386" w:lineRule="auto"/>
        <w:ind w:left="153"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spacing w:val="2"/>
        </w:rPr>
        <w:t> </w:t>
      </w:r>
      <w:r>
        <w:rPr/>
        <w:t>非现金资产或者承担带息债务形式发生的支出；</w:t>
      </w:r>
    </w:p>
    <w:p>
      <w:pPr>
        <w:pStyle w:val="BodyText"/>
        <w:spacing w:line="240" w:lineRule="auto" w:before="65"/>
        <w:ind w:left="632" w:right="0"/>
        <w:jc w:val="left"/>
      </w:pPr>
      <w:r>
        <w:rPr/>
        <w:t>（</w:t>
      </w:r>
      <w:r>
        <w:rPr>
          <w:rFonts w:ascii="Times New Roman" w:hAnsi="Times New Roman" w:cs="Times New Roman" w:eastAsia="Times New Roman" w:hint="default"/>
        </w:rPr>
        <w:t>2</w:t>
      </w:r>
      <w:r>
        <w:rPr/>
        <w:t>）借款费用已经发生；</w:t>
      </w:r>
    </w:p>
    <w:p>
      <w:pPr>
        <w:pStyle w:val="BodyText"/>
        <w:spacing w:line="386" w:lineRule="auto" w:before="177"/>
        <w:ind w:left="623" w:right="149" w:firstLine="9"/>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2"/>
        </w:rPr>
        <w:t>资本化期间，指从借款费用开始资本化时点到停止资本化时点的期间，借款费用暂停资本化的期间不</w:t>
      </w:r>
    </w:p>
    <w:p>
      <w:pPr>
        <w:pStyle w:val="BodyText"/>
        <w:spacing w:line="240" w:lineRule="auto" w:before="65"/>
        <w:ind w:left="212" w:right="0"/>
        <w:jc w:val="left"/>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632" w:right="140"/>
        <w:jc w:val="left"/>
      </w:pPr>
      <w:r>
        <w:rPr/>
        <w:t>当购建或者生产符合资本化条件的资产达到预定可使用或者可销售状态时，借款费用停止资本化。 </w:t>
      </w:r>
      <w:r>
        <w:rPr>
          <w:spacing w:val="-2"/>
        </w:rPr>
        <w:t>当购建或者生产符合资本化条件的资产中部分项目分别完工且可单独使用时，该部分资产借款费用停</w:t>
      </w:r>
    </w:p>
    <w:p>
      <w:pPr>
        <w:pStyle w:val="BodyText"/>
        <w:spacing w:line="240" w:lineRule="auto"/>
        <w:ind w:left="212" w:right="0"/>
        <w:jc w:val="left"/>
      </w:pPr>
      <w:r>
        <w:rPr/>
        <w:t>止资本化。</w:t>
      </w:r>
    </w:p>
    <w:p>
      <w:pPr>
        <w:spacing w:line="240" w:lineRule="auto" w:before="10"/>
        <w:rPr>
          <w:rFonts w:ascii="宋体" w:hAnsi="宋体" w:cs="宋体" w:eastAsia="宋体" w:hint="default"/>
          <w:sz w:val="14"/>
          <w:szCs w:val="14"/>
        </w:rPr>
      </w:pPr>
    </w:p>
    <w:p>
      <w:pPr>
        <w:pStyle w:val="BodyText"/>
        <w:spacing w:line="408" w:lineRule="auto" w:before="0"/>
        <w:ind w:left="212" w:right="140" w:firstLine="420"/>
        <w:jc w:val="left"/>
      </w:pPr>
      <w:r>
        <w:rPr>
          <w:spacing w:val="-2"/>
        </w:rPr>
        <w:t>购建或者生产的资产的各部分分别完工，但必须等到整体完工后才可使用或可对外销售的，在该资产</w:t>
      </w:r>
      <w:r>
        <w:rPr/>
        <w:t> 整体完工时停止借款费用资本化。</w:t>
      </w:r>
    </w:p>
    <w:p>
      <w:pPr>
        <w:pStyle w:val="BodyText"/>
        <w:spacing w:line="386" w:lineRule="auto"/>
        <w:ind w:left="632" w:right="0" w:hanging="1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408" w:lineRule="auto" w:before="35"/>
        <w:ind w:left="212" w:right="151"/>
        <w:jc w:val="both"/>
      </w:pPr>
      <w:r>
        <w:rPr>
          <w:spacing w:val="-2"/>
        </w:rPr>
        <w:t>款费用暂停资本化；该项中断如是所购建或生产的符合资本化条件的资产达到预定可使用状态或者可销售</w:t>
      </w:r>
      <w:r>
        <w:rPr>
          <w:spacing w:val="-96"/>
        </w:rPr>
        <w:t> </w:t>
      </w:r>
      <w:r>
        <w:rPr>
          <w:spacing w:val="-96"/>
        </w:rPr>
      </w:r>
      <w:r>
        <w:rPr>
          <w:spacing w:val="-2"/>
        </w:rPr>
        <w:t>状态必要的程序，则借款费用继续资本化。在中断期间发生的借款费用确认为当期损益，直至资产的购建</w:t>
      </w:r>
      <w:r>
        <w:rPr>
          <w:spacing w:val="-97"/>
        </w:rPr>
        <w:t> </w:t>
      </w:r>
      <w:r>
        <w:rPr>
          <w:spacing w:val="-97"/>
        </w:rPr>
      </w:r>
      <w:r>
        <w:rPr/>
        <w:t>或者生产活动重新开始后借款费用继续资本化。</w:t>
      </w:r>
    </w:p>
    <w:p>
      <w:pPr>
        <w:spacing w:line="386" w:lineRule="auto" w:before="46"/>
        <w:ind w:left="632" w:right="0" w:hanging="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对于为购建或者生产符合资本化条件的资产而借入的专门借款，以专门借款当期实际发生的借款费</w:t>
      </w:r>
      <w:r>
        <w:rPr>
          <w:rFonts w:ascii="宋体" w:hAnsi="宋体" w:cs="宋体" w:eastAsia="宋体" w:hint="default"/>
          <w:sz w:val="21"/>
          <w:szCs w:val="21"/>
        </w:rPr>
      </w:r>
    </w:p>
    <w:p>
      <w:pPr>
        <w:pStyle w:val="BodyText"/>
        <w:spacing w:line="408" w:lineRule="auto" w:before="65"/>
        <w:ind w:left="212" w:right="151"/>
        <w:jc w:val="both"/>
      </w:pPr>
      <w:r>
        <w:rPr>
          <w:spacing w:val="-2"/>
        </w:rPr>
        <w:t>用，减去尚未动用的借款资金存入银行取得的利息收入或进行暂时性投资取得的投资收益后的金额，来确</w:t>
      </w:r>
      <w:r>
        <w:rPr>
          <w:spacing w:val="-95"/>
        </w:rPr>
        <w:t> </w:t>
      </w:r>
      <w:r>
        <w:rPr>
          <w:spacing w:val="-95"/>
        </w:rPr>
      </w:r>
      <w:r>
        <w:rPr/>
        <w:t>定借款费用的资本化金额。</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212" w:right="151" w:firstLine="420"/>
        <w:jc w:val="both"/>
      </w:pPr>
      <w:r>
        <w:rPr>
          <w:spacing w:val="-2"/>
        </w:rPr>
        <w:t>对于为购建或者生产符合资本化条件的资产而占用的一般借款，根据累计资产支出超过专门借款部分</w:t>
      </w:r>
      <w:r>
        <w:rPr/>
        <w:t> </w:t>
      </w:r>
      <w:r>
        <w:rPr>
          <w:spacing w:val="-2"/>
        </w:rPr>
        <w:t>的资产支出加权平均数乘以所占用一般借款的资本化率，计算确定一般借款应予资本化的利息金额。资本</w:t>
      </w:r>
      <w:r>
        <w:rPr>
          <w:spacing w:val="-95"/>
        </w:rPr>
        <w:t> </w:t>
      </w:r>
      <w:r>
        <w:rPr>
          <w:spacing w:val="-95"/>
        </w:rPr>
      </w:r>
      <w:r>
        <w:rPr/>
        <w:t>化率根据一般借款加权平均利率计算确定。</w:t>
      </w:r>
    </w:p>
    <w:p>
      <w:pPr>
        <w:pStyle w:val="BodyText"/>
        <w:spacing w:line="408" w:lineRule="auto"/>
        <w:ind w:left="212" w:right="151" w:firstLine="420"/>
        <w:jc w:val="both"/>
      </w:pPr>
      <w:r>
        <w:rPr>
          <w:spacing w:val="-2"/>
        </w:rPr>
        <w:t>借款存在折价或者溢价的，按照实际利率法确定每一会计期间应摊销的折价或者溢价金额，调整每期</w:t>
      </w:r>
      <w:r>
        <w:rPr/>
        <w:t> 利息金额。</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30"/>
          <w:szCs w:val="30"/>
        </w:rPr>
      </w:pPr>
    </w:p>
    <w:p>
      <w:pPr>
        <w:pStyle w:val="Heading3"/>
        <w:spacing w:line="240" w:lineRule="auto"/>
        <w:ind w:left="566"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566"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386" w:lineRule="auto" w:before="177"/>
        <w:ind w:left="574" w:right="0" w:hanging="1"/>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408" w:lineRule="auto" w:before="65"/>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08" w:lineRule="auto"/>
        <w:ind w:right="149"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ind w:right="149"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408" w:lineRule="auto"/>
        <w:ind w:left="212" w:right="151" w:firstLine="420"/>
        <w:jc w:val="both"/>
      </w:pPr>
      <w:r>
        <w:rPr>
          <w:spacing w:val="-2"/>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408" w:lineRule="auto"/>
        <w:ind w:left="212" w:right="151" w:firstLine="420"/>
        <w:jc w:val="both"/>
      </w:pPr>
      <w:r>
        <w:rPr>
          <w:spacing w:val="-2"/>
        </w:rPr>
        <w:t>内部自行开发的无形资产，其成本包括：开发该无形资产时耗用的材料、劳务成本、注册费、在开发</w:t>
      </w:r>
      <w:r>
        <w:rPr/>
        <w:t> </w:t>
      </w:r>
      <w:r>
        <w:rPr>
          <w:spacing w:val="-2"/>
        </w:rPr>
        <w:t>过程中使用的其他专利权和特许权的摊销以及满足资本化条件的利息费用，以及为使该无形资产达到预定</w:t>
      </w:r>
      <w:r>
        <w:rPr>
          <w:spacing w:val="-96"/>
        </w:rPr>
        <w:t> </w:t>
      </w:r>
      <w:r>
        <w:rPr>
          <w:spacing w:val="-96"/>
        </w:rPr>
      </w:r>
      <w:r>
        <w:rPr/>
        <w:t>用途前所发生的其他直接费用。</w:t>
      </w:r>
    </w:p>
    <w:p>
      <w:pPr>
        <w:pStyle w:val="BodyText"/>
        <w:spacing w:line="386" w:lineRule="auto"/>
        <w:ind w:left="632" w:right="5512" w:hanging="59"/>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08" w:lineRule="auto" w:before="65"/>
        <w:ind w:left="212" w:right="151" w:firstLine="420"/>
        <w:jc w:val="both"/>
      </w:pPr>
      <w:r>
        <w:rPr>
          <w:spacing w:val="-2"/>
        </w:rPr>
        <w:t>对于使用寿命有限的无形资产，在为企业带来经济利益的期限内按直线法摊销；无法预见无形资产为</w:t>
      </w:r>
      <w:r>
        <w:rPr/>
        <w:t> 企业带来经济利益期限的，视为使用寿命不确定的无形资产，不予摊销。</w:t>
      </w:r>
    </w:p>
    <w:p>
      <w:pPr>
        <w:pStyle w:val="Heading3"/>
        <w:spacing w:line="259" w:lineRule="exact"/>
        <w:ind w:left="623"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after="0" w:line="259" w:lineRule="exact"/>
        <w:jc w:val="left"/>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6" w:type="dxa"/>
        <w:tblLayout w:type="fixed"/>
        <w:tblCellMar>
          <w:top w:w="0" w:type="dxa"/>
          <w:left w:w="0" w:type="dxa"/>
          <w:bottom w:w="0" w:type="dxa"/>
          <w:right w:w="0" w:type="dxa"/>
        </w:tblCellMar>
        <w:tblLook w:val="01E0"/>
      </w:tblPr>
      <w:tblGrid>
        <w:gridCol w:w="2372"/>
        <w:gridCol w:w="1872"/>
        <w:gridCol w:w="2786"/>
      </w:tblGrid>
      <w:tr>
        <w:trPr>
          <w:trHeight w:val="347"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7"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7"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土地使用权权证规定年限</w:t>
            </w:r>
          </w:p>
        </w:tc>
      </w:tr>
      <w:tr>
        <w:trPr>
          <w:trHeight w:val="348"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会计估计</w:t>
            </w:r>
          </w:p>
        </w:tc>
      </w:tr>
    </w:tbl>
    <w:p>
      <w:pPr>
        <w:pStyle w:val="BodyText"/>
        <w:spacing w:line="400" w:lineRule="auto" w:before="63"/>
        <w:ind w:left="528" w:right="0" w:firstLine="45"/>
        <w:jc w:val="left"/>
      </w:pPr>
      <w:r>
        <w:rPr/>
        <w:t>每期末，对使用寿命有限的无形资产的使用寿命及摊销方法进行复核。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b/>
          <w:bCs/>
        </w:rPr>
        <w:t>3</w:t>
      </w:r>
      <w:r>
        <w:rPr>
          <w:rFonts w:ascii="宋体" w:hAnsi="宋体" w:cs="宋体" w:eastAsia="宋体" w:hint="default"/>
          <w:b/>
          <w:bCs/>
        </w:rPr>
        <w:t>、使用寿命不确定的无形资产的判断依据：</w:t>
      </w:r>
      <w:r>
        <w:rPr>
          <w:rFonts w:ascii="宋体" w:hAnsi="宋体" w:cs="宋体" w:eastAsia="宋体" w:hint="default"/>
          <w:b/>
          <w:bCs/>
          <w:spacing w:val="1"/>
          <w:w w:val="99"/>
        </w:rPr>
        <w:t> </w:t>
      </w:r>
      <w:r>
        <w:rPr/>
        <w:t>本公司拥有</w:t>
      </w:r>
      <w:r>
        <w:rPr>
          <w:rFonts w:ascii="Times New Roman" w:hAnsi="Times New Roman" w:cs="Times New Roman" w:eastAsia="Times New Roman" w:hint="default"/>
        </w:rPr>
        <w:t>463891</w:t>
      </w:r>
      <w:r>
        <w:rPr/>
        <w:t>号</w:t>
      </w:r>
      <w:r>
        <w:rPr>
          <w:rFonts w:ascii="Times New Roman" w:hAnsi="Times New Roman" w:cs="Times New Roman" w:eastAsia="Times New Roman" w:hint="default"/>
        </w:rPr>
        <w:t>“</w:t>
      </w:r>
      <w:r>
        <w:rPr/>
        <w:t>新开普</w:t>
      </w:r>
      <w:r>
        <w:rPr>
          <w:rFonts w:ascii="Times New Roman" w:hAnsi="Times New Roman" w:cs="Times New Roman" w:eastAsia="Times New Roman" w:hint="default"/>
        </w:rPr>
        <w:t>”</w:t>
      </w:r>
      <w:r>
        <w:rPr/>
        <w:t>商标，本公司认为在可预见的将来该商标均会使用并带给本公司预期的</w:t>
      </w:r>
    </w:p>
    <w:p>
      <w:pPr>
        <w:pStyle w:val="BodyText"/>
        <w:spacing w:line="403" w:lineRule="auto" w:before="21"/>
        <w:ind w:left="566" w:right="2353" w:hanging="354"/>
        <w:jc w:val="left"/>
      </w:pPr>
      <w:r>
        <w:rPr/>
        <w:t>经济利益流入，故认定其使用寿命为不确定。 每期末，对使用寿命不确定的无形资产的使用寿命进行复核。 经复核，该类无形资产的使用寿命仍为不确定。 </w:t>
      </w:r>
      <w:r>
        <w:rPr>
          <w:rFonts w:ascii="Times New Roman" w:hAnsi="Times New Roman" w:cs="Times New Roman" w:eastAsia="Times New Roman" w:hint="default"/>
          <w:b/>
          <w:bCs/>
        </w:rPr>
        <w:t>4</w:t>
      </w:r>
      <w:r>
        <w:rPr>
          <w:rFonts w:ascii="宋体" w:hAnsi="宋体" w:cs="宋体" w:eastAsia="宋体" w:hint="default"/>
          <w:b/>
          <w:bCs/>
        </w:rPr>
        <w:t>、无形资产减值准备的计提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w:t>
      </w:r>
    </w:p>
    <w:p>
      <w:pPr>
        <w:pStyle w:val="BodyText"/>
        <w:spacing w:line="408" w:lineRule="auto" w:before="50"/>
        <w:ind w:left="212" w:right="151" w:firstLine="420"/>
        <w:jc w:val="both"/>
      </w:pPr>
      <w:r>
        <w:rPr>
          <w:spacing w:val="-2"/>
        </w:rPr>
        <w:t>对无形资产进行减值测试，估计其可收回金额。有迹象表明一项无形资产可能发生减值的，公司以单</w:t>
      </w:r>
      <w:r>
        <w:rPr/>
        <w:t> </w:t>
      </w:r>
      <w:r>
        <w:rPr>
          <w:spacing w:val="-2"/>
        </w:rPr>
        <w:t>项无形资产为基础估计其可收回金额。公司难以对单项资产的可收回金额进行估计的，以该无形资产所属</w:t>
      </w:r>
      <w:r>
        <w:rPr>
          <w:spacing w:val="-95"/>
        </w:rPr>
        <w:t> </w:t>
      </w:r>
      <w:r>
        <w:rPr>
          <w:spacing w:val="-95"/>
        </w:rPr>
      </w:r>
      <w:r>
        <w:rPr/>
        <w:t>的资产组为基础确定无形资产组的可收回金额。</w:t>
      </w:r>
    </w:p>
    <w:p>
      <w:pPr>
        <w:pStyle w:val="BodyText"/>
        <w:spacing w:line="408" w:lineRule="auto"/>
        <w:ind w:left="212" w:right="0" w:firstLine="420"/>
        <w:jc w:val="left"/>
      </w:pPr>
      <w:r>
        <w:rPr>
          <w:spacing w:val="2"/>
        </w:rPr>
        <w:t>可收回金额根据无形资产的公允价值减去处置费用后的净额与无形资产预计未来现金流量的现值两</w:t>
      </w:r>
      <w:r>
        <w:rPr>
          <w:spacing w:val="3"/>
        </w:rPr>
        <w:t> </w:t>
      </w:r>
      <w:r>
        <w:rPr/>
        <w:t>者之间较高者确定。</w:t>
      </w:r>
    </w:p>
    <w:p>
      <w:pPr>
        <w:pStyle w:val="BodyText"/>
        <w:spacing w:line="408" w:lineRule="auto"/>
        <w:ind w:left="212" w:right="140" w:firstLine="420"/>
        <w:jc w:val="left"/>
      </w:pPr>
      <w:r>
        <w:rPr>
          <w:spacing w:val="-2"/>
        </w:rPr>
        <w:t>当无形资产的可收回金额低于其账面价值的，将无形资产的账面价值减记至可收回金额，减记的金额</w:t>
      </w:r>
      <w:r>
        <w:rPr/>
        <w:t> 确认为无形资产减值损失，计入当期损益，同时计提相应的无形资产减值准备。</w:t>
      </w:r>
    </w:p>
    <w:p>
      <w:pPr>
        <w:pStyle w:val="BodyText"/>
        <w:spacing w:line="408" w:lineRule="auto"/>
        <w:ind w:left="212" w:right="140" w:firstLine="420"/>
        <w:jc w:val="left"/>
      </w:pPr>
      <w:r>
        <w:rPr>
          <w:spacing w:val="-2"/>
        </w:rPr>
        <w:t>无形资产减值损失确认后，减值无形资产的折耗或者摊销费用在未来期间作相应调整，以使该无形资</w:t>
      </w:r>
      <w:r>
        <w:rPr/>
        <w:t> 产在剩余使用寿命内，系统地分摊调整后的无形资产账面价值（扣除预计净残值）。</w:t>
      </w:r>
    </w:p>
    <w:p>
      <w:pPr>
        <w:pStyle w:val="BodyText"/>
        <w:spacing w:line="240" w:lineRule="auto"/>
        <w:ind w:left="632" w:right="0"/>
        <w:jc w:val="left"/>
      </w:pPr>
      <w:r>
        <w:rPr/>
        <w:t>无形资产的减值损失一经确认，在以后会计期间不再转回。</w:t>
      </w:r>
    </w:p>
    <w:p>
      <w:pPr>
        <w:spacing w:line="750" w:lineRule="atLeast" w:before="34"/>
        <w:ind w:left="574" w:right="326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
          <w:w w:val="99"/>
          <w:sz w:val="21"/>
          <w:szCs w:val="21"/>
        </w:rPr>
        <w:t> </w:t>
      </w:r>
      <w:r>
        <w:rPr>
          <w:rFonts w:ascii="宋体" w:hAnsi="宋体" w:cs="宋体" w:eastAsia="宋体" w:hint="default"/>
          <w:sz w:val="21"/>
          <w:szCs w:val="21"/>
        </w:rPr>
        <w:t>公司内部研究开发项目的支出分为研究阶段支出和开发阶段支出。</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w:t>
      </w:r>
    </w:p>
    <w:p>
      <w:pPr>
        <w:pStyle w:val="BodyText"/>
        <w:spacing w:line="240" w:lineRule="auto"/>
        <w:ind w:left="574" w:right="0"/>
        <w:jc w:val="left"/>
      </w:pPr>
      <w:r>
        <w:rPr/>
        <w:t>内部研究开发项目开发阶段的支出，同时满足下列条件时确认为无形资产：</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57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57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147"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spacing w:val="2"/>
        </w:rPr>
        <w:t> </w:t>
      </w:r>
      <w:r>
        <w:rPr/>
        <w:t>自身存在市场，无形资产将在内部使用的，能够证明其有用性；</w:t>
      </w:r>
    </w:p>
    <w:p>
      <w:pPr>
        <w:pStyle w:val="BodyText"/>
        <w:spacing w:line="386" w:lineRule="auto" w:before="65"/>
        <w:ind w:left="212" w:right="151"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spacing w:val="1"/>
        </w:rPr>
        <w:t> </w:t>
      </w:r>
      <w:r>
        <w:rPr/>
        <w:t>无形资产；</w:t>
      </w:r>
    </w:p>
    <w:p>
      <w:pPr>
        <w:pStyle w:val="BodyText"/>
        <w:spacing w:line="386" w:lineRule="auto" w:before="65"/>
        <w:ind w:left="632" w:right="140" w:hanging="1"/>
        <w:jc w:val="left"/>
      </w:pPr>
      <w:r>
        <w:rPr/>
        <w:t>（</w:t>
      </w:r>
      <w:r>
        <w:rPr>
          <w:rFonts w:ascii="Times New Roman" w:hAnsi="Times New Roman" w:cs="Times New Roman" w:eastAsia="Times New Roman" w:hint="default"/>
        </w:rPr>
        <w:t>5</w:t>
      </w:r>
      <w:r>
        <w:rPr/>
        <w:t>）归属于该无形资产开发阶段的支出能够可靠地计量。 </w:t>
      </w:r>
      <w:r>
        <w:rPr>
          <w:spacing w:val="-2"/>
        </w:rPr>
        <w:t>开发阶段的支出，若不满足上列条件的，于发生时计入当期损益。研究阶段的支出，在发生时计入当</w:t>
      </w:r>
    </w:p>
    <w:p>
      <w:pPr>
        <w:pStyle w:val="BodyText"/>
        <w:spacing w:line="240" w:lineRule="auto" w:before="65"/>
        <w:ind w:left="212" w:right="0"/>
        <w:jc w:val="both"/>
      </w:pPr>
      <w:r>
        <w:rPr/>
        <w:t>期损益。</w:t>
      </w:r>
    </w:p>
    <w:p>
      <w:pPr>
        <w:pStyle w:val="BodyText"/>
        <w:spacing w:line="670" w:lineRule="atLeast" w:before="37"/>
        <w:ind w:left="574" w:right="0" w:hanging="420"/>
        <w:jc w:val="left"/>
      </w:pP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spacing w:val="1"/>
          <w:w w:val="99"/>
        </w:rPr>
        <w:t> </w:t>
      </w:r>
      <w:r>
        <w:rPr>
          <w:spacing w:val="-1"/>
        </w:rPr>
        <w:t>长期股权投资、采用成本模式计量的投资性房地产、固定资产、在建工程、无形资产等长期资产，于</w:t>
      </w:r>
    </w:p>
    <w:p>
      <w:pPr>
        <w:spacing w:line="240" w:lineRule="auto" w:before="10"/>
        <w:rPr>
          <w:rFonts w:ascii="宋体" w:hAnsi="宋体" w:cs="宋体" w:eastAsia="宋体" w:hint="default"/>
          <w:sz w:val="14"/>
          <w:szCs w:val="14"/>
        </w:rPr>
      </w:pPr>
    </w:p>
    <w:p>
      <w:pPr>
        <w:pStyle w:val="BodyText"/>
        <w:spacing w:line="408" w:lineRule="auto" w:before="0"/>
        <w:ind w:right="128"/>
        <w:jc w:val="both"/>
      </w:pPr>
      <w:r>
        <w:rPr/>
        <w:t>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408" w:lineRule="auto"/>
        <w:ind w:left="574"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408" w:lineRule="auto"/>
        <w:ind w:right="149"/>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408" w:lineRule="auto"/>
        <w:ind w:right="128"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组或者资产组组合的可收回金额低于其账面价值的，确认商誉的减值损失。上述资产减值损失一经确认， 在以后会计期间不予转回。</w:t>
      </w:r>
    </w:p>
    <w:p>
      <w:pPr>
        <w:spacing w:after="0" w:line="408"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1161"/>
        <w:jc w:val="left"/>
      </w:pPr>
      <w:r>
        <w:rPr/>
        <w:t>长期待摊费用为已经发生但应由本期和以后各期负担的分摊期限在一年以上的各项费用。 长期待摊费用在预计受益期间按直线法摊销。</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rFonts w:ascii="Times New Roman" w:hAnsi="Times New Roman" w:cs="Times New Roman" w:eastAsia="Times New Roman" w:hint="default"/>
        </w:rPr>
        <w:t>22</w:t>
      </w:r>
      <w:r>
        <w:rPr/>
        <w:t>、职工薪酬</w:t>
      </w:r>
      <w:r>
        <w:rPr>
          <w:b w:val="0"/>
          <w:bCs w:val="0"/>
        </w:rPr>
      </w:r>
    </w:p>
    <w:p>
      <w:pPr>
        <w:spacing w:line="768" w:lineRule="exact" w:before="3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408" w:lineRule="auto" w:before="69"/>
        <w:ind w:left="573" w:right="0" w:hanging="420"/>
        <w:jc w:val="left"/>
      </w:pPr>
      <w:r>
        <w:rPr/>
        <w:t>相关资产成本。 </w:t>
      </w:r>
      <w:r>
        <w:rPr>
          <w:spacing w:val="-1"/>
        </w:rPr>
        <w:t>本公司为职工缴纳的社会保险费和住房公积金，以及按规定提取的工会经费和职工教育经费，在职工</w:t>
      </w:r>
    </w:p>
    <w:p>
      <w:pPr>
        <w:pStyle w:val="BodyText"/>
        <w:spacing w:line="408" w:lineRule="auto"/>
        <w:ind w:left="153" w:right="951"/>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0" w:hanging="1"/>
        <w:jc w:val="left"/>
      </w:pPr>
      <w:r>
        <w:rPr/>
        <w:t>（</w:t>
      </w: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本公司按当地政府的相关规定为职工缴纳基本养老保险和失业保险，在职工为本公司提供服务的会计</w:t>
      </w:r>
    </w:p>
    <w:p>
      <w:pPr>
        <w:pStyle w:val="BodyText"/>
        <w:spacing w:line="408" w:lineRule="auto" w:before="65"/>
        <w:ind w:left="0" w:right="128"/>
        <w:jc w:val="right"/>
      </w:pPr>
      <w:r>
        <w:rPr/>
        <w:t>期间，按以当地规定的缴纳基数和比例计算应缴纳金额，确认为负债，并计入当期损益或相关资产成本。 </w:t>
      </w:r>
      <w:r>
        <w:rPr>
          <w:spacing w:val="-1"/>
        </w:rPr>
        <w:t>除基本养老保险外，本公司还依据国家企业年金制度的相关政策建立了企业年金缴费制度（补充养老</w:t>
      </w:r>
      <w:r>
        <w:rPr/>
        <w:t> 保险）</w:t>
      </w: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年金计划缴费，相应</w:t>
      </w:r>
    </w:p>
    <w:p>
      <w:pPr>
        <w:pStyle w:val="BodyText"/>
        <w:spacing w:line="240" w:lineRule="auto" w:before="14"/>
        <w:ind w:right="0"/>
        <w:jc w:val="left"/>
      </w:pPr>
      <w:r>
        <w:rPr/>
        <w:t>支出计入当期损益或相关资产成本。</w:t>
      </w:r>
    </w:p>
    <w:p>
      <w:pPr>
        <w:spacing w:line="240" w:lineRule="auto" w:before="10"/>
        <w:rPr>
          <w:rFonts w:ascii="宋体" w:hAnsi="宋体" w:cs="宋体" w:eastAsia="宋体" w:hint="default"/>
          <w:sz w:val="14"/>
          <w:szCs w:val="14"/>
        </w:rPr>
      </w:pPr>
    </w:p>
    <w:p>
      <w:pPr>
        <w:pStyle w:val="BodyText"/>
        <w:spacing w:line="386" w:lineRule="auto" w:before="0"/>
        <w:ind w:left="574" w:right="0" w:hanging="1"/>
        <w:jc w:val="left"/>
      </w:pPr>
      <w:r>
        <w:rPr/>
        <w:t>（</w:t>
      </w:r>
      <w:r>
        <w:rPr>
          <w:rFonts w:ascii="Times New Roman" w:hAnsi="Times New Roman" w:cs="Times New Roman" w:eastAsia="Times New Roman" w:hint="default"/>
        </w:rPr>
        <w:t>2</w:t>
      </w:r>
      <w:r>
        <w:rPr/>
        <w:t>）设定受益计划 </w:t>
      </w:r>
      <w:r>
        <w:rPr>
          <w:spacing w:val="3"/>
        </w:rPr>
        <w:t>本公司根据预期累计福利单位法确定的公式将设定受益计划产生的福利义务归属于职工提供服务的</w:t>
      </w:r>
    </w:p>
    <w:p>
      <w:pPr>
        <w:pStyle w:val="BodyText"/>
        <w:spacing w:line="408" w:lineRule="auto" w:before="65"/>
        <w:ind w:left="574" w:right="0" w:hanging="420"/>
        <w:jc w:val="left"/>
      </w:pPr>
      <w:r>
        <w:rPr/>
        <w:t>期间，并计入当期损益或相关资产成本。 </w:t>
      </w:r>
      <w:r>
        <w:rPr>
          <w:spacing w:val="3"/>
        </w:rPr>
        <w:t>设定受益计划义务现值减去设定受益计划资产公允价值所形成的赤字或盈余确认为一项设定受益计</w:t>
      </w:r>
    </w:p>
    <w:p>
      <w:pPr>
        <w:pStyle w:val="BodyText"/>
        <w:spacing w:line="408" w:lineRule="auto"/>
        <w:ind w:right="0"/>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408" w:lineRule="auto"/>
        <w:ind w:right="128" w:firstLine="420"/>
        <w:jc w:val="right"/>
      </w:pPr>
      <w:r>
        <w:rPr/>
        <w:t>所有设定受益计划义务，包括预期在职工提供服务的年度报告期间结束后的十二个月内支付的义务， </w:t>
      </w:r>
      <w:r>
        <w:rPr>
          <w:spacing w:val="3"/>
        </w:rPr>
        <w:t>根据资产负债表日与设定受益计划义务期限和币种相匹配的国债或活跃市场上的高质量公司债券的市场</w:t>
      </w:r>
      <w:r>
        <w:rPr/>
      </w:r>
    </w:p>
    <w:p>
      <w:pPr>
        <w:spacing w:after="0" w:line="408" w:lineRule="auto"/>
        <w:jc w:val="righ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573" w:right="0" w:hanging="420"/>
        <w:jc w:val="left"/>
      </w:pPr>
      <w:r>
        <w:rPr/>
        <w:t>收益率予以折现。 </w:t>
      </w:r>
      <w:r>
        <w:rPr>
          <w:spacing w:val="3"/>
        </w:rPr>
        <w:t>设定受益计划产生的服务成本和设定受益计划净负债或净资产的利息净额计入当期损益或相关资产</w:t>
      </w:r>
    </w:p>
    <w:p>
      <w:pPr>
        <w:pStyle w:val="BodyText"/>
        <w:spacing w:line="408" w:lineRule="auto"/>
        <w:ind w:left="153" w:right="0"/>
        <w:jc w:val="left"/>
      </w:pPr>
      <w:r>
        <w:rPr>
          <w:spacing w:val="-1"/>
        </w:rPr>
        <w:t>成本；重新计量设定受益计划净负债或净资产所产生的变动计入其他综合收益，并且在后续会计期间不转</w:t>
      </w:r>
      <w:r>
        <w:rPr>
          <w:spacing w:val="-81"/>
        </w:rPr>
        <w:t> </w:t>
      </w:r>
      <w:r>
        <w:rPr>
          <w:spacing w:val="-81"/>
        </w:rPr>
      </w:r>
      <w:r>
        <w:rPr/>
        <w:t>回至损益。</w:t>
      </w:r>
    </w:p>
    <w:p>
      <w:pPr>
        <w:pStyle w:val="BodyText"/>
        <w:spacing w:line="408" w:lineRule="auto"/>
        <w:ind w:left="153" w:right="0" w:firstLine="420"/>
        <w:jc w:val="left"/>
      </w:pPr>
      <w:r>
        <w:rPr>
          <w:spacing w:val="-1"/>
        </w:rPr>
        <w:t>在设定受益计划结算时，按在结算日确定的设定受益计划义务现值和结算价格两者的差额，确认结算</w:t>
      </w:r>
      <w:r>
        <w:rPr/>
        <w:t> 利得或损失。</w:t>
      </w:r>
    </w:p>
    <w:p>
      <w:pPr>
        <w:pStyle w:val="BodyText"/>
        <w:spacing w:line="240" w:lineRule="auto"/>
        <w:ind w:left="573" w:right="0"/>
        <w:jc w:val="left"/>
      </w:pPr>
      <w:r>
        <w:rPr/>
        <w:t>详见本附注“七、(十八)</w:t>
      </w:r>
      <w:r>
        <w:rPr>
          <w:spacing w:val="-4"/>
        </w:rPr>
        <w:t> </w:t>
      </w:r>
      <w:r>
        <w:rPr/>
        <w:t>应付职工薪酬”。</w:t>
      </w:r>
    </w:p>
    <w:p>
      <w:pPr>
        <w:spacing w:line="670" w:lineRule="atLeast" w:before="37"/>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spacing w:line="240" w:lineRule="auto" w:before="10"/>
        <w:rPr>
          <w:rFonts w:ascii="宋体" w:hAnsi="宋体" w:cs="宋体" w:eastAsia="宋体" w:hint="default"/>
          <w:sz w:val="14"/>
          <w:szCs w:val="14"/>
        </w:rPr>
      </w:pPr>
    </w:p>
    <w:p>
      <w:pPr>
        <w:pStyle w:val="BodyText"/>
        <w:spacing w:line="240" w:lineRule="auto" w:before="0"/>
        <w:ind w:left="153" w:right="0"/>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30"/>
          <w:szCs w:val="30"/>
        </w:rPr>
      </w:pPr>
    </w:p>
    <w:p>
      <w:pPr>
        <w:spacing w:line="386" w:lineRule="auto" w:before="0"/>
        <w:ind w:left="57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与诉讼、债务担保、亏损合同、重组事项等或有事项相关的义务同时满足下列条件时，本公司确认为</w:t>
      </w:r>
    </w:p>
    <w:p>
      <w:pPr>
        <w:pStyle w:val="BodyText"/>
        <w:spacing w:line="240" w:lineRule="auto" w:before="65"/>
        <w:ind w:left="153" w:right="0"/>
        <w:jc w:val="left"/>
      </w:pPr>
      <w:r>
        <w:rPr/>
        <w:t>预计负债：</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left="574"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74" w:right="0"/>
        <w:jc w:val="left"/>
      </w:pPr>
      <w:r>
        <w:rPr/>
        <w:t>（</w:t>
      </w:r>
      <w:r>
        <w:rPr>
          <w:rFonts w:ascii="Times New Roman" w:hAnsi="Times New Roman" w:cs="Times New Roman" w:eastAsia="Times New Roman" w:hint="default"/>
        </w:rPr>
        <w:t>3</w:t>
      </w:r>
      <w:r>
        <w:rPr/>
        <w:t>）该义务的金额能够可靠地计量。</w:t>
      </w:r>
    </w:p>
    <w:p>
      <w:pPr>
        <w:pStyle w:val="BodyText"/>
        <w:spacing w:line="398" w:lineRule="auto" w:before="177"/>
        <w:ind w:left="574" w:right="0" w:hanging="8"/>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408" w:lineRule="auto" w:before="54"/>
        <w:ind w:left="574" w:right="0" w:hanging="420"/>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408" w:lineRule="auto"/>
        <w:ind w:left="57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240" w:lineRule="auto"/>
        <w:ind w:right="0"/>
        <w:jc w:val="left"/>
      </w:pPr>
      <w:r>
        <w:rPr/>
        <w:t>性不相同的，如或有事项涉及单个项目的，则最佳估计数按照最可能发生金额确定；如或有事项涉及多个</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573" w:right="95" w:hanging="420"/>
        <w:jc w:val="left"/>
      </w:pPr>
      <w:r>
        <w:rPr/>
        <w:t>项目的，则最佳估计数按各种可能结果及相关概率计算确定。 </w:t>
      </w:r>
      <w:r>
        <w:rPr>
          <w:spacing w:val="-1"/>
        </w:rPr>
        <w:t>本公司清偿预计负债所需支出全部或部分预期由第三方补偿的，补偿金额在基本确定能够收到时，作</w:t>
      </w:r>
    </w:p>
    <w:p>
      <w:pPr>
        <w:pStyle w:val="BodyText"/>
        <w:spacing w:line="240" w:lineRule="auto"/>
        <w:ind w:left="153" w:right="532"/>
        <w:jc w:val="left"/>
      </w:pPr>
      <w:r>
        <w:rPr/>
        <w:t>为资产单独确认，确认的补偿金额不超过预计负债的账面价值。详见本附注</w:t>
      </w:r>
      <w:r>
        <w:rPr>
          <w:rFonts w:ascii="Times New Roman" w:hAnsi="Times New Roman" w:cs="Times New Roman" w:eastAsia="Times New Roman" w:hint="default"/>
        </w:rPr>
        <w:t>“</w:t>
      </w:r>
      <w:r>
        <w:rPr/>
        <w:t>八、</w:t>
      </w:r>
      <w:r>
        <w:rPr>
          <w:spacing w:val="-21"/>
        </w:rPr>
        <w:t> </w:t>
      </w:r>
      <w:r>
        <w:rPr/>
        <w:t>预计负债</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30"/>
          <w:szCs w:val="30"/>
        </w:rPr>
      </w:pPr>
    </w:p>
    <w:p>
      <w:pPr>
        <w:pStyle w:val="Heading3"/>
        <w:spacing w:line="240" w:lineRule="auto"/>
        <w:ind w:left="153" w:right="532"/>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95" w:firstLine="420"/>
        <w:jc w:val="left"/>
      </w:pPr>
      <w:r>
        <w:rPr>
          <w:spacing w:val="3"/>
        </w:rPr>
        <w:t>本公司的股份支付是为了获取职工或其他方提供服务而授予权益工具或者承担以权益工具为基础确</w:t>
      </w:r>
      <w:r>
        <w:rPr/>
        <w:t> 定的负债的交易。本公司的股份支付分为以权益结算的股份支付和以现金结算的股份支付。</w:t>
      </w:r>
    </w:p>
    <w:p>
      <w:pPr>
        <w:spacing w:line="386" w:lineRule="auto" w:before="46"/>
        <w:ind w:left="573" w:right="9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以权益结算的股份支付及权益工具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以权益结算的股份支付换取职工提供服务的，以授予职工权益工具的公允价值计量。授予后立即可行</w:t>
      </w:r>
    </w:p>
    <w:p>
      <w:pPr>
        <w:pStyle w:val="BodyText"/>
        <w:spacing w:line="408" w:lineRule="auto" w:before="65"/>
        <w:ind w:left="153" w:right="102"/>
        <w:jc w:val="left"/>
      </w:pPr>
      <w:r>
        <w:rPr/>
        <w:t>权的，在授予日按照公允价值计入相关成本或费用，相应增加资本公积；完成等待期内的服务或达到规定 业绩条件才可行权的，在等待期内每个资产负债表日，本公司根据最新取得的可行权职工人数变动、是否 </w:t>
      </w:r>
      <w:r>
        <w:rPr>
          <w:spacing w:val="-3"/>
        </w:rPr>
        <w:t>达到规定业绩条件等后续信息对可行权权益工具数量作出最佳估计，以此为基础，按照授予日的公允价值，</w:t>
      </w:r>
      <w:r>
        <w:rPr>
          <w:spacing w:val="-92"/>
        </w:rPr>
        <w:t> </w:t>
      </w:r>
      <w:r>
        <w:rPr>
          <w:spacing w:val="-92"/>
        </w:rPr>
      </w:r>
      <w:r>
        <w:rPr/>
        <w:t>将当期取得的服务计入相关成本或费用，相应增加资本公积。</w:t>
      </w:r>
    </w:p>
    <w:p>
      <w:pPr>
        <w:pStyle w:val="BodyText"/>
        <w:spacing w:line="408" w:lineRule="auto"/>
        <w:ind w:left="153" w:right="210" w:firstLine="420"/>
        <w:jc w:val="both"/>
      </w:pPr>
      <w:r>
        <w:rPr>
          <w:spacing w:val="-1"/>
        </w:rPr>
        <w:t>在满足业绩条件或服务期限条件的期间，应确认以权益结算的股份支付的成本或费用，并相应增加资</w:t>
      </w:r>
      <w:r>
        <w:rPr/>
        <w:t> </w:t>
      </w:r>
      <w:r>
        <w:rPr>
          <w:spacing w:val="-1"/>
        </w:rPr>
        <w:t>本公积。可行权日之前，于每个资产负债表日为以权益结算的股份支付确认的累计金额反映了等待期已届</w:t>
      </w:r>
      <w:r>
        <w:rPr>
          <w:spacing w:val="-81"/>
        </w:rPr>
        <w:t> </w:t>
      </w:r>
      <w:r>
        <w:rPr>
          <w:spacing w:val="-81"/>
        </w:rPr>
      </w:r>
      <w:r>
        <w:rPr/>
        <w:t>满的部分以及本公司对最终可行权的权益工具数量的最佳估计。</w:t>
      </w:r>
    </w:p>
    <w:p>
      <w:pPr>
        <w:pStyle w:val="BodyText"/>
        <w:spacing w:line="408" w:lineRule="auto"/>
        <w:ind w:left="153" w:right="95" w:firstLine="420"/>
        <w:jc w:val="left"/>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pStyle w:val="BodyText"/>
        <w:spacing w:line="408" w:lineRule="auto"/>
        <w:ind w:left="153" w:right="95" w:firstLine="420"/>
        <w:jc w:val="left"/>
      </w:pPr>
      <w:r>
        <w:rPr>
          <w:spacing w:val="-1"/>
        </w:rPr>
        <w:t>如果修改了以权益结算的股份支付的条款，至少按照未修改条款的情况确认取得的服务。此外，任何</w:t>
      </w:r>
      <w:r>
        <w:rPr/>
        <w:t> 增加所授予权益工具公允价值的修改，或在修改日对职工有利的变更，均确认取得服务的增加。</w:t>
      </w:r>
    </w:p>
    <w:p>
      <w:pPr>
        <w:pStyle w:val="BodyText"/>
        <w:spacing w:line="408" w:lineRule="auto"/>
        <w:ind w:left="153" w:right="102" w:firstLine="420"/>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r>
        <w:rPr>
          <w:spacing w:val="-92"/>
        </w:rPr>
        <w:t> </w:t>
      </w:r>
      <w:r>
        <w:rPr>
          <w:spacing w:val="-92"/>
        </w:rPr>
      </w:r>
      <w:r>
        <w:rPr>
          <w:spacing w:val="3"/>
        </w:rPr>
        <w:t>如果授予新的权益工具，并在新权益工具授予日认定所授予的新权益工具是用于替代被取消的权益工具</w:t>
      </w:r>
      <w:r>
        <w:rPr>
          <w:spacing w:val="-78"/>
        </w:rPr>
        <w:t> </w:t>
      </w:r>
      <w:r>
        <w:rPr>
          <w:spacing w:val="-78"/>
        </w:rPr>
      </w:r>
      <w:r>
        <w:rPr/>
        <w:t>的，则以与处理原权益工具条款和条件修改相同的方式，对所授予的替代权益工具进行处理。</w:t>
      </w:r>
    </w:p>
    <w:p>
      <w:pPr>
        <w:spacing w:line="386" w:lineRule="auto" w:before="46"/>
        <w:ind w:left="573" w:right="9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以现金结算的股份支付及权益工具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以现金结算的股份支付，按照本公司承担的以股份或其他权益工具为基础计算确定的负债的公允价值</w:t>
      </w:r>
    </w:p>
    <w:p>
      <w:pPr>
        <w:pStyle w:val="BodyText"/>
        <w:spacing w:line="408" w:lineRule="auto" w:before="65"/>
        <w:ind w:left="153" w:right="210"/>
        <w:jc w:val="both"/>
      </w:pPr>
      <w:r>
        <w:rPr>
          <w:spacing w:val="-1"/>
        </w:rPr>
        <w:t>计量。授予后立即可行权的，在授予日以承担负债的公允价值计入成本或费用，相应增加负债；完成等待</w:t>
      </w:r>
      <w:r>
        <w:rPr>
          <w:spacing w:val="-82"/>
        </w:rPr>
        <w:t> </w:t>
      </w:r>
      <w:r>
        <w:rPr>
          <w:spacing w:val="-82"/>
        </w:rPr>
      </w:r>
      <w:r>
        <w:rPr>
          <w:spacing w:val="-1"/>
        </w:rPr>
        <w:t>期内的服务或达到规定业绩条件才可行权的，在等待期内以对可行权情况的最佳估计为基础，按照承担负</w:t>
      </w:r>
      <w:r>
        <w:rPr>
          <w:spacing w:val="-81"/>
        </w:rPr>
        <w:t> </w:t>
      </w:r>
      <w:r>
        <w:rPr>
          <w:spacing w:val="-81"/>
        </w:rPr>
      </w:r>
      <w:r>
        <w:rPr>
          <w:spacing w:val="-1"/>
        </w:rPr>
        <w:t>债的公允价值，将当期取得的服务计入相关成本或费用，增加相应负债。在相关负债结算前的每个资产负</w:t>
      </w:r>
      <w:r>
        <w:rPr>
          <w:spacing w:val="-83"/>
        </w:rPr>
        <w:t> </w:t>
      </w:r>
      <w:r>
        <w:rPr>
          <w:spacing w:val="-83"/>
        </w:rPr>
      </w:r>
      <w:r>
        <w:rPr/>
        <w:t>债表日以及结算日，对负债的公允价值重新计量，其变动计入当期损益。</w:t>
      </w:r>
    </w:p>
    <w:p>
      <w:pPr>
        <w:spacing w:after="0" w:line="408" w:lineRule="auto"/>
        <w:jc w:val="both"/>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3"/>
        <w:spacing w:line="240" w:lineRule="auto" w:before="35"/>
        <w:ind w:right="532"/>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30"/>
          <w:szCs w:val="30"/>
        </w:rPr>
      </w:pPr>
    </w:p>
    <w:p>
      <w:pPr>
        <w:pStyle w:val="Heading3"/>
        <w:spacing w:line="240" w:lineRule="auto"/>
        <w:ind w:left="566" w:right="532"/>
        <w:jc w:val="left"/>
        <w:rPr>
          <w:b w:val="0"/>
          <w:bCs w:val="0"/>
        </w:rPr>
      </w:pPr>
      <w:r>
        <w:rPr>
          <w:rFonts w:ascii="Times New Roman" w:hAnsi="Times New Roman" w:cs="Times New Roman" w:eastAsia="Times New Roman" w:hint="default"/>
        </w:rPr>
        <w:t>1</w:t>
      </w:r>
      <w:r>
        <w:rPr/>
        <w:t>、</w:t>
      </w:r>
      <w:r>
        <w:rPr>
          <w:spacing w:val="2"/>
        </w:rPr>
        <w:t> </w:t>
      </w:r>
      <w:r>
        <w:rPr/>
        <w:t>销售商品收入确认和计量原则</w:t>
      </w:r>
      <w:r>
        <w:rPr>
          <w:b w:val="0"/>
          <w:bCs w:val="0"/>
        </w:rPr>
      </w:r>
    </w:p>
    <w:p>
      <w:pPr>
        <w:pStyle w:val="BodyText"/>
        <w:spacing w:line="386" w:lineRule="auto" w:before="177"/>
        <w:ind w:left="574" w:right="95" w:hanging="1"/>
        <w:jc w:val="left"/>
      </w:pPr>
      <w:r>
        <w:rPr/>
        <w:t>（</w:t>
      </w:r>
      <w:r>
        <w:rPr>
          <w:rFonts w:ascii="Times New Roman" w:hAnsi="Times New Roman" w:cs="Times New Roman" w:eastAsia="Times New Roman" w:hint="default"/>
        </w:rPr>
        <w:t>1</w:t>
      </w:r>
      <w:r>
        <w:rPr/>
        <w:t>）销售商品收入确认和计量的总体原则 </w:t>
      </w:r>
      <w:r>
        <w:rPr>
          <w:spacing w:val="-1"/>
        </w:rPr>
        <w:t>公司已将商品所有权上的主要风险和报酬转移给购买方；公司既没有保留与所有权相联系的继续管理</w:t>
      </w:r>
    </w:p>
    <w:p>
      <w:pPr>
        <w:pStyle w:val="BodyText"/>
        <w:spacing w:line="408" w:lineRule="auto" w:before="65"/>
        <w:ind w:right="101"/>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40" w:lineRule="auto"/>
        <w:ind w:left="574" w:right="532"/>
        <w:jc w:val="left"/>
      </w:pPr>
      <w:r>
        <w:rPr/>
        <w:t>（</w:t>
      </w:r>
      <w:r>
        <w:rPr>
          <w:rFonts w:ascii="Times New Roman" w:hAnsi="Times New Roman" w:cs="Times New Roman" w:eastAsia="Times New Roman" w:hint="default"/>
        </w:rPr>
        <w:t>2</w:t>
      </w:r>
      <w:r>
        <w:rPr/>
        <w:t>）本公司销售商品收入确认的确认标准及收入确认时间的具体判断标准：</w:t>
      </w:r>
    </w:p>
    <w:p>
      <w:pPr>
        <w:spacing w:line="240" w:lineRule="auto" w:before="9"/>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1073"/>
        <w:gridCol w:w="2663"/>
        <w:gridCol w:w="4020"/>
      </w:tblGrid>
      <w:tr>
        <w:trPr>
          <w:trHeight w:val="349" w:hRule="exact"/>
        </w:trPr>
        <w:tc>
          <w:tcPr>
            <w:tcW w:w="1073"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21"/>
              <w:ind w:left="127" w:right="0"/>
              <w:jc w:val="center"/>
              <w:rPr>
                <w:rFonts w:ascii="宋体" w:hAnsi="宋体" w:cs="宋体" w:eastAsia="宋体" w:hint="default"/>
                <w:sz w:val="18"/>
                <w:szCs w:val="18"/>
              </w:rPr>
            </w:pPr>
            <w:r>
              <w:rPr>
                <w:rFonts w:ascii="宋体" w:hAnsi="宋体" w:cs="宋体" w:eastAsia="宋体" w:hint="default"/>
                <w:sz w:val="18"/>
                <w:szCs w:val="18"/>
              </w:rPr>
              <w:t>销售模式</w:t>
            </w:r>
          </w:p>
        </w:tc>
        <w:tc>
          <w:tcPr>
            <w:tcW w:w="2663"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21"/>
              <w:ind w:left="130" w:right="0"/>
              <w:jc w:val="center"/>
              <w:rPr>
                <w:rFonts w:ascii="宋体" w:hAnsi="宋体" w:cs="宋体" w:eastAsia="宋体" w:hint="default"/>
                <w:sz w:val="18"/>
                <w:szCs w:val="18"/>
              </w:rPr>
            </w:pPr>
            <w:r>
              <w:rPr>
                <w:rFonts w:ascii="宋体" w:hAnsi="宋体" w:cs="宋体" w:eastAsia="宋体" w:hint="default"/>
                <w:sz w:val="18"/>
                <w:szCs w:val="18"/>
              </w:rPr>
              <w:t>直销模式</w:t>
            </w:r>
          </w:p>
        </w:tc>
        <w:tc>
          <w:tcPr>
            <w:tcW w:w="4020" w:type="dxa"/>
            <w:tcBorders>
              <w:top w:val="single" w:sz="8" w:space="0" w:color="000000"/>
              <w:left w:val="single" w:sz="6" w:space="0" w:color="000000"/>
              <w:bottom w:val="single" w:sz="6" w:space="0" w:color="000000"/>
              <w:right w:val="single" w:sz="8" w:space="0" w:color="000000"/>
            </w:tcBorders>
          </w:tcPr>
          <w:p>
            <w:pPr>
              <w:pStyle w:val="TableParagraph"/>
              <w:spacing w:line="240" w:lineRule="auto" w:before="21"/>
              <w:ind w:left="134" w:right="0"/>
              <w:jc w:val="center"/>
              <w:rPr>
                <w:rFonts w:ascii="宋体" w:hAnsi="宋体" w:cs="宋体" w:eastAsia="宋体" w:hint="default"/>
                <w:sz w:val="18"/>
                <w:szCs w:val="18"/>
              </w:rPr>
            </w:pPr>
            <w:r>
              <w:rPr>
                <w:rFonts w:ascii="宋体" w:hAnsi="宋体" w:cs="宋体" w:eastAsia="宋体" w:hint="default"/>
                <w:sz w:val="18"/>
                <w:szCs w:val="18"/>
              </w:rPr>
              <w:t>经销模式</w:t>
            </w:r>
          </w:p>
        </w:tc>
      </w:tr>
      <w:tr>
        <w:trPr>
          <w:trHeight w:val="335" w:hRule="exact"/>
        </w:trPr>
        <w:tc>
          <w:tcPr>
            <w:tcW w:w="1073" w:type="dxa"/>
            <w:tcBorders>
              <w:top w:val="single" w:sz="6" w:space="0" w:color="000000"/>
              <w:left w:val="single" w:sz="8" w:space="0" w:color="000000"/>
              <w:bottom w:val="nil" w:sz="6" w:space="0" w:color="auto"/>
              <w:right w:val="single" w:sz="6" w:space="0" w:color="000000"/>
            </w:tcBorders>
          </w:tcPr>
          <w:p>
            <w:pPr>
              <w:pStyle w:val="TableParagraph"/>
              <w:spacing w:line="240" w:lineRule="auto" w:before="21"/>
              <w:ind w:left="127" w:right="0"/>
              <w:jc w:val="center"/>
              <w:rPr>
                <w:rFonts w:ascii="宋体" w:hAnsi="宋体" w:cs="宋体" w:eastAsia="宋体" w:hint="default"/>
                <w:sz w:val="18"/>
                <w:szCs w:val="18"/>
              </w:rPr>
            </w:pPr>
            <w:r>
              <w:rPr>
                <w:rFonts w:ascii="宋体" w:hAnsi="宋体" w:cs="宋体" w:eastAsia="宋体" w:hint="default"/>
                <w:sz w:val="18"/>
                <w:szCs w:val="18"/>
              </w:rPr>
              <w:t>收入确认时</w:t>
            </w:r>
          </w:p>
        </w:tc>
        <w:tc>
          <w:tcPr>
            <w:tcW w:w="26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、附安装义务销售：在履行完</w:t>
            </w:r>
          </w:p>
        </w:tc>
        <w:tc>
          <w:tcPr>
            <w:tcW w:w="4020" w:type="dxa"/>
            <w:tcBorders>
              <w:top w:val="single" w:sz="6" w:space="0" w:color="000000"/>
              <w:left w:val="single" w:sz="6" w:space="0" w:color="000000"/>
              <w:bottom w:val="nil" w:sz="6" w:space="0" w:color="auto"/>
              <w:right w:val="single" w:sz="8" w:space="0" w:color="000000"/>
            </w:tcBorders>
          </w:tcPr>
          <w:p>
            <w:pPr>
              <w:pStyle w:val="TableParagraph"/>
              <w:spacing w:line="240" w:lineRule="auto" w:before="21"/>
              <w:ind w:left="1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、无需安装调试或经销商可自行安装调试的产</w:t>
            </w:r>
          </w:p>
        </w:tc>
      </w:tr>
      <w:tr>
        <w:trPr>
          <w:trHeight w:val="307" w:hRule="exact"/>
        </w:trPr>
        <w:tc>
          <w:tcPr>
            <w:tcW w:w="1073" w:type="dxa"/>
            <w:tcBorders>
              <w:top w:val="nil" w:sz="6" w:space="0" w:color="auto"/>
              <w:left w:val="single" w:sz="8" w:space="0" w:color="000000"/>
              <w:bottom w:val="nil" w:sz="6" w:space="0" w:color="auto"/>
              <w:right w:val="single" w:sz="6" w:space="0" w:color="000000"/>
            </w:tcBorders>
          </w:tcPr>
          <w:p>
            <w:pPr>
              <w:pStyle w:val="TableParagraph"/>
              <w:spacing w:line="240" w:lineRule="auto" w:before="5"/>
              <w:ind w:left="127" w:right="0"/>
              <w:jc w:val="center"/>
              <w:rPr>
                <w:rFonts w:ascii="宋体" w:hAnsi="宋体" w:cs="宋体" w:eastAsia="宋体" w:hint="default"/>
                <w:sz w:val="18"/>
                <w:szCs w:val="18"/>
              </w:rPr>
            </w:pPr>
            <w:r>
              <w:rPr>
                <w:rFonts w:ascii="宋体" w:hAnsi="宋体" w:cs="宋体" w:eastAsia="宋体" w:hint="default"/>
                <w:sz w:val="18"/>
                <w:szCs w:val="18"/>
              </w:rPr>
              <w:t>点</w:t>
            </w:r>
          </w:p>
        </w:tc>
        <w:tc>
          <w:tcPr>
            <w:tcW w:w="26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34" w:right="0"/>
              <w:jc w:val="left"/>
              <w:rPr>
                <w:rFonts w:ascii="宋体" w:hAnsi="宋体" w:cs="宋体" w:eastAsia="宋体" w:hint="default"/>
                <w:sz w:val="18"/>
                <w:szCs w:val="18"/>
              </w:rPr>
            </w:pPr>
            <w:r>
              <w:rPr>
                <w:rFonts w:ascii="宋体" w:hAnsi="宋体" w:cs="宋体" w:eastAsia="宋体" w:hint="default"/>
                <w:sz w:val="18"/>
                <w:szCs w:val="18"/>
              </w:rPr>
              <w:t>毕安装义务，经客户验收合格</w:t>
            </w:r>
          </w:p>
        </w:tc>
        <w:tc>
          <w:tcPr>
            <w:tcW w:w="4020" w:type="dxa"/>
            <w:tcBorders>
              <w:top w:val="nil" w:sz="6" w:space="0" w:color="auto"/>
              <w:left w:val="single" w:sz="6" w:space="0" w:color="000000"/>
              <w:bottom w:val="nil" w:sz="6" w:space="0" w:color="auto"/>
              <w:right w:val="single" w:sz="8" w:space="0" w:color="000000"/>
            </w:tcBorders>
          </w:tcPr>
          <w:p>
            <w:pPr>
              <w:pStyle w:val="TableParagraph"/>
              <w:spacing w:line="240" w:lineRule="auto" w:before="5"/>
              <w:ind w:left="135" w:right="0"/>
              <w:jc w:val="left"/>
              <w:rPr>
                <w:rFonts w:ascii="宋体" w:hAnsi="宋体" w:cs="宋体" w:eastAsia="宋体" w:hint="default"/>
                <w:sz w:val="18"/>
                <w:szCs w:val="18"/>
              </w:rPr>
            </w:pPr>
            <w:r>
              <w:rPr>
                <w:rFonts w:ascii="宋体" w:hAnsi="宋体" w:cs="宋体" w:eastAsia="宋体" w:hint="default"/>
                <w:sz w:val="18"/>
                <w:szCs w:val="18"/>
              </w:rPr>
              <w:t>品：经销商收到货物，验收合格、账目核对并确</w:t>
            </w:r>
          </w:p>
        </w:tc>
      </w:tr>
      <w:tr>
        <w:trPr>
          <w:trHeight w:val="312" w:hRule="exact"/>
        </w:trPr>
        <w:tc>
          <w:tcPr>
            <w:tcW w:w="1073" w:type="dxa"/>
            <w:tcBorders>
              <w:top w:val="nil" w:sz="6" w:space="0" w:color="auto"/>
              <w:left w:val="single" w:sz="8" w:space="0" w:color="000000"/>
              <w:bottom w:val="nil" w:sz="6" w:space="0" w:color="auto"/>
              <w:right w:val="single" w:sz="6" w:space="0" w:color="000000"/>
            </w:tcBorders>
          </w:tcPr>
          <w:p>
            <w:pPr/>
          </w:p>
        </w:tc>
        <w:tc>
          <w:tcPr>
            <w:tcW w:w="26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后，开具发票账单交付客户，确</w:t>
            </w:r>
          </w:p>
        </w:tc>
        <w:tc>
          <w:tcPr>
            <w:tcW w:w="4020" w:type="dxa"/>
            <w:tcBorders>
              <w:top w:val="nil" w:sz="6" w:space="0" w:color="auto"/>
              <w:left w:val="single" w:sz="6" w:space="0" w:color="000000"/>
              <w:bottom w:val="nil" w:sz="6" w:space="0" w:color="auto"/>
              <w:right w:val="single" w:sz="8"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认付款后，开具发票交付经销商，确认收入。</w:t>
            </w:r>
          </w:p>
        </w:tc>
      </w:tr>
      <w:tr>
        <w:trPr>
          <w:trHeight w:val="317" w:hRule="exact"/>
        </w:trPr>
        <w:tc>
          <w:tcPr>
            <w:tcW w:w="1073" w:type="dxa"/>
            <w:tcBorders>
              <w:top w:val="nil" w:sz="6" w:space="0" w:color="auto"/>
              <w:left w:val="single" w:sz="8" w:space="0" w:color="000000"/>
              <w:bottom w:val="nil" w:sz="6" w:space="0" w:color="auto"/>
              <w:right w:val="single" w:sz="6" w:space="0" w:color="000000"/>
            </w:tcBorders>
          </w:tcPr>
          <w:p>
            <w:pPr/>
          </w:p>
        </w:tc>
        <w:tc>
          <w:tcPr>
            <w:tcW w:w="26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认收入。</w:t>
            </w:r>
          </w:p>
        </w:tc>
        <w:tc>
          <w:tcPr>
            <w:tcW w:w="4020" w:type="dxa"/>
            <w:tcBorders>
              <w:top w:val="nil" w:sz="6" w:space="0" w:color="auto"/>
              <w:left w:val="single" w:sz="6" w:space="0" w:color="000000"/>
              <w:bottom w:val="nil" w:sz="6" w:space="0" w:color="auto"/>
              <w:right w:val="single" w:sz="8"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、需本公司提供技术支持的新产品、复杂系统项</w:t>
            </w:r>
          </w:p>
        </w:tc>
      </w:tr>
      <w:tr>
        <w:trPr>
          <w:trHeight w:val="312" w:hRule="exact"/>
        </w:trPr>
        <w:tc>
          <w:tcPr>
            <w:tcW w:w="1073" w:type="dxa"/>
            <w:tcBorders>
              <w:top w:val="nil" w:sz="6" w:space="0" w:color="auto"/>
              <w:left w:val="single" w:sz="8" w:space="0" w:color="000000"/>
              <w:bottom w:val="nil" w:sz="6" w:space="0" w:color="auto"/>
              <w:right w:val="single" w:sz="6" w:space="0" w:color="000000"/>
            </w:tcBorders>
          </w:tcPr>
          <w:p>
            <w:pPr/>
          </w:p>
        </w:tc>
        <w:tc>
          <w:tcPr>
            <w:tcW w:w="26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、不附安装义务销售：在客户</w:t>
            </w:r>
          </w:p>
        </w:tc>
        <w:tc>
          <w:tcPr>
            <w:tcW w:w="4020" w:type="dxa"/>
            <w:tcBorders>
              <w:top w:val="nil" w:sz="6" w:space="0" w:color="auto"/>
              <w:left w:val="single" w:sz="6" w:space="0" w:color="000000"/>
              <w:bottom w:val="nil" w:sz="6" w:space="0" w:color="auto"/>
              <w:right w:val="single" w:sz="8" w:space="0" w:color="000000"/>
            </w:tcBorders>
          </w:tcPr>
          <w:p>
            <w:pPr>
              <w:pStyle w:val="TableParagraph"/>
              <w:spacing w:line="240" w:lineRule="auto" w:before="5"/>
              <w:ind w:left="135" w:right="0"/>
              <w:jc w:val="left"/>
              <w:rPr>
                <w:rFonts w:ascii="宋体" w:hAnsi="宋体" w:cs="宋体" w:eastAsia="宋体" w:hint="default"/>
                <w:sz w:val="18"/>
                <w:szCs w:val="18"/>
              </w:rPr>
            </w:pPr>
            <w:r>
              <w:rPr>
                <w:rFonts w:ascii="宋体" w:hAnsi="宋体" w:cs="宋体" w:eastAsia="宋体" w:hint="default"/>
                <w:sz w:val="18"/>
                <w:szCs w:val="18"/>
              </w:rPr>
              <w:t>目产品：经销商在收到货物、待系统安装和调试</w:t>
            </w:r>
          </w:p>
        </w:tc>
      </w:tr>
      <w:tr>
        <w:trPr>
          <w:trHeight w:val="307" w:hRule="exact"/>
        </w:trPr>
        <w:tc>
          <w:tcPr>
            <w:tcW w:w="1073" w:type="dxa"/>
            <w:tcBorders>
              <w:top w:val="nil" w:sz="6" w:space="0" w:color="auto"/>
              <w:left w:val="single" w:sz="8" w:space="0" w:color="000000"/>
              <w:bottom w:val="nil" w:sz="6" w:space="0" w:color="auto"/>
              <w:right w:val="single" w:sz="6" w:space="0" w:color="000000"/>
            </w:tcBorders>
          </w:tcPr>
          <w:p>
            <w:pPr/>
          </w:p>
        </w:tc>
        <w:tc>
          <w:tcPr>
            <w:tcW w:w="26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34" w:right="0"/>
              <w:jc w:val="left"/>
              <w:rPr>
                <w:rFonts w:ascii="宋体" w:hAnsi="宋体" w:cs="宋体" w:eastAsia="宋体" w:hint="default"/>
                <w:sz w:val="18"/>
                <w:szCs w:val="18"/>
              </w:rPr>
            </w:pPr>
            <w:r>
              <w:rPr>
                <w:rFonts w:ascii="宋体" w:hAnsi="宋体" w:cs="宋体" w:eastAsia="宋体" w:hint="default"/>
                <w:sz w:val="18"/>
                <w:szCs w:val="18"/>
              </w:rPr>
              <w:t>收到货物，验收合格并确认付款</w:t>
            </w:r>
          </w:p>
        </w:tc>
        <w:tc>
          <w:tcPr>
            <w:tcW w:w="4020" w:type="dxa"/>
            <w:tcBorders>
              <w:top w:val="nil" w:sz="6" w:space="0" w:color="auto"/>
              <w:left w:val="single" w:sz="6" w:space="0" w:color="000000"/>
              <w:bottom w:val="nil" w:sz="6" w:space="0" w:color="auto"/>
              <w:right w:val="single" w:sz="8" w:space="0" w:color="000000"/>
            </w:tcBorders>
          </w:tcPr>
          <w:p>
            <w:pPr>
              <w:pStyle w:val="TableParagraph"/>
              <w:spacing w:line="240" w:lineRule="auto" w:before="5"/>
              <w:ind w:left="135" w:right="0"/>
              <w:jc w:val="left"/>
              <w:rPr>
                <w:rFonts w:ascii="宋体" w:hAnsi="宋体" w:cs="宋体" w:eastAsia="宋体" w:hint="default"/>
                <w:sz w:val="18"/>
                <w:szCs w:val="18"/>
              </w:rPr>
            </w:pPr>
            <w:r>
              <w:rPr>
                <w:rFonts w:ascii="宋体" w:hAnsi="宋体" w:cs="宋体" w:eastAsia="宋体" w:hint="default"/>
                <w:sz w:val="18"/>
                <w:szCs w:val="18"/>
              </w:rPr>
              <w:t>通过后（本公司提供技术支持），对方确认产品</w:t>
            </w:r>
          </w:p>
        </w:tc>
      </w:tr>
      <w:tr>
        <w:trPr>
          <w:trHeight w:val="312" w:hRule="exact"/>
        </w:trPr>
        <w:tc>
          <w:tcPr>
            <w:tcW w:w="1073" w:type="dxa"/>
            <w:tcBorders>
              <w:top w:val="nil" w:sz="6" w:space="0" w:color="auto"/>
              <w:left w:val="single" w:sz="8" w:space="0" w:color="000000"/>
              <w:bottom w:val="nil" w:sz="6" w:space="0" w:color="auto"/>
              <w:right w:val="single" w:sz="6" w:space="0" w:color="000000"/>
            </w:tcBorders>
          </w:tcPr>
          <w:p>
            <w:pPr/>
          </w:p>
        </w:tc>
        <w:tc>
          <w:tcPr>
            <w:tcW w:w="26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后，开具发票账单交付客户，确</w:t>
            </w:r>
          </w:p>
        </w:tc>
        <w:tc>
          <w:tcPr>
            <w:tcW w:w="4020" w:type="dxa"/>
            <w:tcBorders>
              <w:top w:val="nil" w:sz="6" w:space="0" w:color="auto"/>
              <w:left w:val="single" w:sz="6" w:space="0" w:color="000000"/>
              <w:bottom w:val="nil" w:sz="6" w:space="0" w:color="auto"/>
              <w:right w:val="single" w:sz="8"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合格。经销商确认产品合格、账目核对并同意付</w:t>
            </w:r>
          </w:p>
        </w:tc>
      </w:tr>
      <w:tr>
        <w:trPr>
          <w:trHeight w:val="332" w:hRule="exact"/>
        </w:trPr>
        <w:tc>
          <w:tcPr>
            <w:tcW w:w="1073" w:type="dxa"/>
            <w:tcBorders>
              <w:top w:val="nil" w:sz="6" w:space="0" w:color="auto"/>
              <w:left w:val="single" w:sz="8" w:space="0" w:color="000000"/>
              <w:bottom w:val="single" w:sz="8" w:space="0" w:color="000000"/>
              <w:right w:val="single" w:sz="6" w:space="0" w:color="000000"/>
            </w:tcBorders>
          </w:tcPr>
          <w:p>
            <w:pPr/>
          </w:p>
        </w:tc>
        <w:tc>
          <w:tcPr>
            <w:tcW w:w="2663" w:type="dxa"/>
            <w:tcBorders>
              <w:top w:val="nil" w:sz="6" w:space="0" w:color="auto"/>
              <w:left w:val="single" w:sz="6" w:space="0" w:color="000000"/>
              <w:bottom w:val="single" w:sz="8" w:space="0" w:color="000000"/>
              <w:right w:val="single" w:sz="6"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认收入。</w:t>
            </w:r>
          </w:p>
        </w:tc>
        <w:tc>
          <w:tcPr>
            <w:tcW w:w="4020" w:type="dxa"/>
            <w:tcBorders>
              <w:top w:val="nil" w:sz="6" w:space="0" w:color="auto"/>
              <w:left w:val="single" w:sz="6" w:space="0" w:color="000000"/>
              <w:bottom w:val="single" w:sz="8" w:space="0" w:color="000000"/>
              <w:right w:val="single" w:sz="8"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款后，开具发票交付经销商，确认收入。</w:t>
            </w:r>
          </w:p>
        </w:tc>
      </w:tr>
    </w:tbl>
    <w:p>
      <w:pPr>
        <w:pStyle w:val="BodyText"/>
        <w:spacing w:line="386" w:lineRule="auto" w:before="63"/>
        <w:ind w:left="574" w:right="95" w:hanging="1"/>
        <w:jc w:val="left"/>
      </w:pPr>
      <w:r>
        <w:rPr/>
        <w:t>（</w:t>
      </w:r>
      <w:r>
        <w:rPr>
          <w:rFonts w:ascii="Times New Roman" w:hAnsi="Times New Roman" w:cs="Times New Roman" w:eastAsia="Times New Roman" w:hint="default"/>
        </w:rPr>
        <w:t>3</w:t>
      </w:r>
      <w:r>
        <w:rPr/>
        <w:t>）关于本公司销售商品收入相应的业务特点分析和介绍 本公司商品销售采取</w:t>
      </w:r>
      <w:r>
        <w:rPr>
          <w:rFonts w:ascii="Times New Roman" w:hAnsi="Times New Roman" w:cs="Times New Roman" w:eastAsia="Times New Roman" w:hint="default"/>
        </w:rPr>
        <w:t>“</w:t>
      </w:r>
      <w:r>
        <w:rPr/>
        <w:t>直销</w:t>
      </w:r>
      <w:r>
        <w:rPr>
          <w:rFonts w:ascii="Times New Roman" w:hAnsi="Times New Roman" w:cs="Times New Roman" w:eastAsia="Times New Roman" w:hint="default"/>
        </w:rPr>
        <w:t>+</w:t>
      </w:r>
      <w:r>
        <w:rPr/>
        <w:t>经销</w:t>
      </w:r>
      <w:r>
        <w:rPr>
          <w:rFonts w:ascii="Times New Roman" w:hAnsi="Times New Roman" w:cs="Times New Roman" w:eastAsia="Times New Roman" w:hint="default"/>
        </w:rPr>
        <w:t>”</w:t>
      </w:r>
      <w:r>
        <w:rPr/>
        <w:t>并重的销售模式。经销模式的主要特征是公司与经销商之间实际发</w:t>
      </w:r>
    </w:p>
    <w:p>
      <w:pPr>
        <w:pStyle w:val="BodyText"/>
        <w:spacing w:line="408" w:lineRule="auto" w:before="35"/>
        <w:ind w:left="153" w:right="210"/>
        <w:jc w:val="both"/>
      </w:pPr>
      <w:r>
        <w:rPr>
          <w:spacing w:val="-1"/>
        </w:rPr>
        <w:t>生买卖关系，经销商按双方约定的价格从本公司购进产品，取得商品所有权，然后销售给最终用户，通过</w:t>
      </w:r>
      <w:r>
        <w:rPr>
          <w:spacing w:val="-82"/>
        </w:rPr>
        <w:t> </w:t>
      </w:r>
      <w:r>
        <w:rPr>
          <w:spacing w:val="-82"/>
        </w:rPr>
      </w:r>
      <w:r>
        <w:rPr>
          <w:spacing w:val="-1"/>
        </w:rPr>
        <w:t>差价来获得利润。直销模式是公司直接向最终用户销售产品的一种销售方式，直销模式下的销售又可分为</w:t>
      </w:r>
      <w:r>
        <w:rPr>
          <w:spacing w:val="-81"/>
        </w:rPr>
        <w:t> </w:t>
      </w:r>
      <w:r>
        <w:rPr>
          <w:spacing w:val="-81"/>
        </w:rPr>
      </w:r>
      <w:r>
        <w:rPr/>
        <w:t>附安装义务的销售和不附安装义务的销售。</w:t>
      </w:r>
    </w:p>
    <w:p>
      <w:pPr>
        <w:spacing w:line="386" w:lineRule="auto" w:before="46"/>
        <w:ind w:left="573" w:right="9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让渡资产使用权收入的确认和计量原则</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65"/>
        <w:ind w:left="153" w:right="0"/>
        <w:jc w:val="both"/>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3" w:right="532"/>
        <w:jc w:val="left"/>
      </w:pPr>
      <w:r>
        <w:rPr/>
        <w:t>①利息收入金额，按照他人使用本企业货币资金的时间和实际利率计算确定。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before="0"/>
        <w:ind w:left="573" w:right="532"/>
        <w:jc w:val="left"/>
      </w:pPr>
      <w:r>
        <w:rPr/>
        <w:t>②使用费收入金额，按照有关合同或协议约定的收费时间和方法计算确定。</w:t>
      </w:r>
    </w:p>
    <w:p>
      <w:pPr>
        <w:spacing w:line="240" w:lineRule="auto" w:before="10"/>
        <w:rPr>
          <w:rFonts w:ascii="宋体" w:hAnsi="宋体" w:cs="宋体" w:eastAsia="宋体" w:hint="default"/>
          <w:sz w:val="14"/>
          <w:szCs w:val="14"/>
        </w:rPr>
      </w:pPr>
    </w:p>
    <w:p>
      <w:pPr>
        <w:spacing w:line="386" w:lineRule="auto" w:before="0"/>
        <w:ind w:left="573" w:right="9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按完工百分比法确认提供劳务的收入和建造合同收入的确认和计量原则</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408" w:lineRule="auto" w:before="65"/>
        <w:ind w:left="573" w:right="95" w:hanging="420"/>
        <w:jc w:val="left"/>
      </w:pPr>
      <w:r>
        <w:rPr/>
        <w:t>务交易的完工进度，依据已经发生的成本占估计总成本的比例确定。 </w:t>
      </w:r>
      <w:r>
        <w:rPr>
          <w:spacing w:val="-1"/>
        </w:rPr>
        <w:t>按照已收或应收的合同或协议价款确定提供劳务收入总额，但已收或应收的合同或协议价款不公允的</w:t>
      </w:r>
    </w:p>
    <w:p>
      <w:pPr>
        <w:pStyle w:val="BodyText"/>
        <w:spacing w:line="408" w:lineRule="auto"/>
        <w:ind w:left="153" w:right="210"/>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3" w:right="2421" w:hanging="420"/>
        <w:jc w:val="left"/>
      </w:pPr>
      <w:r>
        <w:rPr/>
        <w:t>认劳务成本后的金额，结转当期劳务成本。 在资产负债表日提供劳务交易结果不能够可靠估计的，分别下列情况处理：</w:t>
      </w:r>
    </w:p>
    <w:p>
      <w:pPr>
        <w:pStyle w:val="BodyText"/>
        <w:spacing w:line="408" w:lineRule="auto"/>
        <w:ind w:left="153" w:right="151" w:firstLine="420"/>
        <w:jc w:val="both"/>
      </w:pPr>
      <w:r>
        <w:rPr>
          <w:spacing w:val="-1"/>
        </w:rPr>
        <w:t>①已经发生的劳务成本预计能够得到补偿的，按照已经发生的劳务成本金额确认提供劳务收入，并按</w:t>
      </w:r>
      <w:r>
        <w:rPr/>
        <w:t> 相同金额结转劳务成本。</w:t>
      </w:r>
    </w:p>
    <w:p>
      <w:pPr>
        <w:pStyle w:val="BodyText"/>
        <w:spacing w:line="408" w:lineRule="auto"/>
        <w:ind w:left="153" w:right="151" w:firstLine="420"/>
        <w:jc w:val="both"/>
      </w:pPr>
      <w:r>
        <w:rPr>
          <w:spacing w:val="-1"/>
        </w:rPr>
        <w:t>②已经发生的劳务成本预计不能够得到补偿的，将已经发生的劳务成本计入当期损益，不确认提供劳</w:t>
      </w:r>
      <w:r>
        <w:rPr/>
        <w:t> 务收入。</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spacing w:line="506" w:lineRule="auto" w:before="0"/>
        <w:ind w:left="573" w:right="11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与资产相关的政府补助，确认为递延收益，按照所建造或购买的资产使用年限分期计入营业外收入。</w:t>
      </w:r>
    </w:p>
    <w:p>
      <w:pPr>
        <w:pStyle w:val="Heading3"/>
        <w:spacing w:line="240" w:lineRule="auto" w:before="105"/>
        <w:ind w:left="153"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50" w:firstLine="420"/>
        <w:jc w:val="both"/>
      </w:pPr>
      <w:r>
        <w:rPr>
          <w:spacing w:val="-1"/>
        </w:rPr>
        <w:t>与收益相关的政府补助，用于补偿企业以后期间的相关费用或损失的，取得时确认为递延收益，在确</w:t>
      </w:r>
      <w:r>
        <w:rPr/>
        <w:t> </w:t>
      </w:r>
      <w:r>
        <w:rPr>
          <w:spacing w:val="-1"/>
        </w:rPr>
        <w:t>认相关费用的期间计入当期营业外收入；用于补偿企业已发生的相关费用或损失的，取得时直接计入当期</w:t>
      </w:r>
      <w:r>
        <w:rPr>
          <w:spacing w:val="-81"/>
        </w:rPr>
        <w:t> </w:t>
      </w:r>
      <w:r>
        <w:rPr>
          <w:spacing w:val="-81"/>
        </w:rPr>
      </w:r>
      <w:r>
        <w:rPr/>
        <w:t>营业外收入。</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50" w:firstLine="420"/>
        <w:jc w:val="both"/>
      </w:pPr>
      <w:r>
        <w:rPr>
          <w:spacing w:val="-1"/>
        </w:rPr>
        <w:t>对于可抵扣暂时性差异确认递延所得税资产，以未来期间很可能取得的用来抵扣可抵扣暂时性差异的</w:t>
      </w:r>
      <w:r>
        <w:rPr/>
        <w:t> 应纳税所得额为限。</w:t>
      </w:r>
    </w:p>
    <w:p>
      <w:pPr>
        <w:pStyle w:val="BodyText"/>
        <w:spacing w:line="408" w:lineRule="auto"/>
        <w:ind w:left="574"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408" w:lineRule="auto"/>
        <w:ind w:left="574"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408" w:lineRule="auto"/>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408" w:lineRule="auto"/>
        <w:ind w:right="150"/>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after="0" w:line="408"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532"/>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53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95" w:firstLine="42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w:t>
      </w:r>
      <w:r>
        <w:rPr>
          <w:spacing w:val="2"/>
        </w:rPr>
        <w:t> </w:t>
      </w:r>
      <w:r>
        <w:rPr/>
        <w:t>期费用。公司支付的与租赁交易相关的初始直接费用，计入当期费用。</w:t>
      </w:r>
    </w:p>
    <w:p>
      <w:pPr>
        <w:pStyle w:val="BodyText"/>
        <w:spacing w:line="408" w:lineRule="auto" w:before="65"/>
        <w:ind w:left="153" w:right="95" w:firstLine="420"/>
        <w:jc w:val="left"/>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398" w:lineRule="auto"/>
        <w:ind w:left="153" w:right="188" w:firstLine="42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w:t>
      </w:r>
      <w:r>
        <w:rPr>
          <w:spacing w:val="2"/>
        </w:rPr>
        <w:t> </w:t>
      </w:r>
      <w:r>
        <w:rPr/>
        <w:t>租赁收入。公司支付的与租赁交易相关的初始直接费用，计入当期费用；如金额较大的，则予以资本化，</w:t>
      </w:r>
      <w:r>
        <w:rPr/>
        <w:t> 在整个租赁期间内按照与租赁收入确认相同的基础分期计入当期收益。</w:t>
      </w:r>
    </w:p>
    <w:p>
      <w:pPr>
        <w:pStyle w:val="BodyText"/>
        <w:spacing w:line="408" w:lineRule="auto" w:before="54"/>
        <w:ind w:left="153" w:right="95"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0"/>
          <w:szCs w:val="20"/>
        </w:rPr>
      </w:pPr>
    </w:p>
    <w:p>
      <w:pPr>
        <w:pStyle w:val="Heading3"/>
        <w:spacing w:line="240" w:lineRule="auto"/>
        <w:ind w:left="153" w:right="53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02" w:firstLine="420"/>
        <w:jc w:val="left"/>
      </w:pPr>
      <w:r>
        <w:rPr/>
        <w:t>融资租入资产：公司在承租开始日，将租赁资产公允价值与最低租赁付款额现值两者中较低者作为租 入资产的入账价值，将最低租赁付款额作为长期应付款的入账价值，其差额作为未确认的融资费用。公司 </w:t>
      </w:r>
      <w:r>
        <w:rPr>
          <w:spacing w:val="-3"/>
        </w:rPr>
        <w:t>采用实际利率法对未确认的融资费用，在资产租赁期间内摊销，计入财务费用。公司发生的初始直接费用，</w:t>
      </w:r>
      <w:r>
        <w:rPr>
          <w:spacing w:val="-90"/>
        </w:rPr>
        <w:t> </w:t>
      </w:r>
      <w:r>
        <w:rPr>
          <w:spacing w:val="-90"/>
        </w:rPr>
      </w:r>
      <w:r>
        <w:rPr/>
        <w:t>计入租入资产价值。</w:t>
      </w:r>
    </w:p>
    <w:p>
      <w:pPr>
        <w:spacing w:line="240" w:lineRule="auto" w:before="8"/>
        <w:rPr>
          <w:rFonts w:ascii="宋体" w:hAnsi="宋体" w:cs="宋体" w:eastAsia="宋体" w:hint="default"/>
          <w:sz w:val="20"/>
          <w:szCs w:val="20"/>
        </w:rPr>
      </w:pPr>
    </w:p>
    <w:p>
      <w:pPr>
        <w:pStyle w:val="Heading3"/>
        <w:spacing w:line="240" w:lineRule="auto"/>
        <w:ind w:left="153" w:right="532"/>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6"/>
        <w:rPr>
          <w:rFonts w:ascii="宋体" w:hAnsi="宋体" w:cs="宋体" w:eastAsia="宋体" w:hint="default"/>
          <w:b/>
          <w:bCs/>
          <w:sz w:val="26"/>
          <w:szCs w:val="26"/>
        </w:rPr>
      </w:pPr>
    </w:p>
    <w:p>
      <w:pPr>
        <w:spacing w:before="0"/>
        <w:ind w:left="154" w:right="53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532"/>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3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公司依据财政部发布的《企业会计准则</w:t>
            </w:r>
          </w:p>
        </w:tc>
        <w:tc>
          <w:tcPr>
            <w:tcW w:w="3190" w:type="dxa"/>
            <w:tcBorders>
              <w:top w:val="single" w:sz="4" w:space="0" w:color="000000"/>
              <w:left w:val="single" w:sz="4" w:space="0" w:color="000000"/>
              <w:bottom w:val="nil" w:sz="6" w:space="0" w:color="auto"/>
              <w:right w:val="single" w:sz="4" w:space="0" w:color="000000"/>
            </w:tcBorders>
          </w:tcPr>
          <w:p>
            <w:pPr/>
          </w:p>
        </w:tc>
        <w:tc>
          <w:tcPr>
            <w:tcW w:w="3188" w:type="dxa"/>
            <w:vMerge w:val="restart"/>
            <w:tcBorders>
              <w:top w:val="single" w:sz="4" w:space="0" w:color="000000"/>
              <w:left w:val="single" w:sz="4" w:space="0" w:color="000000"/>
              <w:right w:val="single" w:sz="4" w:space="0" w:color="000000"/>
            </w:tcBorders>
          </w:tcPr>
          <w:p>
            <w:pPr/>
          </w:p>
        </w:tc>
      </w:tr>
      <w:tr>
        <w:trPr>
          <w:trHeight w:val="316"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允</w:t>
            </w:r>
            <w:r>
              <w:rPr>
                <w:rFonts w:ascii="宋体" w:hAnsi="宋体" w:cs="宋体" w:eastAsia="宋体" w:hint="default"/>
                <w:sz w:val="18"/>
                <w:szCs w:val="18"/>
              </w:rPr>
              <w:t>价值计量</w:t>
            </w:r>
            <w:r>
              <w:rPr>
                <w:rFonts w:ascii="宋体" w:hAnsi="宋体" w:cs="宋体" w:eastAsia="宋体" w:hint="default"/>
                <w:spacing w:val="-90"/>
                <w:sz w:val="18"/>
                <w:szCs w:val="18"/>
              </w:rPr>
              <w:t>》</w:t>
            </w:r>
            <w:r>
              <w:rPr>
                <w:rFonts w:ascii="宋体" w:hAnsi="宋体" w:cs="宋体" w:eastAsia="宋体" w:hint="default"/>
                <w:spacing w:val="-165"/>
                <w:sz w:val="18"/>
                <w:szCs w:val="18"/>
              </w:rPr>
              <w:t>、</w:t>
            </w:r>
            <w:r>
              <w:rPr>
                <w:rFonts w:ascii="宋体" w:hAnsi="宋体" w:cs="宋体" w:eastAsia="宋体" w:hint="default"/>
                <w:sz w:val="18"/>
                <w:szCs w:val="18"/>
              </w:rPr>
              <w:t>《企业会计准则</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vMerge/>
            <w:tcBorders>
              <w:left w:val="single" w:sz="4" w:space="0" w:color="000000"/>
              <w:right w:val="single" w:sz="4" w:space="0" w:color="000000"/>
            </w:tcBorders>
          </w:tcPr>
          <w:p>
            <w:pPr/>
          </w:p>
        </w:tc>
      </w:tr>
      <w:tr>
        <w:trPr>
          <w:trHeight w:val="624"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务</w:t>
            </w:r>
            <w:r>
              <w:rPr>
                <w:rFonts w:ascii="宋体" w:hAnsi="宋体" w:cs="宋体" w:eastAsia="宋体" w:hint="default"/>
                <w:sz w:val="18"/>
                <w:szCs w:val="18"/>
              </w:rPr>
              <w:t>报表列报</w:t>
            </w:r>
            <w:r>
              <w:rPr>
                <w:rFonts w:ascii="宋体" w:hAnsi="宋体" w:cs="宋体" w:eastAsia="宋体" w:hint="default"/>
                <w:spacing w:val="-90"/>
                <w:sz w:val="18"/>
                <w:szCs w:val="18"/>
              </w:rPr>
              <w:t>》</w:t>
            </w:r>
            <w:r>
              <w:rPr>
                <w:rFonts w:ascii="宋体" w:hAnsi="宋体" w:cs="宋体" w:eastAsia="宋体" w:hint="default"/>
                <w:spacing w:val="-165"/>
                <w:sz w:val="18"/>
                <w:szCs w:val="18"/>
              </w:rPr>
              <w:t>、</w:t>
            </w:r>
            <w:r>
              <w:rPr>
                <w:rFonts w:ascii="宋体" w:hAnsi="宋体" w:cs="宋体" w:eastAsia="宋体" w:hint="default"/>
                <w:sz w:val="18"/>
                <w:szCs w:val="18"/>
              </w:rPr>
              <w:t>《企业会计准则</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w:t>
            </w:r>
            <w:r>
              <w:rPr>
                <w:rFonts w:ascii="宋体" w:hAnsi="宋体" w:cs="宋体" w:eastAsia="宋体" w:hint="default"/>
                <w:spacing w:val="1"/>
                <w:sz w:val="18"/>
                <w:szCs w:val="18"/>
              </w:rPr>
              <w:t>薪</w:t>
            </w:r>
            <w:r>
              <w:rPr>
                <w:rFonts w:ascii="宋体" w:hAnsi="宋体" w:cs="宋体" w:eastAsia="宋体" w:hint="default"/>
                <w:sz w:val="18"/>
                <w:szCs w:val="18"/>
              </w:rPr>
              <w:t>酬</w:t>
            </w:r>
            <w:r>
              <w:rPr>
                <w:rFonts w:ascii="宋体" w:hAnsi="宋体" w:cs="宋体" w:eastAsia="宋体" w:hint="default"/>
                <w:spacing w:val="-90"/>
                <w:sz w:val="18"/>
                <w:szCs w:val="18"/>
              </w:rPr>
              <w:t>》</w:t>
            </w:r>
            <w:r>
              <w:rPr>
                <w:rFonts w:ascii="宋体" w:hAnsi="宋体" w:cs="宋体" w:eastAsia="宋体" w:hint="default"/>
                <w:spacing w:val="-12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8"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pacing w:val="-12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vMerge/>
            <w:tcBorders>
              <w:left w:val="single" w:sz="4" w:space="0" w:color="000000"/>
              <w:right w:val="single" w:sz="4" w:space="0" w:color="000000"/>
            </w:tcBorders>
          </w:tcPr>
          <w:p>
            <w:pPr/>
          </w:p>
        </w:tc>
      </w:tr>
      <w:tr>
        <w:trPr>
          <w:trHeight w:val="313"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0" w:type="dxa"/>
            <w:tcBorders>
              <w:top w:val="nil" w:sz="6" w:space="0" w:color="auto"/>
              <w:left w:val="single" w:sz="4" w:space="0" w:color="000000"/>
              <w:bottom w:val="single" w:sz="4" w:space="0" w:color="000000"/>
              <w:right w:val="single" w:sz="4" w:space="0" w:color="000000"/>
            </w:tcBorders>
          </w:tcPr>
          <w:p>
            <w:pPr/>
          </w:p>
        </w:tc>
        <w:tc>
          <w:tcPr>
            <w:tcW w:w="318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《企业会计</w:t>
            </w:r>
            <w:r>
              <w:rPr>
                <w:rFonts w:ascii="宋体" w:hAnsi="宋体" w:cs="宋体" w:eastAsia="宋体" w:hint="default"/>
                <w:spacing w:val="-2"/>
                <w:sz w:val="18"/>
                <w:szCs w:val="18"/>
              </w:rPr>
              <w:t>准</w:t>
            </w: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2" w:lineRule="auto" w:before="63"/>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在其他主体中权益的披露》七项具体会 计准则，实施新的会计政策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Heading3"/>
        <w:spacing w:line="240" w:lineRule="auto" w:before="35"/>
        <w:ind w:right="532"/>
        <w:jc w:val="left"/>
        <w:rPr>
          <w:b w:val="0"/>
          <w:bCs w:val="0"/>
        </w:rPr>
      </w:pPr>
      <w:r>
        <w:rPr/>
        <w:t>本次会计政策变更对公司的影响</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before="0"/>
        <w:ind w:left="153" w:right="210" w:firstLine="480"/>
        <w:jc w:val="both"/>
      </w:pPr>
      <w:r>
        <w:rPr>
          <w:rFonts w:ascii="Times New Roman" w:hAnsi="Times New Roman" w:cs="Times New Roman" w:eastAsia="Times New Roman" w:hint="default"/>
          <w:spacing w:val="-3"/>
        </w:rPr>
        <w:t>1</w:t>
      </w:r>
      <w:r>
        <w:rPr>
          <w:spacing w:val="-3"/>
        </w:rPr>
        <w:t>、公司根据《关于印发</w:t>
      </w:r>
      <w:r>
        <w:rPr>
          <w:rFonts w:ascii="Times New Roman" w:hAnsi="Times New Roman" w:cs="Times New Roman" w:eastAsia="Times New Roman" w:hint="default"/>
          <w:spacing w:val="-3"/>
        </w:rPr>
        <w:t>&lt;</w:t>
      </w:r>
      <w:r>
        <w:rPr>
          <w:spacing w:val="-3"/>
        </w:rPr>
        <w:t>企业会计准则第</w:t>
      </w:r>
      <w:r>
        <w:rPr>
          <w:rFonts w:ascii="Times New Roman" w:hAnsi="Times New Roman" w:cs="Times New Roman" w:eastAsia="Times New Roman" w:hint="default"/>
          <w:spacing w:val="-3"/>
        </w:rPr>
        <w:t>39</w:t>
      </w:r>
      <w:r>
        <w:rPr>
          <w:spacing w:val="-3"/>
        </w:rPr>
        <w:t>号</w:t>
      </w:r>
      <w:r>
        <w:rPr>
          <w:rFonts w:ascii="Times New Roman" w:hAnsi="Times New Roman" w:cs="Times New Roman" w:eastAsia="Times New Roman" w:hint="default"/>
          <w:spacing w:val="-3"/>
        </w:rPr>
        <w:t>-</w:t>
      </w:r>
      <w:r>
        <w:rPr>
          <w:spacing w:val="-3"/>
        </w:rPr>
        <w:t>公允价值计量</w:t>
      </w:r>
      <w:r>
        <w:rPr>
          <w:rFonts w:ascii="Times New Roman" w:hAnsi="Times New Roman" w:cs="Times New Roman" w:eastAsia="Times New Roman" w:hint="default"/>
          <w:spacing w:val="-3"/>
        </w:rPr>
        <w:t>&gt;</w:t>
      </w:r>
      <w:r>
        <w:rPr>
          <w:spacing w:val="-3"/>
        </w:rPr>
        <w:t>的通知》（财会</w:t>
      </w:r>
      <w:r>
        <w:rPr>
          <w:rFonts w:ascii="Times New Roman" w:hAnsi="Times New Roman" w:cs="Times New Roman" w:eastAsia="Times New Roman" w:hint="default"/>
          <w:spacing w:val="-3"/>
        </w:rPr>
        <w:t>[2014]6</w:t>
      </w:r>
      <w:r>
        <w:rPr>
          <w:spacing w:val="-3"/>
        </w:rPr>
        <w:t>号），执行《企</w:t>
      </w:r>
      <w:r>
        <w:rPr/>
        <w:t> 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公允价值计量》。该变更对财务报表无重大影响。</w:t>
      </w:r>
    </w:p>
    <w:p>
      <w:pPr>
        <w:pStyle w:val="BodyText"/>
        <w:spacing w:line="386" w:lineRule="auto" w:before="35"/>
        <w:ind w:left="153" w:right="210" w:firstLine="480"/>
        <w:jc w:val="both"/>
      </w:pPr>
      <w:r>
        <w:rPr>
          <w:rFonts w:ascii="Times New Roman" w:hAnsi="Times New Roman" w:cs="Times New Roman" w:eastAsia="Times New Roman" w:hint="default"/>
        </w:rPr>
        <w:t>2</w:t>
      </w:r>
      <w:r>
        <w:rPr/>
        <w:t>、公司根据《关于印发修订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[2014]7</w:t>
      </w:r>
      <w:r>
        <w:rPr/>
        <w:t>号），执 行《企业会计准则第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财务报表列报》。该变更对财务报表无重大影响。</w:t>
      </w:r>
    </w:p>
    <w:p>
      <w:pPr>
        <w:pStyle w:val="BodyText"/>
        <w:spacing w:line="386" w:lineRule="auto" w:before="35"/>
        <w:ind w:left="153" w:right="208" w:firstLine="480"/>
        <w:jc w:val="both"/>
      </w:pPr>
      <w:r>
        <w:rPr>
          <w:rFonts w:ascii="Times New Roman" w:hAnsi="Times New Roman" w:cs="Times New Roman" w:eastAsia="Times New Roman" w:hint="default"/>
        </w:rPr>
        <w:t>3</w:t>
      </w:r>
      <w:r>
        <w:rPr/>
        <w:t>、公司根据《关于印发修订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[2014]8</w:t>
      </w:r>
      <w:r>
        <w:rPr/>
        <w:t>号），执行《企 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职工薪酬》。该变更对财务报表无重大影响。</w:t>
      </w:r>
    </w:p>
    <w:p>
      <w:pPr>
        <w:pStyle w:val="BodyText"/>
        <w:spacing w:line="386" w:lineRule="auto" w:before="35"/>
        <w:ind w:left="153" w:right="211" w:firstLine="480"/>
        <w:jc w:val="both"/>
      </w:pPr>
      <w:r>
        <w:rPr>
          <w:rFonts w:ascii="Times New Roman" w:hAnsi="Times New Roman" w:cs="Times New Roman" w:eastAsia="Times New Roman" w:hint="default"/>
          <w:spacing w:val="-1"/>
        </w:rPr>
        <w:t>4</w:t>
      </w:r>
      <w:r>
        <w:rPr>
          <w:spacing w:val="-1"/>
        </w:rPr>
        <w:t>、公司根据《关于印发修订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w:t>
      </w:r>
      <w:r>
        <w:rPr>
          <w:spacing w:val="-1"/>
        </w:rPr>
        <w:t>合并财务报表</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[2014]10</w:t>
      </w:r>
      <w:r>
        <w:rPr>
          <w:spacing w:val="-1"/>
        </w:rPr>
        <w:t>号），执</w:t>
      </w:r>
      <w:r>
        <w:rPr>
          <w:spacing w:val="-2"/>
        </w:rPr>
        <w:t> </w:t>
      </w:r>
      <w:r>
        <w:rPr/>
        <w:t>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合并财务报表》。该变更对财务报表无重大影响。</w:t>
      </w:r>
    </w:p>
    <w:p>
      <w:pPr>
        <w:pStyle w:val="BodyText"/>
        <w:spacing w:line="386" w:lineRule="auto" w:before="35"/>
        <w:ind w:left="153" w:right="210" w:firstLine="480"/>
        <w:jc w:val="both"/>
      </w:pPr>
      <w:r>
        <w:rPr>
          <w:rFonts w:ascii="Times New Roman" w:hAnsi="Times New Roman" w:cs="Times New Roman" w:eastAsia="Times New Roman" w:hint="default"/>
          <w:spacing w:val="-1"/>
        </w:rPr>
        <w:t>5</w:t>
      </w:r>
      <w:r>
        <w:rPr>
          <w:spacing w:val="-1"/>
        </w:rPr>
        <w:t>、公司根据《关于印发</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40</w:t>
      </w:r>
      <w:r>
        <w:rPr>
          <w:spacing w:val="-1"/>
        </w:rPr>
        <w:t>号</w:t>
      </w:r>
      <w:r>
        <w:rPr>
          <w:rFonts w:ascii="Times New Roman" w:hAnsi="Times New Roman" w:cs="Times New Roman" w:eastAsia="Times New Roman" w:hint="default"/>
          <w:spacing w:val="-1"/>
        </w:rPr>
        <w:t>-</w:t>
      </w:r>
      <w:r>
        <w:rPr>
          <w:spacing w:val="-1"/>
        </w:rPr>
        <w:t>合营安排</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[2014]11</w:t>
      </w:r>
      <w:r>
        <w:rPr>
          <w:spacing w:val="-1"/>
        </w:rPr>
        <w:t>号），执行《企业</w:t>
      </w:r>
      <w:r>
        <w:rPr/>
        <w:t> 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合营安排》。该变更对财务报表无重大影响。</w:t>
      </w:r>
    </w:p>
    <w:p>
      <w:pPr>
        <w:pStyle w:val="BodyText"/>
        <w:spacing w:line="393" w:lineRule="auto" w:before="35"/>
        <w:ind w:left="153" w:right="205" w:firstLine="479"/>
        <w:jc w:val="both"/>
      </w:pPr>
      <w:r>
        <w:rPr>
          <w:rFonts w:ascii="Times New Roman" w:hAnsi="Times New Roman" w:cs="Times New Roman" w:eastAsia="Times New Roman" w:hint="default"/>
        </w:rPr>
        <w:t>6</w:t>
      </w:r>
      <w:r>
        <w:rPr/>
        <w:t>、公司根据《关于印发修订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[2014]14</w:t>
      </w:r>
      <w:r>
        <w:rPr/>
        <w:t>号），执</w:t>
      </w:r>
      <w:r>
        <w:rPr>
          <w:spacing w:val="2"/>
        </w:rPr>
        <w:t> </w:t>
      </w:r>
      <w:r>
        <w:rPr/>
        <w:t>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长期股权投资》。对持有的不具有控制、共同控制、重大影响，且其公允价值不</w:t>
      </w:r>
      <w:r>
        <w:rPr>
          <w:spacing w:val="-98"/>
        </w:rPr>
        <w:t> </w:t>
      </w:r>
      <w:r>
        <w:rPr>
          <w:spacing w:val="-98"/>
        </w:rPr>
      </w:r>
      <w:r>
        <w:rPr>
          <w:spacing w:val="-1"/>
        </w:rPr>
        <w:t>能可靠计量的股权投资，作为按成本计量的可供出售金融资产进行核算，不作为长期股权投资核算，并对</w:t>
      </w:r>
      <w:r>
        <w:rPr>
          <w:spacing w:val="-83"/>
        </w:rPr>
        <w:t> </w:t>
      </w:r>
      <w:r>
        <w:rPr>
          <w:spacing w:val="-83"/>
        </w:rPr>
      </w:r>
      <w:r>
        <w:rPr/>
        <w:t>其采用追溯调整法进行调整。具体调整事项如下：</w:t>
      </w:r>
    </w:p>
    <w:tbl>
      <w:tblPr>
        <w:tblW w:w="0" w:type="auto"/>
        <w:jc w:val="left"/>
        <w:tblInd w:w="146" w:type="dxa"/>
        <w:tblLayout w:type="fixed"/>
        <w:tblCellMar>
          <w:top w:w="0" w:type="dxa"/>
          <w:left w:w="0" w:type="dxa"/>
          <w:bottom w:w="0" w:type="dxa"/>
          <w:right w:w="0" w:type="dxa"/>
        </w:tblCellMar>
        <w:tblLook w:val="01E0"/>
      </w:tblPr>
      <w:tblGrid>
        <w:gridCol w:w="2130"/>
        <w:gridCol w:w="2130"/>
        <w:gridCol w:w="2131"/>
        <w:gridCol w:w="2131"/>
      </w:tblGrid>
      <w:tr>
        <w:trPr>
          <w:trHeight w:val="497" w:hRule="exact"/>
        </w:trPr>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调整内容</w:t>
            </w:r>
          </w:p>
        </w:tc>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426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503" w:hRule="exact"/>
        </w:trPr>
        <w:tc>
          <w:tcPr>
            <w:tcW w:w="2130" w:type="dxa"/>
            <w:vMerge/>
            <w:tcBorders>
              <w:left w:val="single" w:sz="6" w:space="0" w:color="000000"/>
              <w:bottom w:val="single" w:sz="6" w:space="0" w:color="000000"/>
              <w:right w:val="single" w:sz="6" w:space="0" w:color="000000"/>
            </w:tcBorders>
            <w:shd w:val="clear" w:color="auto" w:fill="D9D9D9"/>
          </w:tcPr>
          <w:p>
            <w:pPr/>
          </w:p>
        </w:tc>
        <w:tc>
          <w:tcPr>
            <w:tcW w:w="2130" w:type="dxa"/>
            <w:vMerge/>
            <w:tcBorders>
              <w:left w:val="single" w:sz="6" w:space="0" w:color="000000"/>
              <w:bottom w:val="single" w:sz="6" w:space="0" w:color="000000"/>
              <w:right w:val="single" w:sz="6" w:space="0" w:color="000000"/>
            </w:tcBorders>
            <w:shd w:val="clear" w:color="auto" w:fill="D9D9D9"/>
          </w:tcPr>
          <w:p>
            <w:pPr/>
          </w:p>
        </w:tc>
        <w:tc>
          <w:tcPr>
            <w:tcW w:w="2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503" w:hRule="exact"/>
        </w:trPr>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451" w:lineRule="auto" w:before="99"/>
              <w:ind w:left="2" w:right="50"/>
              <w:jc w:val="left"/>
              <w:rPr>
                <w:rFonts w:ascii="宋体" w:hAnsi="宋体" w:cs="宋体" w:eastAsia="宋体" w:hint="default"/>
                <w:sz w:val="18"/>
                <w:szCs w:val="18"/>
              </w:rPr>
            </w:pPr>
            <w:r>
              <w:rPr>
                <w:rFonts w:ascii="宋体" w:hAnsi="宋体" w:cs="宋体" w:eastAsia="宋体" w:hint="default"/>
                <w:sz w:val="18"/>
                <w:szCs w:val="18"/>
              </w:rPr>
              <w:t>将在</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凯 里智慧城市通卡管理有限</w:t>
            </w:r>
          </w:p>
          <w:p>
            <w:pPr>
              <w:pStyle w:val="TableParagraph"/>
              <w:spacing w:line="240" w:lineRule="auto" w:before="74"/>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2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1"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1,444,983.34</w:t>
            </w:r>
          </w:p>
        </w:tc>
        <w:tc>
          <w:tcPr>
            <w:tcW w:w="213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1,444,983.34</w:t>
            </w:r>
          </w:p>
        </w:tc>
      </w:tr>
      <w:tr>
        <w:trPr>
          <w:trHeight w:val="942" w:hRule="exact"/>
        </w:trPr>
        <w:tc>
          <w:tcPr>
            <w:tcW w:w="2130" w:type="dxa"/>
            <w:vMerge/>
            <w:tcBorders>
              <w:left w:val="single" w:sz="6" w:space="0" w:color="000000"/>
              <w:bottom w:val="single" w:sz="6" w:space="0" w:color="000000"/>
              <w:right w:val="single" w:sz="6" w:space="0" w:color="000000"/>
            </w:tcBorders>
            <w:shd w:val="clear" w:color="auto" w:fill="D9D9D9"/>
          </w:tcPr>
          <w:p>
            <w:pPr/>
          </w:p>
        </w:tc>
        <w:tc>
          <w:tcPr>
            <w:tcW w:w="2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21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-1,444,983.34</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-1,444,983.34</w:t>
            </w:r>
          </w:p>
        </w:tc>
      </w:tr>
      <w:tr>
        <w:trPr>
          <w:trHeight w:val="498" w:hRule="exact"/>
        </w:trPr>
        <w:tc>
          <w:tcPr>
            <w:tcW w:w="2130" w:type="dxa"/>
            <w:vMerge w:val="restart"/>
            <w:tcBorders>
              <w:top w:val="single" w:sz="6" w:space="0" w:color="000000"/>
              <w:left w:val="single" w:sz="6" w:space="0" w:color="000000"/>
              <w:right w:val="single" w:sz="6" w:space="0" w:color="000000"/>
            </w:tcBorders>
            <w:shd w:val="clear" w:color="auto" w:fill="D9D9D9"/>
          </w:tcPr>
          <w:p>
            <w:pPr>
              <w:pStyle w:val="TableParagraph"/>
              <w:spacing w:line="451" w:lineRule="auto" w:before="93"/>
              <w:ind w:left="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将在</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上 海微令信息科技有限公司</w:t>
            </w:r>
            <w:r>
              <w:rPr>
                <w:rFonts w:ascii="Times New Roman" w:hAnsi="Times New Roman" w:cs="Times New Roman" w:eastAsia="Times New Roman" w:hint="default"/>
                <w:sz w:val="18"/>
                <w:szCs w:val="18"/>
              </w:rPr>
              <w:t>”</w:t>
            </w:r>
          </w:p>
        </w:tc>
        <w:tc>
          <w:tcPr>
            <w:tcW w:w="2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3,000,000</w:t>
            </w:r>
          </w:p>
        </w:tc>
      </w:tr>
      <w:tr>
        <w:trPr>
          <w:trHeight w:val="497" w:hRule="exact"/>
        </w:trPr>
        <w:tc>
          <w:tcPr>
            <w:tcW w:w="2130" w:type="dxa"/>
            <w:vMerge/>
            <w:tcBorders>
              <w:left w:val="single" w:sz="6" w:space="0" w:color="000000"/>
              <w:bottom w:val="single" w:sz="6" w:space="0" w:color="000000"/>
              <w:right w:val="single" w:sz="6" w:space="0" w:color="000000"/>
            </w:tcBorders>
            <w:shd w:val="clear" w:color="auto" w:fill="D9D9D9"/>
          </w:tcPr>
          <w:p>
            <w:pPr/>
          </w:p>
        </w:tc>
        <w:tc>
          <w:tcPr>
            <w:tcW w:w="2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21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8"/>
              <w:ind w:right="1"/>
              <w:jc w:val="center"/>
              <w:rPr>
                <w:rFonts w:ascii="Times New Roman" w:hAnsi="Times New Roman" w:cs="Times New Roman" w:eastAsia="Times New Roman" w:hint="default"/>
                <w:sz w:val="18"/>
                <w:szCs w:val="18"/>
              </w:rPr>
            </w:pPr>
            <w:r>
              <w:rPr>
                <w:rFonts w:ascii="Times New Roman"/>
                <w:sz w:val="18"/>
              </w:rPr>
              <w:t>--</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
              <w:jc w:val="center"/>
              <w:rPr>
                <w:rFonts w:ascii="Times New Roman" w:hAnsi="Times New Roman" w:cs="Times New Roman" w:eastAsia="Times New Roman" w:hint="default"/>
                <w:sz w:val="18"/>
                <w:szCs w:val="18"/>
              </w:rPr>
            </w:pPr>
            <w:r>
              <w:rPr>
                <w:rFonts w:ascii="Times New Roman"/>
                <w:sz w:val="18"/>
              </w:rPr>
              <w:t>-3,000,000</w:t>
            </w:r>
          </w:p>
        </w:tc>
      </w:tr>
    </w:tbl>
    <w:p>
      <w:pPr>
        <w:pStyle w:val="BodyText"/>
        <w:spacing w:line="386" w:lineRule="auto" w:before="68"/>
        <w:ind w:right="202" w:firstLine="480"/>
        <w:jc w:val="left"/>
      </w:pPr>
      <w:r>
        <w:rPr>
          <w:spacing w:val="-2"/>
        </w:rPr>
        <w:t>上述会计政策变更，仅对可供出售金融资产和长期股权投资两个报表项目金额产生影响，对公司</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年度及</w:t>
      </w:r>
      <w:r>
        <w:rPr>
          <w:rFonts w:ascii="Times New Roman" w:hAnsi="Times New Roman" w:cs="Times New Roman" w:eastAsia="Times New Roman" w:hint="default"/>
        </w:rPr>
        <w:t>2014</w:t>
      </w:r>
      <w:r>
        <w:rPr/>
        <w:t>年第三季度财务状况、经营成果不产生影响，对合并财务报表不产生重大影响。</w:t>
      </w:r>
    </w:p>
    <w:p>
      <w:pPr>
        <w:pStyle w:val="BodyText"/>
        <w:spacing w:line="386" w:lineRule="auto" w:before="35"/>
        <w:ind w:left="153" w:right="104" w:firstLine="480"/>
        <w:jc w:val="left"/>
      </w:pPr>
      <w:r>
        <w:rPr>
          <w:rFonts w:ascii="Times New Roman" w:hAnsi="Times New Roman" w:cs="Times New Roman" w:eastAsia="Times New Roman" w:hint="default"/>
          <w:spacing w:val="-7"/>
        </w:rPr>
        <w:t>7</w:t>
      </w:r>
      <w:r>
        <w:rPr>
          <w:spacing w:val="-7"/>
        </w:rPr>
        <w:t>、公司根据《关于印发</w:t>
      </w:r>
      <w:r>
        <w:rPr>
          <w:rFonts w:ascii="Times New Roman" w:hAnsi="Times New Roman" w:cs="Times New Roman" w:eastAsia="Times New Roman" w:hint="default"/>
          <w:spacing w:val="-7"/>
        </w:rPr>
        <w:t>&lt;</w:t>
      </w:r>
      <w:r>
        <w:rPr>
          <w:spacing w:val="-7"/>
        </w:rPr>
        <w:t>企业会计准则第</w:t>
      </w:r>
      <w:r>
        <w:rPr>
          <w:rFonts w:ascii="Times New Roman" w:hAnsi="Times New Roman" w:cs="Times New Roman" w:eastAsia="Times New Roman" w:hint="default"/>
          <w:spacing w:val="-7"/>
        </w:rPr>
        <w:t>41</w:t>
      </w:r>
      <w:r>
        <w:rPr>
          <w:spacing w:val="-7"/>
        </w:rPr>
        <w:t>号</w:t>
      </w:r>
      <w:r>
        <w:rPr>
          <w:rFonts w:ascii="Times New Roman" w:hAnsi="Times New Roman" w:cs="Times New Roman" w:eastAsia="Times New Roman" w:hint="default"/>
          <w:spacing w:val="-7"/>
        </w:rPr>
        <w:t>-</w:t>
      </w:r>
      <w:r>
        <w:rPr>
          <w:spacing w:val="-7"/>
        </w:rPr>
        <w:t>在其他主体中权益的披露</w:t>
      </w:r>
      <w:r>
        <w:rPr>
          <w:rFonts w:ascii="Times New Roman" w:hAnsi="Times New Roman" w:cs="Times New Roman" w:eastAsia="Times New Roman" w:hint="default"/>
          <w:spacing w:val="-7"/>
        </w:rPr>
        <w:t>&gt;</w:t>
      </w:r>
      <w:r>
        <w:rPr>
          <w:spacing w:val="-7"/>
        </w:rPr>
        <w:t>的通知》（财会</w:t>
      </w:r>
      <w:r>
        <w:rPr>
          <w:rFonts w:ascii="Times New Roman" w:hAnsi="Times New Roman" w:cs="Times New Roman" w:eastAsia="Times New Roman" w:hint="default"/>
          <w:spacing w:val="-7"/>
        </w:rPr>
        <w:t>[2014]16</w:t>
      </w:r>
      <w:r>
        <w:rPr>
          <w:spacing w:val="-7"/>
        </w:rPr>
        <w:t>号），</w:t>
      </w:r>
      <w:r>
        <w:rPr/>
        <w:t> 执行《企业会计准则第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在其他主体中权益的披露》。该变更对财务报表无重大影响。</w:t>
      </w:r>
    </w:p>
    <w:p>
      <w:pPr>
        <w:pStyle w:val="BodyText"/>
        <w:spacing w:line="240" w:lineRule="auto" w:before="35"/>
        <w:ind w:left="633" w:right="95"/>
        <w:jc w:val="left"/>
      </w:pPr>
      <w:r>
        <w:rPr>
          <w:rFonts w:ascii="Times New Roman" w:hAnsi="Times New Roman" w:cs="Times New Roman" w:eastAsia="Times New Roman" w:hint="default"/>
        </w:rPr>
        <w:t>8</w:t>
      </w:r>
      <w:r>
        <w:rPr/>
        <w:t>、公司根据《关于印发修订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[2014]23</w:t>
      </w:r>
      <w:r>
        <w:rPr/>
        <w:t>号），执</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金融工具列报》。该变更对财务报表无重大影响。</w:t>
      </w:r>
    </w:p>
    <w:p>
      <w:pPr>
        <w:spacing w:line="240" w:lineRule="auto" w:before="8"/>
        <w:rPr>
          <w:rFonts w:ascii="宋体" w:hAnsi="宋体" w:cs="宋体" w:eastAsia="宋体" w:hint="default"/>
          <w:sz w:val="30"/>
          <w:szCs w:val="30"/>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31</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58" w:firstLine="0"/>
        <w:jc w:val="right"/>
        <w:rPr>
          <w:rFonts w:ascii="宋体" w:hAnsi="宋体" w:cs="宋体" w:eastAsia="宋体" w:hint="default"/>
          <w:sz w:val="18"/>
          <w:szCs w:val="18"/>
        </w:rPr>
      </w:pPr>
      <w:r>
        <w:rPr/>
        <w:pict>
          <v:shape style="position:absolute;margin-left:56.459999pt;margin-top:-28.807966pt;width:479.2pt;height:234.8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95"/>
                          <w:jc w:val="both"/>
                          <w:rPr>
                            <w:rFonts w:ascii="宋体" w:hAnsi="宋体" w:cs="宋体" w:eastAsia="宋体" w:hint="default"/>
                            <w:sz w:val="18"/>
                            <w:szCs w:val="18"/>
                          </w:rPr>
                        </w:pPr>
                        <w:r>
                          <w:rPr>
                            <w:rFonts w:ascii="宋体" w:hAnsi="宋体" w:cs="宋体" w:eastAsia="宋体" w:hint="default"/>
                            <w:spacing w:val="-12"/>
                            <w:sz w:val="18"/>
                            <w:szCs w:val="18"/>
                          </w:rPr>
                          <w:t>本部及子公司（</w:t>
                        </w:r>
                        <w:r>
                          <w:rPr>
                            <w:rFonts w:ascii="Times New Roman" w:hAnsi="Times New Roman" w:cs="Times New Roman" w:eastAsia="Times New Roman" w:hint="default"/>
                            <w:spacing w:val="-12"/>
                            <w:sz w:val="18"/>
                            <w:szCs w:val="18"/>
                          </w:rPr>
                          <w:t>6%</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17%</w:t>
                        </w:r>
                        <w:r>
                          <w:rPr>
                            <w:rFonts w:ascii="宋体" w:hAnsi="宋体" w:cs="宋体" w:eastAsia="宋体" w:hint="default"/>
                            <w:spacing w:val="-12"/>
                            <w:sz w:val="18"/>
                            <w:szCs w:val="18"/>
                          </w:rPr>
                          <w:t>）、北京分公司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成都分公司、石家庄分公司及上海分公 </w:t>
                        </w:r>
                        <w:r>
                          <w:rPr>
                            <w:rFonts w:ascii="宋体" w:hAnsi="宋体" w:cs="宋体" w:eastAsia="宋体" w:hint="default"/>
                            <w:spacing w:val="-6"/>
                            <w:sz w:val="18"/>
                            <w:szCs w:val="18"/>
                          </w:rPr>
                          <w:t>司（</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）、广州分公司（</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、福建新开普（</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（母公司</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（子公司）</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149" w:firstLine="420"/>
        <w:jc w:val="both"/>
      </w:pPr>
      <w:r>
        <w:rPr/>
        <w:t>根据《鼓励软件产业和集成电路产业发展的若干政策》（国发</w:t>
      </w:r>
      <w:r>
        <w:rPr>
          <w:rFonts w:ascii="Times New Roman" w:hAnsi="Times New Roman" w:cs="Times New Roman" w:eastAsia="Times New Roman" w:hint="default"/>
        </w:rPr>
        <w:t>[2000]18</w:t>
      </w:r>
      <w:r>
        <w:rPr>
          <w:rFonts w:ascii="Times New Roman" w:hAnsi="Times New Roman" w:cs="Times New Roman" w:eastAsia="Times New Roman" w:hint="default"/>
          <w:spacing w:val="26"/>
        </w:rPr>
        <w:t> </w:t>
      </w:r>
      <w:r>
        <w:rPr/>
        <w:t>号）的规定：</w:t>
      </w:r>
      <w:r>
        <w:rPr>
          <w:rFonts w:ascii="Times New Roman" w:hAnsi="Times New Roman" w:cs="Times New Roman" w:eastAsia="Times New Roman" w:hint="default"/>
        </w:rPr>
        <w:t>“</w:t>
      </w:r>
      <w:r>
        <w:rPr/>
        <w:t>对增值税一般 纳税人销售其自行开发生产的软件产品，</w:t>
      </w:r>
      <w:r>
        <w:rPr>
          <w:rFonts w:ascii="Times New Roman" w:hAnsi="Times New Roman" w:cs="Times New Roman" w:eastAsia="Times New Roman" w:hint="default"/>
        </w:rPr>
        <w:t>2010 </w:t>
      </w:r>
      <w:r>
        <w:rPr/>
        <w:t>年底前按</w:t>
      </w:r>
      <w:r>
        <w:rPr>
          <w:rFonts w:ascii="Times New Roman" w:hAnsi="Times New Roman" w:cs="Times New Roman" w:eastAsia="Times New Roman" w:hint="default"/>
        </w:rPr>
        <w:t>17%</w:t>
      </w:r>
      <w:r>
        <w:rPr/>
        <w:t>的法定税率征收增值税，对实际税负超过</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的部分即征即退，由企业用于研究开发软件产品和扩大再生产。</w:t>
      </w:r>
    </w:p>
    <w:p>
      <w:pPr>
        <w:pStyle w:val="BodyText"/>
        <w:spacing w:line="386" w:lineRule="auto" w:before="65"/>
        <w:ind w:left="153" w:right="150" w:firstLine="420"/>
        <w:jc w:val="both"/>
      </w:pPr>
      <w:r>
        <w:rPr/>
        <w:t>国务院办公厅</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月发布的《电子信息产业调整和振兴规划》中明确规定：</w:t>
      </w:r>
      <w:r>
        <w:rPr>
          <w:rFonts w:ascii="Times New Roman" w:hAnsi="Times New Roman" w:cs="Times New Roman" w:eastAsia="Times New Roman" w:hint="default"/>
        </w:rPr>
        <w:t>“</w:t>
      </w:r>
      <w:r>
        <w:rPr/>
        <w:t>继续实施《国务院 关于印发鼓励软件产业和集成电路产业发展若干政策的通知》（国发</w:t>
      </w:r>
      <w:r>
        <w:rPr>
          <w:rFonts w:ascii="Times New Roman" w:hAnsi="Times New Roman" w:cs="Times New Roman" w:eastAsia="Times New Roman" w:hint="default"/>
        </w:rPr>
        <w:t>[2000]18</w:t>
      </w:r>
      <w:r>
        <w:rPr>
          <w:rFonts w:ascii="Times New Roman" w:hAnsi="Times New Roman" w:cs="Times New Roman" w:eastAsia="Times New Roman" w:hint="default"/>
          <w:spacing w:val="-5"/>
        </w:rPr>
        <w:t> </w:t>
      </w:r>
      <w:r>
        <w:rPr/>
        <w:t>号）明确的政策，抓紧研究 </w:t>
      </w:r>
      <w:r>
        <w:rPr>
          <w:spacing w:val="-1"/>
        </w:rPr>
        <w:t>进一步支持软件产业和集成电路产业发展的政策措施</w:t>
      </w:r>
      <w:r>
        <w:rPr>
          <w:rFonts w:ascii="Times New Roman" w:hAnsi="Times New Roman" w:cs="Times New Roman" w:eastAsia="Times New Roman" w:hint="default"/>
          <w:spacing w:val="-1"/>
        </w:rPr>
        <w:t>”</w:t>
      </w:r>
      <w:r>
        <w:rPr>
          <w:spacing w:val="-1"/>
        </w:rPr>
        <w:t>。国务院办公厅</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日又发布了《国务院关</w:t>
      </w:r>
      <w:r>
        <w:rPr>
          <w:spacing w:val="-72"/>
        </w:rPr>
        <w:t> </w:t>
      </w:r>
      <w:r>
        <w:rPr>
          <w:spacing w:val="-72"/>
        </w:rPr>
      </w:r>
      <w:r>
        <w:rPr>
          <w:spacing w:val="-2"/>
        </w:rPr>
        <w:t>于印发进一步鼓励软件产业和集成电路产业发展若干政策的通知》（国发</w:t>
      </w:r>
      <w:r>
        <w:rPr>
          <w:rFonts w:ascii="Times New Roman" w:hAnsi="Times New Roman" w:cs="Times New Roman" w:eastAsia="Times New Roman" w:hint="default"/>
          <w:spacing w:val="-2"/>
        </w:rPr>
        <w:t>[2011]4</w:t>
      </w:r>
      <w:r>
        <w:rPr>
          <w:spacing w:val="-2"/>
        </w:rPr>
        <w:t>号），继续实施软件增值</w:t>
      </w:r>
      <w:r>
        <w:rPr>
          <w:spacing w:val="-68"/>
        </w:rPr>
        <w:t> </w:t>
      </w:r>
      <w:r>
        <w:rPr>
          <w:spacing w:val="-68"/>
        </w:rPr>
      </w:r>
      <w:r>
        <w:rPr/>
        <w:t>税优惠政策。</w:t>
      </w:r>
    </w:p>
    <w:p>
      <w:pPr>
        <w:spacing w:after="0" w:line="38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8" w:lineRule="auto" w:before="35"/>
        <w:ind w:right="151" w:firstLine="420"/>
        <w:jc w:val="both"/>
      </w:pPr>
      <w:r>
        <w:rPr/>
        <w:t>根据《关于软件产品增值税政策的通知》（财税</w:t>
      </w:r>
      <w:r>
        <w:rPr>
          <w:spacing w:val="20"/>
        </w:rPr>
        <w:t> </w:t>
      </w:r>
      <w:r>
        <w:rPr>
          <w:rFonts w:ascii="Times New Roman" w:hAnsi="Times New Roman" w:cs="Times New Roman" w:eastAsia="Times New Roman" w:hint="default"/>
        </w:rPr>
        <w:t>[2011]100</w:t>
      </w:r>
      <w:r>
        <w:rPr/>
        <w:t>号）规定：增值税一般纳税人销售自行开 </w:t>
      </w:r>
      <w:r>
        <w:rPr>
          <w:spacing w:val="-2"/>
        </w:rPr>
        <w:t>发生产的软件产品，按</w:t>
      </w:r>
      <w:r>
        <w:rPr>
          <w:rFonts w:ascii="Times New Roman" w:hAnsi="Times New Roman" w:cs="Times New Roman" w:eastAsia="Times New Roman" w:hint="default"/>
          <w:spacing w:val="-2"/>
        </w:rPr>
        <w:t>17%</w:t>
      </w:r>
      <w:r>
        <w:rPr>
          <w:spacing w:val="-2"/>
        </w:rPr>
        <w:t>税率征收增值税后，对其增值税实际税负超过</w:t>
      </w:r>
      <w:r>
        <w:rPr>
          <w:rFonts w:ascii="Times New Roman" w:hAnsi="Times New Roman" w:cs="Times New Roman" w:eastAsia="Times New Roman" w:hint="default"/>
          <w:spacing w:val="-2"/>
        </w:rPr>
        <w:t>3%</w:t>
      </w:r>
      <w:r>
        <w:rPr>
          <w:spacing w:val="-2"/>
        </w:rPr>
        <w:t>的部分实行即征即退政策；对</w:t>
      </w:r>
      <w:r>
        <w:rPr>
          <w:spacing w:val="-73"/>
        </w:rPr>
        <w:t> </w:t>
      </w:r>
      <w:r>
        <w:rPr>
          <w:spacing w:val="-73"/>
        </w:rPr>
      </w:r>
      <w:r>
        <w:rPr>
          <w:spacing w:val="-1"/>
        </w:rPr>
        <w:t>增值税一般纳税人随同计算机硬件、机器设备一并销售嵌入式软件产品，如果按组成计税价格计算确定计</w:t>
      </w:r>
      <w:r>
        <w:rPr>
          <w:spacing w:val="-81"/>
        </w:rPr>
        <w:t> </w:t>
      </w:r>
      <w:r>
        <w:rPr>
          <w:spacing w:val="-81"/>
        </w:rPr>
      </w:r>
      <w:r>
        <w:rPr>
          <w:spacing w:val="-1"/>
        </w:rPr>
        <w:t>算机硬件、机器设备销售额的，应当分别核算嵌入式软件产品与计算机硬件、机器设备部分的成本，凡未</w:t>
      </w:r>
      <w:r>
        <w:rPr>
          <w:spacing w:val="-82"/>
        </w:rPr>
        <w:t> </w:t>
      </w:r>
      <w:r>
        <w:rPr>
          <w:spacing w:val="-82"/>
        </w:rPr>
      </w:r>
      <w:r>
        <w:rPr/>
        <w:t>分别核算或核算不清的，不得享通知规定的增值税政策。</w:t>
      </w:r>
    </w:p>
    <w:p>
      <w:pPr>
        <w:pStyle w:val="BodyText"/>
        <w:spacing w:line="388" w:lineRule="auto" w:before="54"/>
        <w:ind w:right="128" w:firstLine="420"/>
        <w:jc w:val="both"/>
      </w:pPr>
      <w:r>
        <w:rPr/>
        <w:t>根据《中华人民共和国企业所得税法》规定：国家需要重点扶持的高新技术企业，减按</w:t>
      </w:r>
      <w:r>
        <w:rPr>
          <w:rFonts w:ascii="Times New Roman" w:hAnsi="Times New Roman" w:cs="Times New Roman" w:eastAsia="Times New Roman" w:hint="default"/>
        </w:rPr>
        <w:t>15%</w:t>
      </w:r>
      <w:r>
        <w:rPr/>
        <w:t>的税率征</w:t>
      </w:r>
      <w:r>
        <w:rPr>
          <w:spacing w:val="1"/>
        </w:rPr>
        <w:t> </w:t>
      </w:r>
      <w:r>
        <w:rPr>
          <w:spacing w:val="-2"/>
        </w:rPr>
        <w:t>收企业所得税。根据《高新技术企业认定管理办法》（国科发火</w:t>
      </w:r>
      <w:r>
        <w:rPr>
          <w:rFonts w:ascii="Times New Roman" w:hAnsi="Times New Roman" w:cs="Times New Roman" w:eastAsia="Times New Roman" w:hint="default"/>
          <w:spacing w:val="-2"/>
        </w:rPr>
        <w:t>[2008]172</w:t>
      </w:r>
      <w:r>
        <w:rPr>
          <w:spacing w:val="-2"/>
        </w:rPr>
        <w:t>号）、《高新技术企业认定管理</w:t>
      </w:r>
      <w:r>
        <w:rPr>
          <w:spacing w:val="-67"/>
        </w:rPr>
        <w:t> </w:t>
      </w:r>
      <w:r>
        <w:rPr>
          <w:spacing w:val="-67"/>
        </w:rPr>
      </w:r>
      <w:r>
        <w:rPr>
          <w:spacing w:val="-2"/>
        </w:rPr>
        <w:t>工作指引》（国科发火</w:t>
      </w:r>
      <w:r>
        <w:rPr>
          <w:rFonts w:ascii="Times New Roman" w:hAnsi="Times New Roman" w:cs="Times New Roman" w:eastAsia="Times New Roman" w:hint="default"/>
          <w:spacing w:val="-2"/>
        </w:rPr>
        <w:t>[2008]362</w:t>
      </w:r>
      <w:r>
        <w:rPr>
          <w:spacing w:val="-2"/>
        </w:rPr>
        <w:t>号）和《河南省高新技术企业认定管理实施细则》（豫科</w:t>
      </w:r>
      <w:r>
        <w:rPr>
          <w:rFonts w:ascii="Times New Roman" w:hAnsi="Times New Roman" w:cs="Times New Roman" w:eastAsia="Times New Roman" w:hint="default"/>
          <w:spacing w:val="-2"/>
        </w:rPr>
        <w:t>[2008]115</w:t>
      </w:r>
      <w:r>
        <w:rPr>
          <w:spacing w:val="-2"/>
        </w:rPr>
        <w:t>号）规</w:t>
      </w:r>
      <w:r>
        <w:rPr>
          <w:spacing w:val="-96"/>
        </w:rPr>
        <w:t> </w:t>
      </w:r>
      <w:r>
        <w:rPr>
          <w:spacing w:val="-96"/>
        </w:rPr>
      </w:r>
      <w:r>
        <w:rPr/>
        <w:t>定，经企业申报、地方初审、省高新技术企业认定工作领导小组组织专家评审以及省科技厅、省财政厅、 </w:t>
      </w:r>
      <w:r>
        <w:rPr>
          <w:spacing w:val="-1"/>
        </w:rPr>
        <w:t>省国税局、省地税局会商等程序。</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日，河南省高新技术企业认定管理工作领导小组《关于公</w:t>
      </w:r>
      <w:r>
        <w:rPr>
          <w:spacing w:val="-82"/>
        </w:rPr>
        <w:t> </w:t>
      </w:r>
      <w:r>
        <w:rPr>
          <w:spacing w:val="-82"/>
        </w:rPr>
      </w:r>
      <w:r>
        <w:rPr/>
        <w:t>示河南省</w:t>
      </w:r>
      <w:r>
        <w:rPr>
          <w:rFonts w:ascii="Times New Roman" w:hAnsi="Times New Roman" w:cs="Times New Roman" w:eastAsia="Times New Roman" w:hint="default"/>
        </w:rPr>
        <w:t>2014</w:t>
      </w:r>
      <w:r>
        <w:rPr/>
        <w:t>年度第二批拟认定高新技术企业名单的通知》（豫高企</w:t>
      </w:r>
      <w:r>
        <w:rPr>
          <w:rFonts w:ascii="Times New Roman" w:hAnsi="Times New Roman" w:cs="Times New Roman" w:eastAsia="Times New Roman" w:hint="default"/>
        </w:rPr>
        <w:t>[2014]16</w:t>
      </w:r>
      <w:r>
        <w:rPr/>
        <w:t>号），新开普电子股份有限</w:t>
      </w:r>
      <w:r>
        <w:rPr>
          <w:spacing w:val="-72"/>
        </w:rPr>
        <w:t> </w:t>
      </w:r>
      <w:r>
        <w:rPr>
          <w:spacing w:val="-72"/>
        </w:rPr>
      </w:r>
      <w:r>
        <w:rPr>
          <w:spacing w:val="-1"/>
        </w:rPr>
        <w:t>公司为第二批拟认定高新技术企业。相关的《高新技术企业批准证书》正在申办之中。本公司</w:t>
      </w:r>
      <w:r>
        <w:rPr>
          <w:rFonts w:ascii="Times New Roman" w:hAnsi="Times New Roman" w:cs="Times New Roman" w:eastAsia="Times New Roman" w:hint="default"/>
          <w:spacing w:val="-1"/>
        </w:rPr>
        <w:t>2014</w:t>
      </w:r>
      <w:r>
        <w:rPr>
          <w:spacing w:val="-1"/>
        </w:rPr>
        <w:t>年度拟</w:t>
      </w:r>
      <w:r>
        <w:rPr>
          <w:spacing w:val="-83"/>
        </w:rPr>
        <w:t> </w:t>
      </w:r>
      <w:r>
        <w:rPr>
          <w:spacing w:val="-83"/>
        </w:rPr>
      </w:r>
      <w:r>
        <w:rPr/>
        <w:t>按</w:t>
      </w:r>
      <w:r>
        <w:rPr>
          <w:rFonts w:ascii="Times New Roman" w:hAnsi="Times New Roman" w:cs="Times New Roman" w:eastAsia="Times New Roman" w:hint="default"/>
        </w:rPr>
        <w:t>15%</w:t>
      </w:r>
      <w:r>
        <w:rPr/>
        <w:t>税率征收企业所得税。</w:t>
      </w:r>
    </w:p>
    <w:p>
      <w:pPr>
        <w:spacing w:line="240" w:lineRule="auto" w:before="8"/>
        <w:rPr>
          <w:rFonts w:ascii="宋体" w:hAnsi="宋体" w:cs="宋体" w:eastAsia="宋体" w:hint="default"/>
          <w:sz w:val="19"/>
          <w:szCs w:val="19"/>
        </w:rPr>
      </w:pPr>
    </w:p>
    <w:p>
      <w:pPr>
        <w:spacing w:line="487"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69,905.39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120,262.08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170,760,617.20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223,691,064.39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171,758,522.59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223,811,326.47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861" w:right="0"/>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716" w:type="dxa"/>
        <w:tblLayout w:type="fixed"/>
        <w:tblCellMar>
          <w:top w:w="0" w:type="dxa"/>
          <w:left w:w="0" w:type="dxa"/>
          <w:bottom w:w="0" w:type="dxa"/>
          <w:right w:w="0" w:type="dxa"/>
        </w:tblCellMar>
        <w:tblLook w:val="01E0"/>
      </w:tblPr>
      <w:tblGrid>
        <w:gridCol w:w="3487"/>
        <w:gridCol w:w="2180"/>
        <w:gridCol w:w="2126"/>
      </w:tblGrid>
      <w:tr>
        <w:trPr>
          <w:trHeight w:val="348" w:hRule="exact"/>
        </w:trPr>
        <w:tc>
          <w:tcPr>
            <w:tcW w:w="34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441"/>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7" w:hRule="exact"/>
        </w:trPr>
        <w:tc>
          <w:tcPr>
            <w:tcW w:w="348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928,000.00</w:t>
            </w:r>
            <w:r>
              <w:rPr>
                <w:rFonts w:ascii="Times New Roman"/>
                <w:sz w:val="20"/>
              </w:rPr>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87"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71" w:lineRule="exact"/>
              <w:ind w:right="142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928,000.00</w:t>
            </w:r>
            <w:r>
              <w:rPr>
                <w:rFonts w:ascii="Times New Roman"/>
                <w:sz w:val="20"/>
              </w:rPr>
            </w:r>
          </w:p>
        </w:tc>
        <w:tc>
          <w:tcPr>
            <w:tcW w:w="2126" w:type="dxa"/>
            <w:tcBorders>
              <w:top w:val="single" w:sz="6" w:space="0" w:color="000000"/>
              <w:left w:val="single" w:sz="6" w:space="0" w:color="000000"/>
              <w:bottom w:val="single" w:sz="6" w:space="0" w:color="000000"/>
              <w:right w:val="single" w:sz="6" w:space="0" w:color="000000"/>
            </w:tcBorders>
          </w:tcPr>
          <w:p>
            <w:pPr/>
          </w:p>
        </w:tc>
      </w:tr>
    </w:tbl>
    <w:p>
      <w:pPr>
        <w:spacing w:line="300" w:lineRule="auto" w:before="10"/>
        <w:ind w:left="153" w:right="141" w:firstLine="360"/>
        <w:jc w:val="left"/>
        <w:rPr>
          <w:rFonts w:ascii="宋体" w:hAnsi="宋体" w:cs="宋体" w:eastAsia="宋体" w:hint="default"/>
          <w:sz w:val="18"/>
          <w:szCs w:val="18"/>
        </w:rPr>
      </w:pPr>
      <w:r>
        <w:rPr>
          <w:rFonts w:ascii="宋体" w:hAnsi="宋体" w:cs="宋体" w:eastAsia="宋体" w:hint="default"/>
          <w:sz w:val="18"/>
          <w:szCs w:val="18"/>
        </w:rPr>
        <w:t>说明：截至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日，其他货币资金中人民币</w:t>
      </w:r>
      <w:r>
        <w:rPr>
          <w:rFonts w:ascii="Times New Roman" w:hAnsi="Times New Roman" w:cs="Times New Roman" w:eastAsia="Times New Roman" w:hint="default"/>
          <w:sz w:val="18"/>
          <w:szCs w:val="18"/>
        </w:rPr>
        <w:t>928,000.00</w:t>
      </w:r>
      <w:r>
        <w:rPr>
          <w:rFonts w:ascii="宋体" w:hAnsi="宋体" w:cs="宋体" w:eastAsia="宋体" w:hint="default"/>
          <w:sz w:val="18"/>
          <w:szCs w:val="18"/>
        </w:rPr>
        <w:t>元为本公司向银行申请开具无条件、不可撤销的担保函 所存入的保证金存款。</w:t>
      </w:r>
    </w:p>
    <w:p>
      <w:pPr>
        <w:spacing w:after="0" w:line="30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6,604,114.01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5,264,028.30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6,604,114.01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5,264,028.30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2"/>
        <w:gridCol w:w="764"/>
        <w:gridCol w:w="762"/>
        <w:gridCol w:w="762"/>
        <w:gridCol w:w="762"/>
        <w:gridCol w:w="801"/>
        <w:gridCol w:w="643"/>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622" w:type="dxa"/>
            <w:vMerge/>
            <w:tcBorders>
              <w:left w:val="single" w:sz="4" w:space="0" w:color="000000"/>
              <w:bottom w:val="single" w:sz="5"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5"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5"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2" w:type="dxa"/>
            <w:vMerge w:val="restart"/>
            <w:tcBorders>
              <w:top w:val="single" w:sz="5" w:space="0" w:color="FFFFFF"/>
              <w:left w:val="single" w:sz="4" w:space="0" w:color="000000"/>
              <w:right w:val="single" w:sz="4" w:space="0" w:color="000000"/>
            </w:tcBorders>
            <w:shd w:val="clear" w:color="auto" w:fill="D3D3D3"/>
          </w:tcPr>
          <w:p>
            <w:pPr/>
          </w:p>
        </w:tc>
        <w:tc>
          <w:tcPr>
            <w:tcW w:w="764" w:type="dxa"/>
            <w:vMerge w:val="restart"/>
            <w:tcBorders>
              <w:top w:val="single" w:sz="5" w:space="0" w:color="FFFFFF"/>
              <w:left w:val="single" w:sz="4" w:space="0" w:color="000000"/>
              <w:right w:val="single" w:sz="4" w:space="0" w:color="000000"/>
            </w:tcBorders>
            <w:shd w:val="clear" w:color="auto" w:fill="D3D3D3"/>
          </w:tcPr>
          <w:p>
            <w:pPr>
              <w:pStyle w:val="TableParagraph"/>
              <w:spacing w:line="240" w:lineRule="auto" w:before="4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5"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5"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622"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801"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168,157,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875.74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25,743,2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15.31%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142,414,6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43.59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134,758</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,877.73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17,251,70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117,507,16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9.95</w:t>
            </w:r>
          </w:p>
        </w:tc>
      </w:tr>
      <w:tr>
        <w:trPr>
          <w:trHeight w:val="162"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9" w:space="0" w:color="D3D3D3"/>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168,157,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875.74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25,743,2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15.31%</w:t>
            </w:r>
          </w:p>
        </w:tc>
        <w:tc>
          <w:tcPr>
            <w:tcW w:w="801"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142,414,6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43.59</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134,758</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,877.73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17,251,70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117,507,16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9.95</w:t>
            </w:r>
          </w:p>
        </w:tc>
      </w:tr>
      <w:tr>
        <w:trPr>
          <w:trHeight w:val="391"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01"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2385;top:14;width:2;height:393" coordorigin="2385,14" coordsize="2,393">
              <v:shape style="position:absolute;left:2385;top:14;width:2;height:393" coordorigin="2385,14" coordsize="0,393" path="m2385,14l2385,407e" filled="false" stroked="true" strokeweight="1.140pt" strokecolor="#d3d3d3">
                <v:path arrowok="t"/>
              </v:shape>
            </v:group>
            <v:group style="position:absolute;left:37;top:14;width:2337;height:393" coordorigin="37,14" coordsize="2337,393">
              <v:shape style="position:absolute;left:37;top:14;width:2337;height:393" coordorigin="37,14" coordsize="2337,393" path="m37,407l2374,407,2374,14,37,14,37,407xe" filled="true" fillcolor="#d3d3d3" stroked="false">
                <v:path arrowok="t"/>
                <v:fill type="solid"/>
              </v:shape>
            </v:group>
            <v:group style="position:absolute;left:2419;top:14;width:2;height:393" coordorigin="2419,14" coordsize="2,393">
              <v:shape style="position:absolute;left:2419;top:14;width:2;height:393" coordorigin="2419,14" coordsize="0,393" path="m2419,14l2419,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2430;top:14;width:7120;height:393" coordorigin="2430,14" coordsize="7120,393">
              <v:shape style="position:absolute;left:2430;top:14;width:7120;height:393" coordorigin="2430,14" coordsize="7120,393" path="m2430,407l9550,407,9550,14,2430,14,243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2392;height:2" coordorigin="5,412" coordsize="2392,2">
              <v:shape style="position:absolute;left:5;top:412;width:2392;height:2" coordorigin="5,412" coordsize="2392,0" path="m5,412l2396,412e" filled="false" stroked="true" strokeweight=".48001pt" strokecolor="#000000">
                <v:path arrowok="t"/>
              </v:shape>
            </v:group>
            <v:group style="position:absolute;left:2401;top:14;width:2;height:402" coordorigin="2401,14" coordsize="2,402">
              <v:shape style="position:absolute;left:2401;top:14;width:2;height:402" coordorigin="2401,14" coordsize="0,402" path="m2401,14l2401,416e" filled="false" stroked="true" strokeweight=".48001pt" strokecolor="#000000">
                <v:path arrowok="t"/>
              </v:shape>
            </v:group>
            <v:group style="position:absolute;left:2406;top:412;width:7167;height:2" coordorigin="2406,412" coordsize="7167,2">
              <v:shape style="position:absolute;left:2406;top:412;width:7167;height:2" coordorigin="2406,412" coordsize="7167,0" path="m2406,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239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29;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92"/>
      </w:tblGrid>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107,352,764.99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5,367,638.25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107,352,764.99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5,367,638.25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24,176,408.08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2,417,640.81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20,115,388.18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6,034,616.45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16,513,314.49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11,923,336.64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9,179,955.71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4,589,977.86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3,179,902.58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3,179,902.58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4,153,456.20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4,153,456.20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168,157,875.74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25,743,232.15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15.31%</w:t>
            </w:r>
          </w:p>
        </w:tc>
      </w:tr>
    </w:tbl>
    <w:p>
      <w:pPr>
        <w:spacing w:line="360" w:lineRule="auto" w:before="51"/>
        <w:ind w:left="153" w:right="54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338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25,743,232.15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957"/>
        <w:gridCol w:w="1342"/>
        <w:gridCol w:w="1430"/>
        <w:gridCol w:w="892"/>
        <w:gridCol w:w="1331"/>
        <w:gridCol w:w="1566"/>
      </w:tblGrid>
      <w:tr>
        <w:trPr>
          <w:trHeight w:val="718" w:hRule="exact"/>
        </w:trPr>
        <w:tc>
          <w:tcPr>
            <w:tcW w:w="295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3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316" w:lineRule="auto" w:before="51"/>
              <w:ind w:left="163" w:right="116"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c>
          <w:tcPr>
            <w:tcW w:w="156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06"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郑州海盛电子科技有限公司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4,005,892.28</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2.38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200,294.61</w:t>
            </w:r>
          </w:p>
        </w:tc>
      </w:tr>
      <w:tr>
        <w:trPr>
          <w:trHeight w:val="704"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中国电信股份有限公司商丘分公司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3,218,706.83</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1.91</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160,935.34</w:t>
            </w:r>
          </w:p>
        </w:tc>
      </w:tr>
      <w:tr>
        <w:trPr>
          <w:trHeight w:val="48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南京师范大学</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pacing w:val="-1"/>
                <w:sz w:val="18"/>
              </w:rPr>
              <w:t>3,167,274.70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z w:val="18"/>
              </w:rPr>
              <w:t>1.88</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z w:val="18"/>
              </w:rPr>
              <w:t>158,363.74</w:t>
            </w:r>
          </w:p>
        </w:tc>
      </w:tr>
      <w:tr>
        <w:trPr>
          <w:trHeight w:val="93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8"/>
              <w:ind w:left="100" w:right="98"/>
              <w:jc w:val="left"/>
              <w:rPr>
                <w:rFonts w:ascii="宋体" w:hAnsi="宋体" w:cs="宋体" w:eastAsia="宋体" w:hint="default"/>
                <w:sz w:val="18"/>
                <w:szCs w:val="18"/>
              </w:rPr>
            </w:pPr>
            <w:r>
              <w:rPr>
                <w:rFonts w:ascii="宋体" w:hAnsi="宋体" w:cs="宋体" w:eastAsia="宋体" w:hint="default"/>
                <w:spacing w:val="2"/>
                <w:sz w:val="18"/>
                <w:szCs w:val="18"/>
              </w:rPr>
              <w:t>中国联合网络通信有限公司南阳市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pacing w:val="-1"/>
                <w:sz w:val="18"/>
              </w:rPr>
              <w:t>3,120,600.00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right="97"/>
              <w:jc w:val="right"/>
              <w:rPr>
                <w:rFonts w:ascii="Times New Roman" w:hAnsi="Times New Roman" w:cs="Times New Roman" w:eastAsia="Times New Roman" w:hint="default"/>
                <w:sz w:val="18"/>
                <w:szCs w:val="18"/>
              </w:rPr>
            </w:pPr>
            <w:r>
              <w:rPr>
                <w:rFonts w:ascii="Times New Roman"/>
                <w:sz w:val="18"/>
              </w:rPr>
              <w:t>1.86</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right="97"/>
              <w:jc w:val="right"/>
              <w:rPr>
                <w:rFonts w:ascii="Times New Roman" w:hAnsi="Times New Roman" w:cs="Times New Roman" w:eastAsia="Times New Roman" w:hint="default"/>
                <w:sz w:val="18"/>
                <w:szCs w:val="18"/>
              </w:rPr>
            </w:pPr>
            <w:r>
              <w:rPr>
                <w:rFonts w:ascii="Times New Roman"/>
                <w:sz w:val="18"/>
              </w:rPr>
              <w:t>156,030.00</w:t>
            </w:r>
          </w:p>
        </w:tc>
      </w:tr>
      <w:tr>
        <w:trPr>
          <w:trHeight w:val="706"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吉林省联宇合达科技有限公司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2,283,241.00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1.36</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114,162.05</w:t>
            </w:r>
          </w:p>
        </w:tc>
      </w:tr>
      <w:tr>
        <w:trPr>
          <w:trHeight w:val="40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15,795,714.81</w:t>
            </w:r>
          </w:p>
        </w:tc>
        <w:tc>
          <w:tcPr>
            <w:tcW w:w="892"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9.39</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789,785.74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4"/>
        <w:gridCol w:w="1914"/>
        <w:gridCol w:w="1915"/>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10,003,669.76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65,790,758.22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338,394.99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10,342,064.75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70,200,758.22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276"/>
        <w:gridCol w:w="1194"/>
        <w:gridCol w:w="1591"/>
        <w:gridCol w:w="890"/>
        <w:gridCol w:w="1217"/>
      </w:tblGrid>
      <w:tr>
        <w:trPr>
          <w:trHeight w:val="348" w:hRule="exact"/>
        </w:trPr>
        <w:tc>
          <w:tcPr>
            <w:tcW w:w="3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8"/>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7"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3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四川双蓝久科技有限责任公司</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440,600.00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7" w:hRule="exact"/>
        </w:trPr>
        <w:tc>
          <w:tcPr>
            <w:tcW w:w="3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河南省国育计算机网络工程有限公司</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259,000.00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7" w:hRule="exact"/>
        </w:trPr>
        <w:tc>
          <w:tcPr>
            <w:tcW w:w="3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石文松</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241,600.00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7" w:hRule="exact"/>
        </w:trPr>
        <w:tc>
          <w:tcPr>
            <w:tcW w:w="3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天津开利达控制技术开发有限公司</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200,380.70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7" w:hRule="exact"/>
        </w:trPr>
        <w:tc>
          <w:tcPr>
            <w:tcW w:w="3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吉林市万联科技有限公司</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190,000.00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8" w:hRule="exact"/>
        </w:trPr>
        <w:tc>
          <w:tcPr>
            <w:tcW w:w="3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1,331,580.70</w:t>
            </w:r>
          </w:p>
        </w:tc>
        <w:tc>
          <w:tcPr>
            <w:tcW w:w="89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90"/>
        <w:ind w:left="210" w:right="0"/>
        <w:jc w:val="left"/>
        <w:rPr>
          <w:b w:val="0"/>
          <w:bCs w:val="0"/>
        </w:rPr>
      </w:pPr>
      <w:r>
        <w:rPr>
          <w:rFonts w:ascii="Times New Roman" w:hAnsi="Times New Roman" w:cs="Times New Roman" w:eastAsia="Times New Roman" w:hint="default"/>
        </w:rPr>
        <w:t>1</w:t>
      </w:r>
      <w:r>
        <w:rPr/>
        <w:t>、期末预付款项中无持本公司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left="153" w:right="0"/>
        <w:jc w:val="left"/>
        <w:rPr>
          <w:b w:val="0"/>
          <w:bCs w:val="0"/>
        </w:rPr>
      </w:pPr>
      <w:r>
        <w:rPr>
          <w:rFonts w:ascii="Times New Roman" w:hAnsi="Times New Roman" w:cs="Times New Roman" w:eastAsia="Times New Roman" w:hint="default"/>
        </w:rPr>
        <w:t>2</w:t>
      </w:r>
      <w:r>
        <w:rPr/>
        <w:t>、公司将一年以上无业务往来（除工程款以外）的预付款项转入其他应收款。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88"/>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528,900.36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3,429,064.74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528,900.36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3,429,064.74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3D3D3"/>
          </w:tcPr>
          <w:p>
            <w:pPr/>
          </w:p>
        </w:tc>
        <w:tc>
          <w:tcPr>
            <w:tcW w:w="775"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8,144,90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1,149,82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6,995,070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7,066,8</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88.55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1,107,549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5,959,339.3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7,715,66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7,715,668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6,601,7</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52.62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6,601,752.6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9" w:space="0" w:color="D3D3D3"/>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15,860,5</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68.54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1,149,82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14,710,73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13,668,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641.17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1,107,549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12,561,091.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5,238,931.93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261,946.60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5,238,931.93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261,946.60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1,475,664.66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147,566.47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705,121.84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211,536.55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725,181.81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528,779.91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72.92%</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392,803.80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196,401.90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332,378.01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332,378.01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8,144,900.24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1,149,829.53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14.12%</w:t>
            </w:r>
          </w:p>
        </w:tc>
      </w:tr>
    </w:tbl>
    <w:p>
      <w:pPr>
        <w:spacing w:line="360" w:lineRule="auto" w:before="51"/>
        <w:ind w:left="153" w:right="52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before="2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347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1,149,829.53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3,364,360.99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2,435,228.70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2,654,158.02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2,720,699.73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2,126,381.23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1,910,960.12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7,715,668.30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6,601,752.62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15,860,568.54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13,668,641.17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西华大学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1,229,008.00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云南中医学院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359,857.80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安阳师范学院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5"/>
                <w:sz w:val="18"/>
                <w:szCs w:val="18"/>
              </w:rPr>
              <w:t>万，</w:t>
            </w:r>
            <w:r>
              <w:rPr>
                <w:rFonts w:ascii="Times New Roman" w:hAnsi="Times New Roman" w:cs="Times New Roman" w:eastAsia="Times New Roman" w:hint="default"/>
                <w:spacing w:val="-5"/>
                <w:sz w:val="18"/>
                <w:szCs w:val="18"/>
              </w:rPr>
              <w:t>3-4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扬州工业职业技术 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247,667.50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信阳市财政支付中 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2,293,533.30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19,925,446.52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19,925,446.52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13,048,455.21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13,048,455.21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2,773,436.10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2,773,436.10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2,968,982.44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2,968,982.44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16,213,880.12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16,213,880.12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12,771,317.67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12,771,317.67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52,622,450.34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52,622,450.34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34,149,981.52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34,149,981.52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14,708,853.62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14,708,853.62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9,397,532.20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9,397,532.20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106,244,066.70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106,244,066.70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72,336,269.04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72,336,269.04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5"/>
        <w:gridCol w:w="1196"/>
        <w:gridCol w:w="1249"/>
        <w:gridCol w:w="1367"/>
        <w:gridCol w:w="1355"/>
      </w:tblGrid>
      <w:tr>
        <w:trPr>
          <w:trHeight w:val="207"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7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4,444,983.34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1,719,018.69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2,725,964.65</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4,444,983.34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1,719,018.69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2,725,964.65</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4,444,983.34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1,719,018.69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2,725,964.65</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9"/>
        <w:gridCol w:w="1915"/>
        <w:gridCol w:w="1915"/>
        <w:gridCol w:w="1914"/>
        <w:gridCol w:w="1915"/>
      </w:tblGrid>
      <w:tr>
        <w:trPr>
          <w:trHeight w:val="714"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11" w:right="26"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1" w:right="50"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城市通卡 管理有限</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870" w:type="dxa"/>
            <w:vMerge/>
            <w:tcBorders>
              <w:left w:val="single" w:sz="4" w:space="0" w:color="000000"/>
              <w:right w:val="single" w:sz="4" w:space="0" w:color="000000"/>
            </w:tcBorders>
          </w:tcPr>
          <w:p>
            <w:pPr/>
          </w:p>
        </w:tc>
      </w:tr>
      <w:tr>
        <w:trPr>
          <w:trHeight w:val="351"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上海微令 信息科技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274,035.35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274,035.35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4,444,983.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4,444,983.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1,719,018.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1,719,018.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69</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4"/>
        <w:gridCol w:w="1332"/>
        <w:gridCol w:w="1351"/>
        <w:gridCol w:w="1304"/>
        <w:gridCol w:w="1339"/>
        <w:gridCol w:w="1328"/>
        <w:gridCol w:w="1316"/>
      </w:tblGrid>
      <w:tr>
        <w:trPr>
          <w:trHeight w:val="161" w:hRule="exact"/>
        </w:trPr>
        <w:tc>
          <w:tcPr>
            <w:tcW w:w="157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04" w:right="58"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93" w:right="16"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97" w:right="15"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8" w:right="27" w:hanging="90"/>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79" w:right="15"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2" w:hRule="exact"/>
        </w:trPr>
        <w:tc>
          <w:tcPr>
            <w:tcW w:w="1574" w:type="dxa"/>
            <w:vMerge/>
            <w:tcBorders>
              <w:left w:val="single" w:sz="4" w:space="0" w:color="000000"/>
              <w:right w:val="single" w:sz="4" w:space="0" w:color="000000"/>
            </w:tcBorders>
            <w:shd w:val="clear" w:color="auto" w:fill="D3D3D3"/>
          </w:tcPr>
          <w:p>
            <w:pPr/>
          </w:p>
        </w:tc>
        <w:tc>
          <w:tcPr>
            <w:tcW w:w="1332" w:type="dxa"/>
            <w:vMerge/>
            <w:tcBorders>
              <w:left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04" w:type="dxa"/>
            <w:vMerge/>
            <w:tcBorders>
              <w:left w:val="single" w:sz="4" w:space="0" w:color="000000"/>
              <w:right w:val="single" w:sz="4" w:space="0" w:color="000000"/>
            </w:tcBorders>
            <w:shd w:val="clear" w:color="auto" w:fill="D3D3D3"/>
          </w:tcPr>
          <w:p>
            <w:pPr/>
          </w:p>
        </w:tc>
        <w:tc>
          <w:tcPr>
            <w:tcW w:w="13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161" w:hRule="exact"/>
        </w:trPr>
        <w:tc>
          <w:tcPr>
            <w:tcW w:w="1574" w:type="dxa"/>
            <w:vMerge/>
            <w:tcBorders>
              <w:left w:val="single" w:sz="4" w:space="0" w:color="000000"/>
              <w:bottom w:val="single" w:sz="4" w:space="0" w:color="000000"/>
              <w:right w:val="single" w:sz="4" w:space="0" w:color="000000"/>
            </w:tcBorders>
            <w:shd w:val="clear" w:color="auto" w:fill="D3D3D3"/>
          </w:tcPr>
          <w:p>
            <w:pPr/>
          </w:p>
        </w:tc>
        <w:tc>
          <w:tcPr>
            <w:tcW w:w="1332" w:type="dxa"/>
            <w:vMerge/>
            <w:tcBorders>
              <w:left w:val="single" w:sz="4" w:space="0" w:color="000000"/>
              <w:bottom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4" w:type="dxa"/>
            <w:vMerge/>
            <w:tcBorders>
              <w:left w:val="single" w:sz="4" w:space="0" w:color="000000"/>
              <w:bottom w:val="single" w:sz="4" w:space="0" w:color="000000"/>
              <w:right w:val="single" w:sz="4" w:space="0" w:color="000000"/>
            </w:tcBorders>
            <w:shd w:val="clear" w:color="auto" w:fill="D3D3D3"/>
          </w:tcPr>
          <w:p>
            <w:pPr/>
          </w:p>
        </w:tc>
        <w:tc>
          <w:tcPr>
            <w:tcW w:w="13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2" w:type="dxa"/>
            <w:tcBorders>
              <w:top w:val="single" w:sz="4" w:space="0" w:color="000000"/>
              <w:left w:val="single" w:sz="13" w:space="0" w:color="D3D3D3"/>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1" w:right="0"/>
              <w:jc w:val="left"/>
              <w:rPr>
                <w:rFonts w:ascii="Times New Roman" w:hAnsi="Times New Roman" w:cs="Times New Roman" w:eastAsia="Times New Roman" w:hint="default"/>
                <w:sz w:val="18"/>
                <w:szCs w:val="18"/>
              </w:rPr>
            </w:pPr>
            <w:r>
              <w:rPr>
                <w:rFonts w:ascii="Times New Roman"/>
                <w:sz w:val="18"/>
              </w:rPr>
              <w:t>1,719,018.69</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1,719,018.69</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2" w:type="dxa"/>
            <w:tcBorders>
              <w:top w:val="single" w:sz="4" w:space="0" w:color="000000"/>
              <w:left w:val="single" w:sz="13" w:space="0" w:color="D3D3D3"/>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1" w:right="0"/>
              <w:jc w:val="left"/>
              <w:rPr>
                <w:rFonts w:ascii="Times New Roman" w:hAnsi="Times New Roman" w:cs="Times New Roman" w:eastAsia="Times New Roman" w:hint="default"/>
                <w:sz w:val="18"/>
                <w:szCs w:val="18"/>
              </w:rPr>
            </w:pPr>
            <w:r>
              <w:rPr>
                <w:rFonts w:ascii="Times New Roman"/>
                <w:sz w:val="18"/>
              </w:rPr>
              <w:t>1,719,018.69</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1,719,018.69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0"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年度对凯里智慧城市通卡管理有限公司无重大影响，将对该公司投资重分类至可供出售金融 资产，期末经减值测试计提减值</w:t>
      </w:r>
      <w:r>
        <w:rPr>
          <w:rFonts w:ascii="Times New Roman" w:hAnsi="Times New Roman" w:cs="Times New Roman" w:eastAsia="Times New Roman" w:hint="default"/>
        </w:rPr>
        <w:t>1,444,983.34</w:t>
      </w:r>
      <w:r>
        <w:rPr/>
        <w:t>元；</w:t>
      </w:r>
    </w:p>
    <w:p>
      <w:pPr>
        <w:pStyle w:val="BodyText"/>
        <w:spacing w:line="386" w:lineRule="auto" w:before="35"/>
        <w:ind w:right="0" w:firstLine="420"/>
        <w:jc w:val="left"/>
      </w:pPr>
      <w:r>
        <w:rPr>
          <w:rFonts w:ascii="Times New Roman" w:hAnsi="Times New Roman" w:cs="Times New Roman" w:eastAsia="Times New Roman" w:hint="default"/>
        </w:rPr>
        <w:t>2</w:t>
      </w:r>
      <w:r>
        <w:rPr/>
        <w:t>、上海微令信息科技有限公司</w:t>
      </w:r>
      <w:r>
        <w:rPr>
          <w:rFonts w:ascii="Times New Roman" w:hAnsi="Times New Roman" w:cs="Times New Roman" w:eastAsia="Times New Roman" w:hint="default"/>
        </w:rPr>
        <w:t>2014</w:t>
      </w:r>
      <w:r>
        <w:rPr/>
        <w:t>年新增投资，未对该公司实施重大影响，经测算公司期末计提减 值</w:t>
      </w:r>
      <w:r>
        <w:rPr>
          <w:rFonts w:ascii="Times New Roman" w:hAnsi="Times New Roman" w:cs="Times New Roman" w:eastAsia="Times New Roman" w:hint="default"/>
        </w:rPr>
        <w:t>274,035.35</w:t>
      </w:r>
      <w:r>
        <w:rPr/>
        <w:t>元。</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城市通卡</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1,444,983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1,444,983</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1,444,983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1,444,983</w:t>
            </w: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.34</w:t>
            </w: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rFonts w:ascii="Times New Roman" w:hAnsi="Times New Roman" w:cs="Times New Roman" w:eastAsia="Times New Roman" w:hint="default"/>
        </w:rPr>
        <w:t>2014</w:t>
      </w:r>
      <w:r>
        <w:rPr/>
        <w:t>年度对凯里智慧城市通卡管理有限公司无重大影响，将对该公司投资重分类至可供出售金融资产。</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6,262,040.35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6,262,040.35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6,262,040.35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6,262,040.35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6,262,040.35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6,262,040.35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6,262,040.35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6,262,040.35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19,238,212.43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19,238,212.43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19,238,212.43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19,238,212.43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新办公大楼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7,196,551.66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新建尚在办理之中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574" w:right="0"/>
        <w:jc w:val="left"/>
      </w:pPr>
      <w:r>
        <w:rPr/>
        <w:t>本期增加的投资性房地产系由固定资产中用于对外出租的房屋及建筑物原值及累计折旧重分类增加。</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18,326,701.12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3,963,749.52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8,870,569.91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12,059,473.23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43,220,493.78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133,578,855.43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16,102,855.34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2,400,196.64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5,467,332.16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157,549,239.57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11,383,513.34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2,400,196.64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5,467,332.16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19,251,042.14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133,578,855.43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4,719,342.00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138,298,197.43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149,572.64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347,397.80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112,796.28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26,110,019.50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149,572.64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347,397.80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112,796.28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609,766.72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）改变用途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126,405,303.77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19,917,032.22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10,923,368.75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17,414,009.11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174,659,713.85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5,330,639.18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1,247,497.48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2,445,212.80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7,142,904.91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16,166,254.37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2,763,869.54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1,146,758.84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1,027,847.46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2,070,637.92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7,009,113.76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2,763,869.54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1,146,758.84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1,027,847.46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2,070,637.92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7,009,113.76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6,262,040.35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308,452.11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106,039.46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6,676,531.92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308,452.11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106,039.46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414,491.57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）改变用途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6,262,040.35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6,262,040.35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1,832,468.37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2,394,256.32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3,164,608.15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9,107,503.37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16,498,836.21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124,572,835.40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17,522,775.90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7,758,760.60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8,306,505.74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158,160,877.64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12,996,061.94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2,716,252.04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6,425,357.11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4,916,568.32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27,054,239.41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新办公大楼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87,290,010.03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新建尚在办理之中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福建开楼大楼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23,545,521.00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新购尚在办理之中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科研大楼及生产 中心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34,477,041.25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34,477,041.25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929,760.53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929,760.53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3,199,963.37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3,199,963.37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133,488.17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133,488.17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1,142,628.04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1,142,628.04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148,920.00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148,920.00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1,212,168.70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1,212,168.70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38,819,632.66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38,819,632.66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both"/>
              <w:rPr>
                <w:rFonts w:ascii="宋体" w:hAnsi="宋体" w:cs="宋体" w:eastAsia="宋体" w:hint="default"/>
                <w:sz w:val="18"/>
                <w:szCs w:val="18"/>
              </w:rPr>
            </w:pPr>
            <w:r>
              <w:rPr>
                <w:rFonts w:ascii="宋体" w:hAnsi="宋体" w:cs="宋体" w:eastAsia="宋体" w:hint="default"/>
                <w:sz w:val="18"/>
                <w:szCs w:val="18"/>
              </w:rPr>
              <w:t>科研大 楼及生 产中心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34,477,0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41.25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60,009,5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94,486,5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34,477,0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41.25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60,009,5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94,486,5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40"/>
        <w:gridCol w:w="1408"/>
        <w:gridCol w:w="1368"/>
        <w:gridCol w:w="1382"/>
        <w:gridCol w:w="1380"/>
        <w:gridCol w:w="1579"/>
      </w:tblGrid>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5,591,081.60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7,397,566.27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12,988,647.87</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1,783,662.79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1,783,662.79</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1,783,662.79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1,783,662.79</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1,416.00</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1,416.00</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5,591,081.60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9,179,813.06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14,770,894.66</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307,508.96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1,211,113.30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1,518,622.26</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111,821.64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870,715.87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982,537.51</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111,821.64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870,715.87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982,537.51</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1,416.00</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1,416.00</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419,330.60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2,080,413.17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2,499,743.77</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5,171,751.00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7,099,399.89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12,271,150.89</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5,283,572.64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6,186,452.97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11,470,025.61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租入房屋改良支出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1,907.39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智能燃气表及远程 运营监控系统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租车费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261,907.39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4"/>
        <w:gridCol w:w="1914"/>
        <w:gridCol w:w="1914"/>
        <w:gridCol w:w="1914"/>
      </w:tblGrid>
      <w:tr>
        <w:trPr>
          <w:trHeight w:val="207" w:hRule="exact"/>
        </w:trPr>
        <w:tc>
          <w:tcPr>
            <w:tcW w:w="19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8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8"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24" w:type="dxa"/>
            <w:vMerge/>
            <w:tcBorders>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28,612,080.44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4,306,334.98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2,761,939.20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2,761,939.21</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9,563,001.67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1,434,450.25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1,563,413.26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1,563,413.25</w:t>
            </w:r>
          </w:p>
        </w:tc>
      </w:tr>
      <w:tr>
        <w:trPr>
          <w:trHeight w:val="403"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38,175,082.11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5,740,785.23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4,325,352.46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4,325,352.46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4"/>
        <w:gridCol w:w="1914"/>
        <w:gridCol w:w="1914"/>
        <w:gridCol w:w="1903"/>
      </w:tblGrid>
      <w:tr>
        <w:trPr>
          <w:trHeight w:val="162" w:hRule="exact"/>
        </w:trPr>
        <w:tc>
          <w:tcPr>
            <w:tcW w:w="19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0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5,740,785.23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4,325,352.46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2,452,893.21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2,452,893.21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2,452,893.21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2,452,893.21</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应付经营货款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51,400,616.38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36,733,476.36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应付外包劳务费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614,995.99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1,584,629.04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52,015,612.37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38,318,105.40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北京宏通万达智能科技有限公司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2,130,418.92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云南省通信产业服务有限公司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1,359,791.00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深圳毅能达智能卡制造有限公司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871,820.17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4,362,030.09</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22,009,715.16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15,853,147.63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22,009,715.16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15,853,147.63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4" w:right="0"/>
        <w:jc w:val="left"/>
      </w:pPr>
      <w:r>
        <w:rPr/>
        <w:t>其他说明：截止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年单项金额在</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1"/>
        </w:rPr>
        <w:t> </w:t>
      </w:r>
      <w:r>
        <w:rPr/>
        <w:t>万以上的大额预收款项。</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322,804.69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76,092,912.85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75,989,712.32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426,005.22</w:t>
            </w: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6,177,638.26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6,177,638.26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322,804.69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82,270,551.11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82,167,350.58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426,005.22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90,729.38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69,370,532.19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69,254,250.96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207,010.61</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629,372.75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629,372.75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2,652,070.38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2,652,070.38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2,255,161.40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2,255,161.40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139,885.50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139,885.50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257,023.48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257,023.48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1,951,778.65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1,951,778.65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232,075.31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1,489,158.88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1,502,239.58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218,994.61</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322,804.69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76,092,912.85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75,989,712.32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426,005.22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5,667,708.24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5,667,708.24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509,930.02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509,930.02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6,177,638.26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6,177,638.26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4,992,412.30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4,525,545.29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4,684,681.96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-1,245,156.89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88,438.67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98,579.85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346,038.11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318,784.65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152,548.07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136,811.57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101,698.73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91,207.71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225,576.70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37,610.30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48,038.96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38,637.30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3,173.90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10,639,433.50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4,005,193.68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1,020,899.33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2,589,894.00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应付代垫款项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168,502.96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126,006.38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1,189,402.29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2,715,900.38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期末数中无欠持本公司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3"/>
        <w:gridCol w:w="1595"/>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10,422,755.00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1,159,753.33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9,563,001.67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10,422,755.00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1,159,753.33</w:t>
            </w:r>
          </w:p>
        </w:tc>
        <w:tc>
          <w:tcPr>
            <w:tcW w:w="15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9,563,001.67</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高新区科技局研 发经费</w:t>
            </w:r>
            <w:r>
              <w:rPr>
                <w:rFonts w:ascii="Times New Roman" w:hAnsi="Times New Roman" w:cs="Times New Roman" w:eastAsia="Times New Roman" w:hint="default"/>
                <w:sz w:val="18"/>
                <w:szCs w:val="18"/>
              </w:rPr>
              <w:t>"</w:t>
            </w:r>
            <w:r>
              <w:rPr>
                <w:rFonts w:ascii="宋体" w:hAnsi="宋体" w:cs="宋体" w:eastAsia="宋体" w:hint="default"/>
                <w:sz w:val="18"/>
                <w:szCs w:val="18"/>
              </w:rPr>
              <w:t>重大科 技专项基于电信 运营的小额支付</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年郑州市第 三批技术研究与 开发经费项目： 智能卡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 付与识别产品产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高新区财政局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年物联网发 展专项资金款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郑州市财政局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年河南省高 新技术产业化项 目资金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郑州市财政局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年度科技经 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年电子信息 产业振兴和技术 改造项目建设中 央投资地方专项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年度信 息化发展专项资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郑州市财政局产 业技术创新专项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高新区管委会奖 励车辆（豫 </w:t>
            </w:r>
            <w:r>
              <w:rPr>
                <w:rFonts w:ascii="Times New Roman" w:hAnsi="Times New Roman" w:cs="Times New Roman" w:eastAsia="Times New Roman" w:hint="default"/>
                <w:sz w:val="18"/>
                <w:szCs w:val="18"/>
              </w:rPr>
              <w:t>A521GX</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124,335.00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河南省财政厅高 新技术产业化专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2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基于金 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卡的移动支 付信息化服务平 台与终端项目</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云架构的金融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卡公共服务运营 平台及终端项目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远距离射频识别 技术的终端产品 研究与开发项目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物联网通信与组 网关键技术的研 究与应用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高新区管委会技 术研究与开发经 费项目</w:t>
            </w:r>
            <w:r>
              <w:rPr>
                <w:rFonts w:ascii="Times New Roman" w:hAnsi="Times New Roman" w:cs="Times New Roman" w:eastAsia="Times New Roman" w:hint="default"/>
                <w:sz w:val="18"/>
                <w:szCs w:val="18"/>
              </w:rPr>
              <w:t>"</w:t>
            </w:r>
            <w:r>
              <w:rPr>
                <w:rFonts w:ascii="宋体" w:hAnsi="宋体" w:cs="宋体" w:eastAsia="宋体" w:hint="default"/>
                <w:sz w:val="18"/>
                <w:szCs w:val="18"/>
              </w:rPr>
              <w:t>驾校综 合管理系统研发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技术的 金融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卡移动支 付综合应用系统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10,422,755.00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1,159,753.33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9,563,001.67</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53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before="0"/>
        <w:ind w:left="153" w:right="95" w:firstLine="420"/>
        <w:jc w:val="left"/>
      </w:pPr>
      <w:r>
        <w:rPr>
          <w:rFonts w:ascii="Times New Roman" w:hAnsi="Times New Roman" w:cs="Times New Roman" w:eastAsia="Times New Roman" w:hint="default"/>
        </w:rPr>
        <w:t>1</w:t>
      </w:r>
      <w:r>
        <w:rPr/>
        <w:t>、郑州市财政局</w:t>
      </w:r>
      <w:r>
        <w:rPr>
          <w:rFonts w:ascii="Times New Roman" w:hAnsi="Times New Roman" w:cs="Times New Roman" w:eastAsia="Times New Roman" w:hint="default"/>
        </w:rPr>
        <w:t>2009</w:t>
      </w:r>
      <w:r>
        <w:rPr/>
        <w:t>年河南省高新技术产业化项目资金原值</w:t>
      </w:r>
      <w:r>
        <w:rPr>
          <w:rFonts w:ascii="Times New Roman" w:hAnsi="Times New Roman" w:cs="Times New Roman" w:eastAsia="Times New Roman" w:hint="default"/>
        </w:rPr>
        <w:t>100.00</w:t>
      </w:r>
      <w:r>
        <w:rPr/>
        <w:t>万，按照</w:t>
      </w:r>
      <w:r>
        <w:rPr>
          <w:rFonts w:ascii="Times New Roman" w:hAnsi="Times New Roman" w:cs="Times New Roman" w:eastAsia="Times New Roman" w:hint="default"/>
        </w:rPr>
        <w:t>5</w:t>
      </w:r>
      <w:r>
        <w:rPr/>
        <w:t>年进行摊销，本年摊销</w:t>
      </w:r>
      <w:r>
        <w:rPr>
          <w:spacing w:val="1"/>
        </w:rPr>
        <w:t> </w:t>
      </w:r>
      <w:r>
        <w:rPr/>
        <w:t>金额</w:t>
      </w:r>
      <w:r>
        <w:rPr>
          <w:rFonts w:ascii="Times New Roman" w:hAnsi="Times New Roman" w:cs="Times New Roman" w:eastAsia="Times New Roman" w:hint="default"/>
        </w:rPr>
        <w:t>20.00</w:t>
      </w:r>
      <w:r>
        <w:rPr/>
        <w:t>万，累计摊销额</w:t>
      </w:r>
      <w:r>
        <w:rPr>
          <w:rFonts w:ascii="Times New Roman" w:hAnsi="Times New Roman" w:cs="Times New Roman" w:eastAsia="Times New Roman" w:hint="default"/>
        </w:rPr>
        <w:t>90.00</w:t>
      </w:r>
      <w:r>
        <w:rPr/>
        <w:t>万，年末余额</w:t>
      </w:r>
      <w:r>
        <w:rPr>
          <w:rFonts w:ascii="Times New Roman" w:hAnsi="Times New Roman" w:cs="Times New Roman" w:eastAsia="Times New Roman" w:hint="default"/>
        </w:rPr>
        <w:t>10.00</w:t>
      </w:r>
      <w:r>
        <w:rPr/>
        <w:t>万；</w:t>
      </w:r>
    </w:p>
    <w:p>
      <w:pPr>
        <w:pStyle w:val="BodyText"/>
        <w:spacing w:line="240" w:lineRule="auto" w:before="35"/>
        <w:ind w:left="573" w:right="95"/>
        <w:jc w:val="left"/>
        <w:rPr>
          <w:rFonts w:ascii="Times New Roman" w:hAnsi="Times New Roman" w:cs="Times New Roman" w:eastAsia="Times New Roman" w:hint="default"/>
        </w:rPr>
      </w:pPr>
      <w:r>
        <w:rPr>
          <w:rFonts w:ascii="Times New Roman" w:hAnsi="Times New Roman" w:cs="Times New Roman" w:eastAsia="Times New Roman" w:hint="default"/>
        </w:rPr>
        <w:t>2</w:t>
      </w:r>
      <w:r>
        <w:rPr/>
        <w:t>、郑州市财政局</w:t>
      </w:r>
      <w:r>
        <w:rPr>
          <w:rFonts w:ascii="Times New Roman" w:hAnsi="Times New Roman" w:cs="Times New Roman" w:eastAsia="Times New Roman" w:hint="default"/>
        </w:rPr>
        <w:t>2009</w:t>
      </w:r>
      <w:r>
        <w:rPr/>
        <w:t>年度科技经费原值</w:t>
      </w:r>
      <w:r>
        <w:rPr>
          <w:rFonts w:ascii="Times New Roman" w:hAnsi="Times New Roman" w:cs="Times New Roman" w:eastAsia="Times New Roman" w:hint="default"/>
        </w:rPr>
        <w:t>50.00</w:t>
      </w:r>
      <w:r>
        <w:rPr/>
        <w:t>万，按照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10.00</w:t>
      </w:r>
      <w:r>
        <w:rPr/>
        <w:t>万，累计摊销额</w:t>
      </w:r>
      <w:r>
        <w:rPr>
          <w:rFonts w:ascii="Times New Roman" w:hAnsi="Times New Roman" w:cs="Times New Roman" w:eastAsia="Times New Roman" w:hint="default"/>
        </w:rPr>
        <w:t>45.00</w:t>
      </w:r>
    </w:p>
    <w:p>
      <w:pPr>
        <w:pStyle w:val="BodyText"/>
        <w:spacing w:line="240" w:lineRule="auto" w:before="177"/>
        <w:ind w:right="532"/>
        <w:jc w:val="left"/>
      </w:pPr>
      <w:r>
        <w:rPr/>
        <w:t>万，年末余额</w:t>
      </w:r>
      <w:r>
        <w:rPr>
          <w:rFonts w:ascii="Times New Roman" w:hAnsi="Times New Roman" w:cs="Times New Roman" w:eastAsia="Times New Roman" w:hint="default"/>
        </w:rPr>
        <w:t>5.00</w:t>
      </w:r>
      <w:r>
        <w:rPr/>
        <w:t>万；</w:t>
      </w:r>
    </w:p>
    <w:p>
      <w:pPr>
        <w:pStyle w:val="BodyText"/>
        <w:spacing w:line="386" w:lineRule="auto" w:before="177"/>
        <w:ind w:right="95" w:firstLine="419"/>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2009</w:t>
      </w:r>
      <w:r>
        <w:rPr>
          <w:spacing w:val="-2"/>
        </w:rPr>
        <w:t>年电子信息产业振兴和技术改造项目建设中央投资地方专项资金原值</w:t>
      </w:r>
      <w:r>
        <w:rPr>
          <w:rFonts w:ascii="Times New Roman" w:hAnsi="Times New Roman" w:cs="Times New Roman" w:eastAsia="Times New Roman" w:hint="default"/>
          <w:spacing w:val="-2"/>
        </w:rPr>
        <w:t>324.00</w:t>
      </w:r>
      <w:r>
        <w:rPr>
          <w:spacing w:val="-2"/>
        </w:rPr>
        <w:t>万，按照</w:t>
      </w:r>
      <w:r>
        <w:rPr>
          <w:rFonts w:ascii="Times New Roman" w:hAnsi="Times New Roman" w:cs="Times New Roman" w:eastAsia="Times New Roman" w:hint="default"/>
          <w:spacing w:val="-2"/>
        </w:rPr>
        <w:t>5</w:t>
      </w:r>
      <w:r>
        <w:rPr>
          <w:spacing w:val="-2"/>
        </w:rPr>
        <w:t>年摊销，</w:t>
      </w:r>
      <w:r>
        <w:rPr/>
        <w:t> 本年摊销额</w:t>
      </w:r>
      <w:r>
        <w:rPr>
          <w:rFonts w:ascii="Times New Roman" w:hAnsi="Times New Roman" w:cs="Times New Roman" w:eastAsia="Times New Roman" w:hint="default"/>
        </w:rPr>
        <w:t>64.80</w:t>
      </w:r>
      <w:r>
        <w:rPr/>
        <w:t>万，累计摊销额</w:t>
      </w:r>
      <w:r>
        <w:rPr>
          <w:rFonts w:ascii="Times New Roman" w:hAnsi="Times New Roman" w:cs="Times New Roman" w:eastAsia="Times New Roman" w:hint="default"/>
        </w:rPr>
        <w:t>226.80</w:t>
      </w:r>
      <w:r>
        <w:rPr/>
        <w:t>万，年末余额</w:t>
      </w:r>
      <w:r>
        <w:rPr>
          <w:rFonts w:ascii="Times New Roman" w:hAnsi="Times New Roman" w:cs="Times New Roman" w:eastAsia="Times New Roman" w:hint="default"/>
        </w:rPr>
        <w:t>97.20</w:t>
      </w:r>
      <w:r>
        <w:rPr/>
        <w:t>万；</w:t>
      </w:r>
    </w:p>
    <w:p>
      <w:pPr>
        <w:pStyle w:val="BodyText"/>
        <w:spacing w:line="386" w:lineRule="auto" w:before="35"/>
        <w:ind w:right="95" w:firstLine="420"/>
        <w:jc w:val="left"/>
      </w:pPr>
      <w:r>
        <w:rPr>
          <w:rFonts w:ascii="Times New Roman" w:hAnsi="Times New Roman" w:cs="Times New Roman" w:eastAsia="Times New Roman" w:hint="default"/>
        </w:rPr>
        <w:t>4</w:t>
      </w:r>
      <w:r>
        <w:rPr/>
        <w:t>、高新区管委会奖励车辆（豫</w:t>
      </w:r>
      <w:r>
        <w:rPr>
          <w:rFonts w:ascii="Times New Roman" w:hAnsi="Times New Roman" w:cs="Times New Roman" w:eastAsia="Times New Roman" w:hint="default"/>
        </w:rPr>
        <w:t>A521GX</w:t>
      </w:r>
      <w:r>
        <w:rPr/>
        <w:t>）原值</w:t>
      </w:r>
      <w:r>
        <w:rPr>
          <w:rFonts w:ascii="Times New Roman" w:hAnsi="Times New Roman" w:cs="Times New Roman" w:eastAsia="Times New Roman" w:hint="default"/>
        </w:rPr>
        <w:t>18.42</w:t>
      </w:r>
      <w:r>
        <w:rPr/>
        <w:t>万，按照</w:t>
      </w:r>
      <w:r>
        <w:rPr>
          <w:rFonts w:ascii="Times New Roman" w:hAnsi="Times New Roman" w:cs="Times New Roman" w:eastAsia="Times New Roman" w:hint="default"/>
        </w:rPr>
        <w:t>10</w:t>
      </w:r>
      <w:r>
        <w:rPr/>
        <w:t>年摊销，本年摊销</w:t>
      </w:r>
      <w:r>
        <w:rPr>
          <w:rFonts w:ascii="Times New Roman" w:hAnsi="Times New Roman" w:cs="Times New Roman" w:eastAsia="Times New Roman" w:hint="default"/>
        </w:rPr>
        <w:t>18,420.00</w:t>
      </w:r>
      <w:r>
        <w:rPr/>
        <w:t>元</w:t>
      </w:r>
      <w:r>
        <w:rPr>
          <w:rFonts w:ascii="Times New Roman" w:hAnsi="Times New Roman" w:cs="Times New Roman" w:eastAsia="Times New Roman" w:hint="default"/>
        </w:rPr>
        <w:t>,</w:t>
      </w:r>
      <w:r>
        <w:rPr/>
        <w:t>累计摊</w:t>
      </w:r>
      <w:r>
        <w:rPr>
          <w:spacing w:val="1"/>
        </w:rPr>
        <w:t> </w:t>
      </w:r>
      <w:r>
        <w:rPr/>
        <w:t>销额</w:t>
      </w:r>
      <w:r>
        <w:rPr>
          <w:rFonts w:ascii="Times New Roman" w:hAnsi="Times New Roman" w:cs="Times New Roman" w:eastAsia="Times New Roman" w:hint="default"/>
        </w:rPr>
        <w:t>59,865.00</w:t>
      </w:r>
      <w:r>
        <w:rPr/>
        <w:t>元</w:t>
      </w:r>
      <w:r>
        <w:rPr>
          <w:rFonts w:ascii="Times New Roman" w:hAnsi="Times New Roman" w:cs="Times New Roman" w:eastAsia="Times New Roman" w:hint="default"/>
        </w:rPr>
        <w:t>,</w:t>
      </w:r>
      <w:r>
        <w:rPr/>
        <w:t>年末余额</w:t>
      </w:r>
      <w:r>
        <w:rPr>
          <w:rFonts w:ascii="Times New Roman" w:hAnsi="Times New Roman" w:cs="Times New Roman" w:eastAsia="Times New Roman" w:hint="default"/>
        </w:rPr>
        <w:t>124,335.00</w:t>
      </w:r>
      <w:r>
        <w:rPr/>
        <w:t>元；</w:t>
      </w:r>
    </w:p>
    <w:p>
      <w:pPr>
        <w:pStyle w:val="BodyText"/>
        <w:spacing w:line="240" w:lineRule="auto" w:before="35"/>
        <w:ind w:left="574" w:right="95"/>
        <w:jc w:val="left"/>
        <w:rPr>
          <w:rFonts w:ascii="Times New Roman" w:hAnsi="Times New Roman" w:cs="Times New Roman" w:eastAsia="Times New Roman" w:hint="default"/>
        </w:rPr>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2011</w:t>
      </w:r>
      <w:r>
        <w:rPr>
          <w:spacing w:val="2"/>
        </w:rPr>
        <w:t>年郑州市第三批技术研究与开发经费项目：智能卡</w:t>
      </w:r>
      <w:r>
        <w:rPr>
          <w:rFonts w:ascii="Times New Roman" w:hAnsi="Times New Roman" w:cs="Times New Roman" w:eastAsia="Times New Roman" w:hint="default"/>
          <w:spacing w:val="2"/>
        </w:rPr>
        <w:t>RFID</w:t>
      </w:r>
      <w:r>
        <w:rPr>
          <w:spacing w:val="2"/>
        </w:rPr>
        <w:t>支付与识别产品产业化已于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p>
    <w:p>
      <w:pPr>
        <w:pStyle w:val="BodyText"/>
        <w:spacing w:line="240" w:lineRule="auto" w:before="177"/>
        <w:ind w:right="532"/>
        <w:jc w:val="left"/>
      </w:pPr>
      <w:r>
        <w:rPr/>
        <w:t>月验收合格并开始摊销，按照</w:t>
      </w:r>
      <w:r>
        <w:rPr>
          <w:rFonts w:ascii="Times New Roman" w:hAnsi="Times New Roman" w:cs="Times New Roman" w:eastAsia="Times New Roman" w:hint="default"/>
        </w:rPr>
        <w:t>5</w:t>
      </w:r>
      <w:r>
        <w:rPr/>
        <w:t>年摊销，本年摊销额</w:t>
      </w:r>
      <w:r>
        <w:rPr>
          <w:rFonts w:ascii="Times New Roman" w:hAnsi="Times New Roman" w:cs="Times New Roman" w:eastAsia="Times New Roman" w:hint="default"/>
        </w:rPr>
        <w:t>13.33</w:t>
      </w:r>
      <w:r>
        <w:rPr/>
        <w:t>万，年末余额</w:t>
      </w:r>
      <w:r>
        <w:rPr>
          <w:rFonts w:ascii="Times New Roman" w:hAnsi="Times New Roman" w:cs="Times New Roman" w:eastAsia="Times New Roman" w:hint="default"/>
        </w:rPr>
        <w:t>86.67</w:t>
      </w:r>
      <w:r>
        <w:rPr/>
        <w:t>万；</w:t>
      </w:r>
    </w:p>
    <w:p>
      <w:pPr>
        <w:pStyle w:val="BodyText"/>
        <w:spacing w:line="240" w:lineRule="auto" w:before="177"/>
        <w:ind w:left="574" w:right="95"/>
        <w:jc w:val="left"/>
      </w:pPr>
      <w:r>
        <w:rPr>
          <w:rFonts w:ascii="Times New Roman" w:hAnsi="Times New Roman" w:cs="Times New Roman" w:eastAsia="Times New Roman" w:hint="default"/>
        </w:rPr>
        <w:t>6</w:t>
      </w:r>
      <w:r>
        <w:rPr/>
        <w:t>、郑州</w:t>
      </w:r>
      <w:r>
        <w:rPr>
          <w:rFonts w:ascii="Times New Roman" w:hAnsi="Times New Roman" w:cs="Times New Roman" w:eastAsia="Times New Roman" w:hint="default"/>
        </w:rPr>
        <w:t>2009</w:t>
      </w:r>
      <w:r>
        <w:rPr/>
        <w:t>年度信息化发展专项资金已验收合格，按照</w:t>
      </w:r>
      <w:r>
        <w:rPr>
          <w:rFonts w:ascii="Times New Roman" w:hAnsi="Times New Roman" w:cs="Times New Roman" w:eastAsia="Times New Roman" w:hint="default"/>
        </w:rPr>
        <w:t>5</w:t>
      </w:r>
      <w:r>
        <w:rPr/>
        <w:t>年摊销，本年摊销额</w:t>
      </w:r>
      <w:r>
        <w:rPr>
          <w:rFonts w:ascii="Times New Roman" w:hAnsi="Times New Roman" w:cs="Times New Roman" w:eastAsia="Times New Roman" w:hint="default"/>
        </w:rPr>
        <w:t>6</w:t>
      </w:r>
      <w:r>
        <w:rPr/>
        <w:t>万，年末余额</w:t>
      </w:r>
      <w:r>
        <w:rPr>
          <w:rFonts w:ascii="Times New Roman" w:hAnsi="Times New Roman" w:cs="Times New Roman" w:eastAsia="Times New Roman" w:hint="default"/>
        </w:rPr>
        <w:t>14</w:t>
      </w:r>
      <w:r>
        <w:rPr/>
        <w:t>万；</w:t>
      </w:r>
    </w:p>
    <w:p>
      <w:pPr>
        <w:pStyle w:val="BodyText"/>
        <w:spacing w:line="386" w:lineRule="auto" w:before="177"/>
        <w:ind w:right="95" w:firstLine="420"/>
        <w:jc w:val="left"/>
      </w:pPr>
      <w:r>
        <w:rPr>
          <w:rFonts w:ascii="Times New Roman" w:hAnsi="Times New Roman" w:cs="Times New Roman" w:eastAsia="Times New Roman" w:hint="default"/>
        </w:rPr>
        <w:t>7</w:t>
      </w:r>
      <w:r>
        <w:rPr/>
        <w:t>、基于</w:t>
      </w:r>
      <w:r>
        <w:rPr>
          <w:rFonts w:ascii="Times New Roman" w:hAnsi="Times New Roman" w:cs="Times New Roman" w:eastAsia="Times New Roman" w:hint="default"/>
        </w:rPr>
        <w:t>NFC</w:t>
      </w:r>
      <w:r>
        <w:rPr/>
        <w:t>技术的金融</w:t>
      </w:r>
      <w:r>
        <w:rPr>
          <w:rFonts w:ascii="Times New Roman" w:hAnsi="Times New Roman" w:cs="Times New Roman" w:eastAsia="Times New Roman" w:hint="default"/>
        </w:rPr>
        <w:t>IC</w:t>
      </w:r>
      <w:r>
        <w:rPr/>
        <w:t>卡移动支付综合应用系统系根据郑州市科学技术局、郑州市财政局《关于 </w:t>
      </w:r>
      <w:r>
        <w:rPr>
          <w:spacing w:val="-2"/>
        </w:rPr>
        <w:t>下达郑州市</w:t>
      </w:r>
      <w:r>
        <w:rPr>
          <w:rFonts w:ascii="Times New Roman" w:hAnsi="Times New Roman" w:cs="Times New Roman" w:eastAsia="Times New Roman" w:hint="default"/>
          <w:spacing w:val="-2"/>
        </w:rPr>
        <w:t>2014</w:t>
      </w:r>
      <w:r>
        <w:rPr>
          <w:spacing w:val="-2"/>
        </w:rPr>
        <w:t>年第一批科技计划项目经费的通知》（郑科计</w:t>
      </w:r>
      <w:r>
        <w:rPr>
          <w:rFonts w:ascii="Times New Roman" w:hAnsi="Times New Roman" w:cs="Times New Roman" w:eastAsia="Times New Roman" w:hint="default"/>
          <w:spacing w:val="-2"/>
        </w:rPr>
        <w:t>[2014]2</w:t>
      </w:r>
      <w:r>
        <w:rPr>
          <w:spacing w:val="-2"/>
        </w:rPr>
        <w:t>号）于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日收到从郑州高</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新技术产业开发区财政国库集中支付中心拔付的政府补助，因该项目尚未实施完工，故尚未摊销。</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7"/>
        <w:gridCol w:w="1196"/>
        <w:gridCol w:w="1196"/>
        <w:gridCol w:w="1196"/>
        <w:gridCol w:w="1196"/>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3D3D3"/>
          </w:tcPr>
          <w:p>
            <w:pPr/>
          </w:p>
        </w:tc>
        <w:tc>
          <w:tcPr>
            <w:tcW w:w="11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89,200,000.00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53,520,000.00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53,520,000.00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142,720,000.00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574" w:right="0"/>
        <w:jc w:val="left"/>
      </w:pPr>
      <w:r>
        <w:rPr>
          <w:rFonts w:ascii="Times New Roman" w:hAnsi="Times New Roman" w:cs="Times New Roman" w:eastAsia="Times New Roman" w:hint="default"/>
        </w:rPr>
        <w:t>1</w:t>
      </w:r>
      <w:r>
        <w:rPr/>
        <w:t>、历年股份变动情况，见公司历史沿革；</w:t>
      </w:r>
    </w:p>
    <w:p>
      <w:pPr>
        <w:pStyle w:val="BodyText"/>
        <w:spacing w:line="386" w:lineRule="auto" w:before="177"/>
        <w:ind w:right="151" w:firstLine="419"/>
        <w:jc w:val="both"/>
      </w:pPr>
      <w:r>
        <w:rPr>
          <w:rFonts w:ascii="Times New Roman" w:hAnsi="Times New Roman" w:cs="Times New Roman" w:eastAsia="Times New Roman" w:hint="default"/>
          <w:spacing w:val="-2"/>
        </w:rPr>
        <w:t>2</w:t>
      </w:r>
      <w:r>
        <w:rPr>
          <w:spacing w:val="-2"/>
        </w:rPr>
        <w:t>、实际控制人杨维国将其持有的本公司的股本</w:t>
      </w:r>
      <w:r>
        <w:rPr>
          <w:rFonts w:ascii="Times New Roman" w:hAnsi="Times New Roman" w:cs="Times New Roman" w:eastAsia="Times New Roman" w:hint="default"/>
          <w:spacing w:val="-2"/>
        </w:rPr>
        <w:t>800</w:t>
      </w:r>
      <w:r>
        <w:rPr>
          <w:spacing w:val="-2"/>
        </w:rPr>
        <w:t>万股、</w:t>
      </w:r>
      <w:r>
        <w:rPr>
          <w:rFonts w:ascii="Times New Roman" w:hAnsi="Times New Roman" w:cs="Times New Roman" w:eastAsia="Times New Roman" w:hint="default"/>
          <w:spacing w:val="-2"/>
        </w:rPr>
        <w:t>103.70</w:t>
      </w:r>
      <w:r>
        <w:rPr>
          <w:spacing w:val="-2"/>
        </w:rPr>
        <w:t>万股、</w:t>
      </w:r>
      <w:r>
        <w:rPr>
          <w:rFonts w:ascii="Times New Roman" w:hAnsi="Times New Roman" w:cs="Times New Roman" w:eastAsia="Times New Roman" w:hint="default"/>
          <w:spacing w:val="-2"/>
        </w:rPr>
        <w:t>38</w:t>
      </w:r>
      <w:r>
        <w:rPr>
          <w:spacing w:val="-2"/>
        </w:rPr>
        <w:t>万股和</w:t>
      </w:r>
      <w:r>
        <w:rPr>
          <w:rFonts w:ascii="Times New Roman" w:hAnsi="Times New Roman" w:cs="Times New Roman" w:eastAsia="Times New Roman" w:hint="default"/>
          <w:spacing w:val="-2"/>
        </w:rPr>
        <w:t>232</w:t>
      </w:r>
      <w:r>
        <w:rPr>
          <w:spacing w:val="-2"/>
        </w:rPr>
        <w:t>万股向南京证券办</w:t>
      </w:r>
      <w:r>
        <w:rPr/>
        <w:t> </w:t>
      </w:r>
      <w:r>
        <w:rPr>
          <w:spacing w:val="4"/>
        </w:rPr>
        <w:t>理质押式回购，期限分别为</w:t>
      </w:r>
      <w:r>
        <w:rPr>
          <w:rFonts w:ascii="Times New Roman" w:hAnsi="Times New Roman" w:cs="Times New Roman" w:eastAsia="Times New Roman" w:hint="default"/>
          <w:spacing w:val="4"/>
        </w:rPr>
        <w:t>2014-9-23</w:t>
      </w:r>
      <w:r>
        <w:rPr>
          <w:spacing w:val="4"/>
        </w:rPr>
        <w:t>至</w:t>
      </w:r>
      <w:r>
        <w:rPr>
          <w:rFonts w:ascii="Times New Roman" w:hAnsi="Times New Roman" w:cs="Times New Roman" w:eastAsia="Times New Roman" w:hint="default"/>
          <w:spacing w:val="4"/>
        </w:rPr>
        <w:t>2015-3-23</w:t>
      </w:r>
      <w:r>
        <w:rPr>
          <w:spacing w:val="4"/>
        </w:rPr>
        <w:t>、</w:t>
      </w:r>
      <w:r>
        <w:rPr>
          <w:rFonts w:ascii="Times New Roman" w:hAnsi="Times New Roman" w:cs="Times New Roman" w:eastAsia="Times New Roman" w:hint="default"/>
          <w:spacing w:val="4"/>
        </w:rPr>
        <w:t>2014-9-23</w:t>
      </w:r>
      <w:r>
        <w:rPr>
          <w:spacing w:val="4"/>
        </w:rPr>
        <w:t>至</w:t>
      </w:r>
      <w:r>
        <w:rPr>
          <w:rFonts w:ascii="Times New Roman" w:hAnsi="Times New Roman" w:cs="Times New Roman" w:eastAsia="Times New Roman" w:hint="default"/>
          <w:spacing w:val="4"/>
        </w:rPr>
        <w:t>2015-3-23</w:t>
      </w:r>
      <w:r>
        <w:rPr>
          <w:spacing w:val="4"/>
        </w:rPr>
        <w:t>、</w:t>
      </w:r>
      <w:r>
        <w:rPr>
          <w:rFonts w:ascii="Times New Roman" w:hAnsi="Times New Roman" w:cs="Times New Roman" w:eastAsia="Times New Roman" w:hint="default"/>
          <w:spacing w:val="4"/>
        </w:rPr>
        <w:t>2014-11-13</w:t>
      </w:r>
      <w:r>
        <w:rPr>
          <w:spacing w:val="4"/>
        </w:rPr>
        <w:t>至</w:t>
      </w:r>
      <w:r>
        <w:rPr>
          <w:rFonts w:ascii="Times New Roman" w:hAnsi="Times New Roman" w:cs="Times New Roman" w:eastAsia="Times New Roman" w:hint="default"/>
          <w:spacing w:val="4"/>
        </w:rPr>
        <w:t>2015-11-13</w:t>
      </w:r>
      <w:r>
        <w:rPr>
          <w:spacing w:val="4"/>
        </w:rPr>
        <w:t>和</w:t>
      </w:r>
      <w:r>
        <w:rPr>
          <w:spacing w:val="-36"/>
        </w:rPr>
        <w:t> </w:t>
      </w:r>
      <w:r>
        <w:rPr>
          <w:rFonts w:ascii="Times New Roman" w:hAnsi="Times New Roman" w:cs="Times New Roman" w:eastAsia="Times New Roman" w:hint="default"/>
        </w:rPr>
        <w:t>2014-12-17</w:t>
      </w:r>
      <w:r>
        <w:rPr/>
        <w:t>至</w:t>
      </w:r>
      <w:r>
        <w:rPr>
          <w:rFonts w:ascii="Times New Roman" w:hAnsi="Times New Roman" w:cs="Times New Roman" w:eastAsia="Times New Roman" w:hint="default"/>
        </w:rPr>
        <w:t>2015-12-17</w:t>
      </w:r>
      <w:r>
        <w:rPr/>
        <w:t>，年利率分别为</w:t>
      </w:r>
      <w:r>
        <w:rPr>
          <w:rFonts w:ascii="Times New Roman" w:hAnsi="Times New Roman" w:cs="Times New Roman" w:eastAsia="Times New Roman" w:hint="default"/>
        </w:rPr>
        <w:t>8.1%</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8%</w:t>
      </w:r>
      <w:r>
        <w:rPr/>
        <w:t>和</w:t>
      </w:r>
      <w:r>
        <w:rPr>
          <w:rFonts w:ascii="Times New Roman" w:hAnsi="Times New Roman" w:cs="Times New Roman" w:eastAsia="Times New Roman" w:hint="default"/>
        </w:rPr>
        <w:t>8%</w:t>
      </w:r>
      <w:r>
        <w:rPr/>
        <w:t>；</w:t>
      </w:r>
    </w:p>
    <w:p>
      <w:pPr>
        <w:pStyle w:val="BodyText"/>
        <w:spacing w:line="240" w:lineRule="auto" w:before="35"/>
        <w:ind w:left="574" w:right="0"/>
        <w:jc w:val="left"/>
      </w:pPr>
      <w:r>
        <w:rPr>
          <w:rFonts w:ascii="Times New Roman" w:hAnsi="Times New Roman" w:cs="Times New Roman" w:eastAsia="Times New Roman" w:hint="default"/>
          <w:spacing w:val="13"/>
        </w:rPr>
        <w:t>3</w:t>
      </w:r>
      <w:r>
        <w:rPr>
          <w:spacing w:val="13"/>
        </w:rPr>
        <w:t>、公司高管人员杜建平将其持有的本公司的股本</w:t>
      </w:r>
      <w:r>
        <w:rPr>
          <w:rFonts w:ascii="Times New Roman" w:hAnsi="Times New Roman" w:cs="Times New Roman" w:eastAsia="Times New Roman" w:hint="default"/>
          <w:spacing w:val="13"/>
        </w:rPr>
        <w:t>115</w:t>
      </w:r>
      <w:r>
        <w:rPr>
          <w:spacing w:val="13"/>
        </w:rPr>
        <w:t>万股向海通证券办理质押式回购，期限为</w:t>
      </w:r>
    </w:p>
    <w:p>
      <w:pPr>
        <w:pStyle w:val="BodyText"/>
        <w:spacing w:line="240" w:lineRule="auto" w:before="177"/>
        <w:ind w:right="0"/>
        <w:jc w:val="left"/>
      </w:pPr>
      <w:r>
        <w:rPr>
          <w:rFonts w:ascii="Times New Roman" w:hAnsi="Times New Roman" w:cs="Times New Roman" w:eastAsia="Times New Roman" w:hint="default"/>
        </w:rPr>
        <w:t>2014-11-4</w:t>
      </w:r>
      <w:r>
        <w:rPr/>
        <w:t>至</w:t>
      </w:r>
      <w:r>
        <w:rPr>
          <w:rFonts w:ascii="Times New Roman" w:hAnsi="Times New Roman" w:cs="Times New Roman" w:eastAsia="Times New Roman" w:hint="default"/>
        </w:rPr>
        <w:t>2015-5-4</w:t>
      </w:r>
      <w:r>
        <w:rPr/>
        <w:t>，年利率为</w:t>
      </w:r>
      <w:r>
        <w:rPr>
          <w:rFonts w:ascii="Times New Roman" w:hAnsi="Times New Roman" w:cs="Times New Roman" w:eastAsia="Times New Roman" w:hint="default"/>
        </w:rPr>
        <w:t>8%</w:t>
      </w:r>
      <w:r>
        <w:rPr/>
        <w:t>；</w:t>
      </w:r>
    </w:p>
    <w:p>
      <w:pPr>
        <w:pStyle w:val="BodyText"/>
        <w:spacing w:line="240" w:lineRule="auto" w:before="177"/>
        <w:ind w:left="574" w:right="0"/>
        <w:jc w:val="left"/>
      </w:pPr>
      <w:r>
        <w:rPr>
          <w:rFonts w:ascii="Times New Roman" w:hAnsi="Times New Roman" w:cs="Times New Roman" w:eastAsia="Times New Roman" w:hint="default"/>
          <w:spacing w:val="13"/>
        </w:rPr>
        <w:t>4</w:t>
      </w:r>
      <w:r>
        <w:rPr>
          <w:spacing w:val="13"/>
        </w:rPr>
        <w:t>、公司高管人员傅常顺将其持有的本公司的股本</w:t>
      </w:r>
      <w:r>
        <w:rPr>
          <w:rFonts w:ascii="Times New Roman" w:hAnsi="Times New Roman" w:cs="Times New Roman" w:eastAsia="Times New Roman" w:hint="default"/>
          <w:spacing w:val="13"/>
        </w:rPr>
        <w:t>120</w:t>
      </w:r>
      <w:r>
        <w:rPr>
          <w:spacing w:val="13"/>
        </w:rPr>
        <w:t>万股向海通证券办理质押式回购，期限为</w:t>
      </w:r>
    </w:p>
    <w:p>
      <w:pPr>
        <w:pStyle w:val="BodyText"/>
        <w:spacing w:line="240" w:lineRule="auto" w:before="177"/>
        <w:ind w:left="153" w:right="0"/>
        <w:jc w:val="left"/>
      </w:pPr>
      <w:r>
        <w:rPr>
          <w:rFonts w:ascii="Times New Roman" w:hAnsi="Times New Roman" w:cs="Times New Roman" w:eastAsia="Times New Roman" w:hint="default"/>
        </w:rPr>
        <w:t>2014-9-22</w:t>
      </w:r>
      <w:r>
        <w:rPr/>
        <w:t>至</w:t>
      </w:r>
      <w:r>
        <w:rPr>
          <w:rFonts w:ascii="Times New Roman" w:hAnsi="Times New Roman" w:cs="Times New Roman" w:eastAsia="Times New Roman" w:hint="default"/>
        </w:rPr>
        <w:t>2015-3-20</w:t>
      </w:r>
      <w:r>
        <w:rPr/>
        <w:t>，年利率为</w:t>
      </w:r>
      <w:r>
        <w:rPr>
          <w:rFonts w:ascii="Times New Roman" w:hAnsi="Times New Roman" w:cs="Times New Roman" w:eastAsia="Times New Roman" w:hint="default"/>
        </w:rPr>
        <w:t>8%</w:t>
      </w:r>
      <w:r>
        <w:rPr/>
        <w:t>；</w:t>
      </w:r>
    </w:p>
    <w:p>
      <w:pPr>
        <w:pStyle w:val="BodyText"/>
        <w:spacing w:line="240" w:lineRule="auto" w:before="177"/>
        <w:ind w:left="573" w:right="0"/>
        <w:jc w:val="left"/>
      </w:pPr>
      <w:r>
        <w:rPr>
          <w:rFonts w:ascii="Times New Roman" w:hAnsi="Times New Roman" w:cs="Times New Roman" w:eastAsia="Times New Roman" w:hint="default"/>
          <w:spacing w:val="13"/>
        </w:rPr>
        <w:t>5</w:t>
      </w:r>
      <w:r>
        <w:rPr>
          <w:spacing w:val="13"/>
        </w:rPr>
        <w:t>、公司高管人员华梦阳将其持有的本公司的股本</w:t>
      </w:r>
      <w:r>
        <w:rPr>
          <w:rFonts w:ascii="Times New Roman" w:hAnsi="Times New Roman" w:cs="Times New Roman" w:eastAsia="Times New Roman" w:hint="default"/>
          <w:spacing w:val="13"/>
        </w:rPr>
        <w:t>100</w:t>
      </w:r>
      <w:r>
        <w:rPr>
          <w:spacing w:val="13"/>
        </w:rPr>
        <w:t>万股向海通证券办理质押式回购，期限为</w:t>
      </w:r>
    </w:p>
    <w:p>
      <w:pPr>
        <w:pStyle w:val="BodyText"/>
        <w:spacing w:line="240" w:lineRule="auto" w:before="177"/>
        <w:ind w:left="153" w:right="0"/>
        <w:jc w:val="left"/>
      </w:pPr>
      <w:r>
        <w:rPr>
          <w:rFonts w:ascii="Times New Roman" w:hAnsi="Times New Roman" w:cs="Times New Roman" w:eastAsia="Times New Roman" w:hint="default"/>
        </w:rPr>
        <w:t>2014-10-16</w:t>
      </w:r>
      <w:r>
        <w:rPr/>
        <w:t>至</w:t>
      </w:r>
      <w:r>
        <w:rPr>
          <w:rFonts w:ascii="Times New Roman" w:hAnsi="Times New Roman" w:cs="Times New Roman" w:eastAsia="Times New Roman" w:hint="default"/>
        </w:rPr>
        <w:t>2015-4-16</w:t>
      </w:r>
      <w:r>
        <w:rPr/>
        <w:t>，年利率为</w:t>
      </w:r>
      <w:r>
        <w:rPr>
          <w:rFonts w:ascii="Times New Roman" w:hAnsi="Times New Roman" w:cs="Times New Roman" w:eastAsia="Times New Roman" w:hint="default"/>
        </w:rPr>
        <w:t>8%</w:t>
      </w:r>
      <w:r>
        <w:rPr/>
        <w:t>；</w:t>
      </w:r>
    </w:p>
    <w:p>
      <w:pPr>
        <w:pStyle w:val="BodyText"/>
        <w:spacing w:line="240" w:lineRule="auto" w:before="177"/>
        <w:ind w:left="573" w:right="0"/>
        <w:jc w:val="left"/>
      </w:pPr>
      <w:r>
        <w:rPr>
          <w:rFonts w:ascii="Times New Roman" w:hAnsi="Times New Roman" w:cs="Times New Roman" w:eastAsia="Times New Roman" w:hint="default"/>
          <w:spacing w:val="9"/>
        </w:rPr>
        <w:t>6</w:t>
      </w:r>
      <w:r>
        <w:rPr>
          <w:spacing w:val="9"/>
        </w:rPr>
        <w:t>、公司高管人员刘恩臣将其持有的本公司的股本</w:t>
      </w:r>
      <w:r>
        <w:rPr>
          <w:rFonts w:ascii="Times New Roman" w:hAnsi="Times New Roman" w:cs="Times New Roman" w:eastAsia="Times New Roman" w:hint="default"/>
          <w:spacing w:val="9"/>
        </w:rPr>
        <w:t>42.90</w:t>
      </w:r>
      <w:r>
        <w:rPr>
          <w:spacing w:val="9"/>
        </w:rPr>
        <w:t>万股向海通证券办理质押式回购，期限为</w:t>
      </w:r>
    </w:p>
    <w:p>
      <w:pPr>
        <w:pStyle w:val="BodyText"/>
        <w:spacing w:line="240" w:lineRule="auto" w:before="177"/>
        <w:ind w:left="153" w:right="0"/>
        <w:jc w:val="left"/>
      </w:pPr>
      <w:r>
        <w:rPr>
          <w:rFonts w:ascii="Times New Roman" w:hAnsi="Times New Roman" w:cs="Times New Roman" w:eastAsia="Times New Roman" w:hint="default"/>
        </w:rPr>
        <w:t>2014-10-28</w:t>
      </w:r>
      <w:r>
        <w:rPr/>
        <w:t>至</w:t>
      </w:r>
      <w:r>
        <w:rPr>
          <w:rFonts w:ascii="Times New Roman" w:hAnsi="Times New Roman" w:cs="Times New Roman" w:eastAsia="Times New Roman" w:hint="default"/>
        </w:rPr>
        <w:t>2014-4-28</w:t>
      </w:r>
      <w:r>
        <w:rPr/>
        <w:t>，年利率为</w:t>
      </w:r>
      <w:r>
        <w:rPr>
          <w:rFonts w:ascii="Times New Roman" w:hAnsi="Times New Roman" w:cs="Times New Roman" w:eastAsia="Times New Roman" w:hint="default"/>
        </w:rPr>
        <w:t>8%</w:t>
      </w:r>
      <w:r>
        <w:rPr/>
        <w:t>；</w:t>
      </w:r>
    </w:p>
    <w:p>
      <w:pPr>
        <w:pStyle w:val="BodyText"/>
        <w:spacing w:line="240" w:lineRule="auto" w:before="177"/>
        <w:ind w:left="573" w:right="0"/>
        <w:jc w:val="left"/>
      </w:pPr>
      <w:r>
        <w:rPr>
          <w:rFonts w:ascii="Times New Roman" w:hAnsi="Times New Roman" w:cs="Times New Roman" w:eastAsia="Times New Roman" w:hint="default"/>
          <w:spacing w:val="17"/>
        </w:rPr>
        <w:t>7</w:t>
      </w:r>
      <w:r>
        <w:rPr>
          <w:spacing w:val="17"/>
        </w:rPr>
        <w:t>、公司高管人员付秋生将其持有的本公司的股本</w:t>
      </w:r>
      <w:r>
        <w:rPr>
          <w:rFonts w:ascii="Times New Roman" w:hAnsi="Times New Roman" w:cs="Times New Roman" w:eastAsia="Times New Roman" w:hint="default"/>
          <w:spacing w:val="17"/>
        </w:rPr>
        <w:t>43</w:t>
      </w:r>
      <w:r>
        <w:rPr>
          <w:spacing w:val="17"/>
        </w:rPr>
        <w:t>万股向南京证券办理质押式回购，期限为</w:t>
      </w:r>
      <w:r>
        <w:rPr/>
      </w:r>
    </w:p>
    <w:p>
      <w:pPr>
        <w:pStyle w:val="BodyText"/>
        <w:spacing w:line="240" w:lineRule="auto" w:before="177"/>
        <w:ind w:left="153" w:right="0"/>
        <w:jc w:val="left"/>
      </w:pPr>
      <w:r>
        <w:rPr>
          <w:rFonts w:ascii="Times New Roman" w:hAnsi="Times New Roman" w:cs="Times New Roman" w:eastAsia="Times New Roman" w:hint="default"/>
        </w:rPr>
        <w:t>2014-10-16</w:t>
      </w:r>
      <w:r>
        <w:rPr/>
        <w:t>至</w:t>
      </w:r>
      <w:r>
        <w:rPr>
          <w:rFonts w:ascii="Times New Roman" w:hAnsi="Times New Roman" w:cs="Times New Roman" w:eastAsia="Times New Roman" w:hint="default"/>
        </w:rPr>
        <w:t>2015-4-16</w:t>
      </w:r>
      <w:r>
        <w:rPr/>
        <w:t>，年利率为</w:t>
      </w:r>
      <w:r>
        <w:rPr>
          <w:rFonts w:ascii="Times New Roman" w:hAnsi="Times New Roman" w:cs="Times New Roman" w:eastAsia="Times New Roman" w:hint="default"/>
        </w:rPr>
        <w:t>8%</w:t>
      </w:r>
      <w:r>
        <w:rPr/>
        <w:t>；</w:t>
      </w:r>
    </w:p>
    <w:p>
      <w:pPr>
        <w:pStyle w:val="BodyText"/>
        <w:spacing w:line="240" w:lineRule="auto" w:before="177"/>
        <w:ind w:left="573" w:right="0"/>
        <w:jc w:val="left"/>
      </w:pPr>
      <w:r>
        <w:rPr>
          <w:rFonts w:ascii="Times New Roman" w:hAnsi="Times New Roman" w:cs="Times New Roman" w:eastAsia="Times New Roman" w:hint="default"/>
          <w:spacing w:val="17"/>
        </w:rPr>
        <w:t>8</w:t>
      </w:r>
      <w:r>
        <w:rPr>
          <w:spacing w:val="17"/>
        </w:rPr>
        <w:t>、公司高管人员尚卫国将其持有的本公司的股本</w:t>
      </w:r>
      <w:r>
        <w:rPr>
          <w:rFonts w:ascii="Times New Roman" w:hAnsi="Times New Roman" w:cs="Times New Roman" w:eastAsia="Times New Roman" w:hint="default"/>
          <w:spacing w:val="17"/>
        </w:rPr>
        <w:t>23</w:t>
      </w:r>
      <w:r>
        <w:rPr>
          <w:spacing w:val="17"/>
        </w:rPr>
        <w:t>万股向南京证券办理质押式回购，期限为</w:t>
      </w:r>
      <w:r>
        <w:rPr/>
      </w:r>
    </w:p>
    <w:p>
      <w:pPr>
        <w:pStyle w:val="BodyText"/>
        <w:spacing w:line="240" w:lineRule="auto" w:before="177"/>
        <w:ind w:left="153" w:right="0"/>
        <w:jc w:val="left"/>
      </w:pPr>
      <w:r>
        <w:rPr>
          <w:rFonts w:ascii="Times New Roman" w:hAnsi="Times New Roman" w:cs="Times New Roman" w:eastAsia="Times New Roman" w:hint="default"/>
        </w:rPr>
        <w:t>2014-10-16</w:t>
      </w:r>
      <w:r>
        <w:rPr/>
        <w:t>至</w:t>
      </w:r>
      <w:r>
        <w:rPr>
          <w:rFonts w:ascii="Times New Roman" w:hAnsi="Times New Roman" w:cs="Times New Roman" w:eastAsia="Times New Roman" w:hint="default"/>
        </w:rPr>
        <w:t>2015-4-16</w:t>
      </w:r>
      <w:r>
        <w:rPr/>
        <w:t>，年利率为</w:t>
      </w:r>
      <w:r>
        <w:rPr>
          <w:rFonts w:ascii="Times New Roman" w:hAnsi="Times New Roman" w:cs="Times New Roman" w:eastAsia="Times New Roman" w:hint="default"/>
        </w:rPr>
        <w:t>8%</w:t>
      </w:r>
      <w:r>
        <w:rPr/>
        <w:t>；</w:t>
      </w:r>
    </w:p>
    <w:p>
      <w:pPr>
        <w:pStyle w:val="BodyText"/>
        <w:spacing w:line="386" w:lineRule="auto" w:before="177"/>
        <w:ind w:right="147" w:firstLine="419"/>
        <w:jc w:val="both"/>
      </w:pPr>
      <w:r>
        <w:rPr>
          <w:rFonts w:ascii="Times New Roman" w:hAnsi="Times New Roman" w:cs="Times New Roman" w:eastAsia="Times New Roman" w:hint="default"/>
        </w:rPr>
        <w:t>9</w:t>
      </w:r>
      <w:r>
        <w:rPr/>
        <w:t>、公司高管人员赵利宾将其持有的本公司的股本</w:t>
      </w:r>
      <w:r>
        <w:rPr>
          <w:rFonts w:ascii="Times New Roman" w:hAnsi="Times New Roman" w:cs="Times New Roman" w:eastAsia="Times New Roman" w:hint="default"/>
        </w:rPr>
        <w:t>100</w:t>
      </w:r>
      <w:r>
        <w:rPr/>
        <w:t>万股、</w:t>
      </w:r>
      <w:r>
        <w:rPr>
          <w:rFonts w:ascii="Times New Roman" w:hAnsi="Times New Roman" w:cs="Times New Roman" w:eastAsia="Times New Roman" w:hint="default"/>
        </w:rPr>
        <w:t>160</w:t>
      </w:r>
      <w:r>
        <w:rPr/>
        <w:t>万股和</w:t>
      </w:r>
      <w:r>
        <w:rPr>
          <w:rFonts w:ascii="Times New Roman" w:hAnsi="Times New Roman" w:cs="Times New Roman" w:eastAsia="Times New Roman" w:hint="default"/>
        </w:rPr>
        <w:t>80</w:t>
      </w:r>
      <w:r>
        <w:rPr/>
        <w:t>万元分别向西部证券股份有 </w:t>
      </w:r>
      <w:r>
        <w:rPr>
          <w:spacing w:val="-3"/>
        </w:rPr>
        <w:t>限公司、中银国际证券有限责任公司办理质押式回购，期限分别为</w:t>
      </w:r>
      <w:r>
        <w:rPr>
          <w:rFonts w:ascii="Times New Roman" w:hAnsi="Times New Roman" w:cs="Times New Roman" w:eastAsia="Times New Roman" w:hint="default"/>
          <w:spacing w:val="-3"/>
        </w:rPr>
        <w:t>2014-3-5</w:t>
      </w:r>
      <w:r>
        <w:rPr>
          <w:spacing w:val="-3"/>
        </w:rPr>
        <w:t>至</w:t>
      </w:r>
      <w:r>
        <w:rPr>
          <w:rFonts w:ascii="Times New Roman" w:hAnsi="Times New Roman" w:cs="Times New Roman" w:eastAsia="Times New Roman" w:hint="default"/>
          <w:spacing w:val="-3"/>
        </w:rPr>
        <w:t>2015-3-5</w:t>
      </w:r>
      <w:r>
        <w:rPr>
          <w:spacing w:val="-3"/>
        </w:rPr>
        <w:t>、</w:t>
      </w:r>
      <w:r>
        <w:rPr>
          <w:rFonts w:ascii="Times New Roman" w:hAnsi="Times New Roman" w:cs="Times New Roman" w:eastAsia="Times New Roman" w:hint="default"/>
          <w:spacing w:val="-3"/>
        </w:rPr>
        <w:t>2014-9-3</w:t>
      </w:r>
      <w:r>
        <w:rPr>
          <w:spacing w:val="-3"/>
        </w:rPr>
        <w:t>至</w:t>
      </w:r>
      <w:r>
        <w:rPr>
          <w:rFonts w:ascii="Times New Roman" w:hAnsi="Times New Roman" w:cs="Times New Roman" w:eastAsia="Times New Roman" w:hint="default"/>
          <w:spacing w:val="-3"/>
        </w:rPr>
        <w:t>2015-9-3</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和</w:t>
      </w:r>
      <w:r>
        <w:rPr>
          <w:rFonts w:ascii="Times New Roman" w:hAnsi="Times New Roman" w:cs="Times New Roman" w:eastAsia="Times New Roman" w:hint="default"/>
        </w:rPr>
        <w:t>2014-10-23</w:t>
      </w:r>
      <w:r>
        <w:rPr/>
        <w:t>至</w:t>
      </w:r>
      <w:r>
        <w:rPr>
          <w:rFonts w:ascii="Times New Roman" w:hAnsi="Times New Roman" w:cs="Times New Roman" w:eastAsia="Times New Roman" w:hint="default"/>
        </w:rPr>
        <w:t>2015-10-2</w:t>
      </w:r>
      <w:r>
        <w:rPr/>
        <w:t>，年利率为</w:t>
      </w:r>
      <w:r>
        <w:rPr>
          <w:rFonts w:ascii="Times New Roman" w:hAnsi="Times New Roman" w:cs="Times New Roman" w:eastAsia="Times New Roman" w:hint="default"/>
        </w:rPr>
        <w:t>8.5%</w:t>
      </w:r>
      <w:r>
        <w:rPr/>
        <w:t>、</w:t>
      </w:r>
      <w:r>
        <w:rPr>
          <w:rFonts w:ascii="Times New Roman" w:hAnsi="Times New Roman" w:cs="Times New Roman" w:eastAsia="Times New Roman" w:hint="default"/>
        </w:rPr>
        <w:t>8%</w:t>
      </w:r>
      <w:r>
        <w:rPr/>
        <w:t>和</w:t>
      </w:r>
      <w:r>
        <w:rPr>
          <w:rFonts w:ascii="Times New Roman" w:hAnsi="Times New Roman" w:cs="Times New Roman" w:eastAsia="Times New Roman" w:hint="default"/>
        </w:rPr>
        <w:t>8%</w:t>
      </w:r>
      <w:r>
        <w:rPr/>
        <w:t>。</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23</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259,989,044.44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206,469,044.44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259,989,044.44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206,469,044.44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386" w:lineRule="auto" w:before="0"/>
        <w:ind w:left="153" w:right="148" w:firstLine="420"/>
        <w:jc w:val="both"/>
      </w:pP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2013</w:t>
      </w:r>
      <w:r>
        <w:rPr/>
        <w:t>年年度股东大会决议，审议通过了《关于审议郑州新开普电子股份有 </w:t>
      </w:r>
      <w:r>
        <w:rPr>
          <w:spacing w:val="-2"/>
        </w:rPr>
        <w:t>限公司</w:t>
      </w:r>
      <w:r>
        <w:rPr>
          <w:rFonts w:ascii="Times New Roman" w:hAnsi="Times New Roman" w:cs="Times New Roman" w:eastAsia="Times New Roman" w:hint="default"/>
          <w:spacing w:val="-2"/>
        </w:rPr>
        <w:t>2013</w:t>
      </w:r>
      <w:r>
        <w:rPr>
          <w:spacing w:val="-2"/>
        </w:rPr>
        <w:t>年度利润分配及资本公积转增股本预案的议案》，以截止</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8,920</w:t>
      </w:r>
      <w:r>
        <w:rPr>
          <w:spacing w:val="-2"/>
        </w:rPr>
        <w:t>万股为基</w:t>
      </w:r>
      <w:r>
        <w:rPr>
          <w:spacing w:val="-82"/>
        </w:rPr>
        <w:t> </w:t>
      </w:r>
      <w:r>
        <w:rPr>
          <w:spacing w:val="-6"/>
        </w:rPr>
        <w:t>数，向全体股东每</w:t>
      </w:r>
      <w:r>
        <w:rPr>
          <w:rFonts w:ascii="Times New Roman" w:hAnsi="Times New Roman" w:cs="Times New Roman" w:eastAsia="Times New Roman" w:hint="default"/>
          <w:spacing w:val="-6"/>
        </w:rPr>
        <w:t>10.00</w:t>
      </w:r>
      <w:r>
        <w:rPr>
          <w:spacing w:val="-6"/>
        </w:rPr>
        <w:t>股派发现金人民币</w:t>
      </w:r>
      <w:r>
        <w:rPr>
          <w:rFonts w:ascii="Times New Roman" w:hAnsi="Times New Roman" w:cs="Times New Roman" w:eastAsia="Times New Roman" w:hint="default"/>
          <w:spacing w:val="-6"/>
        </w:rPr>
        <w:t>1.00</w:t>
      </w:r>
      <w:r>
        <w:rPr>
          <w:spacing w:val="-6"/>
        </w:rPr>
        <w:t>元（含税），同时进行资本公积转增股本，以公司总股本</w:t>
      </w:r>
      <w:r>
        <w:rPr>
          <w:rFonts w:ascii="Times New Roman" w:hAnsi="Times New Roman" w:cs="Times New Roman" w:eastAsia="Times New Roman" w:hint="default"/>
          <w:spacing w:val="-6"/>
        </w:rPr>
        <w:t>8,920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股，转增后公司总股本将增加至</w:t>
      </w:r>
      <w:r>
        <w:rPr>
          <w:rFonts w:ascii="Times New Roman" w:hAnsi="Times New Roman" w:cs="Times New Roman" w:eastAsia="Times New Roman" w:hint="default"/>
        </w:rPr>
        <w:t>14,272</w:t>
      </w:r>
      <w:r>
        <w:rPr/>
        <w:t>万股。</w:t>
      </w:r>
    </w:p>
    <w:p>
      <w:pPr>
        <w:spacing w:line="240" w:lineRule="auto" w:before="10"/>
        <w:rPr>
          <w:rFonts w:ascii="宋体" w:hAnsi="宋体" w:cs="宋体" w:eastAsia="宋体" w:hint="default"/>
          <w:sz w:val="19"/>
          <w:szCs w:val="19"/>
        </w:rPr>
      </w:pPr>
    </w:p>
    <w:p>
      <w:pPr>
        <w:pStyle w:val="Heading3"/>
        <w:spacing w:line="240" w:lineRule="auto"/>
        <w:ind w:left="153" w:right="0"/>
        <w:jc w:val="left"/>
        <w:rPr>
          <w:b w:val="0"/>
          <w:bCs w:val="0"/>
        </w:rPr>
      </w:pPr>
      <w:r>
        <w:rPr>
          <w:rFonts w:ascii="Times New Roman" w:hAnsi="Times New Roman" w:cs="Times New Roman" w:eastAsia="Times New Roman" w:hint="default"/>
        </w:rPr>
        <w:t>24</w:t>
      </w:r>
      <w:r>
        <w:rPr/>
        <w:t>、其他综合收益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25</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17,208,517.77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4,241,138.44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21,449,656.21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17,208,517.77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4,241,138.44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21,449,656.21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12"/>
          <w:szCs w:val="12"/>
        </w:rPr>
      </w:pPr>
    </w:p>
    <w:p>
      <w:pPr>
        <w:pStyle w:val="BodyText"/>
        <w:spacing w:line="240" w:lineRule="auto" w:before="0"/>
        <w:ind w:left="574" w:right="0"/>
        <w:jc w:val="left"/>
      </w:pPr>
      <w:r>
        <w:rPr/>
        <w:t>公司按母公司净利润的</w:t>
      </w:r>
      <w:r>
        <w:rPr>
          <w:rFonts w:ascii="Times New Roman" w:hAnsi="Times New Roman" w:cs="Times New Roman" w:eastAsia="Times New Roman" w:hint="default"/>
        </w:rPr>
        <w:t>10.00%</w:t>
      </w:r>
      <w:r>
        <w:rPr/>
        <w:t>提取法定盈余公积。</w:t>
      </w:r>
    </w:p>
    <w:p>
      <w:pPr>
        <w:spacing w:line="240" w:lineRule="auto" w:before="8"/>
        <w:rPr>
          <w:rFonts w:ascii="宋体" w:hAnsi="宋体" w:cs="宋体" w:eastAsia="宋体" w:hint="default"/>
          <w:sz w:val="30"/>
          <w:szCs w:val="30"/>
        </w:rPr>
      </w:pPr>
    </w:p>
    <w:p>
      <w:pPr>
        <w:pStyle w:val="Heading3"/>
        <w:spacing w:line="240" w:lineRule="auto"/>
        <w:ind w:left="153" w:right="0"/>
        <w:jc w:val="left"/>
        <w:rPr>
          <w:b w:val="0"/>
          <w:bCs w:val="0"/>
        </w:rPr>
      </w:pPr>
      <w:r>
        <w:rPr>
          <w:rFonts w:ascii="Times New Roman" w:hAnsi="Times New Roman" w:cs="Times New Roman" w:eastAsia="Times New Roman" w:hint="default"/>
        </w:rPr>
        <w:t>26</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140,836,572.40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127,750,076.79</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140,836,572.40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127,750,076.79</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24,696,036.39</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4,241,138.44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2,689,540.78</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8,920,000.00</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165,432,136.29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140,836,572.40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314,960,861.85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149,135,520.14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221,169,469.97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109,286,406.39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315,360,861.85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149,135,520.14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221,169,469.97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109,286,406.39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42,195.98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91,870.22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1,707,413.61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1,614,070.32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743,221.00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693,975.51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495,480.70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460,048.02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17,422.53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3,240.74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3,005,733.82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2,863,204.81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29</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43,087,145.46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35,054,841.03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12,584,122.01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13,802,894.55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1,195,904.27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719,453.94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5,409,925.14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3,976,836.26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5,281,752.59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3,849,594.19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6,638,025.38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4,434,349.31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668,489.63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1,449,691.77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1,852,291.20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1,301,499.36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4,402,045.46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3,241,862.08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1,336,986.80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1,161,807.71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256,701.96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307,058.05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404,400.74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334,739.35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83,117,790.64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69,634,627.60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23,103,840.27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17,664,902.47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7,787,609.64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8,722,824.94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2,788,580.23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1,675,667.52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2,367,026.20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1,846,855.53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1,091,762.09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408,872.84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563,507.00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388,454.75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538,336.93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523,741.40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487,069.28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583,695.27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316,351.90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181,856.00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454,048.36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162,650.69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416,788.77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504,558.06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110,831.05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144,238.40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380,998.02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358,092.08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586,804.63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521,283.54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40,993,554.37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33,687,693.49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2,955,354.70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5,836,944.54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77,198.25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58,249.21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-2,878,156.45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-5,778,695.33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32</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59"/>
        <w:gridCol w:w="3221"/>
        <w:gridCol w:w="3166"/>
      </w:tblGrid>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8,533,804.69</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4,723,657.66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1,719,018.69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10,252,823.38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4,723,657.66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48"/>
        <w:gridCol w:w="3191"/>
        <w:gridCol w:w="2917"/>
      </w:tblGrid>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-135,461.11</w:t>
            </w: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314,888.88</w:t>
            </w: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179,427.77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13,260.51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13,260.51</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13,260.51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13,260.51</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11,424,294.28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19,042,880.10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1,209,753.33</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29,027.26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15,552.85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29,027.26</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11,466,582.05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19,058,432.95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1,252,041.10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10,214,540.95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18,046,853.17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 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年河南省 高新技术产业化项目资金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 术产业化项目二次补助资金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节能降耗奖励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年郑州市第三批技术研</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133,333.33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67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究与开发经费项目：智能卡</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支付与识别产品产业化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年度信息化发展专 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郑州市知识产权局专利申请 资助费</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政府奖励商务车一辆</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27,206.93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11,424,294.28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19,042,880.10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before="0"/>
        <w:ind w:left="153" w:right="150" w:firstLine="420"/>
        <w:jc w:val="both"/>
      </w:pPr>
      <w:r>
        <w:rPr>
          <w:rFonts w:ascii="Times New Roman" w:hAnsi="Times New Roman" w:cs="Times New Roman" w:eastAsia="Times New Roman" w:hint="default"/>
        </w:rPr>
        <w:t>1</w:t>
      </w:r>
      <w:r>
        <w:rPr/>
        <w:t>、根据郑高国税退抵税［</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94</w:t>
      </w:r>
      <w:r>
        <w:rPr/>
        <w:t>号退（抵）税批准通知书，公司收到郑州高新技术产业区国家税 务局退还的</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日增值税税款</w:t>
      </w:r>
      <w:r>
        <w:rPr>
          <w:rFonts w:ascii="Times New Roman" w:hAnsi="Times New Roman" w:cs="Times New Roman" w:eastAsia="Times New Roman" w:hint="default"/>
        </w:rPr>
        <w:t>5,797,543.64</w:t>
      </w:r>
      <w:r>
        <w:rPr/>
        <w:t>元；根据郑高国税国税通［</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292</w:t>
      </w:r>
      <w:r>
        <w:rPr>
          <w:rFonts w:ascii="Times New Roman" w:hAnsi="Times New Roman" w:cs="Times New Roman" w:eastAsia="Times New Roman" w:hint="default"/>
          <w:spacing w:val="-43"/>
        </w:rPr>
        <w:t> </w:t>
      </w:r>
      <w:r>
        <w:rPr/>
        <w:t>号退（抵）税批准通知书，公司收到郑州高新技术产业区国家税务局退还的</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日增值税款</w:t>
      </w:r>
      <w:r>
        <w:rPr>
          <w:rFonts w:ascii="Times New Roman" w:hAnsi="Times New Roman" w:cs="Times New Roman" w:eastAsia="Times New Roman" w:hint="default"/>
        </w:rPr>
        <w:t>4,416,997.31</w:t>
      </w:r>
      <w:r>
        <w:rPr/>
        <w:t>元；</w:t>
      </w:r>
    </w:p>
    <w:p>
      <w:pPr>
        <w:pStyle w:val="BodyText"/>
        <w:spacing w:line="240" w:lineRule="auto" w:before="35"/>
        <w:ind w:left="0" w:right="148"/>
        <w:jc w:val="right"/>
      </w:pPr>
      <w:r>
        <w:rPr>
          <w:rFonts w:ascii="Times New Roman" w:hAnsi="Times New Roman" w:cs="Times New Roman" w:eastAsia="Times New Roman" w:hint="default"/>
          <w:spacing w:val="3"/>
        </w:rPr>
        <w:t>2</w:t>
      </w:r>
      <w:r>
        <w:rPr>
          <w:spacing w:val="3"/>
        </w:rPr>
        <w:t>、节能降耗奖励</w:t>
      </w:r>
      <w:r>
        <w:rPr>
          <w:rFonts w:ascii="Times New Roman" w:hAnsi="Times New Roman" w:cs="Times New Roman" w:eastAsia="Times New Roman" w:hint="default"/>
          <w:spacing w:val="3"/>
        </w:rPr>
        <w:t>5</w:t>
      </w:r>
      <w:r>
        <w:rPr>
          <w:spacing w:val="3"/>
        </w:rPr>
        <w:t>万元系</w:t>
      </w:r>
      <w:r>
        <w:rPr>
          <w:rFonts w:ascii="Times New Roman" w:hAnsi="Times New Roman" w:cs="Times New Roman" w:eastAsia="Times New Roman" w:hint="default"/>
          <w:spacing w:val="3"/>
        </w:rPr>
        <w:t>2014</w:t>
      </w:r>
      <w:r>
        <w:rPr>
          <w:spacing w:val="3"/>
        </w:rPr>
        <w:t>年度公司收到郑州高新技术产业开发区财政国库集中支付中心拔付的</w:t>
      </w:r>
    </w:p>
    <w:p>
      <w:pPr>
        <w:pStyle w:val="BodyText"/>
        <w:spacing w:line="240" w:lineRule="auto" w:before="177"/>
        <w:ind w:left="153" w:right="0"/>
        <w:jc w:val="left"/>
      </w:pPr>
      <w:r>
        <w:rPr>
          <w:rFonts w:ascii="Times New Roman" w:hAnsi="Times New Roman" w:cs="Times New Roman" w:eastAsia="Times New Roman" w:hint="default"/>
        </w:rPr>
        <w:t>2013</w:t>
      </w:r>
      <w:r>
        <w:rPr/>
        <w:t>年度节能降耗奖励；</w:t>
      </w:r>
    </w:p>
    <w:p>
      <w:pPr>
        <w:pStyle w:val="BodyText"/>
        <w:spacing w:line="240" w:lineRule="auto" w:before="177"/>
        <w:ind w:left="573" w:right="0"/>
        <w:jc w:val="left"/>
      </w:pPr>
      <w:r>
        <w:rPr>
          <w:rFonts w:ascii="Times New Roman" w:hAnsi="Times New Roman" w:cs="Times New Roman" w:eastAsia="Times New Roman" w:hint="default"/>
        </w:rPr>
        <w:t>3</w:t>
      </w:r>
      <w:r>
        <w:rPr/>
        <w:t>、对</w:t>
      </w:r>
      <w:r>
        <w:rPr>
          <w:rFonts w:ascii="Times New Roman" w:hAnsi="Times New Roman" w:cs="Times New Roman" w:eastAsia="Times New Roman" w:hint="default"/>
        </w:rPr>
        <w:t>2014</w:t>
      </w:r>
      <w:r>
        <w:rPr/>
        <w:t>年以前收到本期摊销计入政府补助的详细说明见附注</w:t>
      </w:r>
      <w:r>
        <w:rPr>
          <w:rFonts w:ascii="Times New Roman" w:hAnsi="Times New Roman" w:cs="Times New Roman" w:eastAsia="Times New Roman" w:hint="default"/>
        </w:rPr>
        <w:t>“</w:t>
      </w:r>
      <w:r>
        <w:rPr/>
        <w:t>（二十一）递延收益</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w:t>
      </w:r>
    </w:p>
    <w:p>
      <w:pPr>
        <w:spacing w:line="240" w:lineRule="auto" w:before="8"/>
        <w:rPr>
          <w:rFonts w:ascii="宋体" w:hAnsi="宋体" w:cs="宋体" w:eastAsia="宋体" w:hint="default"/>
          <w:sz w:val="30"/>
          <w:szCs w:val="30"/>
        </w:rPr>
      </w:pPr>
    </w:p>
    <w:p>
      <w:pPr>
        <w:pStyle w:val="Heading3"/>
        <w:spacing w:line="240" w:lineRule="auto"/>
        <w:ind w:left="153" w:right="0"/>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2"/>
        <w:gridCol w:w="2392"/>
      </w:tblGrid>
      <w:tr>
        <w:trPr>
          <w:trHeight w:val="160" w:hRule="exact"/>
        </w:trPr>
        <w:tc>
          <w:tcPr>
            <w:tcW w:w="2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8,513.01</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8,513.01</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28,093.96</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17,018.76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6,514,691.94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2,517,487.37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-1,415,432.77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-1,006,586.31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5,099,259.17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1,510,901.06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43,163,571.03</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6,474,535.66</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69,930.70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472,197.94</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-1,392,398.70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863,351.58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-78,433.90</w:t>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-1,309,924.11</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5,099,259.17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、其他综合收益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38</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5,250,329.64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4,666,728.82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2,930,218.81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其他及往来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620,446.78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1,075,173.24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6,220,776.42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8,672,120.87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7,648,778.79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5,846,158.37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5,826,713.91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3,649,144.11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7,176,362.31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4,893,560.71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12,584,122.01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11,454,483.68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4,965,552.46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3,564,522.83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4,377,795.11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2,631,462.19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1,852,291.20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1,301,499.36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其他间接费用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4,621,684.35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4,726,372.46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73,121.75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58,249.21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其他及往来款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19,723,867.93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2,338,361.88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68,850,289.82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40,463,814.80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退还工程保证金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派息手续费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63,329.32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7,850.76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63,329.32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7,850.76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group style="position:absolute;margin-left:223.320007pt;margin-top:284.010010pt;width:151.2pt;height:20.8pt;mso-position-horizontal-relative:page;mso-position-vertical-relative:page;z-index:-998272" coordorigin="4466,5680" coordsize="3024,416">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89;top:5692;width:3002;height:393" coordorigin="4489,5692" coordsize="3002,393">
              <v:shape style="position:absolute;left:4489;top:5692;width:3002;height:393" coordorigin="4489,5692" coordsize="3002,393" path="m4489,6084l7490,6084,7490,5692,4489,5692,4489,608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38,064,311.86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24,462,516.25</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10,252,823.38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4,723,657.66</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7,009,113.76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3,778,257.80</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982,537.51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642,750.74</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261,907.39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3,777.96</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-4,747.50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8,436.70</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-179,427.77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tabs>
                <w:tab w:pos="2019"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-1,415,432.77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-1,006,586.31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-33,907,797.66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-22,510,491.80</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-39,346,395.46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2,985,607.56</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22,653,424.36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14,904,609.26</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3,621,744.87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27,813,108.05</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04" w:type="dxa"/>
            <w:vMerge/>
            <w:tcBorders>
              <w:left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170,830,522.59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223,811,326.47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223,811,326.47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277,253,940.96</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-52,980,803.88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-53,442,614.49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299"/>
        <w:gridCol w:w="3068"/>
        <w:gridCol w:w="3184"/>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170,830,522.59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223,811,326.47</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69,905.39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120,262.08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170,760,617.20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223,691,064.39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16"/>
        <w:gridCol w:w="3068"/>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170,830,522.59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223,811,326.47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、所有者权益变动表项目注释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41</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6"/>
        <w:gridCol w:w="3056"/>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928,000.00</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为本公司向银行申请开具无条件、不可 撤销的担保函所存入的保证金存款。</w:t>
            </w:r>
          </w:p>
        </w:tc>
      </w:tr>
      <w:tr>
        <w:trPr>
          <w:trHeight w:val="392" w:hRule="exact"/>
        </w:trPr>
        <w:tc>
          <w:tcPr>
            <w:tcW w:w="33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vMerge/>
            <w:tcBorders>
              <w:left w:val="single" w:sz="9" w:space="0" w:color="D3D3D3"/>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6" w:type="dxa"/>
            <w:vMerge/>
            <w:tcBorders>
              <w:left w:val="single" w:sz="9" w:space="0" w:color="D3D3D3"/>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928,000.00</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0"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工商局</w:t>
            </w: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郑州正 普软件 科技有 限公司</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125"/>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 具了注 销登记</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4,883,27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历史成 本法</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核准通</w:t>
            </w: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知书</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line="360" w:lineRule="auto" w:before="51"/>
        <w:ind w:left="154" w:right="4010"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6"/>
        <w:gridCol w:w="3086"/>
        <w:gridCol w:w="3175"/>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86" w:type="dxa"/>
            <w:tcBorders>
              <w:top w:val="single" w:sz="4" w:space="0" w:color="000000"/>
              <w:left w:val="single" w:sz="9" w:space="0" w:color="D3D3D3"/>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86" w:type="dxa"/>
            <w:tcBorders>
              <w:top w:val="single" w:sz="4" w:space="0" w:color="000000"/>
              <w:left w:val="single" w:sz="9" w:space="0" w:color="D3D3D3"/>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86" w:type="dxa"/>
            <w:tcBorders>
              <w:top w:val="single" w:sz="4" w:space="0" w:color="000000"/>
              <w:left w:val="single" w:sz="9" w:space="0" w:color="D3D3D3"/>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86" w:type="dxa"/>
            <w:tcBorders>
              <w:top w:val="single" w:sz="4" w:space="0" w:color="000000"/>
              <w:left w:val="single" w:sz="9" w:space="0" w:color="D3D3D3"/>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1,444,983.34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-305,016.66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8" w:lineRule="auto" w:before="0"/>
        <w:ind w:left="153" w:right="134" w:firstLine="420"/>
        <w:jc w:val="left"/>
      </w:pPr>
      <w:r>
        <w:rPr/>
        <w:t>根据与四川泽祥电子技术有限公司签订的投资合作协议，公司享有凯里智慧城市通卡管理有限公司 </w:t>
      </w:r>
      <w:r>
        <w:rPr>
          <w:rFonts w:ascii="Times New Roman" w:hAnsi="Times New Roman" w:cs="Times New Roman" w:eastAsia="Times New Roman" w:hint="default"/>
        </w:rPr>
        <w:t>51.00%</w:t>
      </w:r>
      <w:r>
        <w:rPr/>
        <w:t>的股权，协议约定首次出资额</w:t>
      </w:r>
      <w:r>
        <w:rPr>
          <w:rFonts w:ascii="Times New Roman" w:hAnsi="Times New Roman" w:cs="Times New Roman" w:eastAsia="Times New Roman" w:hint="default"/>
        </w:rPr>
        <w:t>500.00</w:t>
      </w:r>
      <w:r>
        <w:rPr/>
        <w:t>万元，其中公司缴纳</w:t>
      </w:r>
      <w:r>
        <w:rPr>
          <w:rFonts w:ascii="Times New Roman" w:hAnsi="Times New Roman" w:cs="Times New Roman" w:eastAsia="Times New Roman" w:hint="default"/>
        </w:rPr>
        <w:t>255.00</w:t>
      </w:r>
      <w:r>
        <w:rPr/>
        <w:t>万元，四川泽祥电子技术有限公司 缴纳</w:t>
      </w:r>
      <w:r>
        <w:rPr>
          <w:rFonts w:ascii="Times New Roman" w:hAnsi="Times New Roman" w:cs="Times New Roman" w:eastAsia="Times New Roman" w:hint="default"/>
        </w:rPr>
        <w:t>245.00</w:t>
      </w:r>
      <w:r>
        <w:rPr/>
        <w:t>万元，</w:t>
      </w:r>
      <w:r>
        <w:rPr>
          <w:spacing w:val="-76"/>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月公司实际出资</w:t>
      </w:r>
      <w:r>
        <w:rPr>
          <w:rFonts w:ascii="Times New Roman" w:hAnsi="Times New Roman" w:cs="Times New Roman" w:eastAsia="Times New Roman" w:hint="default"/>
        </w:rPr>
        <w:t>255.00</w:t>
      </w:r>
      <w:r>
        <w:rPr/>
        <w:t>万元，四川泽祥电子技术有限公司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月出资</w:t>
      </w:r>
      <w:r>
        <w:rPr>
          <w:rFonts w:ascii="Times New Roman" w:hAnsi="Times New Roman" w:cs="Times New Roman" w:eastAsia="Times New Roman" w:hint="default"/>
        </w:rPr>
        <w:t>245.00 </w:t>
      </w:r>
      <w:r>
        <w:rPr>
          <w:spacing w:val="-2"/>
        </w:rPr>
        <w:t>万元。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日，公司与四川泽祥电子技术有限公司签订股权转让协议，将公司持有的</w:t>
      </w:r>
      <w:r>
        <w:rPr>
          <w:rFonts w:ascii="Times New Roman" w:hAnsi="Times New Roman" w:cs="Times New Roman" w:eastAsia="Times New Roman" w:hint="default"/>
          <w:spacing w:val="-2"/>
        </w:rPr>
        <w:t>16%</w:t>
      </w:r>
      <w:r>
        <w:rPr>
          <w:spacing w:val="-2"/>
        </w:rPr>
        <w:t>股权（对</w:t>
      </w:r>
      <w:r>
        <w:rPr>
          <w:spacing w:val="-101"/>
        </w:rPr>
        <w:t> </w:t>
      </w:r>
      <w:r>
        <w:rPr>
          <w:spacing w:val="-101"/>
        </w:rPr>
      </w:r>
      <w:r>
        <w:rPr>
          <w:spacing w:val="-5"/>
        </w:rPr>
        <w:t>应实缴注册资本</w:t>
      </w:r>
      <w:r>
        <w:rPr>
          <w:rFonts w:ascii="Times New Roman" w:hAnsi="Times New Roman" w:cs="Times New Roman" w:eastAsia="Times New Roman" w:hint="default"/>
          <w:spacing w:val="-5"/>
        </w:rPr>
        <w:t>80</w:t>
      </w:r>
      <w:r>
        <w:rPr>
          <w:spacing w:val="-5"/>
        </w:rPr>
        <w:t>万元，未缴注册资本</w:t>
      </w:r>
      <w:r>
        <w:rPr>
          <w:rFonts w:ascii="Times New Roman" w:hAnsi="Times New Roman" w:cs="Times New Roman" w:eastAsia="Times New Roman" w:hint="default"/>
          <w:spacing w:val="-5"/>
        </w:rPr>
        <w:t>80</w:t>
      </w:r>
      <w:r>
        <w:rPr>
          <w:spacing w:val="-5"/>
        </w:rPr>
        <w:t>万元）以</w:t>
      </w:r>
      <w:r>
        <w:rPr>
          <w:rFonts w:ascii="Times New Roman" w:hAnsi="Times New Roman" w:cs="Times New Roman" w:eastAsia="Times New Roman" w:hint="default"/>
          <w:spacing w:val="-5"/>
        </w:rPr>
        <w:t>80</w:t>
      </w:r>
      <w:r>
        <w:rPr>
          <w:spacing w:val="-5"/>
        </w:rPr>
        <w:t>万元的价格转让给该公司，公司丧失控制权，截止</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日公司实际出资比例为</w:t>
      </w:r>
      <w:r>
        <w:rPr>
          <w:rFonts w:ascii="Times New Roman" w:hAnsi="Times New Roman" w:cs="Times New Roman" w:eastAsia="Times New Roman" w:hint="default"/>
        </w:rPr>
        <w:t>35.00%</w:t>
      </w:r>
      <w:r>
        <w:rPr/>
        <w:t>。凯里通卡公司是凯里智慧城市一卡通项目的项目运营人。截至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日，凯里通卡公司总资产</w:t>
      </w:r>
      <w:r>
        <w:rPr>
          <w:rFonts w:ascii="Times New Roman" w:hAnsi="Times New Roman" w:cs="Times New Roman" w:eastAsia="Times New Roman" w:hint="default"/>
        </w:rPr>
        <w:t>152.16</w:t>
      </w:r>
      <w:r>
        <w:rPr/>
        <w:t>元，净资产</w:t>
      </w:r>
      <w:r>
        <w:rPr>
          <w:rFonts w:ascii="Times New Roman" w:hAnsi="Times New Roman" w:cs="Times New Roman" w:eastAsia="Times New Roman" w:hint="default"/>
        </w:rPr>
        <w:t>200.56</w:t>
      </w:r>
      <w:r>
        <w:rPr/>
        <w:t>万元，由于凯里智慧城市一卡通项目目前 正在建设当中，故该公司报告期内未实现营业收入，净利润</w:t>
      </w:r>
      <w:r>
        <w:rPr>
          <w:rFonts w:ascii="Times New Roman" w:hAnsi="Times New Roman" w:cs="Times New Roman" w:eastAsia="Times New Roman" w:hint="default"/>
        </w:rPr>
        <w:t>0.00</w:t>
      </w:r>
      <w:r>
        <w:rPr/>
        <w:t>万元。</w:t>
      </w:r>
      <w:r>
        <w:rPr>
          <w:rFonts w:ascii="Times New Roman" w:hAnsi="Times New Roman" w:cs="Times New Roman" w:eastAsia="Times New Roman" w:hint="default"/>
        </w:rPr>
        <w:t>2014</w:t>
      </w:r>
      <w:r>
        <w:rPr/>
        <w:t>年度对凯里通卡公司无重大影 响，将对该公司投资重分类至可供出售金融资产，期末经减值测试计提减值</w:t>
      </w:r>
      <w:r>
        <w:rPr>
          <w:rFonts w:ascii="Times New Roman" w:hAnsi="Times New Roman" w:cs="Times New Roman" w:eastAsia="Times New Roman" w:hint="default"/>
        </w:rPr>
        <w:t>1,444,983.34</w:t>
      </w:r>
      <w:r>
        <w:rPr/>
        <w:t>元。</w:t>
      </w:r>
    </w:p>
    <w:p>
      <w:pPr>
        <w:spacing w:after="0" w:line="388"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2"/>
        <w:spacing w:line="477" w:lineRule="auto"/>
        <w:ind w:left="153" w:right="6880"/>
        <w:jc w:val="left"/>
        <w:rPr>
          <w:b w:val="0"/>
          <w:bCs w:val="0"/>
        </w:rPr>
      </w:pP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r>
        <w:rPr/>
        <w:t>十、与金融工具相关的风险</w:t>
      </w:r>
      <w:r>
        <w:rPr>
          <w:spacing w:val="1"/>
          <w:w w:val="99"/>
        </w:rPr>
        <w:t> </w:t>
      </w:r>
      <w:r>
        <w:rPr/>
        <w:t>十一、公允价值的披露</w:t>
      </w:r>
      <w:r>
        <w:rPr>
          <w:b w:val="0"/>
          <w:bCs w:val="0"/>
        </w:rPr>
      </w:r>
    </w:p>
    <w:p>
      <w:pPr>
        <w:pStyle w:val="Heading3"/>
        <w:spacing w:line="240" w:lineRule="auto" w:before="84"/>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Heading3"/>
        <w:spacing w:line="240" w:lineRule="auto" w:before="83"/>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上海微令信息科技有限公司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马冬丽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实际控制人配偶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北京福瑞堂投资有限公司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w:t>
            </w:r>
            <w:r>
              <w:rPr>
                <w:rFonts w:ascii="宋体" w:hAnsi="宋体" w:cs="宋体" w:eastAsia="宋体" w:hint="default"/>
                <w:sz w:val="18"/>
                <w:szCs w:val="18"/>
              </w:rPr>
              <w:t>、任执行董事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黑龙江福瑞堂医药有限公司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、任董事长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郑州福瑞堂制药有限公司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w:t>
            </w:r>
            <w:r>
              <w:rPr>
                <w:rFonts w:ascii="宋体" w:hAnsi="宋体" w:cs="宋体" w:eastAsia="宋体" w:hint="default"/>
                <w:sz w:val="18"/>
                <w:szCs w:val="18"/>
              </w:rPr>
              <w:t>、任执行董事、总经理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焦作福瑞堂制药有限公司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、任董事长</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）关键管理人员报酬单位：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1,798,518.94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1,592,104.00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3188"/>
        <w:gridCol w:w="3176"/>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凯里智慧城市通卡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145,590.00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143,930.00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凯里智慧城市通卡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176,670.46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注：关联交易约定以净额结算的，应收关联方款项可以抵销后金额填列。</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506" w:lineRule="auto"/>
        <w:ind w:left="574" w:right="6924" w:hanging="420"/>
        <w:jc w:val="left"/>
        <w:rPr>
          <w:rFonts w:ascii="宋体" w:hAnsi="宋体" w:cs="宋体" w:eastAsia="宋体" w:hint="default"/>
          <w:b w:val="0"/>
          <w:bCs w:val="0"/>
        </w:rPr>
      </w:pPr>
      <w:r>
        <w:rPr>
          <w:rFonts w:ascii="Times New Roman" w:hAnsi="Times New Roman" w:cs="Times New Roman" w:eastAsia="Times New Roman" w:hint="default"/>
        </w:rPr>
        <w:t>4</w:t>
      </w:r>
      <w:r>
        <w:rPr/>
        <w:t>、股份支付的修改、终止情况</w:t>
      </w:r>
      <w:r>
        <w:rPr>
          <w:spacing w:val="1"/>
          <w:w w:val="99"/>
        </w:rPr>
        <w:t> </w:t>
      </w:r>
      <w:r>
        <w:rPr>
          <w:rFonts w:ascii="宋体" w:hAnsi="宋体" w:cs="宋体" w:eastAsia="宋体" w:hint="default"/>
          <w:b w:val="0"/>
          <w:bCs w:val="0"/>
        </w:rPr>
        <w:t>无。</w:t>
      </w:r>
    </w:p>
    <w:p>
      <w:pPr>
        <w:spacing w:line="487" w:lineRule="auto" w:before="105"/>
        <w:ind w:left="154" w:right="73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357" w:lineRule="auto" w:before="109"/>
        <w:ind w:left="153" w:right="2411"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 注：与合营企业投资相关的未确认承诺索引至</w:t>
      </w:r>
      <w:r>
        <w:rPr>
          <w:rFonts w:ascii="Times New Roman" w:hAnsi="Times New Roman" w:cs="Times New Roman" w:eastAsia="Times New Roman" w:hint="default"/>
          <w:sz w:val="18"/>
          <w:szCs w:val="18"/>
        </w:rPr>
        <w:t>“</w:t>
      </w:r>
      <w:r>
        <w:rPr>
          <w:rFonts w:ascii="宋体" w:hAnsi="宋体" w:cs="宋体" w:eastAsia="宋体" w:hint="default"/>
          <w:sz w:val="18"/>
          <w:szCs w:val="18"/>
        </w:rPr>
        <w:t>附注九、在其他主体中的权益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部分相应内容。</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right="151" w:firstLine="41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日收到贵州省凯里市人民法院送达的《应诉通知书》（（</w:t>
      </w:r>
      <w:r>
        <w:rPr>
          <w:rFonts w:ascii="Times New Roman" w:hAnsi="Times New Roman" w:cs="Times New Roman" w:eastAsia="Times New Roman" w:hint="default"/>
        </w:rPr>
        <w:t>2014</w:t>
      </w:r>
      <w:r>
        <w:rPr/>
        <w:t>）凯民初字第</w:t>
      </w:r>
      <w:r>
        <w:rPr>
          <w:rFonts w:ascii="Times New Roman" w:hAnsi="Times New Roman" w:cs="Times New Roman" w:eastAsia="Times New Roman" w:hint="default"/>
        </w:rPr>
        <w:t>1230</w:t>
      </w:r>
      <w:r>
        <w:rPr>
          <w:rFonts w:ascii="Times New Roman" w:hAnsi="Times New Roman" w:cs="Times New Roman" w:eastAsia="Times New Roman" w:hint="default"/>
          <w:spacing w:val="22"/>
        </w:rPr>
        <w:t> </w:t>
      </w:r>
      <w:r>
        <w:rPr/>
        <w:t>号）， </w:t>
      </w:r>
      <w:r>
        <w:rPr>
          <w:spacing w:val="-1"/>
        </w:rPr>
        <w:t>因其参股子公司凯里智慧城市通卡管理有限公司的合同纠纷，被合同对方北京盛世远景科技发展有限公司</w:t>
      </w:r>
      <w:r>
        <w:rPr>
          <w:spacing w:val="-81"/>
        </w:rPr>
        <w:t> </w:t>
      </w:r>
      <w:r>
        <w:rPr>
          <w:spacing w:val="-81"/>
        </w:rPr>
      </w:r>
      <w:r>
        <w:rPr/>
        <w:t>提起诉讼。</w:t>
      </w:r>
    </w:p>
    <w:p>
      <w:pPr>
        <w:pStyle w:val="BodyText"/>
        <w:spacing w:line="240" w:lineRule="auto" w:before="54"/>
        <w:ind w:left="574" w:right="0"/>
        <w:jc w:val="left"/>
      </w:pPr>
      <w:r>
        <w:rPr/>
        <w:t>诉讼请求：要求凯里智慧城市通卡管理有限公司支付其设计布展施工费用</w:t>
      </w:r>
      <w:r>
        <w:rPr>
          <w:rFonts w:ascii="Times New Roman" w:hAnsi="Times New Roman" w:cs="Times New Roman" w:eastAsia="Times New Roman" w:hint="default"/>
        </w:rPr>
        <w:t>1,880,000.00 </w:t>
      </w:r>
      <w:r>
        <w:rPr>
          <w:spacing w:val="-3"/>
        </w:rPr>
        <w:t>元，从</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1"/>
        </w:rPr>
        <w:t> </w:t>
      </w:r>
      <w:r>
        <w:rPr/>
        <w:t>年</w:t>
      </w:r>
    </w:p>
    <w:p>
      <w:pPr>
        <w:pStyle w:val="BodyText"/>
        <w:spacing w:line="240" w:lineRule="auto" w:before="177"/>
        <w:ind w:right="0"/>
        <w:jc w:val="left"/>
      </w:pPr>
      <w:r>
        <w:rPr>
          <w:rFonts w:ascii="Times New Roman" w:hAnsi="Times New Roman" w:cs="Times New Roman" w:eastAsia="Times New Roman" w:hint="default"/>
        </w:rPr>
        <w:t>1  </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日起至起诉之日止的违约金</w:t>
      </w:r>
      <w:r>
        <w:rPr>
          <w:rFonts w:ascii="Times New Roman" w:hAnsi="Times New Roman" w:cs="Times New Roman" w:eastAsia="Times New Roman" w:hint="default"/>
        </w:rPr>
        <w:t>268,840.00</w:t>
      </w:r>
      <w:r>
        <w:rPr/>
        <w:t>元；从起诉之日起至欠款给付完毕为止的违约金，以</w:t>
      </w:r>
    </w:p>
    <w:p>
      <w:pPr>
        <w:pStyle w:val="BodyText"/>
        <w:spacing w:line="386" w:lineRule="auto" w:before="177"/>
        <w:ind w:right="249"/>
        <w:jc w:val="left"/>
      </w:pPr>
      <w:r>
        <w:rPr>
          <w:rFonts w:ascii="Times New Roman" w:hAnsi="Times New Roman" w:cs="Times New Roman" w:eastAsia="Times New Roman" w:hint="default"/>
        </w:rPr>
        <w:t>1,880,000.00</w:t>
      </w:r>
      <w:r>
        <w:rPr>
          <w:rFonts w:ascii="Times New Roman" w:hAnsi="Times New Roman" w:cs="Times New Roman" w:eastAsia="Times New Roman" w:hint="default"/>
          <w:spacing w:val="18"/>
        </w:rPr>
        <w:t> </w:t>
      </w:r>
      <w:r>
        <w:rPr/>
        <w:t>元为基数每天按</w:t>
      </w:r>
      <w:r>
        <w:rPr>
          <w:rFonts w:ascii="Times New Roman" w:hAnsi="Times New Roman" w:cs="Times New Roman" w:eastAsia="Times New Roman" w:hint="default"/>
        </w:rPr>
        <w:t>1‰</w:t>
      </w:r>
      <w:r>
        <w:rPr/>
        <w:t>支付给原告，暂共计</w:t>
      </w:r>
      <w:r>
        <w:rPr>
          <w:rFonts w:ascii="Times New Roman" w:hAnsi="Times New Roman" w:cs="Times New Roman" w:eastAsia="Times New Roman" w:hint="default"/>
        </w:rPr>
        <w:t>2,148,840.00</w:t>
      </w:r>
      <w:r>
        <w:rPr/>
        <w:t>元。并要求公司及凯里智慧城市通卡管 理有限公司的其他股东在未实缴出资范围内承担连带赔偿责任。</w:t>
      </w:r>
    </w:p>
    <w:p>
      <w:pPr>
        <w:pStyle w:val="BodyText"/>
        <w:spacing w:line="408" w:lineRule="auto" w:before="65"/>
        <w:ind w:left="574" w:right="2000"/>
        <w:jc w:val="left"/>
      </w:pPr>
      <w:r>
        <w:rPr/>
        <w:t>该案件尚未开庭审理，相关诉讼正在进行之中。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日，除上述事项外，本公司无其他需要披露的重大或有事项。</w:t>
      </w:r>
    </w:p>
    <w:p>
      <w:pPr>
        <w:pStyle w:val="BodyText"/>
        <w:spacing w:line="240" w:lineRule="auto" w:before="55"/>
        <w:ind w:right="0"/>
        <w:jc w:val="left"/>
      </w:pPr>
      <w:r>
        <w:rPr/>
        <w:t>注：与合营企业或联营企业投资相关的或有负债索引至</w:t>
      </w:r>
      <w:r>
        <w:rPr>
          <w:rFonts w:ascii="Times New Roman" w:hAnsi="Times New Roman" w:cs="Times New Roman" w:eastAsia="Times New Roman" w:hint="default"/>
        </w:rPr>
        <w:t>“</w:t>
      </w:r>
      <w:r>
        <w:rPr/>
        <w:t>附注九、在其他主体中的权益</w:t>
      </w:r>
      <w:r>
        <w:rPr>
          <w:rFonts w:ascii="Times New Roman" w:hAnsi="Times New Roman" w:cs="Times New Roman" w:eastAsia="Times New Roman" w:hint="default"/>
        </w:rPr>
        <w:t>”</w:t>
      </w:r>
      <w:r>
        <w:rPr/>
        <w:t>部分相应内容。</w:t>
      </w:r>
    </w:p>
    <w:p>
      <w:pPr>
        <w:spacing w:line="240" w:lineRule="auto" w:before="7"/>
        <w:rPr>
          <w:rFonts w:ascii="宋体" w:hAnsi="宋体" w:cs="宋体" w:eastAsia="宋体" w:hint="default"/>
          <w:sz w:val="30"/>
          <w:szCs w:val="3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3"/>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14,272,000.00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）公司</w:t>
      </w:r>
      <w:r>
        <w:rPr>
          <w:spacing w:val="-2"/>
        </w:rPr>
        <w:t>已</w:t>
      </w:r>
      <w:r>
        <w:rPr/>
        <w:t>于</w:t>
      </w:r>
      <w:r>
        <w:rPr>
          <w:spacing w:val="-3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年</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月与中信银行股份有限公司郑州分行签订《房屋租赁合同</w:t>
      </w:r>
      <w:r>
        <w:rPr>
          <w:spacing w:val="-105"/>
        </w:rPr>
        <w:t>》</w:t>
      </w:r>
      <w:r>
        <w:rPr/>
        <w:t>，将郑</w:t>
      </w:r>
      <w:r>
        <w:rPr>
          <w:spacing w:val="-2"/>
        </w:rPr>
        <w:t>州</w:t>
      </w:r>
      <w:r>
        <w:rPr/>
        <w:t>市高新</w:t>
      </w:r>
    </w:p>
    <w:p>
      <w:pPr>
        <w:pStyle w:val="BodyText"/>
        <w:spacing w:line="240" w:lineRule="auto" w:before="178"/>
        <w:ind w:right="0"/>
        <w:jc w:val="left"/>
      </w:pPr>
      <w:r>
        <w:rPr/>
        <w:t>区迎春街</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号“新开普电子大厦”一、二层，共计</w:t>
      </w:r>
      <w:r>
        <w:rPr>
          <w:spacing w:val="-53"/>
        </w:rPr>
        <w:t> </w:t>
      </w:r>
      <w:r>
        <w:rPr>
          <w:rFonts w:ascii="Times New Roman" w:hAnsi="Times New Roman" w:cs="Times New Roman" w:eastAsia="Times New Roman" w:hint="default"/>
          <w:spacing w:val="-3"/>
        </w:rPr>
        <w:t>1100</w:t>
      </w:r>
      <w:r>
        <w:rPr>
          <w:rFonts w:ascii="Times New Roman" w:hAnsi="Times New Roman" w:cs="Times New Roman" w:eastAsia="Times New Roman" w:hint="default"/>
        </w:rPr>
        <w:t> </w:t>
      </w:r>
      <w:r>
        <w:rPr/>
        <w:t>平方米租给其作为营业、办公之用。</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3" w:lineRule="auto" w:before="35"/>
        <w:ind w:left="153" w:right="100" w:firstLine="42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5"/>
        </w:rPr>
        <w:t>月与北京迪科远望科技股份有限公司全体股东（以下简称“乙方”）签订《发行股份及</w:t>
      </w:r>
      <w:r>
        <w:rPr/>
        <w:t> </w:t>
      </w:r>
      <w:r>
        <w:rPr>
          <w:spacing w:val="-6"/>
        </w:rPr>
        <w:t>支付现金购买资产协议》、《业绩补偿协议》，公司拟发行股份及支付现金的方式购买乙方持有的北京迪科</w:t>
      </w:r>
      <w:r>
        <w:rPr>
          <w:spacing w:val="-71"/>
        </w:rPr>
        <w:t> </w:t>
      </w:r>
      <w:r>
        <w:rPr>
          <w:spacing w:val="-71"/>
        </w:rPr>
      </w:r>
      <w:r>
        <w:rPr/>
        <w:t>远望科技股份有限公司</w:t>
      </w:r>
      <w:r>
        <w:rPr>
          <w:spacing w:val="-53"/>
        </w:rPr>
        <w:t> </w:t>
      </w:r>
      <w:r>
        <w:rPr>
          <w:rFonts w:ascii="Times New Roman" w:hAnsi="Times New Roman" w:cs="Times New Roman" w:eastAsia="Times New Roman" w:hint="default"/>
          <w:spacing w:val="-6"/>
        </w:rPr>
        <w:t>100%</w:t>
      </w:r>
      <w:r>
        <w:rPr>
          <w:spacing w:val="-6"/>
        </w:rPr>
        <w:t>股权，于</w:t>
      </w:r>
      <w:r>
        <w:rPr>
          <w:spacing w:val="-53"/>
        </w:rPr>
        <w:t> </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12 </w:t>
      </w:r>
      <w:r>
        <w:rPr/>
        <w:t>日第三届董事会第八次会议审议通过上述收购事项， 还需经公司股东大会审议通过及中国证券监督管理委员会核准后方可实施。</w:t>
      </w:r>
    </w:p>
    <w:p>
      <w:pPr>
        <w:pStyle w:val="BodyText"/>
        <w:spacing w:line="240" w:lineRule="auto" w:before="98"/>
        <w:ind w:left="573" w:right="532"/>
        <w:jc w:val="left"/>
      </w:pPr>
      <w:r>
        <w:rPr/>
        <w:t>截止</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日，除上述事项外，本公司无需要披露的其他重大资产负债表日后事项。</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40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169,112,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372.96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25,617,8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143,494,5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133,390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,326.03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17,175,59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116,214,72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8.91</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9" w:space="0" w:color="D3D3D3"/>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169,112,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372.96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25,617,8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143,494,5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133,390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,326.03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17,175,59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116,214,72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8.91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740" w:right="740"/>
        </w:sectPr>
      </w:pPr>
    </w:p>
    <w:p>
      <w:pPr>
        <w:spacing w:before="51"/>
        <w:ind w:left="39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39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39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3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740" w:right="740"/>
          <w:cols w:num="2" w:equalWidth="0">
            <w:col w:w="4535" w:space="4294"/>
            <w:col w:w="1601"/>
          </w:cols>
        </w:sectPr>
      </w:pP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2479"/>
        <w:gridCol w:w="2309"/>
        <w:gridCol w:w="2390"/>
        <w:gridCol w:w="2389"/>
      </w:tblGrid>
      <w:tr>
        <w:trPr>
          <w:trHeight w:val="402" w:hRule="exact"/>
        </w:trPr>
        <w:tc>
          <w:tcPr>
            <w:tcW w:w="24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79" w:type="dxa"/>
            <w:vMerge/>
            <w:tcBorders>
              <w:left w:val="single" w:sz="4" w:space="0" w:color="000000"/>
              <w:bottom w:val="single" w:sz="4" w:space="0" w:color="000000"/>
              <w:right w:val="single" w:sz="4" w:space="0" w:color="000000"/>
            </w:tcBorders>
            <w:shd w:val="clear" w:color="auto" w:fill="D3D3D3"/>
          </w:tcPr>
          <w:p>
            <w:pPr/>
          </w:p>
        </w:tc>
        <w:tc>
          <w:tcPr>
            <w:tcW w:w="2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108,491,262.21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5,260,656.65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105,213,133.07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5,260,656.65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23,992,408.08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2,399,240.81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20,115,388.18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6,034,616.45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16,513,314.49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11,923,336.64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72.20%</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9,179,955.71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4,589,977.86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3,179,902.58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3,179,902.58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4,153,456.20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4,153,456.20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169,112,372.96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25,617,850.55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bl>
    <w:p>
      <w:pPr>
        <w:spacing w:line="360" w:lineRule="auto" w:before="51"/>
        <w:ind w:left="393" w:right="569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394" w:right="6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left="394" w:right="569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4" w:right="5691"/>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4"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57"/>
        <w:gridCol w:w="1342"/>
        <w:gridCol w:w="1430"/>
        <w:gridCol w:w="892"/>
        <w:gridCol w:w="1331"/>
        <w:gridCol w:w="2242"/>
      </w:tblGrid>
      <w:tr>
        <w:trPr>
          <w:trHeight w:val="718" w:hRule="exact"/>
        </w:trPr>
        <w:tc>
          <w:tcPr>
            <w:tcW w:w="295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3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319" w:lineRule="auto" w:before="51"/>
              <w:ind w:left="163" w:right="116"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c>
          <w:tcPr>
            <w:tcW w:w="22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705"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郑州海盛电子科技有限公司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4,005,892.28</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2.37</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314" w:right="0"/>
              <w:jc w:val="left"/>
              <w:rPr>
                <w:rFonts w:ascii="Times New Roman" w:hAnsi="Times New Roman" w:cs="Times New Roman" w:eastAsia="Times New Roman" w:hint="default"/>
                <w:sz w:val="18"/>
                <w:szCs w:val="18"/>
              </w:rPr>
            </w:pPr>
            <w:r>
              <w:rPr>
                <w:rFonts w:ascii="Times New Roman"/>
                <w:sz w:val="18"/>
              </w:rPr>
              <w:t>200,294.61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740" w:right="740"/>
        </w:sectPr>
      </w:pPr>
    </w:p>
    <w:p>
      <w:pPr>
        <w:spacing w:line="240" w:lineRule="auto" w:before="6"/>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957"/>
        <w:gridCol w:w="1342"/>
        <w:gridCol w:w="1430"/>
        <w:gridCol w:w="892"/>
        <w:gridCol w:w="1331"/>
        <w:gridCol w:w="2242"/>
      </w:tblGrid>
      <w:tr>
        <w:trPr>
          <w:trHeight w:val="706"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3,278,129.14</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1.94</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163,906.46</w:t>
            </w:r>
          </w:p>
        </w:tc>
      </w:tr>
      <w:tr>
        <w:trPr>
          <w:trHeight w:val="704"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中国电信股份有限公司商丘分公司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3,218,706.83</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160,935.34</w:t>
            </w:r>
          </w:p>
        </w:tc>
      </w:tr>
      <w:tr>
        <w:trPr>
          <w:trHeight w:val="48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南京师范大学</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pacing w:val="-1"/>
                <w:sz w:val="18"/>
              </w:rPr>
              <w:t>3,167,274.70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z w:val="18"/>
              </w:rPr>
              <w:t>1.87</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z w:val="18"/>
              </w:rPr>
              <w:t>158,363.74</w:t>
            </w:r>
          </w:p>
        </w:tc>
      </w:tr>
      <w:tr>
        <w:trPr>
          <w:trHeight w:val="93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57"/>
              <w:ind w:left="100" w:right="98"/>
              <w:jc w:val="left"/>
              <w:rPr>
                <w:rFonts w:ascii="宋体" w:hAnsi="宋体" w:cs="宋体" w:eastAsia="宋体" w:hint="default"/>
                <w:sz w:val="18"/>
                <w:szCs w:val="18"/>
              </w:rPr>
            </w:pPr>
            <w:r>
              <w:rPr>
                <w:rFonts w:ascii="宋体" w:hAnsi="宋体" w:cs="宋体" w:eastAsia="宋体" w:hint="default"/>
                <w:spacing w:val="2"/>
                <w:sz w:val="18"/>
                <w:szCs w:val="18"/>
              </w:rPr>
              <w:t>中国联合网络通信有限公司南阳市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3,120,600.00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1.85</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156,030.00</w:t>
            </w:r>
          </w:p>
        </w:tc>
      </w:tr>
      <w:tr>
        <w:trPr>
          <w:trHeight w:val="40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16,790,602.95</w:t>
            </w:r>
          </w:p>
        </w:tc>
        <w:tc>
          <w:tcPr>
            <w:tcW w:w="892"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9.93</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839,530.15</w:t>
            </w:r>
          </w:p>
        </w:tc>
      </w:tr>
    </w:tbl>
    <w:p>
      <w:pPr>
        <w:spacing w:line="240" w:lineRule="auto" w:before="4"/>
        <w:rPr>
          <w:rFonts w:ascii="宋体" w:hAnsi="宋体" w:cs="宋体" w:eastAsia="宋体" w:hint="default"/>
          <w:b/>
          <w:bCs/>
          <w:sz w:val="19"/>
          <w:szCs w:val="19"/>
        </w:rPr>
      </w:pPr>
    </w:p>
    <w:p>
      <w:pPr>
        <w:pStyle w:val="Heading3"/>
        <w:spacing w:line="240" w:lineRule="auto" w:before="35"/>
        <w:ind w:left="394" w:right="5691"/>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4"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4" w:right="569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4" w:right="5691"/>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3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1622"/>
        <w:gridCol w:w="775"/>
        <w:gridCol w:w="762"/>
        <w:gridCol w:w="762"/>
        <w:gridCol w:w="762"/>
        <w:gridCol w:w="790"/>
        <w:gridCol w:w="654"/>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622" w:type="dxa"/>
            <w:vMerge/>
            <w:tcBorders>
              <w:left w:val="single" w:sz="4" w:space="0" w:color="000000"/>
              <w:bottom w:val="single" w:sz="5"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5"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5"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5"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2" w:type="dxa"/>
            <w:vMerge w:val="restart"/>
            <w:tcBorders>
              <w:top w:val="single" w:sz="5" w:space="0" w:color="FFFFFF"/>
              <w:left w:val="single" w:sz="4" w:space="0" w:color="000000"/>
              <w:right w:val="single" w:sz="4" w:space="0" w:color="000000"/>
            </w:tcBorders>
            <w:shd w:val="clear" w:color="auto" w:fill="D3D3D3"/>
          </w:tcPr>
          <w:p>
            <w:pPr/>
          </w:p>
        </w:tc>
        <w:tc>
          <w:tcPr>
            <w:tcW w:w="775" w:type="dxa"/>
            <w:vMerge w:val="restart"/>
            <w:tcBorders>
              <w:top w:val="single" w:sz="5" w:space="0" w:color="FFFFFF"/>
              <w:left w:val="single" w:sz="4" w:space="0" w:color="000000"/>
              <w:right w:val="single" w:sz="4" w:space="0" w:color="000000"/>
            </w:tcBorders>
            <w:shd w:val="clear" w:color="auto" w:fill="D3D3D3"/>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5"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5"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622"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7,750,94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1,129,98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6,620,967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6,978,9</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72.48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1,103,153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5,875,819.0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7,055,06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7,055,061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6,579,5</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53.62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48.53%</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6,579,553.6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62"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9" w:space="0" w:color="D3D3D3"/>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14,806,0</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10.55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1,129,98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13,676,02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8.56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13,558,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526.10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1,103,153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12,455,372.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391"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740" w:right="740"/>
        </w:sectPr>
      </w:pPr>
    </w:p>
    <w:p>
      <w:pPr>
        <w:spacing w:before="51"/>
        <w:ind w:left="39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39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39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3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740" w:right="740"/>
          <w:cols w:num="2" w:equalWidth="0">
            <w:col w:w="4715" w:space="4114"/>
            <w:col w:w="1601"/>
          </w:cols>
        </w:sectPr>
      </w:pPr>
    </w:p>
    <w:p>
      <w:pPr>
        <w:spacing w:line="240" w:lineRule="auto" w:before="1"/>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80" w:left="740" w:right="7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65"/>
        <w:gridCol w:w="2323"/>
        <w:gridCol w:w="2390"/>
        <w:gridCol w:w="2389"/>
      </w:tblGrid>
      <w:tr>
        <w:trPr>
          <w:trHeight w:val="40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4,847,981.14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242,399.06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4,847,981.14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242,399.06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1,472,664.66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147,266.47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705,121.84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211,536.55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725,181.81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528,779.91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73.00%</w:t>
            </w:r>
          </w:p>
        </w:tc>
      </w:tr>
      <w:tr>
        <w:trPr>
          <w:trHeight w:val="402"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392,803.80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196,401.90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332,378.01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332,378.01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7,750,949.45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1,129,981.99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14.58%</w:t>
            </w:r>
          </w:p>
        </w:tc>
      </w:tr>
    </w:tbl>
    <w:p>
      <w:pPr>
        <w:spacing w:line="360" w:lineRule="auto" w:before="51"/>
        <w:ind w:left="153" w:right="52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1,129,981.99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3,361,360.99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2,432,228.70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2,341,366.73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2,633,234.66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2,048,221.73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1,913,509.12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7,055,061.10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6,579,553.62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14,806,010.55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13,558,526.10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西华大学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1,229,008.00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云南中医学院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359,857.80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安阳师范学院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w:t>
            </w:r>
            <w:r>
              <w:rPr>
                <w:rFonts w:ascii="Times New Roman" w:hAnsi="Times New Roman" w:cs="Times New Roman" w:eastAsia="Times New Roman" w:hint="default"/>
                <w:spacing w:val="-13"/>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扬州工业职业技术学 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247,667.50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信阳市财政支付中心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2,293,533.30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7"/>
        <w:gridCol w:w="1367"/>
        <w:gridCol w:w="1368"/>
        <w:gridCol w:w="1367"/>
        <w:gridCol w:w="1367"/>
      </w:tblGrid>
      <w:tr>
        <w:trPr>
          <w:trHeight w:val="205"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16,300,000.00</w:t>
            </w:r>
          </w:p>
        </w:tc>
      </w:tr>
      <w:tr>
        <w:trPr>
          <w:trHeight w:val="714"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1,444,983.34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1,444,983.34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1,444,983.34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1,444,983.34</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16,744,983.34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1,444,983.34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17,744,983.34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17,744,983.34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福建新开普信息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15,300,000.00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郑州正普软件科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16,300,000.00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15,300,000.00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城市通卡 管理有限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2"/>
        <w:gridCol w:w="1838"/>
        <w:gridCol w:w="1913"/>
        <w:gridCol w:w="1913"/>
        <w:gridCol w:w="1913"/>
      </w:tblGrid>
      <w:tr>
        <w:trPr>
          <w:trHeight w:val="206"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304,451,386.12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146,642,148.36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218,657,898.88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108,487,337.39</w:t>
            </w: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304,851,386.12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146,642,148.36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218,657,898.88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108,487,337.39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-305,016.66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3,883,275.99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3,883,275.99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-305,016.66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6"/>
        <w:gridCol w:w="3086"/>
        <w:gridCol w:w="3186"/>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4,747.50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358"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86" w:type="dxa"/>
            <w:tcBorders>
              <w:top w:val="single" w:sz="4" w:space="0" w:color="000000"/>
              <w:left w:val="single" w:sz="9" w:space="0" w:color="D3D3D3"/>
              <w:bottom w:val="nil" w:sz="6" w:space="0" w:color="auto"/>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86" w:type="dxa"/>
            <w:tcBorders>
              <w:top w:val="nil" w:sz="6" w:space="0" w:color="auto"/>
              <w:left w:val="single" w:sz="9" w:space="0" w:color="D3D3D3"/>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1,209,753.33</w:t>
            </w: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除增值税软件退税外的政府补助</w:t>
            </w:r>
          </w:p>
        </w:tc>
      </w:tr>
      <w:tr>
        <w:trPr>
          <w:trHeight w:val="352"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86" w:type="dxa"/>
            <w:tcBorders>
              <w:top w:val="nil" w:sz="6" w:space="0" w:color="auto"/>
              <w:left w:val="single" w:sz="9" w:space="0" w:color="D3D3D3"/>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180,875.73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1,034,558.40</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3"/>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37"/>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3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78"/>
        <w:gridCol w:w="2470"/>
        <w:gridCol w:w="2454"/>
        <w:gridCol w:w="2454"/>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277,253,940.96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223,811,326.47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171,758,522.59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430,510.00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129,608,517.88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117,507,169.95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142,414,643.59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9,372,904.99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70,200,758.22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10,342,064.75</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2,258,849.03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3,429,064.74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528,900.36</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8,402,196.06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12,561,091.96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14,710,739.01</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51,871,911.37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72,336,269.04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106,244,066.70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479,198,830.29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499,955,680.38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445,998,937.00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1,444,983.34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2,725,964.65</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19,238,212.43</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27,836,182.28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27,054,239.41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158,160,877.64</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27,271,816.72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38,819,632.66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1,212,168.70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10,822,024.25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11,470,025.61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12,271,150.89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5,685.35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3,318,766.15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4,325,352.46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5,740,785.23</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69,254,474.75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83,116,140.87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200,689,159.54</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548,453,305.04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583,071,821.25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646,688,096.54</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25,084,886.91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38,318,105.40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52,015,612.37</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7,132,595.06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15,853,147.63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22,009,715.16</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712,598.90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322,804.69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426,005.22</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11,211,837.25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4,005,193.68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10,639,433.50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4,364,113.70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2,715,900.38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1,189,402.29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48,506,031.82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61,215,151.78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86,280,168.54</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8,489,175.00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10,422,755.00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9,563,001.67</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8,489,175.00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10,422,755.00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9,563,001.67</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56,995,206.82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71,637,906.78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95,843,170.21</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142,720,000.00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259,989,044.44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259,989,044.44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206,469,044.44</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14,518,976.99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17,208,517.77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21,449,656.21</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127,750,076.79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140,836,572.40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165,432,136.29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78"/>
        <w:gridCol w:w="2482"/>
        <w:gridCol w:w="2454"/>
        <w:gridCol w:w="2454"/>
      </w:tblGrid>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8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491,458,098.22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507,234,134.61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536,070,836.94</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82"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4,199,779.86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14,774,089.39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8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491,458,098.22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511,433,914.47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550,844,926.33</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8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548,453,305.04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583,071,821.25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646,688,096.54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t>无。</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2080"/>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right="0"/>
        <w:jc w:val="left"/>
      </w:pPr>
      <w:r>
        <w:rPr>
          <w:spacing w:val="-1"/>
        </w:rPr>
        <w:t>一、载有公司法定代表人杨维国先生、主管会计工作的公司负责人李玉玲女士、公司会计机构负责人张翀</w:t>
      </w:r>
      <w:r>
        <w:rPr>
          <w:spacing w:val="-83"/>
        </w:rPr>
        <w:t> </w:t>
      </w:r>
      <w:r>
        <w:rPr>
          <w:spacing w:val="-83"/>
        </w:rPr>
      </w:r>
      <w:r>
        <w:rPr/>
        <w:t>先生签名并盖章的财务报表；</w:t>
      </w:r>
    </w:p>
    <w:p>
      <w:pPr>
        <w:pStyle w:val="BodyText"/>
        <w:spacing w:line="400" w:lineRule="auto"/>
        <w:ind w:left="153" w:right="1581"/>
        <w:jc w:val="left"/>
      </w:pPr>
      <w:r>
        <w:rPr/>
        <w:t>二、载有会计师事务所盖章、注册会计师签名并盖章的审计报告原件； 三、报告期内在中国证监会指定网站上公开披露过的所有公司文件的正本及公告的原稿； 四、经公司董事长杨维国先生签名的</w:t>
      </w:r>
      <w:r>
        <w:rPr>
          <w:rFonts w:ascii="Times New Roman" w:hAnsi="Times New Roman" w:cs="Times New Roman" w:eastAsia="Times New Roman" w:hint="default"/>
        </w:rPr>
        <w:t>2014</w:t>
      </w:r>
      <w:r>
        <w:rPr/>
        <w:t>年年度报告文本原件。 以上备查文件的备置地点：新开普电子股份有限公司证券事务部。</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999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98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8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8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8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98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98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98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98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9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9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9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99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8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8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98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98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999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999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9904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999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998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9889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998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998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9877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998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4"/>
    </w:pPr>
    <w:rPr>
      <w:rFonts w:ascii="宋体" w:hAnsi="宋体" w:eastAsia="宋体"/>
      <w:b/>
      <w:bCs/>
      <w:sz w:val="24"/>
      <w:szCs w:val="24"/>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ind w:left="208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newcapec.com.cn/" TargetMode="External"/><Relationship Id="rId10" Type="http://schemas.openxmlformats.org/officeDocument/2006/relationships/hyperlink" Target="mailto:zqswb@newcapec.net" TargetMode="External"/><Relationship Id="rId11" Type="http://schemas.openxmlformats.org/officeDocument/2006/relationships/hyperlink" Target="mailto:huamengyang@newcapec.net" TargetMode="External"/><Relationship Id="rId12" Type="http://schemas.openxmlformats.org/officeDocument/2006/relationships/hyperlink" Target="mailto:zhaoxin@newcapec.net"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png"/><Relationship Id="rId30" Type="http://schemas.openxmlformats.org/officeDocument/2006/relationships/footer" Target="footer7.xml"/><Relationship Id="rId31" Type="http://schemas.openxmlformats.org/officeDocument/2006/relationships/header" Target="header4.xml"/><Relationship Id="rId32" Type="http://schemas.openxmlformats.org/officeDocument/2006/relationships/footer" Target="footer8.xml"/><Relationship Id="rId33" Type="http://schemas.openxmlformats.org/officeDocument/2006/relationships/header" Target="header5.xml"/><Relationship Id="rId34" Type="http://schemas.openxmlformats.org/officeDocument/2006/relationships/footer" Target="footer9.xml"/><Relationship Id="rId35" Type="http://schemas.openxmlformats.org/officeDocument/2006/relationships/header" Target="header6.xml"/><Relationship Id="rId36" Type="http://schemas.openxmlformats.org/officeDocument/2006/relationships/footer" Target="footer10.xml"/><Relationship Id="rId37" Type="http://schemas.openxmlformats.org/officeDocument/2006/relationships/header" Target="header7.xml"/><Relationship Id="rId38" Type="http://schemas.openxmlformats.org/officeDocument/2006/relationships/footer" Target="footer11.xml"/><Relationship Id="rId39" Type="http://schemas.openxmlformats.org/officeDocument/2006/relationships/hyperlink" Target="http://www.cninfo.com.cn/finalpage/201" TargetMode="External"/><Relationship Id="rId40" Type="http://schemas.openxmlformats.org/officeDocument/2006/relationships/image" Target="media/image13.jpeg"/><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hyperlink" Target="http://www.cninfo.com.cn/" TargetMode="External"/><Relationship Id="rId44" Type="http://schemas.openxmlformats.org/officeDocument/2006/relationships/hyperlink" Target="http://www.cninfo.com.cn/final" TargetMode="Externa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footer" Target="footer16.xml"/><Relationship Id="rId48"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dc:title>&lt;4D6963726F736F667420576F7264202D20D0C2BFAAC6D5A3BA32303134C4EAC4EAB6C8B1A8B8E6C8ABCEC4&gt;</dc:title>
  <dcterms:created xsi:type="dcterms:W3CDTF">2020-05-06T19:16:29Z</dcterms:created>
  <dcterms:modified xsi:type="dcterms:W3CDTF">2020-05-06T19:16:29Z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2015-02-12T00:00:00Z</vt:filetime>
  </property>
  <property fmtid="{D5CDD505-2E9C-101B-9397-08002B2CF9AE}" pid="3" name="Creator">
    <vt:lpwstr>PScript5.dll Version 5.2.2</vt:lpwstr>
  </property>
  <property fmtid="{D5CDD505-2E9C-101B-9397-08002B2CF9AE}" pid="4" name="LastSaved">
    <vt:filetime>2020-05-06T00:00:00Z</vt:filetime>
  </property>
</Properties>
</file>